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F296">
      <w:pPr>
        <w:spacing w:before="100" w:beforeAutospacing="1" w:after="100" w:afterAutospacing="1" w:line="360" w:lineRule="auto"/>
        <w:jc w:val="center"/>
        <w:rPr>
          <w:rFonts w:ascii="宋体" w:hAnsi="宋体" w:eastAsia="宋体" w:cs="Times New Roman"/>
          <w:color w:val="auto"/>
          <w:spacing w:val="80"/>
          <w:sz w:val="72"/>
          <w:szCs w:val="72"/>
          <w:highlight w:val="none"/>
        </w:rPr>
      </w:pPr>
    </w:p>
    <w:p w14:paraId="69383781">
      <w:pPr>
        <w:spacing w:line="1000" w:lineRule="exact"/>
        <w:jc w:val="center"/>
        <w:rPr>
          <w:rFonts w:hint="eastAsia" w:ascii="宋体" w:hAnsi="宋体" w:cs="宋体" w:eastAsiaTheme="minorEastAsia"/>
          <w:b/>
          <w:color w:val="auto"/>
          <w:sz w:val="72"/>
          <w:szCs w:val="72"/>
          <w:highlight w:val="none"/>
          <w:lang w:eastAsia="zh-CN"/>
        </w:rPr>
      </w:pPr>
      <w:r>
        <w:rPr>
          <w:rFonts w:hint="eastAsia" w:ascii="宋体" w:hAnsi="宋体" w:cs="宋体"/>
          <w:b/>
          <w:color w:val="auto"/>
          <w:sz w:val="72"/>
          <w:szCs w:val="72"/>
          <w:highlight w:val="none"/>
          <w:lang w:eastAsia="zh-CN"/>
        </w:rPr>
        <w:t>桂林聚格项目管理有限公司</w:t>
      </w:r>
    </w:p>
    <w:p w14:paraId="4B6D1AC7">
      <w:pPr>
        <w:spacing w:line="720" w:lineRule="exact"/>
        <w:jc w:val="center"/>
        <w:rPr>
          <w:rFonts w:ascii="文鼎中隶简" w:hAnsi="Times New Roman" w:eastAsia="文鼎中隶简" w:cs="Times New Roman"/>
          <w:color w:val="auto"/>
          <w:sz w:val="52"/>
          <w:szCs w:val="24"/>
          <w:highlight w:val="none"/>
        </w:rPr>
      </w:pPr>
    </w:p>
    <w:p w14:paraId="68AEC713">
      <w:pPr>
        <w:spacing w:line="360" w:lineRule="auto"/>
        <w:jc w:val="center"/>
        <w:rPr>
          <w:rFonts w:ascii="宋体" w:hAnsi="宋体" w:eastAsia="宋体" w:cs="Times New Roman"/>
          <w:b/>
          <w:color w:val="auto"/>
          <w:sz w:val="84"/>
          <w:szCs w:val="84"/>
          <w:highlight w:val="none"/>
        </w:rPr>
      </w:pPr>
      <w:r>
        <w:rPr>
          <w:rFonts w:hint="eastAsia" w:ascii="文鼎中隶简" w:hAnsi="Times New Roman" w:eastAsia="文鼎中隶简" w:cs="Times New Roman"/>
          <w:color w:val="auto"/>
          <w:sz w:val="52"/>
          <w:szCs w:val="24"/>
          <w:highlight w:val="none"/>
        </w:rPr>
        <w:cr/>
      </w:r>
      <w:r>
        <w:rPr>
          <w:rFonts w:hint="eastAsia" w:ascii="Times New Roman" w:hAnsi="Times New Roman" w:eastAsia="宋体" w:cs="Times New Roman"/>
          <w:color w:val="auto"/>
          <w:sz w:val="72"/>
          <w:szCs w:val="24"/>
          <w:highlight w:val="none"/>
        </w:rPr>
        <w:cr/>
      </w:r>
      <w:r>
        <w:rPr>
          <w:rFonts w:hint="eastAsia" w:ascii="宋体" w:hAnsi="宋体" w:eastAsia="宋体" w:cs="Times New Roman"/>
          <w:b/>
          <w:color w:val="auto"/>
          <w:sz w:val="84"/>
          <w:szCs w:val="84"/>
          <w:highlight w:val="none"/>
        </w:rPr>
        <w:t>竞争性磋商文件</w:t>
      </w:r>
    </w:p>
    <w:p w14:paraId="7B4226D7">
      <w:pPr>
        <w:spacing w:line="360" w:lineRule="auto"/>
        <w:jc w:val="center"/>
        <w:rPr>
          <w:rFonts w:ascii="宋体" w:hAnsi="宋体" w:eastAsia="宋体" w:cs="宋体"/>
          <w:b/>
          <w:bCs/>
          <w:color w:val="auto"/>
          <w:sz w:val="32"/>
          <w:szCs w:val="32"/>
          <w:highlight w:val="none"/>
        </w:rPr>
      </w:pPr>
    </w:p>
    <w:p w14:paraId="67AFE862">
      <w:pPr>
        <w:spacing w:line="360" w:lineRule="auto"/>
        <w:jc w:val="center"/>
        <w:rPr>
          <w:rFonts w:ascii="宋体" w:hAnsi="宋体" w:eastAsia="宋体" w:cs="宋体"/>
          <w:b/>
          <w:bCs/>
          <w:color w:val="auto"/>
          <w:sz w:val="32"/>
          <w:szCs w:val="32"/>
          <w:highlight w:val="none"/>
        </w:rPr>
      </w:pPr>
    </w:p>
    <w:p w14:paraId="6135BE51">
      <w:pPr>
        <w:spacing w:line="360" w:lineRule="auto"/>
        <w:jc w:val="center"/>
        <w:rPr>
          <w:rFonts w:ascii="宋体" w:hAnsi="宋体" w:eastAsia="宋体" w:cs="宋体"/>
          <w:b/>
          <w:bCs/>
          <w:color w:val="auto"/>
          <w:sz w:val="32"/>
          <w:szCs w:val="32"/>
          <w:highlight w:val="none"/>
        </w:rPr>
      </w:pPr>
    </w:p>
    <w:p w14:paraId="21AAF8EE">
      <w:pPr>
        <w:spacing w:line="360" w:lineRule="auto"/>
        <w:jc w:val="center"/>
        <w:rPr>
          <w:rFonts w:ascii="宋体" w:hAnsi="宋体" w:eastAsia="宋体" w:cs="宋体"/>
          <w:b/>
          <w:bCs/>
          <w:color w:val="auto"/>
          <w:sz w:val="32"/>
          <w:szCs w:val="32"/>
          <w:highlight w:val="none"/>
        </w:rPr>
      </w:pPr>
    </w:p>
    <w:p w14:paraId="3CAA8204">
      <w:pPr>
        <w:spacing w:line="360" w:lineRule="auto"/>
        <w:ind w:firstLine="1054" w:firstLineChars="350"/>
        <w:jc w:val="left"/>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t>项目名称：</w:t>
      </w:r>
      <w:r>
        <w:rPr>
          <w:color w:val="auto"/>
          <w:highlight w:val="none"/>
        </w:rPr>
        <w:fldChar w:fldCharType="begin"/>
      </w:r>
      <w:r>
        <w:rPr>
          <w:color w:val="auto"/>
          <w:highlight w:val="none"/>
        </w:rPr>
        <w:instrText xml:space="preserve"> HYPERLINK "https://www.zcygov.cn/proj-procurement/project-result-detail/5ee91e3b852a171e" \t "https://www.zcygov.cn/bid-inviting/purchaseFileMake/_blank" </w:instrText>
      </w:r>
      <w:r>
        <w:rPr>
          <w:color w:val="auto"/>
          <w:highlight w:val="none"/>
        </w:rPr>
        <w:fldChar w:fldCharType="separate"/>
      </w:r>
      <w:r>
        <w:rPr>
          <w:rFonts w:hint="eastAsia" w:ascii="宋体" w:hAnsi="宋体" w:eastAsia="宋体" w:cs="宋体"/>
          <w:b/>
          <w:color w:val="auto"/>
          <w:kern w:val="0"/>
          <w:sz w:val="30"/>
          <w:szCs w:val="30"/>
          <w:highlight w:val="none"/>
          <w:lang w:eastAsia="zh-CN"/>
        </w:rPr>
        <w:t>荔浦市荔城镇沙街社区洋洞河堤顶路健身步道</w:t>
      </w:r>
    </w:p>
    <w:p w14:paraId="65D97FB8">
      <w:pPr>
        <w:spacing w:line="360" w:lineRule="auto"/>
        <w:ind w:firstLine="2560" w:firstLineChars="850"/>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eastAsia="zh-CN"/>
        </w:rPr>
        <w:t>建设项目</w:t>
      </w:r>
      <w:r>
        <w:rPr>
          <w:rFonts w:hint="eastAsia" w:ascii="宋体" w:hAnsi="宋体" w:eastAsia="宋体" w:cs="宋体"/>
          <w:b/>
          <w:color w:val="auto"/>
          <w:kern w:val="0"/>
          <w:sz w:val="30"/>
          <w:szCs w:val="30"/>
          <w:highlight w:val="none"/>
        </w:rPr>
        <w:fldChar w:fldCharType="end"/>
      </w:r>
    </w:p>
    <w:p w14:paraId="03AE76FB">
      <w:pPr>
        <w:spacing w:line="360" w:lineRule="auto"/>
        <w:ind w:firstLine="1054" w:firstLineChars="350"/>
        <w:jc w:val="left"/>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t>项目编号：</w:t>
      </w:r>
      <w:r>
        <w:rPr>
          <w:rFonts w:hint="eastAsia" w:ascii="宋体" w:hAnsi="宋体" w:eastAsia="宋体" w:cs="宋体"/>
          <w:b/>
          <w:color w:val="auto"/>
          <w:kern w:val="0"/>
          <w:sz w:val="30"/>
          <w:szCs w:val="30"/>
          <w:highlight w:val="none"/>
          <w:lang w:eastAsia="zh-CN"/>
        </w:rPr>
        <w:t>GLZC2026-C2-310024-GLJG</w:t>
      </w:r>
    </w:p>
    <w:p w14:paraId="50DD45F4">
      <w:pPr>
        <w:spacing w:line="360" w:lineRule="auto"/>
        <w:ind w:firstLine="151" w:firstLineChars="50"/>
        <w:jc w:val="left"/>
        <w:rPr>
          <w:rFonts w:ascii="宋体" w:hAnsi="宋体" w:eastAsia="宋体" w:cs="宋体"/>
          <w:b/>
          <w:color w:val="auto"/>
          <w:kern w:val="0"/>
          <w:sz w:val="30"/>
          <w:szCs w:val="30"/>
          <w:highlight w:val="none"/>
        </w:rPr>
      </w:pPr>
    </w:p>
    <w:p w14:paraId="793C9D3A">
      <w:pPr>
        <w:spacing w:line="360" w:lineRule="auto"/>
        <w:jc w:val="center"/>
        <w:rPr>
          <w:rFonts w:ascii="宋体" w:hAnsi="宋体" w:eastAsia="宋体" w:cs="宋体"/>
          <w:b/>
          <w:bCs/>
          <w:color w:val="auto"/>
          <w:sz w:val="32"/>
          <w:szCs w:val="32"/>
          <w:highlight w:val="none"/>
        </w:rPr>
      </w:pPr>
    </w:p>
    <w:p w14:paraId="27DAE62E">
      <w:pPr>
        <w:spacing w:line="360" w:lineRule="auto"/>
        <w:jc w:val="center"/>
        <w:rPr>
          <w:rFonts w:hint="eastAsia" w:ascii="宋体" w:hAnsi="宋体" w:eastAsia="宋体" w:cs="宋体"/>
          <w:b/>
          <w:bCs/>
          <w:color w:val="auto"/>
          <w:sz w:val="32"/>
          <w:szCs w:val="32"/>
          <w:highlight w:val="none"/>
          <w:lang w:eastAsia="zh-CN"/>
        </w:rPr>
      </w:pPr>
      <w:r>
        <w:rPr>
          <w:rFonts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桂林聚格项目管理有限公司</w:t>
      </w:r>
    </w:p>
    <w:p w14:paraId="5DFFF791">
      <w:pPr>
        <w:spacing w:line="360" w:lineRule="auto"/>
        <w:jc w:val="center"/>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202</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月</w:t>
      </w:r>
    </w:p>
    <w:p w14:paraId="1A0D38C1">
      <w:pPr>
        <w:spacing w:line="360" w:lineRule="auto"/>
        <w:jc w:val="center"/>
        <w:rPr>
          <w:rFonts w:ascii="宋体" w:hAnsi="宋体" w:eastAsia="宋体" w:cs="宋体"/>
          <w:b/>
          <w:bCs/>
          <w:color w:val="auto"/>
          <w:sz w:val="32"/>
          <w:szCs w:val="32"/>
          <w:highlight w:val="none"/>
        </w:rPr>
      </w:pPr>
    </w:p>
    <w:p w14:paraId="4880842B">
      <w:pPr>
        <w:spacing w:line="420" w:lineRule="exact"/>
        <w:jc w:val="center"/>
        <w:rPr>
          <w:rFonts w:ascii="宋体" w:hAnsi="宋体" w:eastAsia="宋体" w:cs="Times New Roman"/>
          <w:b/>
          <w:bCs/>
          <w:color w:val="auto"/>
          <w:sz w:val="44"/>
          <w:szCs w:val="20"/>
          <w:highlight w:val="none"/>
        </w:rPr>
      </w:pPr>
      <w:r>
        <w:rPr>
          <w:rFonts w:hint="eastAsia" w:ascii="宋体" w:hAnsi="宋体" w:eastAsia="宋体" w:cs="Times New Roman"/>
          <w:b/>
          <w:bCs/>
          <w:color w:val="auto"/>
          <w:sz w:val="44"/>
          <w:szCs w:val="20"/>
          <w:highlight w:val="none"/>
        </w:rPr>
        <w:t>目   录</w:t>
      </w:r>
    </w:p>
    <w:p w14:paraId="667898A3">
      <w:pPr>
        <w:jc w:val="center"/>
        <w:rPr>
          <w:rFonts w:ascii="Times New Roman" w:hAnsi="Times New Roman" w:eastAsia="宋体" w:cs="Times New Roman"/>
          <w:color w:val="auto"/>
          <w:szCs w:val="24"/>
          <w:highlight w:val="none"/>
        </w:rPr>
      </w:pPr>
    </w:p>
    <w:p w14:paraId="7DDB392C">
      <w:pPr>
        <w:pStyle w:val="10"/>
        <w:tabs>
          <w:tab w:val="right" w:leader="dot" w:pos="9298"/>
        </w:tabs>
        <w:spacing w:line="480"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pacing w:val="-6"/>
          <w:kern w:val="0"/>
          <w:sz w:val="28"/>
          <w:szCs w:val="28"/>
          <w:highlight w:val="none"/>
        </w:rPr>
        <w:fldChar w:fldCharType="begin"/>
      </w:r>
      <w:r>
        <w:rPr>
          <w:rFonts w:hint="eastAsia" w:asciiTheme="minorEastAsia" w:hAnsiTheme="minorEastAsia" w:cstheme="minorEastAsia"/>
          <w:color w:val="auto"/>
          <w:spacing w:val="-6"/>
          <w:kern w:val="0"/>
          <w:sz w:val="28"/>
          <w:szCs w:val="28"/>
          <w:highlight w:val="none"/>
        </w:rPr>
        <w:instrText xml:space="preserve">TOC \o "1-3" \h \u </w:instrText>
      </w:r>
      <w:r>
        <w:rPr>
          <w:rFonts w:hint="eastAsia" w:asciiTheme="minorEastAsia" w:hAnsiTheme="minorEastAsia" w:cstheme="minorEastAsia"/>
          <w:color w:val="auto"/>
          <w:spacing w:val="-6"/>
          <w:kern w:val="0"/>
          <w:sz w:val="28"/>
          <w:szCs w:val="28"/>
          <w:highlight w:val="none"/>
        </w:rPr>
        <w:fldChar w:fldCharType="separate"/>
      </w:r>
      <w:r>
        <w:rPr>
          <w:color w:val="auto"/>
          <w:sz w:val="22"/>
          <w:szCs w:val="24"/>
          <w:highlight w:val="none"/>
        </w:rPr>
        <w:fldChar w:fldCharType="begin"/>
      </w:r>
      <w:r>
        <w:rPr>
          <w:color w:val="auto"/>
          <w:sz w:val="22"/>
          <w:szCs w:val="24"/>
          <w:highlight w:val="none"/>
        </w:rPr>
        <w:instrText xml:space="preserve"> HYPERLINK \l "_Toc25081" </w:instrText>
      </w:r>
      <w:r>
        <w:rPr>
          <w:color w:val="auto"/>
          <w:sz w:val="22"/>
          <w:szCs w:val="24"/>
          <w:highlight w:val="none"/>
        </w:rPr>
        <w:fldChar w:fldCharType="separate"/>
      </w:r>
      <w:r>
        <w:rPr>
          <w:rFonts w:hint="eastAsia" w:asciiTheme="minorEastAsia" w:hAnsiTheme="minorEastAsia" w:cstheme="minorEastAsia"/>
          <w:color w:val="auto"/>
          <w:kern w:val="0"/>
          <w:sz w:val="28"/>
          <w:szCs w:val="28"/>
          <w:highlight w:val="none"/>
          <w:lang w:val="zh-CN"/>
        </w:rPr>
        <w:t>第一章  竞争性磋商公告</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_Toc25081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1</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49DAAD89">
      <w:pPr>
        <w:pStyle w:val="10"/>
        <w:tabs>
          <w:tab w:val="right" w:leader="dot" w:pos="9298"/>
        </w:tabs>
        <w:spacing w:line="480" w:lineRule="auto"/>
        <w:rPr>
          <w:rFonts w:asciiTheme="minorEastAsia" w:hAnsiTheme="minorEastAsia" w:cstheme="minorEastAsia"/>
          <w:color w:val="auto"/>
          <w:sz w:val="28"/>
          <w:szCs w:val="28"/>
          <w:highlight w:val="none"/>
        </w:rPr>
      </w:pPr>
      <w:r>
        <w:rPr>
          <w:color w:val="auto"/>
          <w:sz w:val="22"/>
          <w:szCs w:val="24"/>
          <w:highlight w:val="none"/>
        </w:rPr>
        <w:fldChar w:fldCharType="begin"/>
      </w:r>
      <w:r>
        <w:rPr>
          <w:color w:val="auto"/>
          <w:sz w:val="22"/>
          <w:szCs w:val="24"/>
          <w:highlight w:val="none"/>
        </w:rPr>
        <w:instrText xml:space="preserve"> HYPERLINK \l "_Toc22440" </w:instrText>
      </w:r>
      <w:r>
        <w:rPr>
          <w:color w:val="auto"/>
          <w:sz w:val="22"/>
          <w:szCs w:val="24"/>
          <w:highlight w:val="none"/>
        </w:rPr>
        <w:fldChar w:fldCharType="separate"/>
      </w:r>
      <w:r>
        <w:rPr>
          <w:rFonts w:hint="eastAsia" w:asciiTheme="minorEastAsia" w:hAnsiTheme="minorEastAsia" w:cstheme="minorEastAsia"/>
          <w:color w:val="auto"/>
          <w:kern w:val="0"/>
          <w:sz w:val="28"/>
          <w:szCs w:val="28"/>
          <w:highlight w:val="none"/>
          <w:lang w:val="zh-CN"/>
        </w:rPr>
        <w:t>第二章  供应商须知</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_Toc22440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4</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3C985464">
      <w:pPr>
        <w:pStyle w:val="10"/>
        <w:tabs>
          <w:tab w:val="right" w:leader="dot" w:pos="9298"/>
        </w:tabs>
        <w:spacing w:line="480" w:lineRule="auto"/>
        <w:rPr>
          <w:rFonts w:asciiTheme="minorEastAsia" w:hAnsiTheme="minorEastAsia" w:cstheme="minorEastAsia"/>
          <w:color w:val="auto"/>
          <w:sz w:val="28"/>
          <w:szCs w:val="28"/>
          <w:highlight w:val="none"/>
        </w:rPr>
      </w:pPr>
      <w:r>
        <w:rPr>
          <w:color w:val="auto"/>
          <w:sz w:val="22"/>
          <w:szCs w:val="24"/>
          <w:highlight w:val="none"/>
        </w:rPr>
        <w:fldChar w:fldCharType="begin"/>
      </w:r>
      <w:r>
        <w:rPr>
          <w:color w:val="auto"/>
          <w:sz w:val="22"/>
          <w:szCs w:val="24"/>
          <w:highlight w:val="none"/>
        </w:rPr>
        <w:instrText xml:space="preserve"> HYPERLINK \l "_Toc3525" </w:instrText>
      </w:r>
      <w:r>
        <w:rPr>
          <w:color w:val="auto"/>
          <w:sz w:val="22"/>
          <w:szCs w:val="24"/>
          <w:highlight w:val="none"/>
        </w:rPr>
        <w:fldChar w:fldCharType="separate"/>
      </w:r>
      <w:r>
        <w:rPr>
          <w:rFonts w:hint="eastAsia" w:asciiTheme="minorEastAsia" w:hAnsiTheme="minorEastAsia" w:cstheme="minorEastAsia"/>
          <w:color w:val="auto"/>
          <w:kern w:val="0"/>
          <w:sz w:val="28"/>
          <w:szCs w:val="28"/>
          <w:highlight w:val="none"/>
          <w:lang w:val="zh-CN"/>
        </w:rPr>
        <w:t>第三章  工程量清单</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_Toc3525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24</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401FD52D">
      <w:pPr>
        <w:pStyle w:val="10"/>
        <w:tabs>
          <w:tab w:val="right" w:leader="dot" w:pos="9298"/>
        </w:tabs>
        <w:spacing w:line="480" w:lineRule="auto"/>
        <w:rPr>
          <w:rFonts w:asciiTheme="minorEastAsia" w:hAnsiTheme="minorEastAsia" w:cstheme="minorEastAsia"/>
          <w:color w:val="auto"/>
          <w:sz w:val="28"/>
          <w:szCs w:val="28"/>
          <w:highlight w:val="none"/>
        </w:rPr>
      </w:pPr>
      <w:r>
        <w:rPr>
          <w:color w:val="auto"/>
          <w:sz w:val="22"/>
          <w:szCs w:val="24"/>
          <w:highlight w:val="none"/>
        </w:rPr>
        <w:fldChar w:fldCharType="begin"/>
      </w:r>
      <w:r>
        <w:rPr>
          <w:color w:val="auto"/>
          <w:sz w:val="22"/>
          <w:szCs w:val="24"/>
          <w:highlight w:val="none"/>
        </w:rPr>
        <w:instrText xml:space="preserve"> HYPERLINK \l "_Toc1651" </w:instrText>
      </w:r>
      <w:r>
        <w:rPr>
          <w:color w:val="auto"/>
          <w:sz w:val="22"/>
          <w:szCs w:val="24"/>
          <w:highlight w:val="none"/>
        </w:rPr>
        <w:fldChar w:fldCharType="separate"/>
      </w:r>
      <w:r>
        <w:rPr>
          <w:rFonts w:hint="eastAsia" w:asciiTheme="minorEastAsia" w:hAnsiTheme="minorEastAsia" w:cstheme="minorEastAsia"/>
          <w:color w:val="auto"/>
          <w:kern w:val="0"/>
          <w:sz w:val="28"/>
          <w:szCs w:val="28"/>
          <w:highlight w:val="none"/>
          <w:lang w:val="zh-CN"/>
        </w:rPr>
        <w:t>第四章  评审办法</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_Toc1651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25</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577A6DC0">
      <w:pPr>
        <w:pStyle w:val="10"/>
        <w:tabs>
          <w:tab w:val="right" w:leader="dot" w:pos="9298"/>
        </w:tabs>
        <w:spacing w:line="480" w:lineRule="auto"/>
        <w:rPr>
          <w:rFonts w:asciiTheme="minorEastAsia" w:hAnsiTheme="minorEastAsia" w:cstheme="minorEastAsia"/>
          <w:color w:val="auto"/>
          <w:sz w:val="28"/>
          <w:szCs w:val="28"/>
          <w:highlight w:val="none"/>
        </w:rPr>
      </w:pPr>
      <w:r>
        <w:rPr>
          <w:color w:val="auto"/>
          <w:sz w:val="22"/>
          <w:szCs w:val="24"/>
          <w:highlight w:val="none"/>
        </w:rPr>
        <w:fldChar w:fldCharType="begin"/>
      </w:r>
      <w:r>
        <w:rPr>
          <w:color w:val="auto"/>
          <w:sz w:val="22"/>
          <w:szCs w:val="24"/>
          <w:highlight w:val="none"/>
        </w:rPr>
        <w:instrText xml:space="preserve"> HYPERLINK \l "_Toc13365" </w:instrText>
      </w:r>
      <w:r>
        <w:rPr>
          <w:color w:val="auto"/>
          <w:sz w:val="22"/>
          <w:szCs w:val="24"/>
          <w:highlight w:val="none"/>
        </w:rPr>
        <w:fldChar w:fldCharType="separate"/>
      </w:r>
      <w:r>
        <w:rPr>
          <w:rFonts w:hint="eastAsia" w:asciiTheme="minorEastAsia" w:hAnsiTheme="minorEastAsia" w:cstheme="minorEastAsia"/>
          <w:color w:val="auto"/>
          <w:kern w:val="0"/>
          <w:sz w:val="28"/>
          <w:szCs w:val="28"/>
          <w:highlight w:val="none"/>
          <w:lang w:val="zh-CN"/>
        </w:rPr>
        <w:t>第五章 采购合同（合同主要条款及格式）</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_Toc13365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30</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40704E0E">
      <w:pPr>
        <w:pStyle w:val="10"/>
        <w:tabs>
          <w:tab w:val="right" w:leader="dot" w:pos="9298"/>
        </w:tabs>
        <w:spacing w:line="480" w:lineRule="auto"/>
        <w:rPr>
          <w:rFonts w:asciiTheme="minorEastAsia" w:hAnsiTheme="minorEastAsia" w:cstheme="minorEastAsia"/>
          <w:color w:val="auto"/>
          <w:sz w:val="28"/>
          <w:szCs w:val="28"/>
          <w:highlight w:val="none"/>
        </w:rPr>
      </w:pPr>
      <w:r>
        <w:rPr>
          <w:color w:val="auto"/>
          <w:sz w:val="22"/>
          <w:szCs w:val="24"/>
          <w:highlight w:val="none"/>
        </w:rPr>
        <w:fldChar w:fldCharType="begin"/>
      </w:r>
      <w:r>
        <w:rPr>
          <w:color w:val="auto"/>
          <w:sz w:val="22"/>
          <w:szCs w:val="24"/>
          <w:highlight w:val="none"/>
        </w:rPr>
        <w:instrText xml:space="preserve"> HYPERLINK \l "_Toc14351" </w:instrText>
      </w:r>
      <w:r>
        <w:rPr>
          <w:color w:val="auto"/>
          <w:sz w:val="22"/>
          <w:szCs w:val="24"/>
          <w:highlight w:val="none"/>
        </w:rPr>
        <w:fldChar w:fldCharType="separate"/>
      </w:r>
      <w:r>
        <w:rPr>
          <w:rFonts w:hint="eastAsia" w:asciiTheme="minorEastAsia" w:hAnsiTheme="minorEastAsia" w:cstheme="minorEastAsia"/>
          <w:color w:val="auto"/>
          <w:kern w:val="0"/>
          <w:sz w:val="28"/>
          <w:szCs w:val="28"/>
          <w:highlight w:val="none"/>
          <w:lang w:val="zh-CN"/>
        </w:rPr>
        <w:t>第六章  响应文件（格式）</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_Toc14351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69</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5427E5E1">
      <w:pPr>
        <w:pStyle w:val="10"/>
        <w:tabs>
          <w:tab w:val="right" w:leader="dot" w:pos="9298"/>
        </w:tabs>
        <w:spacing w:line="480" w:lineRule="auto"/>
        <w:rPr>
          <w:rFonts w:asciiTheme="minorEastAsia" w:hAnsiTheme="minorEastAsia" w:cstheme="minorEastAsia"/>
          <w:color w:val="auto"/>
          <w:sz w:val="28"/>
          <w:szCs w:val="28"/>
          <w:highlight w:val="none"/>
        </w:rPr>
      </w:pPr>
      <w:r>
        <w:rPr>
          <w:color w:val="auto"/>
          <w:sz w:val="22"/>
          <w:szCs w:val="24"/>
          <w:highlight w:val="none"/>
        </w:rPr>
        <w:fldChar w:fldCharType="begin"/>
      </w:r>
      <w:r>
        <w:rPr>
          <w:color w:val="auto"/>
          <w:sz w:val="22"/>
          <w:szCs w:val="24"/>
          <w:highlight w:val="none"/>
        </w:rPr>
        <w:instrText xml:space="preserve"> HYPERLINK \l "_Toc24730" </w:instrText>
      </w:r>
      <w:r>
        <w:rPr>
          <w:color w:val="auto"/>
          <w:sz w:val="22"/>
          <w:szCs w:val="24"/>
          <w:highlight w:val="none"/>
        </w:rPr>
        <w:fldChar w:fldCharType="separate"/>
      </w:r>
      <w:r>
        <w:rPr>
          <w:rFonts w:hint="eastAsia" w:asciiTheme="minorEastAsia" w:hAnsiTheme="minorEastAsia" w:cstheme="minorEastAsia"/>
          <w:color w:val="auto"/>
          <w:sz w:val="28"/>
          <w:szCs w:val="28"/>
          <w:highlight w:val="none"/>
        </w:rPr>
        <w:t>第七章  图纸</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PAGEREF _Toc24730 \h </w:instrText>
      </w:r>
      <w:r>
        <w:rPr>
          <w:rFonts w:hint="eastAsia" w:asciiTheme="minorEastAsia" w:hAnsiTheme="minorEastAsia" w:cstheme="minorEastAsia"/>
          <w:color w:val="auto"/>
          <w:sz w:val="28"/>
          <w:szCs w:val="28"/>
          <w:highlight w:val="none"/>
        </w:rPr>
        <w:fldChar w:fldCharType="separate"/>
      </w:r>
      <w:r>
        <w:rPr>
          <w:rFonts w:hint="eastAsia" w:asciiTheme="minorEastAsia" w:hAnsiTheme="minorEastAsia" w:cstheme="minorEastAsia"/>
          <w:color w:val="auto"/>
          <w:sz w:val="28"/>
          <w:szCs w:val="28"/>
          <w:highlight w:val="none"/>
        </w:rPr>
        <w:t>88</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fldChar w:fldCharType="end"/>
      </w:r>
    </w:p>
    <w:p w14:paraId="5AB51545">
      <w:pPr>
        <w:tabs>
          <w:tab w:val="right" w:leader="dot" w:pos="9660"/>
        </w:tabs>
        <w:spacing w:line="480" w:lineRule="auto"/>
        <w:rPr>
          <w:rFonts w:ascii="Times New Roman" w:hAnsi="Times New Roman" w:eastAsia="宋体" w:cs="Times New Roman"/>
          <w:color w:val="auto"/>
          <w:sz w:val="28"/>
          <w:szCs w:val="28"/>
          <w:highlight w:val="none"/>
        </w:rPr>
      </w:pPr>
      <w:r>
        <w:rPr>
          <w:rFonts w:hint="eastAsia" w:asciiTheme="minorEastAsia" w:hAnsiTheme="minorEastAsia" w:cstheme="minorEastAsia"/>
          <w:color w:val="auto"/>
          <w:spacing w:val="-6"/>
          <w:kern w:val="0"/>
          <w:sz w:val="28"/>
          <w:szCs w:val="28"/>
          <w:highlight w:val="none"/>
        </w:rPr>
        <w:fldChar w:fldCharType="end"/>
      </w:r>
    </w:p>
    <w:p w14:paraId="177B4C64">
      <w:pPr>
        <w:keepNext/>
        <w:keepLines/>
        <w:numPr>
          <w:ilvl w:val="0"/>
          <w:numId w:val="1"/>
        </w:numPr>
        <w:tabs>
          <w:tab w:val="left" w:pos="0"/>
        </w:tabs>
        <w:autoSpaceDE w:val="0"/>
        <w:autoSpaceDN w:val="0"/>
        <w:adjustRightInd w:val="0"/>
        <w:spacing w:line="360" w:lineRule="auto"/>
        <w:ind w:firstLine="425"/>
        <w:jc w:val="center"/>
        <w:outlineLvl w:val="0"/>
        <w:rPr>
          <w:rFonts w:ascii="宋体" w:hAnsi="宋体" w:eastAsia="宋体" w:cs="宋体"/>
          <w:b/>
          <w:bCs/>
          <w:color w:val="auto"/>
          <w:kern w:val="44"/>
          <w:sz w:val="32"/>
          <w:szCs w:val="32"/>
          <w:highlight w:val="none"/>
        </w:rPr>
        <w:sectPr>
          <w:pgSz w:w="11906" w:h="16838"/>
          <w:pgMar w:top="1440" w:right="1304" w:bottom="1440" w:left="1304" w:header="851" w:footer="992" w:gutter="0"/>
          <w:pgNumType w:fmt="upperRoman" w:start="1"/>
          <w:cols w:space="0" w:num="1"/>
          <w:titlePg/>
          <w:docGrid w:type="lines" w:linePitch="312" w:charSpace="0"/>
        </w:sectPr>
      </w:pPr>
      <w:bookmarkStart w:id="409" w:name="_GoBack"/>
      <w:bookmarkEnd w:id="409"/>
      <w:bookmarkStart w:id="0" w:name="_Toc26809"/>
      <w:bookmarkStart w:id="1" w:name="_Toc28359011"/>
      <w:bookmarkStart w:id="2" w:name="_Toc21930"/>
      <w:bookmarkStart w:id="3" w:name="_Toc35393797"/>
      <w:bookmarkStart w:id="4" w:name="_Toc1752"/>
      <w:bookmarkStart w:id="5" w:name="_Toc30170"/>
    </w:p>
    <w:p w14:paraId="7EA31DD1">
      <w:pPr>
        <w:pStyle w:val="12"/>
        <w:spacing w:after="60"/>
        <w:ind w:firstLine="0"/>
        <w:rPr>
          <w:color w:val="auto"/>
          <w:kern w:val="0"/>
          <w:highlight w:val="none"/>
          <w:lang w:val="zh-CN"/>
        </w:rPr>
      </w:pPr>
      <w:bookmarkStart w:id="6" w:name="_Toc25081"/>
      <w:r>
        <w:rPr>
          <w:color w:val="auto"/>
          <w:kern w:val="0"/>
          <w:highlight w:val="none"/>
          <w:lang w:val="zh-CN"/>
        </w:rPr>
        <w:t>第一章  竞争性磋商公告</w:t>
      </w:r>
      <w:bookmarkEnd w:id="0"/>
      <w:bookmarkEnd w:id="1"/>
      <w:bookmarkEnd w:id="2"/>
      <w:bookmarkEnd w:id="3"/>
      <w:bookmarkEnd w:id="4"/>
      <w:bookmarkEnd w:id="5"/>
      <w:bookmarkEnd w:id="6"/>
    </w:p>
    <w:tbl>
      <w:tblPr>
        <w:tblStyle w:val="14"/>
        <w:tblpPr w:leftFromText="180" w:rightFromText="180" w:vertAnchor="text" w:tblpXSpec="center" w:tblpY="134"/>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1"/>
      </w:tblGrid>
      <w:tr w14:paraId="0ED2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1" w:type="dxa"/>
          </w:tcPr>
          <w:p w14:paraId="2F586A0B">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项目概况</w:t>
            </w:r>
          </w:p>
          <w:p w14:paraId="55D8B0CD">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eastAsia="zh-CN"/>
              </w:rPr>
              <w:t>荔浦市荔城镇沙街社区洋洞河堤顶路健身步道建设项目</w:t>
            </w:r>
            <w:r>
              <w:rPr>
                <w:rFonts w:hint="eastAsia" w:ascii="宋体" w:hAnsi="宋体" w:eastAsia="宋体" w:cs="宋体"/>
                <w:color w:val="auto"/>
                <w:kern w:val="0"/>
                <w:szCs w:val="21"/>
                <w:highlight w:val="none"/>
              </w:rPr>
              <w:t>采购项目的潜在供应商应在</w:t>
            </w:r>
            <w:r>
              <w:rPr>
                <w:rFonts w:hint="eastAsia" w:ascii="宋体" w:hAnsi="宋体" w:eastAsia="宋体" w:cs="宋体"/>
                <w:bCs/>
                <w:color w:val="auto"/>
                <w:kern w:val="0"/>
                <w:szCs w:val="21"/>
                <w:highlight w:val="none"/>
                <w:u w:val="single"/>
              </w:rPr>
              <w:t>广西政府采购云平台（https://www.gcy.zfcg.gxzf.gov.cn/）</w:t>
            </w:r>
            <w:r>
              <w:rPr>
                <w:rFonts w:hint="eastAsia" w:ascii="宋体" w:hAnsi="宋体" w:eastAsia="宋体" w:cs="宋体"/>
                <w:color w:val="auto"/>
                <w:kern w:val="0"/>
                <w:szCs w:val="21"/>
                <w:highlight w:val="none"/>
              </w:rPr>
              <w:t>获取采购文件，并于</w:t>
            </w:r>
            <w:r>
              <w:rPr>
                <w:rFonts w:hint="eastAsia" w:ascii="宋体" w:hAnsi="宋体" w:eastAsia="宋体" w:cs="宋体"/>
                <w:color w:val="auto"/>
                <w:kern w:val="0"/>
                <w:szCs w:val="21"/>
                <w:highlight w:val="none"/>
                <w:u w:val="single"/>
                <w:lang w:eastAsia="zh-CN"/>
              </w:rPr>
              <w:t>2026年</w:t>
            </w:r>
            <w:r>
              <w:rPr>
                <w:rFonts w:hint="eastAsia" w:ascii="宋体" w:hAnsi="宋体" w:eastAsia="宋体" w:cs="宋体"/>
                <w:color w:val="auto"/>
                <w:kern w:val="0"/>
                <w:szCs w:val="21"/>
                <w:highlight w:val="none"/>
                <w:u w:val="single"/>
                <w:lang w:val="en-US" w:eastAsia="zh-CN"/>
              </w:rPr>
              <w:t>7</w:t>
            </w:r>
            <w:r>
              <w:rPr>
                <w:rFonts w:hint="eastAsia" w:ascii="宋体" w:hAnsi="宋体" w:eastAsia="宋体" w:cs="宋体"/>
                <w:color w:val="auto"/>
                <w:kern w:val="0"/>
                <w:szCs w:val="21"/>
                <w:highlight w:val="none"/>
                <w:u w:val="single"/>
                <w:lang w:eastAsia="zh-CN"/>
              </w:rPr>
              <w:t>月</w:t>
            </w:r>
            <w:r>
              <w:rPr>
                <w:rFonts w:hint="eastAsia" w:ascii="宋体" w:hAnsi="宋体" w:eastAsia="宋体" w:cs="宋体"/>
                <w:color w:val="auto"/>
                <w:kern w:val="0"/>
                <w:szCs w:val="21"/>
                <w:highlight w:val="none"/>
                <w:u w:val="single"/>
                <w:lang w:val="en-US" w:eastAsia="zh-CN"/>
              </w:rPr>
              <w:t xml:space="preserve">1 </w:t>
            </w:r>
            <w:r>
              <w:rPr>
                <w:rFonts w:hint="eastAsia" w:ascii="宋体" w:hAnsi="宋体" w:eastAsia="宋体" w:cs="宋体"/>
                <w:color w:val="auto"/>
                <w:kern w:val="0"/>
                <w:szCs w:val="21"/>
                <w:highlight w:val="none"/>
                <w:u w:val="single"/>
                <w:lang w:eastAsia="zh-CN"/>
              </w:rPr>
              <w:t>日9时00分</w:t>
            </w:r>
            <w:r>
              <w:rPr>
                <w:rFonts w:hint="eastAsia" w:ascii="宋体" w:hAnsi="宋体" w:eastAsia="宋体" w:cs="宋体"/>
                <w:color w:val="auto"/>
                <w:kern w:val="0"/>
                <w:szCs w:val="21"/>
                <w:highlight w:val="none"/>
              </w:rPr>
              <w:t>（北京时间）前提交响应文件。</w:t>
            </w:r>
          </w:p>
        </w:tc>
      </w:tr>
    </w:tbl>
    <w:p w14:paraId="4FE37E89">
      <w:pPr>
        <w:spacing w:line="360" w:lineRule="exact"/>
        <w:outlineLvl w:val="1"/>
        <w:rPr>
          <w:rFonts w:ascii="宋体" w:hAnsi="宋体" w:eastAsia="宋体" w:cs="宋体"/>
          <w:b/>
          <w:bCs/>
          <w:color w:val="auto"/>
          <w:szCs w:val="21"/>
          <w:highlight w:val="none"/>
        </w:rPr>
      </w:pPr>
      <w:bookmarkStart w:id="7" w:name="_Toc15564"/>
      <w:bookmarkStart w:id="8" w:name="_Toc28359089"/>
      <w:bookmarkStart w:id="9" w:name="_Toc24797"/>
      <w:bookmarkStart w:id="10" w:name="_Toc28343"/>
      <w:bookmarkStart w:id="11" w:name="_Toc35393798"/>
      <w:bookmarkStart w:id="12" w:name="_Toc28359012"/>
      <w:bookmarkStart w:id="13" w:name="_Toc35393629"/>
      <w:bookmarkStart w:id="14" w:name="_Toc23416"/>
      <w:bookmarkStart w:id="15" w:name="_Toc15041"/>
      <w:r>
        <w:rPr>
          <w:rFonts w:hint="eastAsia" w:ascii="宋体" w:hAnsi="宋体" w:eastAsia="宋体" w:cs="宋体"/>
          <w:b/>
          <w:bCs/>
          <w:color w:val="auto"/>
          <w:szCs w:val="21"/>
          <w:highlight w:val="none"/>
        </w:rPr>
        <w:t>一、项目基本情况</w:t>
      </w:r>
      <w:bookmarkEnd w:id="7"/>
      <w:bookmarkEnd w:id="8"/>
      <w:bookmarkEnd w:id="9"/>
      <w:bookmarkEnd w:id="10"/>
      <w:bookmarkEnd w:id="11"/>
      <w:bookmarkEnd w:id="12"/>
      <w:bookmarkEnd w:id="13"/>
      <w:bookmarkEnd w:id="14"/>
      <w:bookmarkEnd w:id="15"/>
    </w:p>
    <w:p w14:paraId="74035338">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GLZC2026-C2-310024-GLJG</w:t>
      </w:r>
    </w:p>
    <w:p w14:paraId="172F94F1">
      <w:pPr>
        <w:spacing w:line="3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荔浦市荔城镇沙街社区洋洞河堤顶路健身步道建设项目</w:t>
      </w:r>
    </w:p>
    <w:p w14:paraId="5569219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33379F48">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预算总金额（元）：</w:t>
      </w:r>
      <w:r>
        <w:rPr>
          <w:rFonts w:hint="eastAsia" w:ascii="宋体" w:hAnsi="宋体" w:eastAsia="宋体" w:cs="宋体"/>
          <w:color w:val="auto"/>
          <w:szCs w:val="21"/>
          <w:highlight w:val="none"/>
          <w:lang w:eastAsia="zh-CN"/>
        </w:rPr>
        <w:t>1846764.24</w:t>
      </w:r>
    </w:p>
    <w:p w14:paraId="0AD4692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09EA9A80">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荔浦市荔城镇沙街社区洋洞河堤顶路健身步道建设项目</w:t>
      </w:r>
    </w:p>
    <w:p w14:paraId="79AC30D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数量：</w:t>
      </w:r>
      <w:r>
        <w:rPr>
          <w:rFonts w:ascii="宋体" w:hAnsi="宋体" w:eastAsia="宋体" w:cs="宋体"/>
          <w:color w:val="auto"/>
          <w:szCs w:val="21"/>
          <w:highlight w:val="none"/>
        </w:rPr>
        <w:t>1</w:t>
      </w:r>
    </w:p>
    <w:p w14:paraId="7AC5A580">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预算金额（元）：</w:t>
      </w:r>
      <w:r>
        <w:rPr>
          <w:rFonts w:hint="eastAsia" w:ascii="宋体" w:hAnsi="宋体" w:eastAsia="宋体" w:cs="宋体"/>
          <w:color w:val="auto"/>
          <w:szCs w:val="21"/>
          <w:highlight w:val="none"/>
          <w:lang w:eastAsia="zh-CN"/>
        </w:rPr>
        <w:t>1846764.24</w:t>
      </w:r>
    </w:p>
    <w:p w14:paraId="2155BF9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p>
    <w:p w14:paraId="0D77118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建设地点：</w:t>
      </w:r>
      <w:r>
        <w:rPr>
          <w:rFonts w:hint="eastAsia" w:ascii="宋体" w:hAnsi="宋体" w:eastAsia="宋体" w:cs="宋体"/>
          <w:color w:val="auto"/>
          <w:szCs w:val="21"/>
          <w:highlight w:val="none"/>
          <w:lang w:eastAsia="zh-CN"/>
        </w:rPr>
        <w:t>荔浦市荔城镇沙街社区</w:t>
      </w:r>
      <w:r>
        <w:rPr>
          <w:rFonts w:hint="eastAsia" w:ascii="宋体" w:hAnsi="宋体" w:eastAsia="宋体" w:cs="宋体"/>
          <w:color w:val="auto"/>
          <w:szCs w:val="21"/>
          <w:highlight w:val="none"/>
        </w:rPr>
        <w:t>；</w:t>
      </w:r>
    </w:p>
    <w:p w14:paraId="79BF91E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要求工期：</w:t>
      </w:r>
      <w:r>
        <w:rPr>
          <w:rFonts w:hint="eastAsia" w:ascii="宋体" w:hAnsi="宋体" w:eastAsia="宋体" w:cs="宋体"/>
          <w:color w:val="auto"/>
          <w:szCs w:val="21"/>
          <w:highlight w:val="none"/>
          <w:lang w:val="en-US" w:eastAsia="zh-CN"/>
        </w:rPr>
        <w:t>9</w:t>
      </w:r>
      <w:r>
        <w:rPr>
          <w:rFonts w:ascii="宋体" w:hAnsi="宋体" w:eastAsia="宋体" w:cs="宋体"/>
          <w:color w:val="auto"/>
          <w:szCs w:val="21"/>
          <w:highlight w:val="none"/>
        </w:rPr>
        <w:t>0日历天</w:t>
      </w:r>
      <w:r>
        <w:rPr>
          <w:rFonts w:hint="eastAsia" w:ascii="宋体" w:hAnsi="宋体" w:eastAsia="宋体" w:cs="宋体"/>
          <w:color w:val="auto"/>
          <w:szCs w:val="21"/>
          <w:highlight w:val="none"/>
        </w:rPr>
        <w:t>；</w:t>
      </w:r>
    </w:p>
    <w:p w14:paraId="42CE9EA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（3）质量要求：达到国家施工验收规范合格标准；</w:t>
      </w:r>
    </w:p>
    <w:p w14:paraId="2DD2E0E6">
      <w:pPr>
        <w:spacing w:line="360" w:lineRule="exact"/>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（4）采购</w:t>
      </w:r>
      <w:r>
        <w:rPr>
          <w:rFonts w:ascii="宋体" w:hAnsi="宋体" w:eastAsia="宋体" w:cs="宋体"/>
          <w:color w:val="auto"/>
          <w:szCs w:val="21"/>
          <w:highlight w:val="none"/>
        </w:rPr>
        <w:t>范围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荔浦市荔城镇沙街社区洋洞河堤顶路健身步道建设项目，</w:t>
      </w:r>
      <w:r>
        <w:rPr>
          <w:rFonts w:hint="eastAsia" w:ascii="宋体" w:hAnsi="宋体" w:eastAsia="宋体" w:cs="宋体"/>
          <w:color w:val="auto"/>
          <w:szCs w:val="21"/>
          <w:highlight w:val="none"/>
        </w:rPr>
        <w:t>其中包含排水渠疏浚、渠堤顶路面硬化、路灯、健身广场、健身器材、绿化等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具体情况详见施工图纸及工程量清单。</w:t>
      </w:r>
    </w:p>
    <w:p w14:paraId="4AA1DDF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最高限价（如有）：</w:t>
      </w:r>
      <w:r>
        <w:rPr>
          <w:rFonts w:hint="eastAsia" w:ascii="宋体" w:hAnsi="宋体" w:eastAsia="宋体" w:cs="宋体"/>
          <w:color w:val="auto"/>
          <w:szCs w:val="21"/>
          <w:highlight w:val="none"/>
          <w:lang w:eastAsia="zh-CN"/>
        </w:rPr>
        <w:t>1846764.24</w:t>
      </w:r>
      <w:r>
        <w:rPr>
          <w:rFonts w:hint="eastAsia" w:ascii="宋体" w:hAnsi="宋体" w:eastAsia="宋体" w:cs="宋体"/>
          <w:color w:val="auto"/>
          <w:szCs w:val="21"/>
          <w:highlight w:val="none"/>
        </w:rPr>
        <w:t>元</w:t>
      </w:r>
    </w:p>
    <w:p w14:paraId="4FDDFE4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合同履行期限：自合同签订之日起至免费保修期满止。</w:t>
      </w:r>
    </w:p>
    <w:p w14:paraId="0A24243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single"/>
        </w:rPr>
        <w:t>不接受</w:t>
      </w:r>
      <w:r>
        <w:rPr>
          <w:rFonts w:hint="eastAsia" w:ascii="宋体" w:hAnsi="宋体" w:eastAsia="宋体" w:cs="宋体"/>
          <w:color w:val="auto"/>
          <w:szCs w:val="21"/>
          <w:highlight w:val="none"/>
        </w:rPr>
        <w:t>联合体参与磋商。</w:t>
      </w:r>
    </w:p>
    <w:p w14:paraId="28848FA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备注：本项目为线上电子标项目，有意向参与本项目的供应商应当做好参与全流程电子标交易的充分准备。</w:t>
      </w:r>
    </w:p>
    <w:p w14:paraId="233EC484">
      <w:pPr>
        <w:spacing w:line="360" w:lineRule="exact"/>
        <w:outlineLvl w:val="1"/>
        <w:rPr>
          <w:rFonts w:ascii="宋体" w:hAnsi="宋体" w:eastAsia="宋体" w:cs="宋体"/>
          <w:b/>
          <w:bCs/>
          <w:color w:val="auto"/>
          <w:szCs w:val="21"/>
          <w:highlight w:val="none"/>
        </w:rPr>
      </w:pPr>
      <w:bookmarkStart w:id="16" w:name="_Toc28359013"/>
      <w:bookmarkStart w:id="17" w:name="_Toc35393630"/>
      <w:bookmarkStart w:id="18" w:name="_Toc4719"/>
      <w:bookmarkStart w:id="19" w:name="_Toc13592"/>
      <w:bookmarkStart w:id="20" w:name="_Toc13792"/>
      <w:bookmarkStart w:id="21" w:name="_Toc35393799"/>
      <w:bookmarkStart w:id="22" w:name="_Toc21853"/>
      <w:bookmarkStart w:id="23" w:name="_Toc28359090"/>
      <w:bookmarkStart w:id="24" w:name="_Toc4261"/>
      <w:r>
        <w:rPr>
          <w:rFonts w:hint="eastAsia" w:ascii="宋体" w:hAnsi="宋体" w:eastAsia="宋体" w:cs="宋体"/>
          <w:b/>
          <w:bCs/>
          <w:color w:val="auto"/>
          <w:szCs w:val="21"/>
          <w:highlight w:val="none"/>
        </w:rPr>
        <w:t>二、申请人的资格要求</w:t>
      </w:r>
      <w:bookmarkEnd w:id="16"/>
      <w:bookmarkEnd w:id="17"/>
      <w:bookmarkEnd w:id="18"/>
      <w:bookmarkEnd w:id="19"/>
      <w:bookmarkEnd w:id="20"/>
      <w:bookmarkEnd w:id="21"/>
      <w:bookmarkEnd w:id="22"/>
      <w:bookmarkEnd w:id="23"/>
      <w:bookmarkEnd w:id="24"/>
    </w:p>
    <w:p w14:paraId="7C6744A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C461641">
      <w:pPr>
        <w:spacing w:line="360" w:lineRule="exact"/>
        <w:ind w:firstLine="420" w:firstLineChars="200"/>
        <w:rPr>
          <w:rFonts w:ascii="宋体" w:hAnsi="宋体" w:eastAsia="宋体" w:cs="宋体"/>
          <w:color w:val="auto"/>
          <w:szCs w:val="21"/>
          <w:highlight w:val="none"/>
        </w:rPr>
      </w:pPr>
      <w:bookmarkStart w:id="25" w:name="_Toc28359091"/>
      <w:bookmarkStart w:id="26" w:name="_Toc28359014"/>
      <w:r>
        <w:rPr>
          <w:rFonts w:hint="eastAsia" w:ascii="宋体" w:hAnsi="宋体" w:eastAsia="宋体" w:cs="宋体"/>
          <w:color w:val="auto"/>
          <w:szCs w:val="21"/>
          <w:highlight w:val="none"/>
        </w:rPr>
        <w:t>2.落实政府采购政策需满足的资格要求：供应商应为中小微企业，监狱企业、残疾人福利性单位视同小型、微型企业。</w:t>
      </w:r>
    </w:p>
    <w:p w14:paraId="4520963F">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bookmarkStart w:id="27" w:name="_Toc35393631"/>
      <w:bookmarkStart w:id="28" w:name="_Toc35393800"/>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具有市政公用工程施工总承包三级以上(含三级)资质，并具有省级或以上建设行政主管部门颁发的建筑施工企业安全生产许可证，并在人员、设备、资金等方面具有相应的施工能力。其中，供应商拟派项目经理须具备市政公用工程工程专业二级以上(含二级)注册建造师执业资格， 具备有效的安全生产考核合格证书(B 类)。</w:t>
      </w:r>
    </w:p>
    <w:bookmarkEnd w:id="25"/>
    <w:bookmarkEnd w:id="26"/>
    <w:bookmarkEnd w:id="27"/>
    <w:bookmarkEnd w:id="28"/>
    <w:p w14:paraId="558BFFF6">
      <w:pPr>
        <w:spacing w:line="360" w:lineRule="exact"/>
        <w:outlineLvl w:val="1"/>
        <w:rPr>
          <w:rFonts w:ascii="宋体" w:hAnsi="宋体" w:eastAsia="宋体" w:cs="宋体"/>
          <w:b/>
          <w:bCs/>
          <w:color w:val="auto"/>
          <w:szCs w:val="21"/>
          <w:highlight w:val="none"/>
        </w:rPr>
      </w:pPr>
      <w:bookmarkStart w:id="29" w:name="_Toc30267"/>
      <w:bookmarkStart w:id="30" w:name="_Toc25397"/>
      <w:bookmarkStart w:id="31" w:name="_Toc35393792"/>
      <w:bookmarkStart w:id="32" w:name="_Toc31186"/>
      <w:bookmarkStart w:id="33" w:name="_Toc17532"/>
      <w:bookmarkStart w:id="34" w:name="_Toc35393623"/>
      <w:bookmarkStart w:id="35" w:name="_Toc30519"/>
      <w:bookmarkStart w:id="36" w:name="_Toc28359018"/>
      <w:bookmarkStart w:id="37" w:name="_Toc35393636"/>
      <w:bookmarkStart w:id="38" w:name="_Toc35393805"/>
      <w:bookmarkStart w:id="39" w:name="_Toc28359095"/>
      <w:r>
        <w:rPr>
          <w:rFonts w:hint="eastAsia" w:ascii="宋体" w:hAnsi="宋体" w:eastAsia="宋体" w:cs="宋体"/>
          <w:b/>
          <w:bCs/>
          <w:color w:val="auto"/>
          <w:szCs w:val="21"/>
          <w:highlight w:val="none"/>
        </w:rPr>
        <w:t>三、获取采购文件</w:t>
      </w:r>
      <w:bookmarkEnd w:id="29"/>
      <w:bookmarkEnd w:id="30"/>
      <w:bookmarkEnd w:id="31"/>
      <w:bookmarkEnd w:id="32"/>
      <w:bookmarkEnd w:id="33"/>
      <w:bookmarkEnd w:id="34"/>
      <w:bookmarkEnd w:id="35"/>
    </w:p>
    <w:p w14:paraId="7F4E99C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日，每天上午00:00至12:00，下午12:00至23:59（北京时间，法定节假日除外）</w:t>
      </w:r>
    </w:p>
    <w:p w14:paraId="52BFAE9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地点（网址）：</w:t>
      </w:r>
      <w:r>
        <w:rPr>
          <w:rFonts w:hint="eastAsia" w:ascii="宋体" w:hAnsi="宋体" w:eastAsia="宋体" w:cs="宋体"/>
          <w:bCs/>
          <w:color w:val="auto"/>
          <w:szCs w:val="21"/>
          <w:highlight w:val="none"/>
        </w:rPr>
        <w:t>广西政府采购云平台（https://www.gcy.zfcg.gxzf.gov.cn/）</w:t>
      </w:r>
    </w:p>
    <w:p w14:paraId="2C02936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方式：供应商登录</w:t>
      </w:r>
      <w:r>
        <w:rPr>
          <w:rFonts w:hint="eastAsia" w:ascii="宋体" w:hAnsi="宋体" w:eastAsia="宋体" w:cs="宋体"/>
          <w:bCs/>
          <w:color w:val="auto"/>
          <w:szCs w:val="21"/>
          <w:highlight w:val="none"/>
        </w:rPr>
        <w:t>广西政府采购云平台（https://www.gcy.zfcg.gxzf.gov.cn/）</w:t>
      </w:r>
      <w:r>
        <w:rPr>
          <w:rFonts w:hint="eastAsia" w:ascii="宋体" w:hAnsi="宋体" w:eastAsia="宋体" w:cs="宋体"/>
          <w:color w:val="auto"/>
          <w:szCs w:val="21"/>
          <w:highlight w:val="none"/>
        </w:rPr>
        <w:t>在线申请获取采购文件（进入“项目采购”应用，在获取采购文件菜单中选择项目，申请获取采购文件）</w:t>
      </w:r>
    </w:p>
    <w:p w14:paraId="0CD1216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售价(元)：0</w:t>
      </w:r>
    </w:p>
    <w:p w14:paraId="3194324E">
      <w:pPr>
        <w:spacing w:line="360" w:lineRule="exact"/>
        <w:rPr>
          <w:rFonts w:ascii="宋体" w:hAnsi="宋体" w:eastAsia="宋体" w:cs="宋体"/>
          <w:b/>
          <w:color w:val="auto"/>
          <w:szCs w:val="21"/>
          <w:highlight w:val="none"/>
        </w:rPr>
      </w:pPr>
      <w:bookmarkStart w:id="40" w:name="_Toc23691"/>
      <w:bookmarkStart w:id="41" w:name="_Toc2690"/>
      <w:bookmarkStart w:id="42" w:name="_Toc35393626"/>
      <w:bookmarkStart w:id="43" w:name="_Toc1323"/>
      <w:bookmarkStart w:id="44" w:name="_Toc15803"/>
      <w:bookmarkStart w:id="45" w:name="_Toc35393795"/>
      <w:r>
        <w:rPr>
          <w:rFonts w:hint="eastAsia" w:ascii="宋体" w:hAnsi="宋体" w:eastAsia="宋体" w:cs="宋体"/>
          <w:b/>
          <w:color w:val="auto"/>
          <w:szCs w:val="21"/>
          <w:highlight w:val="none"/>
        </w:rPr>
        <w:t>四、响应文件提交</w:t>
      </w:r>
    </w:p>
    <w:p w14:paraId="3F44C35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日9时00分</w:t>
      </w:r>
      <w:r>
        <w:rPr>
          <w:rFonts w:hint="eastAsia" w:ascii="宋体" w:hAnsi="宋体" w:eastAsia="宋体" w:cs="宋体"/>
          <w:color w:val="auto"/>
          <w:szCs w:val="21"/>
          <w:highlight w:val="none"/>
        </w:rPr>
        <w:t>（北京时间）</w:t>
      </w:r>
    </w:p>
    <w:p w14:paraId="48E3808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地点（网址）：登录广西政府采购云平台在线提交。</w:t>
      </w:r>
    </w:p>
    <w:p w14:paraId="5406B130">
      <w:pPr>
        <w:spacing w:line="36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五、响应文件开启</w:t>
      </w:r>
    </w:p>
    <w:p w14:paraId="11147C1D">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开启时间：2026年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lang w:eastAsia="zh-CN"/>
        </w:rPr>
        <w:t>日9时00分（北京时间）</w:t>
      </w:r>
    </w:p>
    <w:p w14:paraId="21F61083">
      <w:pPr>
        <w:spacing w:line="360" w:lineRule="exact"/>
        <w:ind w:firstLine="420" w:firstLineChars="200"/>
        <w:rPr>
          <w:rFonts w:ascii="宋体" w:hAnsi="宋体" w:eastAsia="宋体" w:cs="宋体"/>
          <w:color w:val="auto"/>
          <w:kern w:val="0"/>
          <w:szCs w:val="21"/>
          <w:highlight w:val="none"/>
          <w:u w:val="single"/>
        </w:rPr>
      </w:pPr>
      <w:r>
        <w:rPr>
          <w:rFonts w:hint="eastAsia" w:ascii="宋体" w:hAnsi="宋体" w:eastAsia="宋体" w:cs="宋体"/>
          <w:color w:val="auto"/>
          <w:szCs w:val="21"/>
          <w:highlight w:val="none"/>
        </w:rPr>
        <w:t>地点：在</w:t>
      </w:r>
      <w:r>
        <w:rPr>
          <w:rFonts w:hint="eastAsia" w:ascii="宋体" w:hAnsi="宋体" w:eastAsia="宋体" w:cs="宋体"/>
          <w:color w:val="auto"/>
          <w:szCs w:val="21"/>
          <w:highlight w:val="none"/>
          <w:lang w:val="en-US" w:eastAsia="zh-CN"/>
        </w:rPr>
        <w:t>荔浦市</w:t>
      </w:r>
      <w:r>
        <w:rPr>
          <w:rFonts w:hint="eastAsia" w:ascii="宋体" w:hAnsi="宋体" w:eastAsia="宋体" w:cs="宋体"/>
          <w:color w:val="auto"/>
          <w:szCs w:val="21"/>
          <w:highlight w:val="none"/>
        </w:rPr>
        <w:t>公共资源交易中心</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号开标</w:t>
      </w:r>
      <w:r>
        <w:rPr>
          <w:rFonts w:hint="eastAsia" w:ascii="宋体" w:hAnsi="宋体" w:eastAsia="宋体" w:cs="宋体"/>
          <w:color w:val="auto"/>
          <w:szCs w:val="21"/>
          <w:highlight w:val="none"/>
          <w:lang w:val="en-US" w:eastAsia="zh-CN"/>
        </w:rPr>
        <w:t>室</w:t>
      </w:r>
      <w:r>
        <w:rPr>
          <w:rFonts w:hint="eastAsia" w:ascii="宋体" w:hAnsi="宋体" w:eastAsia="宋体" w:cs="宋体"/>
          <w:color w:val="auto"/>
          <w:szCs w:val="21"/>
          <w:highlight w:val="none"/>
        </w:rPr>
        <w:t>，通过广西政府采购云平台在线解密开启。</w:t>
      </w:r>
    </w:p>
    <w:p w14:paraId="09DD31BE">
      <w:pPr>
        <w:spacing w:line="36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六、公告期限</w:t>
      </w:r>
    </w:p>
    <w:p w14:paraId="4D618720">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0095DAA">
      <w:pPr>
        <w:spacing w:line="360" w:lineRule="exact"/>
        <w:outlineLvl w:val="1"/>
        <w:rPr>
          <w:rFonts w:ascii="宋体" w:hAnsi="宋体" w:eastAsia="宋体" w:cs="宋体"/>
          <w:b/>
          <w:bCs/>
          <w:color w:val="auto"/>
          <w:szCs w:val="21"/>
          <w:highlight w:val="none"/>
        </w:rPr>
      </w:pPr>
      <w:bookmarkStart w:id="46" w:name="_Toc31997"/>
      <w:r>
        <w:rPr>
          <w:rFonts w:hint="eastAsia" w:ascii="宋体" w:hAnsi="宋体" w:eastAsia="宋体" w:cs="宋体"/>
          <w:b/>
          <w:bCs/>
          <w:color w:val="auto"/>
          <w:szCs w:val="21"/>
          <w:highlight w:val="none"/>
        </w:rPr>
        <w:t>七、其他补充事宜</w:t>
      </w:r>
      <w:bookmarkEnd w:id="40"/>
      <w:bookmarkEnd w:id="41"/>
      <w:bookmarkEnd w:id="42"/>
      <w:bookmarkEnd w:id="43"/>
      <w:bookmarkEnd w:id="44"/>
      <w:bookmarkEnd w:id="45"/>
      <w:bookmarkEnd w:id="46"/>
    </w:p>
    <w:p w14:paraId="0F8AF817">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1.资格条件特别说明：</w:t>
      </w:r>
    </w:p>
    <w:p w14:paraId="21EA98A8">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8D8D485">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B60DB3A">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2.本项目需要落实的政府采购政策：</w:t>
      </w:r>
    </w:p>
    <w:p w14:paraId="0C7CB850">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（1）《政府采购促进中小企业发展管理办法》（财库〔2020〕46号）。</w:t>
      </w:r>
    </w:p>
    <w:p w14:paraId="397D75BB">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（2）《关于进一步加大政府采购支持中小企业力度的通知》（财库〔2022〕19号）。</w:t>
      </w:r>
    </w:p>
    <w:p w14:paraId="4A15D672">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（3）《关于政府采购支持监狱企业发展有关问题的通知》（财库〔2014〕68号）。</w:t>
      </w:r>
    </w:p>
    <w:p w14:paraId="19E58806">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（4）《关于促进残疾人就业政府采购政策的通知》（财库〔2017〕141号）。</w:t>
      </w:r>
    </w:p>
    <w:p w14:paraId="16D3F675">
      <w:pPr>
        <w:tabs>
          <w:tab w:val="left" w:pos="1553"/>
        </w:tabs>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（5）本项目专门面向中小微企业采购。</w:t>
      </w:r>
    </w:p>
    <w:p w14:paraId="59A85AA9">
      <w:pPr>
        <w:tabs>
          <w:tab w:val="left" w:pos="1553"/>
        </w:tabs>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（6）中小企业划分标准所属行业：“建筑业”。</w:t>
      </w:r>
    </w:p>
    <w:p w14:paraId="36BB1319">
      <w:pPr>
        <w:spacing w:line="360" w:lineRule="exact"/>
        <w:ind w:firstLine="420" w:firstLineChars="200"/>
        <w:rPr>
          <w:rFonts w:ascii="宋体" w:hAnsi="宋体" w:eastAsia="宋体" w:cs="宋体"/>
          <w:bCs/>
          <w:color w:val="auto"/>
          <w:szCs w:val="21"/>
          <w:highlight w:val="none"/>
          <w:u w:val="none"/>
        </w:rPr>
      </w:pPr>
      <w:r>
        <w:rPr>
          <w:rFonts w:hint="eastAsia" w:ascii="宋体" w:hAnsi="宋体" w:eastAsia="宋体" w:cs="宋体"/>
          <w:bCs/>
          <w:color w:val="auto"/>
          <w:szCs w:val="21"/>
          <w:highlight w:val="none"/>
        </w:rPr>
        <w:t>3.信息公告发布媒体：中国政府采购网（</w:t>
      </w:r>
      <w:r>
        <w:rPr>
          <w:rFonts w:ascii="宋体" w:hAnsi="宋体" w:eastAsia="宋体" w:cs="宋体"/>
          <w:bCs/>
          <w:color w:val="auto"/>
          <w:szCs w:val="21"/>
          <w:highlight w:val="none"/>
        </w:rPr>
        <w:t>https://www.ccgp.gov.cn/</w:t>
      </w:r>
      <w:r>
        <w:rPr>
          <w:rFonts w:hint="eastAsia" w:ascii="宋体" w:hAnsi="宋体" w:eastAsia="宋体" w:cs="宋体"/>
          <w:bCs/>
          <w:color w:val="auto"/>
          <w:szCs w:val="21"/>
          <w:highlight w:val="none"/>
        </w:rPr>
        <w:t>）、广西壮族自治区政府采购</w:t>
      </w:r>
      <w:r>
        <w:rPr>
          <w:rFonts w:hint="eastAsia" w:ascii="宋体" w:hAnsi="宋体" w:eastAsia="宋体" w:cs="宋体"/>
          <w:bCs/>
          <w:color w:val="auto"/>
          <w:szCs w:val="21"/>
          <w:highlight w:val="none"/>
          <w:u w:val="none"/>
        </w:rPr>
        <w:t>网（</w:t>
      </w:r>
      <w:r>
        <w:rPr>
          <w:rFonts w:ascii="宋体" w:hAnsi="宋体" w:eastAsia="宋体" w:cs="宋体"/>
          <w:bCs/>
          <w:color w:val="auto"/>
          <w:szCs w:val="21"/>
          <w:highlight w:val="none"/>
          <w:u w:val="none"/>
        </w:rPr>
        <w:t>http://www.ccgp-guangxi.gov.cn/</w:t>
      </w:r>
      <w:r>
        <w:rPr>
          <w:rFonts w:hint="eastAsia" w:ascii="宋体" w:hAnsi="宋体" w:eastAsia="宋体" w:cs="宋体"/>
          <w:bCs/>
          <w:color w:val="auto"/>
          <w:szCs w:val="21"/>
          <w:highlight w:val="none"/>
          <w:u w:val="none"/>
        </w:rPr>
        <w:t>）、桂林市政府采购网（</w:t>
      </w:r>
      <w:r>
        <w:rPr>
          <w:color w:val="auto"/>
          <w:highlight w:val="none"/>
          <w:u w:val="none"/>
        </w:rPr>
        <w:fldChar w:fldCharType="begin"/>
      </w:r>
      <w:r>
        <w:rPr>
          <w:color w:val="auto"/>
          <w:highlight w:val="none"/>
          <w:u w:val="none"/>
        </w:rPr>
        <w:instrText xml:space="preserve"> HYPERLINK "http://zfcg.czj.guilin.gov.cn/" </w:instrText>
      </w:r>
      <w:r>
        <w:rPr>
          <w:color w:val="auto"/>
          <w:highlight w:val="none"/>
          <w:u w:val="none"/>
        </w:rPr>
        <w:fldChar w:fldCharType="separate"/>
      </w:r>
      <w:r>
        <w:rPr>
          <w:rStyle w:val="21"/>
          <w:rFonts w:ascii="宋体" w:hAnsi="宋体" w:eastAsia="宋体" w:cs="宋体"/>
          <w:bCs/>
          <w:color w:val="auto"/>
          <w:szCs w:val="21"/>
          <w:highlight w:val="none"/>
          <w:u w:val="none"/>
        </w:rPr>
        <w:t>http://zfcg.czj.guilin.gov.cn/</w:t>
      </w:r>
      <w:r>
        <w:rPr>
          <w:rStyle w:val="21"/>
          <w:rFonts w:ascii="宋体" w:hAnsi="宋体" w:eastAsia="宋体" w:cs="宋体"/>
          <w:bCs/>
          <w:color w:val="auto"/>
          <w:szCs w:val="21"/>
          <w:highlight w:val="none"/>
          <w:u w:val="none"/>
        </w:rPr>
        <w:fldChar w:fldCharType="end"/>
      </w:r>
      <w:r>
        <w:rPr>
          <w:rFonts w:hint="eastAsia" w:ascii="宋体" w:hAnsi="宋体" w:eastAsia="宋体" w:cs="宋体"/>
          <w:bCs/>
          <w:color w:val="auto"/>
          <w:szCs w:val="21"/>
          <w:highlight w:val="none"/>
          <w:u w:val="none"/>
        </w:rPr>
        <w:t>）。</w:t>
      </w:r>
    </w:p>
    <w:p w14:paraId="1B027637">
      <w:pPr>
        <w:spacing w:line="360" w:lineRule="exact"/>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bCs/>
          <w:color w:val="auto"/>
          <w:szCs w:val="21"/>
          <w:highlight w:val="none"/>
          <w:u w:val="none"/>
        </w:rPr>
        <w:t>4.政府采购监督管理部门：</w:t>
      </w:r>
      <w:r>
        <w:rPr>
          <w:rFonts w:hint="eastAsia" w:ascii="宋体" w:hAnsi="宋体" w:eastAsia="宋体" w:cs="宋体"/>
          <w:color w:val="auto"/>
          <w:szCs w:val="21"/>
          <w:highlight w:val="none"/>
          <w:u w:val="none"/>
          <w:lang w:eastAsia="zh-CN"/>
        </w:rPr>
        <w:t>荔浦市政府采购管理办公室；联系电话：0773-7233366</w:t>
      </w:r>
    </w:p>
    <w:p w14:paraId="5243BC4D">
      <w:pPr>
        <w:spacing w:line="360" w:lineRule="exact"/>
        <w:ind w:firstLine="420" w:firstLineChars="200"/>
        <w:rPr>
          <w:rFonts w:ascii="宋体" w:hAnsi="宋体" w:eastAsia="宋体" w:cs="宋体"/>
          <w:bCs/>
          <w:color w:val="auto"/>
          <w:szCs w:val="21"/>
          <w:highlight w:val="none"/>
          <w:u w:val="none"/>
        </w:rPr>
      </w:pPr>
      <w:r>
        <w:rPr>
          <w:rFonts w:ascii="宋体" w:hAnsi="宋体" w:eastAsia="宋体" w:cs="宋体"/>
          <w:bCs/>
          <w:color w:val="auto"/>
          <w:szCs w:val="21"/>
          <w:highlight w:val="none"/>
          <w:u w:val="none"/>
        </w:rPr>
        <w:t>5</w:t>
      </w:r>
      <w:r>
        <w:rPr>
          <w:rFonts w:hint="eastAsia" w:ascii="宋体" w:hAnsi="宋体" w:eastAsia="宋体" w:cs="宋体"/>
          <w:bCs/>
          <w:color w:val="auto"/>
          <w:szCs w:val="21"/>
          <w:highlight w:val="none"/>
          <w:u w:val="none"/>
        </w:rPr>
        <w:t>.在线投标响应（电子投标）说明</w:t>
      </w:r>
    </w:p>
    <w:p w14:paraId="5E860055">
      <w:pPr>
        <w:adjustRightInd w:val="0"/>
        <w:spacing w:line="360" w:lineRule="exact"/>
        <w:ind w:firstLine="420" w:firstLineChars="200"/>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1）本项目通过广西政府采购云平台实行在线投标响应（电子投标），供应商需要先安装广西政府采购云平台新版客户端，并按照本竞争性磋商文件和广西政府采购云平台的要求，通过广西政府采购云平台新版客户端编制并加密电子响应文件。供应商未按规定编制并加密的电子响应文件，广西政府采购云平台将予以拒收。广西政府采购云平台新版客户端（新版客户端请自行前往广西政府采购云平台或广西政府采购网依次进入“办事服务—下载专区”）下载并安装；电子投标具体操作流程参考《政府采购项目电子交易管理操作指南-供应商》。</w:t>
      </w:r>
    </w:p>
    <w:p w14:paraId="73B65A92">
      <w:pPr>
        <w:adjustRightInd w:val="0"/>
        <w:spacing w:line="360" w:lineRule="exact"/>
        <w:ind w:firstLine="420" w:firstLineChars="200"/>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申领流程请自行前往广西政府采购云平台网站进行查阅；如在操作过程中遇到问题或者需要技术支持，请致电广西政府采购云平台客服热线：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33F043F0">
      <w:pPr>
        <w:adjustRightInd w:val="0"/>
        <w:spacing w:line="360" w:lineRule="exact"/>
        <w:ind w:firstLine="420" w:firstLineChars="200"/>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3）供应商应当在响应文件递交截止时间前，将生成的“电子响应文件”上传递交至广西政府采购云平台。响应文件递交截止时间前可以撤回电子响应文件。补充或者修改电子响应文件的，应当先行撤回原文件，补充、修改后重新传输递交，响应文件递交截止时间前未完成传输的，视为撤回电子响应文件。</w:t>
      </w:r>
    </w:p>
    <w:p w14:paraId="44E2B487">
      <w:pPr>
        <w:adjustRightInd w:val="0"/>
        <w:spacing w:line="360" w:lineRule="exact"/>
        <w:ind w:firstLine="420" w:firstLineChars="200"/>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（4）本项目需要供应商代表在截标当天截标后，按磋商小组要求及时登陆广西政府采购云平台等候在线磋商及提交最后报价。</w:t>
      </w:r>
    </w:p>
    <w:p w14:paraId="448845C0">
      <w:pPr>
        <w:adjustRightInd w:val="0"/>
        <w:spacing w:line="360" w:lineRule="exact"/>
        <w:ind w:firstLine="420" w:firstLineChars="200"/>
        <w:rPr>
          <w:rFonts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5）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bookmarkEnd w:id="36"/>
    <w:bookmarkEnd w:id="37"/>
    <w:bookmarkEnd w:id="38"/>
    <w:bookmarkEnd w:id="39"/>
    <w:p w14:paraId="5A9A1430">
      <w:pPr>
        <w:spacing w:line="360" w:lineRule="exact"/>
        <w:outlineLvl w:val="1"/>
        <w:rPr>
          <w:rFonts w:ascii="宋体" w:hAnsi="宋体" w:eastAsia="宋体" w:cs="宋体"/>
          <w:b/>
          <w:bCs/>
          <w:color w:val="auto"/>
          <w:szCs w:val="21"/>
          <w:highlight w:val="none"/>
        </w:rPr>
      </w:pPr>
      <w:bookmarkStart w:id="47" w:name="_Toc31141"/>
      <w:r>
        <w:rPr>
          <w:rFonts w:hint="eastAsia" w:ascii="宋体" w:hAnsi="宋体" w:eastAsia="宋体" w:cs="宋体"/>
          <w:b/>
          <w:bCs/>
          <w:color w:val="auto"/>
          <w:szCs w:val="21"/>
          <w:highlight w:val="none"/>
        </w:rPr>
        <w:t>八、凡对本次招标提出询问，请按以下方式联系</w:t>
      </w:r>
      <w:bookmarkEnd w:id="47"/>
    </w:p>
    <w:p w14:paraId="0B656309">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1.采购人信息</w:t>
      </w:r>
    </w:p>
    <w:p w14:paraId="2449F883">
      <w:pPr>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eastAsia="宋体" w:cs="宋体"/>
          <w:bCs/>
          <w:color w:val="auto"/>
          <w:szCs w:val="21"/>
          <w:highlight w:val="none"/>
          <w:lang w:eastAsia="zh-CN"/>
        </w:rPr>
        <w:t>荔浦市财政局</w:t>
      </w:r>
    </w:p>
    <w:p w14:paraId="77CB2A19">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地    址：荔浦市荔城镇滨江南路9号</w:t>
      </w:r>
    </w:p>
    <w:p w14:paraId="31C8DAD5">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项目联系人：</w:t>
      </w:r>
      <w:r>
        <w:rPr>
          <w:rFonts w:hint="eastAsia" w:ascii="宋体" w:hAnsi="宋体" w:eastAsia="宋体" w:cs="宋体"/>
          <w:bCs/>
          <w:color w:val="auto"/>
          <w:szCs w:val="21"/>
          <w:highlight w:val="none"/>
          <w:lang w:val="en-US" w:eastAsia="zh-CN"/>
        </w:rPr>
        <w:t>李林</w:t>
      </w:r>
      <w:r>
        <w:rPr>
          <w:rFonts w:hint="eastAsia" w:ascii="宋体" w:hAnsi="宋体" w:eastAsia="宋体" w:cs="宋体"/>
          <w:bCs/>
          <w:color w:val="auto"/>
          <w:szCs w:val="21"/>
          <w:highlight w:val="none"/>
        </w:rPr>
        <w:t xml:space="preserve">  </w:t>
      </w:r>
    </w:p>
    <w:p w14:paraId="39CDCEF9">
      <w:pPr>
        <w:spacing w:line="36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项目联系方式：0773-</w:t>
      </w:r>
      <w:r>
        <w:rPr>
          <w:rFonts w:hint="eastAsia" w:ascii="宋体" w:hAnsi="宋体" w:eastAsia="宋体" w:cs="宋体"/>
          <w:bCs/>
          <w:color w:val="auto"/>
          <w:szCs w:val="21"/>
          <w:highlight w:val="none"/>
          <w:lang w:val="en-US" w:eastAsia="zh-CN"/>
        </w:rPr>
        <w:t>7214686</w:t>
      </w:r>
    </w:p>
    <w:p w14:paraId="0D9BEC1F">
      <w:pPr>
        <w:spacing w:line="360" w:lineRule="exact"/>
        <w:ind w:firstLine="420" w:firstLineChars="200"/>
        <w:rPr>
          <w:rFonts w:ascii="宋体" w:hAnsi="宋体" w:eastAsia="宋体" w:cs="宋体"/>
          <w:bCs/>
          <w:color w:val="auto"/>
          <w:szCs w:val="21"/>
          <w:highlight w:val="none"/>
        </w:rPr>
      </w:pPr>
      <w:bookmarkStart w:id="48" w:name="_Toc28359086"/>
      <w:bookmarkStart w:id="49" w:name="_Toc28359009"/>
      <w:r>
        <w:rPr>
          <w:rFonts w:hint="eastAsia" w:ascii="宋体" w:hAnsi="宋体" w:eastAsia="宋体" w:cs="宋体"/>
          <w:bCs/>
          <w:color w:val="auto"/>
          <w:szCs w:val="21"/>
          <w:highlight w:val="none"/>
        </w:rPr>
        <w:t>2.采购代理机构信息</w:t>
      </w:r>
      <w:bookmarkEnd w:id="48"/>
      <w:bookmarkEnd w:id="49"/>
    </w:p>
    <w:p w14:paraId="066E9981">
      <w:pPr>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eastAsia="宋体" w:cs="宋体"/>
          <w:bCs/>
          <w:color w:val="auto"/>
          <w:szCs w:val="21"/>
          <w:highlight w:val="none"/>
          <w:lang w:eastAsia="zh-CN"/>
        </w:rPr>
        <w:t>桂林聚格项目管理有限公司</w:t>
      </w:r>
    </w:p>
    <w:p w14:paraId="799AA6D2">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lang w:eastAsia="zh-CN"/>
        </w:rPr>
        <w:t>七星区朝阳乡合心村委半塘尾村160号天翔商务大厦4楼</w:t>
      </w:r>
    </w:p>
    <w:p w14:paraId="02C187BC">
      <w:pPr>
        <w:spacing w:line="36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项目联系人：李秋云、何维</w:t>
      </w:r>
      <w:r>
        <w:rPr>
          <w:rFonts w:hint="eastAsia" w:ascii="宋体" w:hAnsi="宋体" w:eastAsia="宋体" w:cs="宋体"/>
          <w:bCs/>
          <w:color w:val="auto"/>
          <w:szCs w:val="21"/>
          <w:highlight w:val="none"/>
          <w:lang w:eastAsia="zh-CN"/>
        </w:rPr>
        <w:t>、廖来东、全宝忠、盘晶晶、陆俊利</w:t>
      </w:r>
    </w:p>
    <w:p w14:paraId="32AB4E97">
      <w:pPr>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项目联系方式：</w:t>
      </w:r>
      <w:r>
        <w:rPr>
          <w:rFonts w:hint="eastAsia" w:ascii="宋体" w:hAnsi="宋体" w:eastAsia="宋体" w:cs="宋体"/>
          <w:bCs/>
          <w:color w:val="auto"/>
          <w:szCs w:val="21"/>
          <w:highlight w:val="none"/>
          <w:lang w:eastAsia="zh-CN"/>
        </w:rPr>
        <w:t>0773-3638406</w:t>
      </w:r>
    </w:p>
    <w:p w14:paraId="3D703251">
      <w:pPr>
        <w:spacing w:line="360" w:lineRule="exact"/>
        <w:rPr>
          <w:rFonts w:ascii="宋体" w:hAnsi="宋体" w:eastAsia="宋体" w:cs="宋体"/>
          <w:color w:val="auto"/>
          <w:szCs w:val="21"/>
          <w:highlight w:val="none"/>
        </w:rPr>
      </w:pPr>
    </w:p>
    <w:p w14:paraId="304B08D3">
      <w:pPr>
        <w:spacing w:line="360" w:lineRule="exact"/>
        <w:rPr>
          <w:rFonts w:ascii="宋体" w:hAnsi="宋体" w:eastAsia="宋体" w:cs="宋体"/>
          <w:b/>
          <w:bCs/>
          <w:color w:val="auto"/>
          <w:szCs w:val="21"/>
          <w:highlight w:val="none"/>
        </w:rPr>
      </w:pPr>
    </w:p>
    <w:p w14:paraId="5FC79C56">
      <w:pPr>
        <w:spacing w:line="360" w:lineRule="exact"/>
        <w:jc w:val="right"/>
        <w:rPr>
          <w:rFonts w:ascii="宋体" w:hAnsi="宋体" w:eastAsia="宋体" w:cs="宋体"/>
          <w:color w:val="auto"/>
          <w:szCs w:val="21"/>
          <w:highlight w:val="none"/>
        </w:rPr>
      </w:pPr>
      <w:r>
        <w:rPr>
          <w:rFonts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日</w:t>
      </w:r>
    </w:p>
    <w:p w14:paraId="34920478">
      <w:pPr>
        <w:rPr>
          <w:rFonts w:ascii="宋体" w:hAnsi="宋体" w:eastAsia="宋体" w:cs="宋体"/>
          <w:color w:val="auto"/>
          <w:szCs w:val="24"/>
          <w:highlight w:val="none"/>
        </w:rPr>
      </w:pPr>
    </w:p>
    <w:p w14:paraId="4C95788D">
      <w:pPr>
        <w:widowControl/>
        <w:overflowPunct w:val="0"/>
        <w:autoSpaceDE w:val="0"/>
        <w:autoSpaceDN w:val="0"/>
        <w:adjustRightInd w:val="0"/>
        <w:snapToGrid w:val="0"/>
        <w:spacing w:line="360" w:lineRule="auto"/>
        <w:ind w:right="-510"/>
        <w:textAlignment w:val="baseline"/>
        <w:rPr>
          <w:rFonts w:ascii="Times New Roman" w:hAnsi="Times New Roman" w:eastAsia="宋体" w:cs="Times New Roman"/>
          <w:color w:val="auto"/>
          <w:kern w:val="0"/>
          <w:sz w:val="24"/>
          <w:szCs w:val="20"/>
          <w:highlight w:val="none"/>
        </w:rPr>
      </w:pPr>
    </w:p>
    <w:p w14:paraId="57D05A83">
      <w:pPr>
        <w:pStyle w:val="12"/>
        <w:spacing w:after="60"/>
        <w:ind w:firstLine="0"/>
        <w:rPr>
          <w:rFonts w:ascii="华文中宋" w:hAnsi="华文中宋" w:eastAsia="华文中宋" w:cs="华文中宋"/>
          <w:b w:val="0"/>
          <w:bCs w:val="0"/>
          <w:color w:val="auto"/>
          <w:highlight w:val="none"/>
        </w:rPr>
      </w:pPr>
      <w:bookmarkStart w:id="50" w:name="_Toc26924"/>
      <w:bookmarkStart w:id="51" w:name="_Toc31707"/>
      <w:r>
        <w:rPr>
          <w:rFonts w:hint="eastAsia" w:ascii="华文中宋" w:hAnsi="华文中宋" w:eastAsia="华文中宋" w:cs="华文中宋"/>
          <w:color w:val="auto"/>
          <w:highlight w:val="none"/>
        </w:rPr>
        <w:br w:type="page"/>
      </w:r>
      <w:bookmarkStart w:id="52" w:name="_Toc22440"/>
      <w:r>
        <w:rPr>
          <w:rFonts w:hint="eastAsia"/>
          <w:color w:val="auto"/>
          <w:kern w:val="0"/>
          <w:highlight w:val="none"/>
          <w:lang w:val="zh-CN"/>
        </w:rPr>
        <w:t>第二章</w:t>
      </w:r>
      <w:r>
        <w:rPr>
          <w:color w:val="auto"/>
          <w:kern w:val="0"/>
          <w:highlight w:val="none"/>
          <w:lang w:val="zh-CN"/>
        </w:rPr>
        <w:t xml:space="preserve">  </w:t>
      </w:r>
      <w:r>
        <w:rPr>
          <w:rFonts w:hint="eastAsia"/>
          <w:color w:val="auto"/>
          <w:kern w:val="0"/>
          <w:highlight w:val="none"/>
          <w:lang w:val="zh-CN"/>
        </w:rPr>
        <w:t>供应商须知</w:t>
      </w:r>
      <w:bookmarkEnd w:id="50"/>
      <w:bookmarkEnd w:id="51"/>
      <w:bookmarkEnd w:id="52"/>
    </w:p>
    <w:p w14:paraId="764BA598">
      <w:pPr>
        <w:tabs>
          <w:tab w:val="left" w:pos="1065"/>
          <w:tab w:val="center" w:pos="4411"/>
        </w:tabs>
        <w:spacing w:line="400" w:lineRule="atLeast"/>
        <w:jc w:val="center"/>
        <w:rPr>
          <w:rFonts w:ascii="宋体" w:hAnsi="宋体" w:eastAsia="宋体" w:cs="Times New Roman"/>
          <w:b/>
          <w:color w:val="auto"/>
          <w:sz w:val="24"/>
          <w:szCs w:val="24"/>
          <w:highlight w:val="none"/>
        </w:rPr>
      </w:pPr>
      <w:bookmarkStart w:id="53" w:name="_Toc1585"/>
      <w:bookmarkStart w:id="54" w:name="_Toc13547"/>
      <w:bookmarkStart w:id="55" w:name="_Toc13800"/>
      <w:bookmarkStart w:id="56" w:name="_Toc10555"/>
      <w:bookmarkStart w:id="57" w:name="_Toc9508"/>
      <w:bookmarkStart w:id="58" w:name="_Toc25063"/>
      <w:r>
        <w:rPr>
          <w:rFonts w:hint="eastAsia" w:ascii="宋体" w:hAnsi="宋体" w:eastAsia="宋体" w:cs="Times New Roman"/>
          <w:b/>
          <w:color w:val="auto"/>
          <w:sz w:val="24"/>
          <w:szCs w:val="24"/>
          <w:highlight w:val="none"/>
        </w:rPr>
        <w:t>供 应 商 须 知 前 附 表</w:t>
      </w:r>
      <w:bookmarkEnd w:id="53"/>
      <w:bookmarkEnd w:id="54"/>
      <w:bookmarkEnd w:id="55"/>
      <w:bookmarkEnd w:id="56"/>
      <w:bookmarkEnd w:id="57"/>
      <w:bookmarkEnd w:id="58"/>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42"/>
        <w:gridCol w:w="1775"/>
        <w:gridCol w:w="5832"/>
      </w:tblGrid>
      <w:tr w14:paraId="25A9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802" w:type="dxa"/>
            <w:shd w:val="clear" w:color="auto" w:fill="8DB3E2"/>
            <w:vAlign w:val="center"/>
          </w:tcPr>
          <w:p w14:paraId="62FEA5E5">
            <w:pPr>
              <w:spacing w:line="34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942" w:type="dxa"/>
            <w:shd w:val="clear" w:color="auto" w:fill="8DB3E2"/>
            <w:vAlign w:val="center"/>
          </w:tcPr>
          <w:p w14:paraId="7F80FC64">
            <w:pPr>
              <w:spacing w:line="34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775" w:type="dxa"/>
            <w:shd w:val="clear" w:color="auto" w:fill="8DB3E2"/>
            <w:vAlign w:val="center"/>
          </w:tcPr>
          <w:p w14:paraId="474C780C">
            <w:pPr>
              <w:spacing w:line="34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5832" w:type="dxa"/>
            <w:shd w:val="clear" w:color="auto" w:fill="8DB3E2"/>
            <w:vAlign w:val="center"/>
          </w:tcPr>
          <w:p w14:paraId="61153BA8">
            <w:pPr>
              <w:spacing w:line="34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内容、要求</w:t>
            </w:r>
          </w:p>
        </w:tc>
      </w:tr>
      <w:tr w14:paraId="64B7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02" w:type="dxa"/>
            <w:vAlign w:val="center"/>
          </w:tcPr>
          <w:p w14:paraId="1435E331">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vAlign w:val="center"/>
          </w:tcPr>
          <w:p w14:paraId="1437712A">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75" w:type="dxa"/>
            <w:vAlign w:val="center"/>
          </w:tcPr>
          <w:p w14:paraId="3E0FD8D8">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5832" w:type="dxa"/>
            <w:vAlign w:val="center"/>
          </w:tcPr>
          <w:p w14:paraId="5C12D30F">
            <w:pPr>
              <w:spacing w:line="3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荔浦市荔城镇沙街社区洋洞河堤顶路健身步道建设项目</w:t>
            </w:r>
          </w:p>
          <w:p w14:paraId="6210E98A">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GLZC2026-C2-310024-GLJG</w:t>
            </w:r>
            <w:r>
              <w:rPr>
                <w:rFonts w:hint="eastAsia" w:ascii="宋体" w:hAnsi="宋体" w:eastAsia="宋体" w:cs="宋体"/>
                <w:color w:val="auto"/>
                <w:szCs w:val="21"/>
                <w:highlight w:val="none"/>
              </w:rPr>
              <w:t xml:space="preserve"> </w:t>
            </w:r>
          </w:p>
        </w:tc>
      </w:tr>
      <w:tr w14:paraId="2E68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802" w:type="dxa"/>
            <w:vAlign w:val="center"/>
          </w:tcPr>
          <w:p w14:paraId="38FDF47C">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vAlign w:val="center"/>
          </w:tcPr>
          <w:p w14:paraId="69F73B6E">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75" w:type="dxa"/>
            <w:vAlign w:val="center"/>
          </w:tcPr>
          <w:p w14:paraId="6AFABE6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5832" w:type="dxa"/>
            <w:vAlign w:val="center"/>
          </w:tcPr>
          <w:p w14:paraId="31BF696E">
            <w:pPr>
              <w:spacing w:line="340" w:lineRule="exact"/>
              <w:rPr>
                <w:rFonts w:ascii="宋体" w:hAnsi="宋体" w:eastAsia="宋体" w:cs="宋体"/>
                <w:color w:val="auto"/>
                <w:szCs w:val="21"/>
                <w:highlight w:val="none"/>
              </w:rPr>
            </w:pPr>
            <w:r>
              <w:rPr>
                <w:rFonts w:ascii="宋体" w:hAnsi="宋体" w:eastAsia="宋体" w:cs="宋体"/>
                <w:color w:val="auto"/>
                <w:szCs w:val="21"/>
                <w:highlight w:val="none"/>
              </w:rPr>
              <w:t>3.1</w:t>
            </w:r>
            <w:r>
              <w:rPr>
                <w:rFonts w:hint="eastAsia" w:ascii="宋体" w:hAnsi="宋体" w:eastAsia="宋体" w:cs="宋体"/>
                <w:color w:val="auto"/>
                <w:szCs w:val="21"/>
                <w:highlight w:val="none"/>
              </w:rPr>
              <w:t>满足《中华人民共和国政府采购法》第二十二条规定；</w:t>
            </w:r>
          </w:p>
          <w:p w14:paraId="7CE85F04">
            <w:pPr>
              <w:spacing w:line="340" w:lineRule="exact"/>
              <w:rPr>
                <w:rFonts w:ascii="宋体" w:hAnsi="宋体" w:eastAsia="宋体" w:cs="宋体"/>
                <w:color w:val="auto"/>
                <w:szCs w:val="21"/>
                <w:highlight w:val="none"/>
              </w:rPr>
            </w:pPr>
            <w:r>
              <w:rPr>
                <w:rFonts w:ascii="宋体" w:hAnsi="宋体" w:eastAsia="宋体" w:cs="宋体"/>
                <w:color w:val="auto"/>
                <w:szCs w:val="21"/>
                <w:highlight w:val="none"/>
              </w:rPr>
              <w:t>3.2</w:t>
            </w:r>
            <w:r>
              <w:rPr>
                <w:rFonts w:hint="eastAsia" w:ascii="宋体" w:hAnsi="宋体" w:eastAsia="宋体" w:cs="宋体"/>
                <w:color w:val="auto"/>
                <w:szCs w:val="21"/>
                <w:highlight w:val="none"/>
              </w:rPr>
              <w:t>落实政府采购政策需满足的资格要求：供应商应为中小微企业，监狱企业、残疾人福利性单位视同小型、微型企业。</w:t>
            </w:r>
          </w:p>
          <w:p w14:paraId="5C701350">
            <w:pPr>
              <w:spacing w:line="340" w:lineRule="exact"/>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3.3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highlight w:val="none"/>
                <w:lang w:eastAsia="zh-CN"/>
              </w:rPr>
              <w:t>具有市政公用工程施工总承包三级以上(含三级)资质，并具有省级或以上建设行政主管部门颁发的建筑施工企业安全生产许可证，并在人员、设备、资金等方面具有相应的施工能力。其中，供应商拟派项目经理须具备市政公用工程工程专业二级以上(含二级)注册建造师执业资格， 具备有效的安全生产考核合格证书(B 类)。</w:t>
            </w:r>
          </w:p>
        </w:tc>
      </w:tr>
      <w:tr w14:paraId="01BB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02" w:type="dxa"/>
            <w:vAlign w:val="center"/>
          </w:tcPr>
          <w:p w14:paraId="68021DD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vAlign w:val="center"/>
          </w:tcPr>
          <w:p w14:paraId="642581D0">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75" w:type="dxa"/>
            <w:vAlign w:val="center"/>
          </w:tcPr>
          <w:p w14:paraId="3F89DB1F">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磋商费用</w:t>
            </w:r>
          </w:p>
        </w:tc>
        <w:tc>
          <w:tcPr>
            <w:tcW w:w="5832" w:type="dxa"/>
            <w:vAlign w:val="center"/>
          </w:tcPr>
          <w:p w14:paraId="0F2B9F36">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不论磋商结果如何，供应商均应自行承担所有与磋商有关的全部费用。 </w:t>
            </w:r>
          </w:p>
        </w:tc>
      </w:tr>
      <w:tr w14:paraId="0FEB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02" w:type="dxa"/>
            <w:vAlign w:val="center"/>
          </w:tcPr>
          <w:p w14:paraId="683F84F2">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42" w:type="dxa"/>
            <w:vAlign w:val="center"/>
          </w:tcPr>
          <w:p w14:paraId="48B7876B">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13.1</w:t>
            </w:r>
          </w:p>
        </w:tc>
        <w:tc>
          <w:tcPr>
            <w:tcW w:w="1775" w:type="dxa"/>
            <w:vAlign w:val="center"/>
          </w:tcPr>
          <w:p w14:paraId="5651EBB5">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磋商报价及采购预算金额</w:t>
            </w:r>
          </w:p>
        </w:tc>
        <w:tc>
          <w:tcPr>
            <w:tcW w:w="5832" w:type="dxa"/>
            <w:vAlign w:val="center"/>
          </w:tcPr>
          <w:p w14:paraId="6B558E0F">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13.1磋商报价应按磋商文件中相关附表格式填写。</w:t>
            </w:r>
          </w:p>
          <w:p w14:paraId="414AC729">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本项目预算总造价（人民币）：</w:t>
            </w:r>
            <w:r>
              <w:rPr>
                <w:rFonts w:hint="eastAsia" w:ascii="宋体" w:hAnsi="宋体" w:eastAsia="宋体" w:cs="宋体"/>
                <w:color w:val="auto"/>
                <w:szCs w:val="21"/>
                <w:highlight w:val="none"/>
                <w:lang w:eastAsia="zh-CN"/>
              </w:rPr>
              <w:t>1846764.24</w:t>
            </w:r>
            <w:r>
              <w:rPr>
                <w:rFonts w:hint="eastAsia" w:ascii="宋体" w:hAnsi="宋体" w:eastAsia="宋体" w:cs="宋体"/>
                <w:color w:val="auto"/>
                <w:szCs w:val="21"/>
                <w:highlight w:val="none"/>
              </w:rPr>
              <w:t>元；</w:t>
            </w:r>
          </w:p>
          <w:p w14:paraId="728125B2">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本项目审定造价为</w:t>
            </w:r>
            <w:r>
              <w:rPr>
                <w:rFonts w:hint="eastAsia" w:ascii="宋体" w:hAnsi="宋体" w:eastAsia="宋体" w:cs="宋体"/>
                <w:color w:val="auto"/>
                <w:szCs w:val="21"/>
                <w:highlight w:val="none"/>
                <w:lang w:eastAsia="zh-CN"/>
              </w:rPr>
              <w:t>1846764.24</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磋商报价超过招标控制价</w:t>
            </w:r>
            <w:r>
              <w:rPr>
                <w:rFonts w:hint="eastAsia" w:ascii="宋体" w:hAnsi="宋体" w:eastAsia="宋体" w:cs="宋体"/>
                <w:color w:val="auto"/>
                <w:szCs w:val="21"/>
                <w:highlight w:val="none"/>
                <w:lang w:eastAsia="zh-CN"/>
              </w:rPr>
              <w:t>1846764.24</w:t>
            </w:r>
            <w:r>
              <w:rPr>
                <w:rFonts w:hint="eastAsia" w:ascii="宋体" w:hAnsi="宋体" w:eastAsia="宋体" w:cs="宋体"/>
                <w:color w:val="auto"/>
                <w:szCs w:val="21"/>
                <w:highlight w:val="none"/>
              </w:rPr>
              <w:t>元的，响应文件作无效处理。</w:t>
            </w:r>
          </w:p>
          <w:p w14:paraId="1B4FCB21">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13.2供应商必须就“工程量清单”中所有内容作完整唯一报价，响应文件只允许有一个报价方案，有选择的或有条件的报价</w:t>
            </w:r>
            <w:bookmarkStart w:id="59" w:name="OLE_LINK26"/>
            <w:r>
              <w:rPr>
                <w:rFonts w:hint="eastAsia" w:ascii="宋体" w:hAnsi="宋体" w:eastAsia="宋体" w:cs="宋体"/>
                <w:color w:val="auto"/>
                <w:szCs w:val="21"/>
                <w:highlight w:val="none"/>
              </w:rPr>
              <w:t>，响应文件作无效处理。</w:t>
            </w:r>
            <w:bookmarkEnd w:id="59"/>
          </w:p>
          <w:p w14:paraId="3F337ED9">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65431C9F">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5BE8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4F42E6D0">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42" w:type="dxa"/>
            <w:vAlign w:val="center"/>
          </w:tcPr>
          <w:p w14:paraId="6884860A">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14.1</w:t>
            </w:r>
          </w:p>
        </w:tc>
        <w:tc>
          <w:tcPr>
            <w:tcW w:w="1775" w:type="dxa"/>
            <w:vAlign w:val="center"/>
          </w:tcPr>
          <w:p w14:paraId="6DD738F7">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5832" w:type="dxa"/>
          </w:tcPr>
          <w:p w14:paraId="6600156D">
            <w:pPr>
              <w:tabs>
                <w:tab w:val="left" w:pos="1305"/>
              </w:tabs>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654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77118894">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42" w:type="dxa"/>
            <w:vAlign w:val="center"/>
          </w:tcPr>
          <w:p w14:paraId="0ADB68A9">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1775" w:type="dxa"/>
            <w:vAlign w:val="center"/>
          </w:tcPr>
          <w:p w14:paraId="1A0DBA80">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磋商保证金</w:t>
            </w:r>
          </w:p>
        </w:tc>
        <w:tc>
          <w:tcPr>
            <w:tcW w:w="5832" w:type="dxa"/>
          </w:tcPr>
          <w:p w14:paraId="5DABAA00">
            <w:pPr>
              <w:tabs>
                <w:tab w:val="left" w:pos="1305"/>
              </w:tabs>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本项目无须缴纳磋商保证金。</w:t>
            </w:r>
          </w:p>
        </w:tc>
      </w:tr>
      <w:tr w14:paraId="7D05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02" w:type="dxa"/>
            <w:vAlign w:val="center"/>
          </w:tcPr>
          <w:p w14:paraId="09A9C9F1">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42" w:type="dxa"/>
            <w:vAlign w:val="center"/>
          </w:tcPr>
          <w:p w14:paraId="0D68187D">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75" w:type="dxa"/>
            <w:vAlign w:val="center"/>
          </w:tcPr>
          <w:p w14:paraId="3D28B430">
            <w:pPr>
              <w:spacing w:line="340" w:lineRule="exact"/>
              <w:jc w:val="center"/>
              <w:rPr>
                <w:rFonts w:ascii="宋体" w:hAnsi="宋体" w:eastAsia="宋体" w:cs="宋体"/>
                <w:color w:val="auto"/>
                <w:szCs w:val="21"/>
                <w:highlight w:val="none"/>
              </w:rPr>
            </w:pPr>
            <w:bookmarkStart w:id="60" w:name="_Toc12573"/>
            <w:bookmarkStart w:id="61" w:name="_Toc19911"/>
            <w:bookmarkStart w:id="62" w:name="_Toc27452"/>
            <w:bookmarkStart w:id="63" w:name="_Toc202"/>
            <w:bookmarkStart w:id="64" w:name="_Toc2356"/>
            <w:r>
              <w:rPr>
                <w:rFonts w:hint="eastAsia" w:ascii="宋体" w:hAnsi="宋体" w:eastAsia="宋体" w:cs="宋体"/>
                <w:color w:val="auto"/>
                <w:szCs w:val="21"/>
                <w:highlight w:val="none"/>
              </w:rPr>
              <w:t>响应文件的制作</w:t>
            </w:r>
            <w:bookmarkEnd w:id="60"/>
            <w:bookmarkEnd w:id="61"/>
            <w:bookmarkEnd w:id="62"/>
            <w:bookmarkEnd w:id="63"/>
            <w:bookmarkEnd w:id="64"/>
          </w:p>
        </w:tc>
        <w:tc>
          <w:tcPr>
            <w:tcW w:w="5832" w:type="dxa"/>
            <w:vAlign w:val="center"/>
          </w:tcPr>
          <w:p w14:paraId="1080FF05">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16.1电子响应文件中须加盖供应商公章部分均采用CA签章，并根据“政府采购项目电子交易管理操作指南-供应商” 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16EF87A6">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78A2502C">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16.3 响应文件不得涂改，若有修改错漏处，须法定代表人（负责人）或授权委托人签字（或个人CA签章）。响应文件因字迹潦草或表达不清所引起的后果由供应商负责。</w:t>
            </w:r>
          </w:p>
          <w:p w14:paraId="2912E37B">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16.4磋商前准备 </w:t>
            </w:r>
          </w:p>
          <w:p w14:paraId="2BC2BB60">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16.4.1本项目实行在线磋商，采用电子响应文件。若供应商参与磋商，自行承担磋商一切费用。 </w:t>
            </w:r>
          </w:p>
          <w:p w14:paraId="71AEA905">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0CAF3645">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16.4.3供应商将广西政府采购云平台新版客户端下载、安装完成后，可通过账号密码或CA登录客户端进行响应文件制作。新版客户端请自行前往广西政府采购云平台或广西政府采购网依次进入“办事服务—下载专区”下载专区查看，如有问题可拨打政采云客户服务热线95763进行咨询。</w:t>
            </w:r>
          </w:p>
        </w:tc>
      </w:tr>
      <w:tr w14:paraId="28BF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02" w:type="dxa"/>
            <w:vAlign w:val="center"/>
          </w:tcPr>
          <w:p w14:paraId="64FBC8A9">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42" w:type="dxa"/>
            <w:vAlign w:val="center"/>
          </w:tcPr>
          <w:p w14:paraId="157F0B5D">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75" w:type="dxa"/>
            <w:vAlign w:val="center"/>
          </w:tcPr>
          <w:p w14:paraId="072E6C29">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5832" w:type="dxa"/>
            <w:vAlign w:val="center"/>
          </w:tcPr>
          <w:p w14:paraId="300A862F">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供应商应于</w:t>
            </w:r>
            <w:r>
              <w:rPr>
                <w:rFonts w:hint="eastAsia" w:ascii="宋体" w:hAnsi="宋体" w:eastAsia="宋体" w:cs="宋体"/>
                <w:color w:val="auto"/>
                <w:szCs w:val="21"/>
                <w:highlight w:val="none"/>
                <w:u w:val="single"/>
                <w:lang w:eastAsia="zh-CN"/>
              </w:rPr>
              <w:t>2026年</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lang w:eastAsia="zh-CN"/>
              </w:rPr>
              <w:t>月</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lang w:eastAsia="zh-CN"/>
              </w:rPr>
              <w:t>日9时00分</w:t>
            </w:r>
            <w:r>
              <w:rPr>
                <w:rFonts w:hint="eastAsia" w:ascii="宋体" w:hAnsi="宋体" w:eastAsia="宋体" w:cs="宋体"/>
                <w:color w:val="auto"/>
                <w:szCs w:val="21"/>
                <w:highlight w:val="none"/>
                <w:u w:val="single"/>
              </w:rPr>
              <w:t>（北京时间）</w:t>
            </w:r>
            <w:r>
              <w:rPr>
                <w:rFonts w:hint="eastAsia" w:ascii="宋体" w:hAnsi="宋体" w:eastAsia="宋体" w:cs="宋体"/>
                <w:color w:val="auto"/>
                <w:szCs w:val="21"/>
                <w:highlight w:val="none"/>
              </w:rPr>
              <w:t>之前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式：95763。</w:t>
            </w:r>
          </w:p>
        </w:tc>
      </w:tr>
      <w:tr w14:paraId="000F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02" w:type="dxa"/>
            <w:vAlign w:val="center"/>
          </w:tcPr>
          <w:p w14:paraId="1EC3C99D">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9</w:t>
            </w:r>
          </w:p>
        </w:tc>
        <w:tc>
          <w:tcPr>
            <w:tcW w:w="942" w:type="dxa"/>
            <w:vAlign w:val="center"/>
          </w:tcPr>
          <w:p w14:paraId="4F2DF864">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18.2</w:t>
            </w:r>
          </w:p>
        </w:tc>
        <w:tc>
          <w:tcPr>
            <w:tcW w:w="1775" w:type="dxa"/>
            <w:vAlign w:val="center"/>
          </w:tcPr>
          <w:p w14:paraId="24F261B8">
            <w:pPr>
              <w:spacing w:line="340" w:lineRule="exact"/>
              <w:jc w:val="center"/>
              <w:rPr>
                <w:rFonts w:ascii="宋体" w:hAnsi="宋体" w:eastAsia="宋体" w:cs="宋体"/>
                <w:color w:val="auto"/>
                <w:position w:val="-2"/>
                <w:szCs w:val="21"/>
                <w:highlight w:val="none"/>
              </w:rPr>
            </w:pPr>
            <w:r>
              <w:rPr>
                <w:rFonts w:hint="eastAsia" w:ascii="宋体" w:hAnsi="宋体" w:eastAsia="宋体" w:cs="宋体"/>
                <w:color w:val="auto"/>
                <w:szCs w:val="21"/>
                <w:highlight w:val="none"/>
              </w:rPr>
              <w:t>响应文件解密时间</w:t>
            </w:r>
          </w:p>
        </w:tc>
        <w:tc>
          <w:tcPr>
            <w:tcW w:w="5832" w:type="dxa"/>
            <w:vAlign w:val="center"/>
          </w:tcPr>
          <w:p w14:paraId="72E15C62">
            <w:pPr>
              <w:pStyle w:val="44"/>
              <w:spacing w:line="440" w:lineRule="exact"/>
              <w:rPr>
                <w:rFonts w:hint="eastAsia" w:ascii="宋体" w:hAnsi="宋体" w:cs="宋体" w:eastAsiaTheme="minorEastAsia"/>
                <w:color w:val="auto"/>
                <w:kern w:val="2"/>
                <w:sz w:val="21"/>
                <w:szCs w:val="22"/>
                <w:highlight w:val="none"/>
                <w:lang w:val="en-US" w:eastAsia="zh-CN" w:bidi="ar-SA"/>
              </w:rPr>
            </w:pPr>
            <w:r>
              <w:rPr>
                <w:rFonts w:hint="eastAsia" w:ascii="宋体" w:hAnsi="宋体" w:cs="宋体" w:eastAsiaTheme="minorEastAsia"/>
                <w:b/>
                <w:bCs/>
                <w:color w:val="auto"/>
                <w:kern w:val="2"/>
                <w:sz w:val="21"/>
                <w:szCs w:val="22"/>
                <w:highlight w:val="none"/>
                <w:lang w:val="en-US" w:eastAsia="zh-CN" w:bidi="ar-SA"/>
              </w:rPr>
              <w:t>磋商响应文件解密时间：</w:t>
            </w:r>
            <w:r>
              <w:rPr>
                <w:rFonts w:hint="eastAsia" w:ascii="宋体" w:hAnsi="宋体" w:cs="宋体" w:eastAsiaTheme="minorEastAsia"/>
                <w:color w:val="auto"/>
                <w:kern w:val="2"/>
                <w:sz w:val="21"/>
                <w:szCs w:val="22"/>
                <w:highlight w:val="none"/>
                <w:lang w:val="en-US" w:eastAsia="zh-CN" w:bidi="ar-SA"/>
              </w:rPr>
              <w:t>截标时间后30分钟内（2026年7月1日上午9时00分至9时30分)磋商供应商可以登录广西政府采购云平台，用“项目采购-开标评标”功能进行解密电子磋商响应文件。</w:t>
            </w:r>
          </w:p>
          <w:p w14:paraId="011599EB">
            <w:pPr>
              <w:spacing w:line="340" w:lineRule="exact"/>
              <w:jc w:val="left"/>
              <w:rPr>
                <w:rFonts w:hint="eastAsia" w:ascii="宋体" w:hAnsi="宋体" w:cs="宋体" w:eastAsiaTheme="minorEastAsia"/>
                <w:color w:val="auto"/>
                <w:szCs w:val="21"/>
                <w:highlight w:val="none"/>
                <w:lang w:eastAsia="zh-CN"/>
              </w:rPr>
            </w:pPr>
            <w:r>
              <w:rPr>
                <w:rFonts w:hint="eastAsia" w:ascii="宋体" w:hAnsi="宋体" w:cs="宋体"/>
                <w:color w:val="auto"/>
                <w:kern w:val="2"/>
                <w:highlight w:val="none"/>
              </w:rPr>
              <w:t>注：响应文件网上递交截止时间后，各供应商须在解密时限内对上传广西政府采购云平台的响应文件进行解密，所有供应商在规定的解密时限内解密完成或解密时限结束后，由采购代理机构开启已解密的响应文件。供应商超过解密时限未解密的，系统默认自动放弃，造成响应无效的后果由供应商自行承担</w:t>
            </w:r>
            <w:r>
              <w:rPr>
                <w:rFonts w:hint="eastAsia" w:ascii="宋体" w:hAnsi="宋体" w:cs="宋体"/>
                <w:color w:val="auto"/>
                <w:kern w:val="2"/>
                <w:highlight w:val="none"/>
                <w:lang w:eastAsia="zh-CN"/>
              </w:rPr>
              <w:t>。</w:t>
            </w:r>
          </w:p>
        </w:tc>
      </w:tr>
      <w:tr w14:paraId="7C8B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2" w:type="dxa"/>
            <w:vAlign w:val="center"/>
          </w:tcPr>
          <w:p w14:paraId="4DA59442">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42" w:type="dxa"/>
            <w:vAlign w:val="center"/>
          </w:tcPr>
          <w:p w14:paraId="66DA2A6E">
            <w:pPr>
              <w:spacing w:line="340" w:lineRule="exact"/>
              <w:ind w:firstLine="105" w:firstLineChars="50"/>
              <w:jc w:val="center"/>
              <w:rPr>
                <w:rFonts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19.1</w:t>
            </w:r>
          </w:p>
        </w:tc>
        <w:tc>
          <w:tcPr>
            <w:tcW w:w="1775" w:type="dxa"/>
            <w:vAlign w:val="center"/>
          </w:tcPr>
          <w:p w14:paraId="5B51EF3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5832" w:type="dxa"/>
            <w:vAlign w:val="center"/>
          </w:tcPr>
          <w:p w14:paraId="35EB964C">
            <w:pPr>
              <w:spacing w:line="340" w:lineRule="exact"/>
              <w:ind w:left="15" w:hanging="14" w:hangingChars="7"/>
              <w:rPr>
                <w:rFonts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磋商及评审工作由采购代理机构负责组织，具体磋商、评审工作由依法组建的磋商小组负责，磋商小组由采购人代表和评审专家组成。磋商小组的构成：3人，其中采购人代表1人，评审专家2人。</w:t>
            </w:r>
          </w:p>
        </w:tc>
      </w:tr>
      <w:tr w14:paraId="7C44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2" w:type="dxa"/>
            <w:vAlign w:val="center"/>
          </w:tcPr>
          <w:p w14:paraId="1352FEE3">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42" w:type="dxa"/>
            <w:vAlign w:val="center"/>
          </w:tcPr>
          <w:p w14:paraId="35C713E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1775" w:type="dxa"/>
            <w:vAlign w:val="center"/>
          </w:tcPr>
          <w:p w14:paraId="0F3597BF">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5832" w:type="dxa"/>
          </w:tcPr>
          <w:p w14:paraId="25CF4D09">
            <w:pPr>
              <w:spacing w:line="340" w:lineRule="exact"/>
              <w:ind w:left="315" w:hanging="315" w:hanging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19.2.1磋商时间：响应文件递交截止时间后。</w:t>
            </w:r>
          </w:p>
          <w:p w14:paraId="68421EC1">
            <w:pPr>
              <w:spacing w:line="3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19.2.2磋商地点：</w:t>
            </w:r>
            <w:r>
              <w:rPr>
                <w:rFonts w:hint="eastAsia" w:ascii="宋体" w:hAnsi="宋体" w:eastAsia="宋体" w:cs="宋体"/>
                <w:bCs/>
                <w:color w:val="auto"/>
                <w:szCs w:val="21"/>
                <w:highlight w:val="none"/>
              </w:rPr>
              <w:t>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4163AC93">
            <w:pPr>
              <w:spacing w:line="340" w:lineRule="exact"/>
              <w:ind w:left="15" w:hanging="14" w:hangingChars="7"/>
              <w:jc w:val="left"/>
              <w:rPr>
                <w:rFonts w:ascii="宋体" w:hAnsi="宋体" w:eastAsia="宋体" w:cs="宋体"/>
                <w:color w:val="auto"/>
                <w:szCs w:val="21"/>
                <w:highlight w:val="none"/>
              </w:rPr>
            </w:pPr>
            <w:r>
              <w:rPr>
                <w:rFonts w:hint="eastAsia" w:ascii="宋体" w:hAnsi="宋体" w:eastAsia="宋体" w:cs="宋体"/>
                <w:color w:val="auto"/>
                <w:szCs w:val="21"/>
                <w:highlight w:val="none"/>
              </w:rPr>
              <w:t>19.2.3磋商参加人员：供应商法定代表人、负责人、自然人或相应的委托代理人参加磋商。请供应商</w:t>
            </w:r>
            <w:r>
              <w:rPr>
                <w:rFonts w:hint="eastAsia" w:ascii="宋体" w:hAnsi="宋体" w:eastAsia="宋体" w:cs="宋体"/>
                <w:bCs/>
                <w:color w:val="auto"/>
                <w:szCs w:val="21"/>
                <w:highlight w:val="none"/>
              </w:rPr>
              <w:t>实时登录广西政府采购云平台</w:t>
            </w:r>
            <w:r>
              <w:rPr>
                <w:rFonts w:hint="eastAsia" w:ascii="宋体" w:hAnsi="宋体" w:eastAsia="宋体" w:cs="宋体"/>
                <w:color w:val="auto"/>
                <w:szCs w:val="21"/>
                <w:highlight w:val="none"/>
              </w:rPr>
              <w:t>等候在线磋商。</w:t>
            </w:r>
          </w:p>
          <w:p w14:paraId="00A0EDA6">
            <w:pPr>
              <w:tabs>
                <w:tab w:val="left" w:pos="1140"/>
              </w:tabs>
              <w:spacing w:line="34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19.2.4响应文件递交截止时间后，登录</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szCs w:val="21"/>
                <w:highlight w:val="none"/>
              </w:rPr>
              <w:t>在线解密开启。</w:t>
            </w:r>
          </w:p>
        </w:tc>
      </w:tr>
      <w:tr w14:paraId="6724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02" w:type="dxa"/>
            <w:vAlign w:val="center"/>
          </w:tcPr>
          <w:p w14:paraId="7DD8D840">
            <w:pPr>
              <w:spacing w:line="340" w:lineRule="exact"/>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12</w:t>
            </w:r>
          </w:p>
        </w:tc>
        <w:tc>
          <w:tcPr>
            <w:tcW w:w="942" w:type="dxa"/>
            <w:vAlign w:val="center"/>
          </w:tcPr>
          <w:p w14:paraId="08425D6E">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w:t>
            </w:r>
          </w:p>
        </w:tc>
        <w:tc>
          <w:tcPr>
            <w:tcW w:w="1775" w:type="dxa"/>
            <w:vAlign w:val="center"/>
          </w:tcPr>
          <w:p w14:paraId="1311D334">
            <w:pPr>
              <w:spacing w:line="3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5832" w:type="dxa"/>
            <w:vAlign w:val="center"/>
          </w:tcPr>
          <w:p w14:paraId="4586E6BC">
            <w:pPr>
              <w:tabs>
                <w:tab w:val="left" w:pos="1140"/>
              </w:tabs>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0932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2" w:type="dxa"/>
            <w:vAlign w:val="center"/>
          </w:tcPr>
          <w:p w14:paraId="38887E1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42" w:type="dxa"/>
            <w:vAlign w:val="center"/>
          </w:tcPr>
          <w:p w14:paraId="0204DCCE">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75" w:type="dxa"/>
            <w:vAlign w:val="center"/>
          </w:tcPr>
          <w:p w14:paraId="6DEAC3D2">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5832" w:type="dxa"/>
            <w:vAlign w:val="center"/>
          </w:tcPr>
          <w:p w14:paraId="3F3D3A96">
            <w:pPr>
              <w:spacing w:line="340" w:lineRule="exact"/>
              <w:ind w:left="15" w:hanging="14" w:hangingChars="7"/>
              <w:rPr>
                <w:rFonts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14E3F31A">
            <w:pPr>
              <w:spacing w:line="340" w:lineRule="exact"/>
              <w:ind w:left="15" w:hanging="14" w:hangingChars="7"/>
              <w:rPr>
                <w:rFonts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w:t>
            </w:r>
          </w:p>
          <w:p w14:paraId="4AADA695">
            <w:pPr>
              <w:spacing w:line="340" w:lineRule="exact"/>
              <w:ind w:left="315" w:hanging="315" w:hangingChars="150"/>
              <w:rPr>
                <w:rFonts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7DA99D11">
            <w:pPr>
              <w:spacing w:line="340" w:lineRule="exact"/>
              <w:ind w:left="15" w:hanging="14" w:hangingChars="7"/>
              <w:rPr>
                <w:rFonts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07D1690E">
            <w:pPr>
              <w:wordWrap w:val="0"/>
              <w:spacing w:line="340" w:lineRule="exact"/>
              <w:ind w:left="15" w:hanging="14" w:hangingChars="7"/>
              <w:rPr>
                <w:rFonts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5E97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2" w:type="dxa"/>
            <w:vAlign w:val="center"/>
          </w:tcPr>
          <w:p w14:paraId="59B65627">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42" w:type="dxa"/>
            <w:vAlign w:val="center"/>
          </w:tcPr>
          <w:p w14:paraId="4F429C89">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75" w:type="dxa"/>
            <w:vAlign w:val="center"/>
          </w:tcPr>
          <w:p w14:paraId="09CB8E17">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成交公告及成交通知书</w:t>
            </w:r>
          </w:p>
        </w:tc>
        <w:tc>
          <w:tcPr>
            <w:tcW w:w="5832" w:type="dxa"/>
          </w:tcPr>
          <w:p w14:paraId="73CAFEE7">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0E8E55F">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27.2在发布成交公告的同时，采购代理机构通过广西政府采购云平台线上向成交供应商发出电子成交通知书，成交供应商应自行登录广西政府采购云平台查收。</w:t>
            </w:r>
          </w:p>
        </w:tc>
      </w:tr>
      <w:tr w14:paraId="4FE9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2" w:type="dxa"/>
            <w:vAlign w:val="center"/>
          </w:tcPr>
          <w:p w14:paraId="71FAB81B">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42" w:type="dxa"/>
            <w:vAlign w:val="center"/>
          </w:tcPr>
          <w:p w14:paraId="1812B935">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1775" w:type="dxa"/>
            <w:vAlign w:val="center"/>
          </w:tcPr>
          <w:p w14:paraId="47C1F12F">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5832" w:type="dxa"/>
            <w:vAlign w:val="center"/>
          </w:tcPr>
          <w:p w14:paraId="53DA1EEE">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0CC9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02" w:type="dxa"/>
            <w:vAlign w:val="center"/>
          </w:tcPr>
          <w:p w14:paraId="3CC082D1">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42" w:type="dxa"/>
            <w:vAlign w:val="center"/>
          </w:tcPr>
          <w:p w14:paraId="51AFE711">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75" w:type="dxa"/>
            <w:vAlign w:val="center"/>
          </w:tcPr>
          <w:p w14:paraId="00DED534">
            <w:pPr>
              <w:tabs>
                <w:tab w:val="left" w:pos="1140"/>
              </w:tabs>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5832" w:type="dxa"/>
          </w:tcPr>
          <w:p w14:paraId="0681DDDD">
            <w:pPr>
              <w:tabs>
                <w:tab w:val="left" w:pos="1140"/>
              </w:tabs>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成交通知书发出之日起8个工作日内签订合同。</w:t>
            </w:r>
          </w:p>
        </w:tc>
      </w:tr>
      <w:tr w14:paraId="3E63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2" w:type="dxa"/>
            <w:vAlign w:val="center"/>
          </w:tcPr>
          <w:p w14:paraId="624078C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42" w:type="dxa"/>
            <w:vAlign w:val="center"/>
          </w:tcPr>
          <w:p w14:paraId="0CB75E0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29.3</w:t>
            </w:r>
          </w:p>
        </w:tc>
        <w:tc>
          <w:tcPr>
            <w:tcW w:w="1775" w:type="dxa"/>
            <w:vAlign w:val="center"/>
          </w:tcPr>
          <w:p w14:paraId="08C02237">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5832" w:type="dxa"/>
            <w:vAlign w:val="center"/>
          </w:tcPr>
          <w:p w14:paraId="42B66097">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政府采购合同双方自签订之日起1个工作日内将合同原件一份交采购代理机构，采购代理机构收到政府采购合同原件后在省级以上人民政府财政部门指定媒体上公告并存档。</w:t>
            </w:r>
          </w:p>
        </w:tc>
      </w:tr>
      <w:tr w14:paraId="363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2" w:type="dxa"/>
            <w:vAlign w:val="center"/>
          </w:tcPr>
          <w:p w14:paraId="3A4F3DE1">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42" w:type="dxa"/>
            <w:vAlign w:val="center"/>
          </w:tcPr>
          <w:p w14:paraId="0460D645">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775" w:type="dxa"/>
            <w:vAlign w:val="center"/>
          </w:tcPr>
          <w:p w14:paraId="60A5220B">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832" w:type="dxa"/>
          </w:tcPr>
          <w:p w14:paraId="37A68364">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本项目的招标代理服务收费标准参照计价格[2002]1980号《招标代理服务收费管理暂行办法》工程类收费标准</w:t>
            </w:r>
            <w:r>
              <w:rPr>
                <w:rFonts w:hint="eastAsia" w:ascii="宋体" w:hAnsi="宋体" w:eastAsia="宋体" w:cs="宋体"/>
                <w:color w:val="auto"/>
                <w:szCs w:val="21"/>
                <w:highlight w:val="none"/>
                <w:lang w:val="en-US" w:eastAsia="zh-CN"/>
              </w:rPr>
              <w:t>的60%</w:t>
            </w:r>
            <w:r>
              <w:rPr>
                <w:rFonts w:hint="eastAsia" w:ascii="宋体" w:hAnsi="宋体" w:eastAsia="宋体" w:cs="宋体"/>
                <w:color w:val="auto"/>
                <w:szCs w:val="21"/>
                <w:highlight w:val="none"/>
              </w:rPr>
              <w:t>（代理服务费不足人民币陆仟元时，按陆仟元收取），</w:t>
            </w:r>
            <w:r>
              <w:rPr>
                <w:rFonts w:hint="eastAsia" w:ascii="宋体" w:hAnsi="宋体" w:eastAsia="宋体" w:cs="宋体"/>
                <w:color w:val="auto"/>
                <w:szCs w:val="21"/>
                <w:highlight w:val="none"/>
                <w:lang w:val="en-US" w:eastAsia="zh-CN"/>
              </w:rPr>
              <w:t>由采购人</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桂林聚格项目管理有限公司</w:t>
            </w:r>
            <w:r>
              <w:rPr>
                <w:rFonts w:hint="eastAsia" w:ascii="宋体" w:hAnsi="宋体" w:eastAsia="宋体" w:cs="宋体"/>
                <w:color w:val="auto"/>
                <w:szCs w:val="21"/>
                <w:highlight w:val="none"/>
              </w:rPr>
              <w:t>一次性付清招标代理服务费。</w:t>
            </w:r>
          </w:p>
        </w:tc>
      </w:tr>
      <w:tr w14:paraId="6000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02" w:type="dxa"/>
            <w:vAlign w:val="center"/>
          </w:tcPr>
          <w:p w14:paraId="3754ADA1">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42" w:type="dxa"/>
            <w:vAlign w:val="center"/>
          </w:tcPr>
          <w:p w14:paraId="407F3486">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75" w:type="dxa"/>
            <w:vAlign w:val="center"/>
          </w:tcPr>
          <w:p w14:paraId="55156A39">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5832" w:type="dxa"/>
          </w:tcPr>
          <w:p w14:paraId="156DAC28">
            <w:pPr>
              <w:spacing w:line="34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511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2" w:type="dxa"/>
            <w:vAlign w:val="center"/>
          </w:tcPr>
          <w:p w14:paraId="153969EE">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42" w:type="dxa"/>
            <w:vAlign w:val="center"/>
          </w:tcPr>
          <w:p w14:paraId="16A3DAA8">
            <w:pPr>
              <w:spacing w:line="3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775" w:type="dxa"/>
            <w:vAlign w:val="center"/>
          </w:tcPr>
          <w:p w14:paraId="5234A940">
            <w:pPr>
              <w:spacing w:line="340" w:lineRule="exact"/>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监督管理机构</w:t>
            </w:r>
          </w:p>
        </w:tc>
        <w:tc>
          <w:tcPr>
            <w:tcW w:w="5832" w:type="dxa"/>
          </w:tcPr>
          <w:p w14:paraId="4DC670AE">
            <w:pPr>
              <w:spacing w:line="34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eastAsia="zh-CN"/>
              </w:rPr>
              <w:t>荔浦市政府采购管理办公室；联系电话：0773-7233366</w:t>
            </w:r>
          </w:p>
        </w:tc>
      </w:tr>
    </w:tbl>
    <w:p w14:paraId="06BA65F3">
      <w:pPr>
        <w:spacing w:after="120" w:line="360" w:lineRule="exact"/>
        <w:rPr>
          <w:rFonts w:ascii="宋体" w:hAnsi="宋体" w:eastAsia="宋体" w:cs="宋体"/>
          <w:b/>
          <w:color w:val="auto"/>
          <w:sz w:val="28"/>
          <w:szCs w:val="28"/>
          <w:highlight w:val="none"/>
        </w:rPr>
      </w:pPr>
    </w:p>
    <w:p w14:paraId="53A170E0">
      <w:pPr>
        <w:spacing w:after="120" w:line="360" w:lineRule="exact"/>
        <w:rPr>
          <w:rFonts w:ascii="宋体" w:hAnsi="宋体" w:eastAsia="宋体" w:cs="宋体"/>
          <w:b/>
          <w:color w:val="auto"/>
          <w:sz w:val="28"/>
          <w:szCs w:val="28"/>
          <w:highlight w:val="none"/>
        </w:rPr>
      </w:pPr>
    </w:p>
    <w:p w14:paraId="0FCEB167">
      <w:pPr>
        <w:spacing w:after="120" w:line="360" w:lineRule="exact"/>
        <w:rPr>
          <w:rFonts w:ascii="宋体" w:hAnsi="宋体" w:eastAsia="宋体" w:cs="宋体"/>
          <w:b/>
          <w:color w:val="auto"/>
          <w:sz w:val="28"/>
          <w:szCs w:val="28"/>
          <w:highlight w:val="none"/>
        </w:rPr>
      </w:pPr>
    </w:p>
    <w:p w14:paraId="0494EA8D">
      <w:pPr>
        <w:spacing w:after="120" w:line="360" w:lineRule="exact"/>
        <w:rPr>
          <w:rFonts w:ascii="宋体" w:hAnsi="宋体" w:eastAsia="宋体" w:cs="宋体"/>
          <w:b/>
          <w:color w:val="auto"/>
          <w:sz w:val="28"/>
          <w:szCs w:val="28"/>
          <w:highlight w:val="none"/>
        </w:rPr>
      </w:pPr>
    </w:p>
    <w:p w14:paraId="12E21AA3">
      <w:pPr>
        <w:spacing w:after="120" w:line="360" w:lineRule="exact"/>
        <w:rPr>
          <w:rFonts w:ascii="宋体" w:hAnsi="宋体" w:eastAsia="宋体" w:cs="宋体"/>
          <w:b/>
          <w:color w:val="auto"/>
          <w:sz w:val="28"/>
          <w:szCs w:val="28"/>
          <w:highlight w:val="none"/>
        </w:rPr>
      </w:pPr>
    </w:p>
    <w:p w14:paraId="2180C10E">
      <w:pPr>
        <w:spacing w:after="120" w:line="360" w:lineRule="exact"/>
        <w:rPr>
          <w:rFonts w:ascii="宋体" w:hAnsi="宋体" w:eastAsia="宋体" w:cs="宋体"/>
          <w:b/>
          <w:color w:val="auto"/>
          <w:sz w:val="28"/>
          <w:szCs w:val="28"/>
          <w:highlight w:val="none"/>
        </w:rPr>
      </w:pPr>
    </w:p>
    <w:p w14:paraId="1D322741">
      <w:pPr>
        <w:spacing w:after="120" w:line="360" w:lineRule="exact"/>
        <w:rPr>
          <w:rFonts w:ascii="宋体" w:hAnsi="宋体" w:eastAsia="宋体" w:cs="宋体"/>
          <w:b/>
          <w:color w:val="auto"/>
          <w:sz w:val="28"/>
          <w:szCs w:val="28"/>
          <w:highlight w:val="none"/>
        </w:rPr>
      </w:pPr>
    </w:p>
    <w:p w14:paraId="75BC62FB">
      <w:pPr>
        <w:spacing w:after="120" w:line="360" w:lineRule="exact"/>
        <w:rPr>
          <w:rFonts w:ascii="宋体" w:hAnsi="宋体" w:eastAsia="宋体" w:cs="宋体"/>
          <w:b/>
          <w:color w:val="auto"/>
          <w:sz w:val="28"/>
          <w:szCs w:val="28"/>
          <w:highlight w:val="none"/>
        </w:rPr>
      </w:pPr>
    </w:p>
    <w:p w14:paraId="7D071249">
      <w:pPr>
        <w:pStyle w:val="3"/>
        <w:rPr>
          <w:rFonts w:ascii="宋体" w:hAnsi="宋体" w:eastAsia="宋体" w:cs="宋体"/>
          <w:b/>
          <w:color w:val="auto"/>
          <w:sz w:val="28"/>
          <w:szCs w:val="28"/>
          <w:highlight w:val="none"/>
        </w:rPr>
      </w:pPr>
    </w:p>
    <w:p w14:paraId="0A4B5148">
      <w:pPr>
        <w:rPr>
          <w:rFonts w:ascii="宋体" w:hAnsi="宋体" w:eastAsia="宋体" w:cs="宋体"/>
          <w:b/>
          <w:color w:val="auto"/>
          <w:sz w:val="28"/>
          <w:szCs w:val="28"/>
          <w:highlight w:val="none"/>
        </w:rPr>
      </w:pPr>
    </w:p>
    <w:p w14:paraId="36AAF815">
      <w:pPr>
        <w:pStyle w:val="3"/>
        <w:rPr>
          <w:rFonts w:ascii="宋体" w:hAnsi="宋体" w:eastAsia="宋体" w:cs="宋体"/>
          <w:b/>
          <w:color w:val="auto"/>
          <w:sz w:val="28"/>
          <w:szCs w:val="28"/>
          <w:highlight w:val="none"/>
        </w:rPr>
      </w:pPr>
    </w:p>
    <w:p w14:paraId="7136D6C7">
      <w:pPr>
        <w:rPr>
          <w:color w:val="auto"/>
          <w:highlight w:val="none"/>
        </w:rPr>
      </w:pPr>
    </w:p>
    <w:p w14:paraId="6B8BD471">
      <w:pPr>
        <w:rPr>
          <w:rFonts w:ascii="宋体" w:hAnsi="宋体" w:eastAsia="宋体" w:cs="宋体"/>
          <w:b/>
          <w:color w:val="auto"/>
          <w:sz w:val="28"/>
          <w:szCs w:val="28"/>
          <w:highlight w:val="none"/>
        </w:rPr>
      </w:pPr>
    </w:p>
    <w:p w14:paraId="5651B292">
      <w:pPr>
        <w:pStyle w:val="3"/>
        <w:rPr>
          <w:rFonts w:ascii="宋体" w:hAnsi="宋体" w:eastAsia="宋体" w:cs="宋体"/>
          <w:b/>
          <w:color w:val="auto"/>
          <w:sz w:val="28"/>
          <w:szCs w:val="28"/>
          <w:highlight w:val="none"/>
        </w:rPr>
      </w:pPr>
    </w:p>
    <w:p w14:paraId="698AC8F7">
      <w:pPr>
        <w:rPr>
          <w:color w:val="auto"/>
          <w:highlight w:val="none"/>
        </w:rPr>
      </w:pPr>
    </w:p>
    <w:p w14:paraId="14F7E187">
      <w:pPr>
        <w:spacing w:after="120" w:line="360" w:lineRule="exact"/>
        <w:rPr>
          <w:rFonts w:ascii="宋体" w:hAnsi="宋体" w:eastAsia="宋体" w:cs="宋体"/>
          <w:b/>
          <w:color w:val="auto"/>
          <w:sz w:val="28"/>
          <w:szCs w:val="28"/>
          <w:highlight w:val="none"/>
        </w:rPr>
      </w:pPr>
    </w:p>
    <w:p w14:paraId="71197DC4">
      <w:pPr>
        <w:spacing w:line="360" w:lineRule="exact"/>
        <w:jc w:val="center"/>
        <w:rPr>
          <w:rFonts w:ascii="宋体" w:hAnsi="宋体" w:eastAsia="宋体" w:cs="Times New Roman"/>
          <w:b/>
          <w:bCs/>
          <w:color w:val="auto"/>
          <w:sz w:val="28"/>
          <w:szCs w:val="28"/>
          <w:highlight w:val="none"/>
        </w:rPr>
      </w:pPr>
      <w:bookmarkStart w:id="65" w:name="_Toc2231"/>
      <w:bookmarkStart w:id="66" w:name="_Toc27120"/>
      <w:bookmarkStart w:id="67" w:name="_Toc27216"/>
      <w:bookmarkStart w:id="68" w:name="_Toc22792"/>
      <w:r>
        <w:rPr>
          <w:rFonts w:hint="eastAsia" w:ascii="宋体" w:hAnsi="宋体" w:eastAsia="宋体" w:cs="Times New Roman"/>
          <w:b/>
          <w:bCs/>
          <w:color w:val="auto"/>
          <w:sz w:val="28"/>
          <w:szCs w:val="28"/>
          <w:highlight w:val="none"/>
        </w:rPr>
        <w:t>一、总则</w:t>
      </w:r>
      <w:bookmarkEnd w:id="65"/>
      <w:bookmarkEnd w:id="66"/>
      <w:bookmarkEnd w:id="67"/>
      <w:bookmarkEnd w:id="68"/>
    </w:p>
    <w:p w14:paraId="76848658">
      <w:pPr>
        <w:spacing w:line="360" w:lineRule="exact"/>
        <w:ind w:firstLine="422" w:firstLineChars="200"/>
        <w:rPr>
          <w:rFonts w:ascii="宋体" w:hAnsi="宋体" w:eastAsia="宋体" w:cs="宋体"/>
          <w:b/>
          <w:bCs/>
          <w:color w:val="auto"/>
          <w:szCs w:val="21"/>
          <w:highlight w:val="none"/>
        </w:rPr>
      </w:pPr>
      <w:bookmarkStart w:id="69" w:name="_Toc2996"/>
      <w:bookmarkStart w:id="70" w:name="_Toc6626"/>
      <w:bookmarkStart w:id="71" w:name="_Toc3367"/>
      <w:r>
        <w:rPr>
          <w:rFonts w:hint="eastAsia" w:ascii="宋体" w:hAnsi="宋体" w:eastAsia="宋体" w:cs="宋体"/>
          <w:b/>
          <w:bCs/>
          <w:color w:val="auto"/>
          <w:szCs w:val="21"/>
          <w:highlight w:val="none"/>
        </w:rPr>
        <w:t>1. 适应范围</w:t>
      </w:r>
      <w:bookmarkEnd w:id="69"/>
      <w:bookmarkEnd w:id="70"/>
      <w:bookmarkEnd w:id="71"/>
    </w:p>
    <w:p w14:paraId="49F89C9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1.1项目名称及项目编号：</w:t>
      </w:r>
    </w:p>
    <w:p w14:paraId="2BA7B75E">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荔浦市荔城镇沙街社区洋洞河堤顶路健身步道建设项目</w:t>
      </w:r>
    </w:p>
    <w:p w14:paraId="2DB51E0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GLZC2026-C2-310024-GLJG</w:t>
      </w:r>
      <w:r>
        <w:rPr>
          <w:rFonts w:hint="eastAsia" w:ascii="宋体" w:hAnsi="宋体" w:eastAsia="宋体" w:cs="宋体"/>
          <w:color w:val="auto"/>
          <w:szCs w:val="21"/>
          <w:highlight w:val="none"/>
        </w:rPr>
        <w:t xml:space="preserve"> </w:t>
      </w:r>
    </w:p>
    <w:p w14:paraId="333A82E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701E4791">
      <w:pPr>
        <w:spacing w:line="360" w:lineRule="exact"/>
        <w:ind w:firstLine="422" w:firstLineChars="200"/>
        <w:rPr>
          <w:rFonts w:ascii="宋体" w:hAnsi="宋体" w:eastAsia="宋体" w:cs="宋体"/>
          <w:b/>
          <w:bCs/>
          <w:color w:val="auto"/>
          <w:szCs w:val="21"/>
          <w:highlight w:val="none"/>
        </w:rPr>
      </w:pPr>
      <w:bookmarkStart w:id="72" w:name="_Toc25139"/>
      <w:bookmarkStart w:id="73" w:name="_Toc28336"/>
      <w:bookmarkStart w:id="74" w:name="_Toc2845"/>
      <w:r>
        <w:rPr>
          <w:rFonts w:hint="eastAsia" w:ascii="宋体" w:hAnsi="宋体" w:eastAsia="宋体" w:cs="宋体"/>
          <w:b/>
          <w:bCs/>
          <w:color w:val="auto"/>
          <w:szCs w:val="21"/>
          <w:highlight w:val="none"/>
        </w:rPr>
        <w:t>2. 定义</w:t>
      </w:r>
      <w:bookmarkEnd w:id="72"/>
      <w:bookmarkEnd w:id="73"/>
      <w:bookmarkEnd w:id="74"/>
    </w:p>
    <w:p w14:paraId="001E640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2.1“供应商”是指符合本次采购项目的供应商资格并提交响应文件、参加磋商的法人、其他组织或者自然人。如果该供应商在本次磋商中成交，即成为“成交供应商”。</w:t>
      </w:r>
    </w:p>
    <w:p w14:paraId="07056F8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1917FA6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428177C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516D0C2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0E0678AF">
      <w:pPr>
        <w:spacing w:line="360" w:lineRule="exact"/>
        <w:ind w:firstLine="422" w:firstLineChars="200"/>
        <w:rPr>
          <w:rFonts w:ascii="宋体" w:hAnsi="宋体" w:eastAsia="宋体" w:cs="宋体"/>
          <w:b/>
          <w:bCs/>
          <w:color w:val="auto"/>
          <w:szCs w:val="21"/>
          <w:highlight w:val="none"/>
        </w:rPr>
      </w:pPr>
      <w:bookmarkStart w:id="75" w:name="_Toc13017"/>
      <w:bookmarkStart w:id="76" w:name="_Toc25441"/>
      <w:bookmarkStart w:id="77" w:name="_Toc2884"/>
      <w:r>
        <w:rPr>
          <w:rFonts w:hint="eastAsia" w:ascii="宋体" w:hAnsi="宋体" w:eastAsia="宋体" w:cs="宋体"/>
          <w:b/>
          <w:bCs/>
          <w:color w:val="auto"/>
          <w:szCs w:val="21"/>
          <w:highlight w:val="none"/>
        </w:rPr>
        <w:t>3. 供应商资格</w:t>
      </w:r>
      <w:bookmarkEnd w:id="75"/>
      <w:bookmarkEnd w:id="76"/>
      <w:bookmarkEnd w:id="77"/>
    </w:p>
    <w:p w14:paraId="143996A0">
      <w:pPr>
        <w:spacing w:line="360" w:lineRule="exact"/>
        <w:ind w:firstLine="420" w:firstLineChars="200"/>
        <w:rPr>
          <w:rFonts w:ascii="宋体" w:hAnsi="宋体" w:eastAsia="宋体" w:cs="宋体"/>
          <w:color w:val="auto"/>
          <w:szCs w:val="21"/>
          <w:highlight w:val="none"/>
        </w:rPr>
      </w:pPr>
      <w:bookmarkStart w:id="78" w:name="_Toc27029"/>
      <w:bookmarkStart w:id="79" w:name="_Toc9216"/>
      <w:bookmarkStart w:id="80" w:name="_Toc16496"/>
      <w:r>
        <w:rPr>
          <w:rFonts w:hint="eastAsia" w:ascii="宋体" w:hAnsi="宋体" w:eastAsia="宋体" w:cs="宋体"/>
          <w:color w:val="auto"/>
          <w:szCs w:val="21"/>
          <w:highlight w:val="none"/>
        </w:rPr>
        <w:t>见“供应商须知前附表”。</w:t>
      </w:r>
    </w:p>
    <w:p w14:paraId="3ECF918D">
      <w:pPr>
        <w:spacing w:line="3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 磋商费用</w:t>
      </w:r>
      <w:bookmarkEnd w:id="78"/>
      <w:bookmarkEnd w:id="79"/>
      <w:bookmarkEnd w:id="80"/>
    </w:p>
    <w:p w14:paraId="5CD99357">
      <w:pPr>
        <w:tabs>
          <w:tab w:val="left" w:pos="1635"/>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不论磋商结果如何，供应商均应自行承担所有与磋商有关的全部费用。</w:t>
      </w:r>
    </w:p>
    <w:p w14:paraId="09463919">
      <w:pPr>
        <w:spacing w:line="360" w:lineRule="exact"/>
        <w:ind w:firstLine="422" w:firstLineChars="200"/>
        <w:rPr>
          <w:rFonts w:ascii="宋体" w:hAnsi="宋体" w:eastAsia="宋体" w:cs="宋体"/>
          <w:b/>
          <w:bCs/>
          <w:color w:val="auto"/>
          <w:szCs w:val="21"/>
          <w:highlight w:val="none"/>
        </w:rPr>
      </w:pPr>
      <w:bookmarkStart w:id="81" w:name="_Toc31376"/>
      <w:bookmarkStart w:id="82" w:name="_Toc22877"/>
      <w:bookmarkStart w:id="83" w:name="_Toc25728"/>
      <w:r>
        <w:rPr>
          <w:rFonts w:hint="eastAsia" w:ascii="宋体" w:hAnsi="宋体" w:eastAsia="宋体" w:cs="宋体"/>
          <w:b/>
          <w:bCs/>
          <w:color w:val="auto"/>
          <w:szCs w:val="21"/>
          <w:highlight w:val="none"/>
        </w:rPr>
        <w:t>5</w:t>
      </w:r>
      <w:r>
        <w:rPr>
          <w:rFonts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rPr>
        <w:t>联合体要求</w:t>
      </w:r>
      <w:bookmarkEnd w:id="81"/>
      <w:bookmarkEnd w:id="82"/>
      <w:bookmarkEnd w:id="83"/>
    </w:p>
    <w:p w14:paraId="752B3FA1">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228AD864">
      <w:pPr>
        <w:spacing w:line="360" w:lineRule="exact"/>
        <w:ind w:firstLine="422" w:firstLineChars="200"/>
        <w:rPr>
          <w:rFonts w:ascii="宋体" w:hAnsi="宋体" w:eastAsia="宋体" w:cs="宋体"/>
          <w:b/>
          <w:bCs/>
          <w:color w:val="auto"/>
          <w:szCs w:val="21"/>
          <w:highlight w:val="none"/>
        </w:rPr>
      </w:pPr>
      <w:bookmarkStart w:id="84" w:name="_Toc2772"/>
      <w:bookmarkStart w:id="85" w:name="_Toc18940"/>
      <w:bookmarkStart w:id="86" w:name="_Toc4152"/>
      <w:r>
        <w:rPr>
          <w:rFonts w:hint="eastAsia" w:ascii="宋体" w:hAnsi="宋体" w:eastAsia="宋体" w:cs="宋体"/>
          <w:b/>
          <w:bCs/>
          <w:color w:val="auto"/>
          <w:szCs w:val="21"/>
          <w:highlight w:val="none"/>
        </w:rPr>
        <w:t>6. 质疑和投诉</w:t>
      </w:r>
      <w:bookmarkEnd w:id="84"/>
      <w:bookmarkEnd w:id="85"/>
      <w:bookmarkEnd w:id="86"/>
    </w:p>
    <w:p w14:paraId="6EF58598">
      <w:pPr>
        <w:tabs>
          <w:tab w:val="left" w:pos="2190"/>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1</w:t>
      </w:r>
      <w:r>
        <w:rPr>
          <w:rFonts w:hint="eastAsia" w:ascii="宋体" w:hAnsi="宋体" w:eastAsia="宋体" w:cs="宋体"/>
          <w:color w:val="auto"/>
          <w:szCs w:val="21"/>
          <w:highlight w:val="none"/>
        </w:rPr>
        <w:t>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eastAsia="宋体" w:cs="宋体"/>
          <w:bCs/>
          <w:color w:val="auto"/>
          <w:szCs w:val="21"/>
          <w:highlight w:val="none"/>
        </w:rPr>
        <w:t>（“质疑函”格式见附表1）。</w:t>
      </w:r>
      <w:r>
        <w:rPr>
          <w:rFonts w:hint="eastAsia" w:ascii="宋体" w:hAnsi="宋体" w:eastAsia="宋体" w:cs="宋体"/>
          <w:color w:val="auto"/>
          <w:szCs w:val="21"/>
          <w:highlight w:val="none"/>
        </w:rPr>
        <w:t>否则，采购代理机构有权拒收。</w:t>
      </w:r>
    </w:p>
    <w:p w14:paraId="4BDE8022">
      <w:pPr>
        <w:tabs>
          <w:tab w:val="left" w:pos="2190"/>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19B38600">
      <w:pPr>
        <w:tabs>
          <w:tab w:val="left" w:pos="2190"/>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0F8CE96">
      <w:pPr>
        <w:tabs>
          <w:tab w:val="left" w:pos="2190"/>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6.2供应商对采购代理机构的质疑答复不满意或者采购代理机构未在规定的时间内作出答复的，可以在答复期满后十五个工作日内向政府采购监督管理机构投诉</w:t>
      </w:r>
      <w:r>
        <w:rPr>
          <w:rFonts w:hint="eastAsia" w:ascii="宋体" w:hAnsi="宋体" w:eastAsia="宋体" w:cs="宋体"/>
          <w:bCs/>
          <w:color w:val="auto"/>
          <w:szCs w:val="21"/>
          <w:highlight w:val="none"/>
        </w:rPr>
        <w:t>（“投诉书”格式见附表2）。</w:t>
      </w:r>
    </w:p>
    <w:p w14:paraId="6FF0DE1A">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color w:val="auto"/>
          <w:kern w:val="0"/>
          <w:szCs w:val="21"/>
          <w:highlight w:val="none"/>
        </w:rPr>
        <w:t>。</w:t>
      </w:r>
    </w:p>
    <w:p w14:paraId="77AE0124">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供应商提出质疑应当提交质疑函和必要的证明材料，针对同一采购程序环节的质疑必须在法定质疑期内一次性提出。质疑函应当包括下列内容：</w:t>
      </w:r>
    </w:p>
    <w:p w14:paraId="03033196">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（1）供应商的姓名或者名称、地址、邮编、联系人及联系电话；</w:t>
      </w:r>
    </w:p>
    <w:p w14:paraId="0AB665FC">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（2）质疑项目的名称、编号；</w:t>
      </w:r>
    </w:p>
    <w:p w14:paraId="55950D47">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（3）具体、明确的质疑事项和与质疑事项相关的请求；</w:t>
      </w:r>
    </w:p>
    <w:p w14:paraId="1AF8D402">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（4）事实依据；</w:t>
      </w:r>
    </w:p>
    <w:p w14:paraId="713E839B">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（5）必要的法律依据；</w:t>
      </w:r>
    </w:p>
    <w:p w14:paraId="0BE73979">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（6）提出质疑的日期。</w:t>
      </w:r>
    </w:p>
    <w:p w14:paraId="47473550">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供应商为自然人的，应当由本人签字；供应商为法人或者其他组织的，应当由法定代表人或者其授权代表签字或者盖章，并加盖公章。</w:t>
      </w:r>
    </w:p>
    <w:p w14:paraId="42AFAD37">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接收质疑函方式：以书面形式</w:t>
      </w:r>
    </w:p>
    <w:p w14:paraId="1ABACD44">
      <w:pPr>
        <w:tabs>
          <w:tab w:val="left" w:pos="2190"/>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桂林聚格项目管理有限公司</w:t>
      </w:r>
      <w:r>
        <w:rPr>
          <w:rFonts w:hint="eastAsia" w:ascii="宋体" w:hAnsi="宋体" w:eastAsia="宋体" w:cs="宋体"/>
          <w:color w:val="auto"/>
          <w:szCs w:val="21"/>
          <w:highlight w:val="none"/>
        </w:rPr>
        <w:t>，联系人：李秋云、何维，联系电话：</w:t>
      </w:r>
      <w:r>
        <w:rPr>
          <w:rFonts w:hint="eastAsia" w:ascii="宋体" w:hAnsi="宋体" w:eastAsia="宋体" w:cs="宋体"/>
          <w:color w:val="auto"/>
          <w:szCs w:val="21"/>
          <w:highlight w:val="none"/>
          <w:lang w:eastAsia="zh-CN"/>
        </w:rPr>
        <w:t>0773-3638406</w:t>
      </w: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七星区朝阳乡合心村委半塘尾村160号天翔商务大厦4楼</w:t>
      </w:r>
      <w:r>
        <w:rPr>
          <w:rFonts w:hint="eastAsia" w:ascii="宋体" w:hAnsi="宋体" w:eastAsia="宋体" w:cs="宋体"/>
          <w:color w:val="auto"/>
          <w:szCs w:val="21"/>
          <w:highlight w:val="none"/>
        </w:rPr>
        <w:t>。</w:t>
      </w:r>
    </w:p>
    <w:p w14:paraId="4882AB81">
      <w:pPr>
        <w:spacing w:line="360" w:lineRule="exact"/>
        <w:ind w:firstLine="422" w:firstLineChars="200"/>
        <w:rPr>
          <w:rFonts w:ascii="宋体" w:hAnsi="宋体" w:eastAsia="宋体" w:cs="宋体"/>
          <w:b/>
          <w:bCs/>
          <w:color w:val="auto"/>
          <w:szCs w:val="21"/>
          <w:highlight w:val="none"/>
        </w:rPr>
      </w:pPr>
      <w:bookmarkStart w:id="87" w:name="_Toc5032"/>
      <w:bookmarkStart w:id="88" w:name="_Toc2186"/>
      <w:bookmarkStart w:id="89" w:name="_Toc6998"/>
      <w:r>
        <w:rPr>
          <w:rFonts w:hint="eastAsia" w:ascii="宋体" w:hAnsi="宋体" w:eastAsia="宋体" w:cs="宋体"/>
          <w:b/>
          <w:bCs/>
          <w:color w:val="auto"/>
          <w:szCs w:val="21"/>
          <w:highlight w:val="none"/>
        </w:rPr>
        <w:t>7. 转包与分包</w:t>
      </w:r>
      <w:bookmarkEnd w:id="87"/>
      <w:bookmarkEnd w:id="88"/>
      <w:bookmarkEnd w:id="89"/>
    </w:p>
    <w:p w14:paraId="200AB0D9">
      <w:pPr>
        <w:tabs>
          <w:tab w:val="left" w:pos="2190"/>
        </w:tabs>
        <w:spacing w:line="360" w:lineRule="exact"/>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eastAsia="宋体" w:cs="宋体"/>
          <w:color w:val="auto"/>
          <w:szCs w:val="21"/>
          <w:highlight w:val="none"/>
        </w:rPr>
        <w:t>7</w:t>
      </w:r>
      <w:r>
        <w:rPr>
          <w:rFonts w:hint="eastAsia" w:ascii="宋体" w:hAnsi="宋体" w:eastAsia="宋体" w:cs="宋体"/>
          <w:color w:val="auto"/>
          <w:kern w:val="0"/>
          <w:szCs w:val="21"/>
          <w:highlight w:val="none"/>
          <w:shd w:val="clear" w:color="auto" w:fill="FFFFFF"/>
          <w:lang w:bidi="ar"/>
        </w:rPr>
        <w:t>.1本项目不允许转包。</w:t>
      </w:r>
    </w:p>
    <w:p w14:paraId="19838BAC">
      <w:pPr>
        <w:tabs>
          <w:tab w:val="left" w:pos="2190"/>
        </w:tabs>
        <w:spacing w:line="360" w:lineRule="exact"/>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7.2本项目不可以分包。</w:t>
      </w:r>
    </w:p>
    <w:p w14:paraId="5DCE7A98">
      <w:pPr>
        <w:tabs>
          <w:tab w:val="left" w:pos="2190"/>
        </w:tabs>
        <w:spacing w:line="360" w:lineRule="exact"/>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7.3本项目不允许挂靠。</w:t>
      </w:r>
    </w:p>
    <w:p w14:paraId="12D05F9C">
      <w:pPr>
        <w:tabs>
          <w:tab w:val="left" w:pos="2190"/>
        </w:tabs>
        <w:spacing w:line="360" w:lineRule="exact"/>
        <w:ind w:firstLine="420" w:firstLineChars="200"/>
        <w:rPr>
          <w:rFonts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7.4如发现有以上行为，采购人有权终止合同，所有损失由成交供应商承担。</w:t>
      </w:r>
    </w:p>
    <w:p w14:paraId="1F8B2B1E">
      <w:pPr>
        <w:spacing w:line="360" w:lineRule="exact"/>
        <w:ind w:firstLine="422" w:firstLineChars="200"/>
        <w:rPr>
          <w:rFonts w:ascii="宋体" w:hAnsi="宋体" w:eastAsia="宋体" w:cs="宋体"/>
          <w:b/>
          <w:bCs/>
          <w:color w:val="auto"/>
          <w:szCs w:val="21"/>
          <w:highlight w:val="none"/>
        </w:rPr>
      </w:pPr>
      <w:bookmarkStart w:id="90" w:name="_Toc23428"/>
      <w:bookmarkStart w:id="91" w:name="_Toc3368"/>
      <w:bookmarkStart w:id="92" w:name="_Toc15097"/>
      <w:r>
        <w:rPr>
          <w:rFonts w:hint="eastAsia" w:ascii="宋体" w:hAnsi="宋体" w:eastAsia="宋体" w:cs="宋体"/>
          <w:b/>
          <w:bCs/>
          <w:color w:val="auto"/>
          <w:szCs w:val="21"/>
          <w:highlight w:val="none"/>
        </w:rPr>
        <w:t>8. 特别说明</w:t>
      </w:r>
      <w:bookmarkEnd w:id="90"/>
      <w:bookmarkEnd w:id="91"/>
      <w:bookmarkEnd w:id="92"/>
    </w:p>
    <w:p w14:paraId="41D40AD1">
      <w:pPr>
        <w:tabs>
          <w:tab w:val="left" w:pos="1635"/>
        </w:tabs>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关联供应商不得参加同一合同项下政府采购活动，否则响应文件将被视为无效：</w:t>
      </w:r>
    </w:p>
    <w:p w14:paraId="76F77BF8">
      <w:pPr>
        <w:tabs>
          <w:tab w:val="left" w:pos="1635"/>
        </w:tabs>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（1）单位负责人为同一人或者存在直接控股、管理关系的不同供应商，不得参加同一合同项下的政府采购活动。</w:t>
      </w:r>
    </w:p>
    <w:p w14:paraId="67A93A79">
      <w:pPr>
        <w:tabs>
          <w:tab w:val="left" w:pos="1635"/>
        </w:tabs>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（2）为本采购项目提供整体设计、规范编制或者项目管理、监理、检测等服务的供应商，不得再参加本次采购活动。</w:t>
      </w:r>
    </w:p>
    <w:p w14:paraId="6E58D602">
      <w:pPr>
        <w:spacing w:line="360" w:lineRule="exact"/>
        <w:jc w:val="center"/>
        <w:rPr>
          <w:rFonts w:ascii="宋体" w:hAnsi="宋体" w:eastAsia="宋体" w:cs="Times New Roman"/>
          <w:b/>
          <w:bCs/>
          <w:color w:val="auto"/>
          <w:szCs w:val="21"/>
          <w:highlight w:val="none"/>
        </w:rPr>
      </w:pPr>
      <w:bookmarkStart w:id="93" w:name="_Toc29496"/>
      <w:bookmarkStart w:id="94" w:name="_Toc22498"/>
      <w:bookmarkStart w:id="95" w:name="_Toc16417"/>
      <w:bookmarkStart w:id="96" w:name="_Toc25527"/>
    </w:p>
    <w:p w14:paraId="2B608ADB">
      <w:pPr>
        <w:spacing w:line="360" w:lineRule="exact"/>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二、磋商文件</w:t>
      </w:r>
      <w:bookmarkEnd w:id="93"/>
      <w:bookmarkEnd w:id="94"/>
      <w:bookmarkEnd w:id="95"/>
      <w:bookmarkEnd w:id="96"/>
    </w:p>
    <w:p w14:paraId="366CEE39">
      <w:pPr>
        <w:spacing w:line="360" w:lineRule="exact"/>
        <w:ind w:firstLine="422" w:firstLineChars="200"/>
        <w:rPr>
          <w:rFonts w:ascii="宋体" w:hAnsi="宋体" w:eastAsia="宋体" w:cs="宋体"/>
          <w:b/>
          <w:bCs/>
          <w:color w:val="auto"/>
          <w:szCs w:val="21"/>
          <w:highlight w:val="none"/>
          <w:lang w:val="pt-BR"/>
        </w:rPr>
      </w:pPr>
      <w:bookmarkStart w:id="97" w:name="_Toc20057"/>
      <w:bookmarkStart w:id="98" w:name="_Toc18964"/>
      <w:bookmarkStart w:id="99" w:name="_Toc22380"/>
      <w:r>
        <w:rPr>
          <w:rFonts w:hint="eastAsia" w:ascii="宋体" w:hAnsi="宋体" w:eastAsia="宋体" w:cs="宋体"/>
          <w:b/>
          <w:bCs/>
          <w:color w:val="auto"/>
          <w:szCs w:val="21"/>
          <w:highlight w:val="none"/>
          <w:lang w:val="pt-BR"/>
        </w:rPr>
        <w:t xml:space="preserve">9. </w:t>
      </w:r>
      <w:r>
        <w:rPr>
          <w:rFonts w:hint="eastAsia" w:ascii="宋体" w:hAnsi="宋体" w:eastAsia="宋体" w:cs="宋体"/>
          <w:b/>
          <w:bCs/>
          <w:color w:val="auto"/>
          <w:szCs w:val="21"/>
          <w:highlight w:val="none"/>
        </w:rPr>
        <w:t>磋商文件的构成</w:t>
      </w:r>
      <w:bookmarkEnd w:id="97"/>
      <w:bookmarkEnd w:id="98"/>
      <w:bookmarkEnd w:id="99"/>
    </w:p>
    <w:p w14:paraId="4686AE2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343CDE7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5FC3B7FB">
      <w:pPr>
        <w:spacing w:line="36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1A554F8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6CA7A2B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40DBA41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（6）响应文件（格式）；</w:t>
      </w:r>
    </w:p>
    <w:p w14:paraId="21857924">
      <w:pPr>
        <w:spacing w:line="360" w:lineRule="exact"/>
        <w:ind w:firstLine="420" w:firstLineChars="200"/>
        <w:rPr>
          <w:rFonts w:ascii="宋体" w:hAnsi="宋体" w:eastAsia="宋体" w:cs="宋体"/>
          <w:color w:val="auto"/>
          <w:szCs w:val="21"/>
          <w:highlight w:val="none"/>
        </w:rPr>
      </w:pPr>
      <w:bookmarkStart w:id="100" w:name="_Toc9103"/>
      <w:r>
        <w:rPr>
          <w:rFonts w:hint="eastAsia" w:ascii="宋体" w:hAnsi="宋体" w:eastAsia="宋体" w:cs="宋体"/>
          <w:color w:val="auto"/>
          <w:szCs w:val="21"/>
          <w:highlight w:val="none"/>
        </w:rPr>
        <w:t>（7）图纸。</w:t>
      </w:r>
    </w:p>
    <w:p w14:paraId="1CA3C41E">
      <w:pPr>
        <w:spacing w:line="360" w:lineRule="exact"/>
        <w:ind w:firstLine="422" w:firstLineChars="200"/>
        <w:rPr>
          <w:rFonts w:ascii="宋体" w:hAnsi="宋体" w:eastAsia="宋体" w:cs="宋体"/>
          <w:b/>
          <w:bCs/>
          <w:color w:val="auto"/>
          <w:szCs w:val="21"/>
          <w:highlight w:val="none"/>
          <w:lang w:val="pt-BR"/>
        </w:rPr>
      </w:pPr>
      <w:bookmarkStart w:id="101" w:name="_Toc17932"/>
      <w:bookmarkStart w:id="102" w:name="_Toc26702"/>
      <w:r>
        <w:rPr>
          <w:rFonts w:hint="eastAsia" w:ascii="宋体" w:hAnsi="宋体" w:eastAsia="宋体" w:cs="宋体"/>
          <w:b/>
          <w:bCs/>
          <w:color w:val="auto"/>
          <w:szCs w:val="21"/>
          <w:highlight w:val="none"/>
          <w:lang w:val="pt-BR"/>
        </w:rPr>
        <w:t>10. 磋商文件的澄清与修改</w:t>
      </w:r>
      <w:bookmarkEnd w:id="100"/>
      <w:bookmarkEnd w:id="101"/>
      <w:bookmarkEnd w:id="102"/>
    </w:p>
    <w:p w14:paraId="02B76FCA">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提交首次响应文件截止之日前，采购代理机构可以对已发出的磋商文件进行必要澄清或者修改，澄清或者修改的内容可能影响响应文件编制的，采购代理机构应当在提交首次响应文件截止时间5日前在本项目竞争性磋商公告发布的同一媒体上发布更正公告，不足5日的，应当顺延提交首次响应文件截止时间。</w:t>
      </w:r>
    </w:p>
    <w:p w14:paraId="1D4D44FB">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5A4D449C">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10.3澄清或者修改的内容为磋商文件的组成部分。当澄清或者修改通知就同一内容的表述不一致时，以最后发出的书面文件为准。</w:t>
      </w:r>
    </w:p>
    <w:p w14:paraId="458B38BD">
      <w:pPr>
        <w:tabs>
          <w:tab w:val="left" w:pos="2190"/>
        </w:tabs>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10.4 磋商文件的澄清或者修改都应该通过本项目采购代理机构以法定形式发布，采购人非通过本机构，不得擅自澄清、答复、修改或补充磋商文件。</w:t>
      </w:r>
    </w:p>
    <w:p w14:paraId="2C76404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10.5 采购代理机构可以视采购具体情况，延长响应文件提交截止时间和磋商时间，并在本项目竞争性磋商公告发布的同一媒体上发布变更公告。</w:t>
      </w:r>
    </w:p>
    <w:p w14:paraId="28549A3B">
      <w:pPr>
        <w:spacing w:line="360" w:lineRule="exact"/>
        <w:jc w:val="center"/>
        <w:rPr>
          <w:rFonts w:ascii="宋体" w:hAnsi="宋体" w:eastAsia="宋体" w:cs="Times New Roman"/>
          <w:b/>
          <w:bCs/>
          <w:color w:val="auto"/>
          <w:szCs w:val="21"/>
          <w:highlight w:val="none"/>
        </w:rPr>
      </w:pPr>
      <w:bookmarkStart w:id="103" w:name="_Toc17820"/>
      <w:bookmarkStart w:id="104" w:name="_Toc32467"/>
      <w:bookmarkStart w:id="105" w:name="_Toc20830"/>
      <w:bookmarkStart w:id="106" w:name="_Toc21873"/>
    </w:p>
    <w:p w14:paraId="5D9935C8">
      <w:pPr>
        <w:spacing w:line="360" w:lineRule="exact"/>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三、响应文件的编制</w:t>
      </w:r>
      <w:bookmarkEnd w:id="103"/>
      <w:bookmarkEnd w:id="104"/>
      <w:bookmarkEnd w:id="105"/>
      <w:bookmarkEnd w:id="106"/>
    </w:p>
    <w:p w14:paraId="254BB2F0">
      <w:pPr>
        <w:spacing w:line="3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11.</w:t>
      </w:r>
      <w:r>
        <w:rPr>
          <w:rFonts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rPr>
        <w:t>响应文件的组成及要求</w:t>
      </w:r>
    </w:p>
    <w:p w14:paraId="1EE8558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w:t>
      </w:r>
      <w:r>
        <w:rPr>
          <w:rFonts w:ascii="宋体" w:hAnsi="宋体" w:eastAsia="宋体" w:cs="宋体"/>
          <w:color w:val="auto"/>
          <w:szCs w:val="21"/>
          <w:highlight w:val="none"/>
        </w:rPr>
        <w:t>1</w:t>
      </w:r>
      <w:r>
        <w:rPr>
          <w:rFonts w:hint="eastAsia" w:ascii="宋体" w:hAnsi="宋体" w:eastAsia="宋体" w:cs="宋体"/>
          <w:color w:val="auto"/>
          <w:szCs w:val="21"/>
          <w:highlight w:val="none"/>
        </w:rPr>
        <w:t>响应文件组成【格式见第六章“响应文件（格式）”】</w:t>
      </w:r>
    </w:p>
    <w:p w14:paraId="69AB608E">
      <w:pPr>
        <w:spacing w:line="360" w:lineRule="exact"/>
        <w:ind w:firstLine="420" w:firstLineChars="200"/>
        <w:outlineLvl w:val="2"/>
        <w:rPr>
          <w:rFonts w:ascii="宋体" w:hAnsi="宋体" w:eastAsia="宋体" w:cs="宋体"/>
          <w:color w:val="auto"/>
          <w:szCs w:val="21"/>
          <w:highlight w:val="none"/>
        </w:rPr>
      </w:pPr>
      <w:bookmarkStart w:id="107" w:name="_Toc20060"/>
      <w:bookmarkStart w:id="108" w:name="_Toc19449"/>
      <w:r>
        <w:rPr>
          <w:rFonts w:hint="eastAsia" w:ascii="宋体" w:hAnsi="宋体" w:eastAsia="宋体" w:cs="宋体"/>
          <w:color w:val="auto"/>
          <w:szCs w:val="21"/>
          <w:highlight w:val="none"/>
        </w:rPr>
        <w:t>11.</w:t>
      </w:r>
      <w:r>
        <w:rPr>
          <w:rFonts w:ascii="宋体" w:hAnsi="宋体" w:eastAsia="宋体" w:cs="宋体"/>
          <w:color w:val="auto"/>
          <w:szCs w:val="21"/>
          <w:highlight w:val="none"/>
        </w:rPr>
        <w:t>1.1</w:t>
      </w:r>
      <w:r>
        <w:rPr>
          <w:rFonts w:hint="eastAsia" w:ascii="宋体" w:hAnsi="宋体" w:eastAsia="宋体" w:cs="宋体"/>
          <w:color w:val="auto"/>
          <w:szCs w:val="21"/>
          <w:highlight w:val="none"/>
        </w:rPr>
        <w:t>资格性响应证明材料：</w:t>
      </w:r>
      <w:bookmarkEnd w:id="107"/>
      <w:bookmarkEnd w:id="108"/>
    </w:p>
    <w:p w14:paraId="4555092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（1）供应商相应的法定代表人、负责人、自然人身份证正反两面扫描件</w:t>
      </w:r>
      <w:bookmarkStart w:id="109" w:name="_Hlk183424501"/>
      <w:r>
        <w:rPr>
          <w:rFonts w:hint="eastAsia" w:ascii="宋体" w:hAnsi="宋体" w:eastAsia="宋体" w:cs="宋体"/>
          <w:color w:val="auto"/>
          <w:szCs w:val="21"/>
          <w:highlight w:val="none"/>
        </w:rPr>
        <w:t>（必须提供）；</w:t>
      </w:r>
      <w:bookmarkEnd w:id="109"/>
    </w:p>
    <w:p w14:paraId="7060B641">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14:paraId="5B8C6B90">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①如供应商为截标时间前60日以内成立的公司，可以提供供应商与委托代理人签订的劳动合同扫描件代替养老保险证明扫描件；</w:t>
      </w:r>
    </w:p>
    <w:p w14:paraId="2D647BFD">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②如供应商为事业单位，可以提供事业单位机构编制管理证扫描件或事业单位机构为其发放工资的工资条扫描件代替养老保险证明扫描件；</w:t>
      </w:r>
    </w:p>
    <w:p w14:paraId="59FDFA12">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③如委托代理人为免缴纳养老保险人员，提供免缴纳养老保险的证明材料扫描件及供应商与委托代理人签订的劳动合同扫描件代替养老保险证明扫描件。</w:t>
      </w:r>
    </w:p>
    <w:p w14:paraId="72F91C80">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0D31EA52">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2466D41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（3）供应商参加政府采购活动前3年内在经营活动中没有重大违法记录及有关信用信息的书面声明（必须提供）；</w:t>
      </w:r>
    </w:p>
    <w:p w14:paraId="6B334DD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（4）供应商的法人或者其他组织营业执照等证明文件扫描件（必须提供，自然人除外）；</w:t>
      </w:r>
    </w:p>
    <w:p w14:paraId="00BDC92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1ACEBF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（5）供应商有效的资质证书、</w:t>
      </w:r>
      <w:r>
        <w:rPr>
          <w:rFonts w:hint="eastAsia" w:ascii="宋体" w:hAnsi="宋体" w:eastAsia="宋体" w:cs="宋体"/>
          <w:bCs/>
          <w:color w:val="auto"/>
          <w:szCs w:val="21"/>
          <w:highlight w:val="none"/>
        </w:rPr>
        <w:t>安全生产许可证书</w:t>
      </w:r>
      <w:r>
        <w:rPr>
          <w:rFonts w:hint="eastAsia" w:ascii="宋体" w:hAnsi="宋体" w:eastAsia="宋体" w:cs="宋体"/>
          <w:color w:val="auto"/>
          <w:szCs w:val="21"/>
          <w:highlight w:val="none"/>
        </w:rPr>
        <w:t>扫描件（必须提供）；</w:t>
      </w:r>
    </w:p>
    <w:p w14:paraId="2013CDD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（6）拟派项目经理的</w:t>
      </w:r>
      <w:r>
        <w:rPr>
          <w:rFonts w:hint="eastAsia" w:ascii="宋体" w:hAnsi="宋体" w:eastAsia="宋体" w:cs="宋体"/>
          <w:color w:val="auto"/>
          <w:kern w:val="0"/>
          <w:szCs w:val="21"/>
          <w:highlight w:val="none"/>
          <w:lang w:val="en-US" w:eastAsia="zh-CN"/>
        </w:rPr>
        <w:t>市政公用工程</w:t>
      </w:r>
      <w:r>
        <w:rPr>
          <w:rFonts w:hint="eastAsia" w:ascii="宋体" w:hAnsi="宋体" w:eastAsia="宋体" w:cs="宋体"/>
          <w:color w:val="auto"/>
          <w:kern w:val="0"/>
          <w:szCs w:val="21"/>
          <w:highlight w:val="none"/>
        </w:rPr>
        <w:t>专业二级及以上注册建造师证和安全生产考核合格证书（B类）扫描件</w:t>
      </w:r>
      <w:r>
        <w:rPr>
          <w:rFonts w:hint="eastAsia" w:ascii="宋体" w:hAnsi="宋体" w:eastAsia="宋体" w:cs="宋体"/>
          <w:color w:val="auto"/>
          <w:szCs w:val="21"/>
          <w:highlight w:val="none"/>
        </w:rPr>
        <w:t>（必须提供）；</w:t>
      </w:r>
    </w:p>
    <w:p w14:paraId="08C12F6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（7）项目经理无在建工程承诺书（格式自拟）（必须提供）；</w:t>
      </w:r>
    </w:p>
    <w:p w14:paraId="077F47E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（8）供应商202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年以来任意年度内的财务状况报告（或银行出具的资信证明）</w:t>
      </w:r>
      <w:r>
        <w:rPr>
          <w:rFonts w:hint="eastAsia" w:ascii="宋体" w:hAnsi="宋体" w:eastAsia="宋体" w:cs="宋体"/>
          <w:color w:val="auto"/>
          <w:szCs w:val="21"/>
          <w:highlight w:val="none"/>
        </w:rPr>
        <w:t>扫描件</w:t>
      </w:r>
      <w:r>
        <w:rPr>
          <w:rFonts w:hint="eastAsia" w:ascii="宋体" w:hAnsi="宋体" w:eastAsia="宋体" w:cs="宋体"/>
          <w:color w:val="auto"/>
          <w:kern w:val="0"/>
          <w:szCs w:val="21"/>
          <w:highlight w:val="none"/>
        </w:rPr>
        <w:t>（必须提供）</w:t>
      </w:r>
      <w:r>
        <w:rPr>
          <w:rFonts w:hint="eastAsia" w:ascii="宋体" w:hAnsi="宋体" w:eastAsia="宋体" w:cs="宋体"/>
          <w:color w:val="auto"/>
          <w:szCs w:val="21"/>
          <w:highlight w:val="none"/>
        </w:rPr>
        <w:t>；</w:t>
      </w:r>
    </w:p>
    <w:p w14:paraId="34FA086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（9）供应商在响应文件递交截止时间前半年内任意一个月或任一季度依法缴纳税收的证明材料【增值税发票(税收完税证明)或企业所得税完税证明或税务部门出具的免税证明】扫描件（必须提供）；</w:t>
      </w:r>
    </w:p>
    <w:p w14:paraId="03B2BDC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（10）中小企业声明函或残疾人福利性单位声明函或供应商属于监狱企业的，提供由省级以上监狱管理局、戒毒管理局（含新疆生产建设兵团）出具的属于监狱企业的证明文件（必须提供）。</w:t>
      </w:r>
    </w:p>
    <w:p w14:paraId="44E31635">
      <w:pPr>
        <w:spacing w:line="360" w:lineRule="exact"/>
        <w:ind w:firstLine="420" w:firstLineChars="200"/>
        <w:outlineLvl w:val="2"/>
        <w:rPr>
          <w:rFonts w:ascii="宋体" w:hAnsi="宋体" w:eastAsia="宋体" w:cs="宋体"/>
          <w:color w:val="auto"/>
          <w:szCs w:val="21"/>
          <w:highlight w:val="none"/>
        </w:rPr>
      </w:pPr>
      <w:bookmarkStart w:id="110" w:name="_Toc20983"/>
      <w:bookmarkStart w:id="111" w:name="_Toc27875"/>
      <w:r>
        <w:rPr>
          <w:rFonts w:hint="eastAsia" w:ascii="宋体" w:hAnsi="宋体" w:eastAsia="宋体" w:cs="宋体"/>
          <w:color w:val="auto"/>
          <w:szCs w:val="21"/>
          <w:highlight w:val="none"/>
        </w:rPr>
        <w:t>11.</w:t>
      </w:r>
      <w:r>
        <w:rPr>
          <w:rFonts w:ascii="宋体" w:hAnsi="宋体" w:eastAsia="宋体" w:cs="宋体"/>
          <w:color w:val="auto"/>
          <w:szCs w:val="21"/>
          <w:highlight w:val="none"/>
        </w:rPr>
        <w:t>1.2</w:t>
      </w:r>
      <w:r>
        <w:rPr>
          <w:rFonts w:hint="eastAsia" w:ascii="宋体" w:hAnsi="宋体" w:eastAsia="宋体" w:cs="宋体"/>
          <w:color w:val="auto"/>
          <w:szCs w:val="21"/>
          <w:highlight w:val="none"/>
        </w:rPr>
        <w:t>符合性响应证明材料：</w:t>
      </w:r>
      <w:bookmarkEnd w:id="110"/>
      <w:bookmarkEnd w:id="111"/>
    </w:p>
    <w:p w14:paraId="406A4FBF">
      <w:pPr>
        <w:spacing w:line="360" w:lineRule="exact"/>
        <w:ind w:firstLine="420" w:firstLineChars="200"/>
        <w:rPr>
          <w:rFonts w:ascii="宋体" w:hAnsi="宋体" w:eastAsia="宋体" w:cs="宋体"/>
          <w:color w:val="auto"/>
          <w:szCs w:val="21"/>
          <w:highlight w:val="none"/>
        </w:rPr>
      </w:pPr>
      <w:bookmarkStart w:id="112" w:name="_Toc16312"/>
      <w:bookmarkStart w:id="113" w:name="_Toc2809"/>
      <w:bookmarkStart w:id="114" w:name="_Toc28932"/>
      <w:bookmarkStart w:id="115" w:name="_Hlk183597182"/>
      <w:r>
        <w:rPr>
          <w:rFonts w:hint="eastAsia" w:ascii="宋体" w:hAnsi="宋体" w:eastAsia="宋体" w:cs="宋体"/>
          <w:color w:val="auto"/>
          <w:szCs w:val="21"/>
          <w:highlight w:val="none"/>
        </w:rPr>
        <w:t>（1）响应函（格式见附件）（必须提供）</w:t>
      </w:r>
      <w:bookmarkEnd w:id="112"/>
      <w:r>
        <w:rPr>
          <w:rFonts w:hint="eastAsia" w:ascii="宋体" w:hAnsi="宋体" w:eastAsia="宋体" w:cs="宋体"/>
          <w:color w:val="auto"/>
          <w:szCs w:val="21"/>
          <w:highlight w:val="none"/>
        </w:rPr>
        <w:t>；</w:t>
      </w:r>
      <w:bookmarkEnd w:id="113"/>
      <w:bookmarkEnd w:id="114"/>
    </w:p>
    <w:p w14:paraId="4A528C4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工程报价汇总表</w:t>
      </w:r>
      <w:r>
        <w:rPr>
          <w:rFonts w:hint="eastAsia" w:ascii="宋体" w:hAnsi="宋体" w:eastAsia="宋体" w:cs="宋体"/>
          <w:color w:val="auto"/>
          <w:szCs w:val="21"/>
          <w:highlight w:val="none"/>
        </w:rPr>
        <w:t>（格式见附件）（必须提供）；</w:t>
      </w:r>
    </w:p>
    <w:p w14:paraId="06BE4410">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（3）已标价工程量清单（必须提供）；</w:t>
      </w:r>
    </w:p>
    <w:p w14:paraId="7AC1CAB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14:paraId="1CE60B5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（5）施工组织设计（根据工程量清单及工程情况自行编制）（必须提供）；</w:t>
      </w:r>
    </w:p>
    <w:p w14:paraId="718FBEC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kern w:val="0"/>
          <w:szCs w:val="21"/>
          <w:highlight w:val="none"/>
        </w:rPr>
        <w:t>工程完工服务承诺书</w:t>
      </w:r>
      <w:r>
        <w:rPr>
          <w:rFonts w:hint="eastAsia" w:ascii="宋体" w:hAnsi="宋体" w:eastAsia="宋体" w:cs="宋体"/>
          <w:color w:val="auto"/>
          <w:szCs w:val="21"/>
          <w:highlight w:val="none"/>
        </w:rPr>
        <w:t>（必须提供）；</w:t>
      </w:r>
    </w:p>
    <w:p w14:paraId="292EBE0C">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（7）</w:t>
      </w:r>
      <w:r>
        <w:rPr>
          <w:rFonts w:hint="eastAsia" w:ascii="宋体" w:hAnsi="宋体" w:eastAsia="宋体" w:cs="宋体"/>
          <w:bCs/>
          <w:color w:val="auto"/>
          <w:kern w:val="0"/>
          <w:szCs w:val="21"/>
          <w:highlight w:val="none"/>
        </w:rPr>
        <w:t>工程渣土清运承诺书</w:t>
      </w:r>
      <w:r>
        <w:rPr>
          <w:rFonts w:hint="eastAsia" w:ascii="宋体" w:hAnsi="宋体" w:eastAsia="宋体" w:cs="宋体"/>
          <w:color w:val="auto"/>
          <w:kern w:val="0"/>
          <w:szCs w:val="21"/>
          <w:highlight w:val="none"/>
        </w:rPr>
        <w:t>（必须提供）</w:t>
      </w:r>
      <w:bookmarkEnd w:id="115"/>
      <w:r>
        <w:rPr>
          <w:rFonts w:hint="eastAsia" w:ascii="宋体" w:hAnsi="宋体" w:eastAsia="宋体" w:cs="宋体"/>
          <w:color w:val="auto"/>
          <w:kern w:val="0"/>
          <w:szCs w:val="21"/>
          <w:highlight w:val="none"/>
        </w:rPr>
        <w:t>；</w:t>
      </w:r>
    </w:p>
    <w:p w14:paraId="54216163">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（8）农民工工资保证金的交纳与使用承诺书（必须提供）。</w:t>
      </w:r>
    </w:p>
    <w:p w14:paraId="242BD1C2">
      <w:pPr>
        <w:spacing w:line="360" w:lineRule="exact"/>
        <w:ind w:firstLine="420" w:firstLineChars="200"/>
        <w:outlineLvl w:val="2"/>
        <w:rPr>
          <w:rFonts w:ascii="宋体" w:hAnsi="宋体" w:eastAsia="宋体" w:cs="宋体"/>
          <w:color w:val="auto"/>
          <w:szCs w:val="21"/>
          <w:highlight w:val="none"/>
        </w:rPr>
      </w:pPr>
      <w:bookmarkStart w:id="116" w:name="_Toc24990"/>
      <w:bookmarkStart w:id="117" w:name="_Toc562"/>
      <w:r>
        <w:rPr>
          <w:rFonts w:hint="eastAsia" w:ascii="宋体" w:hAnsi="宋体" w:eastAsia="宋体" w:cs="宋体"/>
          <w:color w:val="auto"/>
          <w:szCs w:val="21"/>
          <w:highlight w:val="none"/>
        </w:rPr>
        <w:t>11.1.3其他有效证明材料</w:t>
      </w:r>
      <w:bookmarkEnd w:id="116"/>
      <w:bookmarkEnd w:id="117"/>
    </w:p>
    <w:p w14:paraId="46C1741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年1月1日以来具有同类项目的业绩相关证明材料（无不良记录，以中标、成交通知书或签订的合同为准，并能清晰反映项目的名称、采购内容、采购金额、采购时间）（如有，请提供）；</w:t>
      </w:r>
    </w:p>
    <w:p w14:paraId="4859844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bookmarkStart w:id="118" w:name="OLE_LINK5"/>
      <w:r>
        <w:rPr>
          <w:rFonts w:hint="eastAsia" w:ascii="宋体" w:hAnsi="宋体" w:eastAsia="宋体" w:cs="宋体"/>
          <w:color w:val="auto"/>
          <w:szCs w:val="21"/>
          <w:highlight w:val="none"/>
        </w:rPr>
        <w:t>供应商可结合本项目的评审办法视自身情况自行提交其它相关证明材料（如有，请提供）</w:t>
      </w:r>
      <w:bookmarkEnd w:id="118"/>
      <w:r>
        <w:rPr>
          <w:rFonts w:hint="eastAsia" w:ascii="宋体" w:hAnsi="宋体" w:eastAsia="宋体" w:cs="宋体"/>
          <w:color w:val="auto"/>
          <w:szCs w:val="21"/>
          <w:highlight w:val="none"/>
        </w:rPr>
        <w:t>。</w:t>
      </w:r>
    </w:p>
    <w:p w14:paraId="08595C3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供应商提供的以上相关证明材料必须真实有效，属于“必须提供”的文件应加盖供应商电子签章，否则，响应文件按无效处理；其中“必须提供”的文件在“第六章 响应文件（格式）”中有要求法定代表人或相应的授权委托代理人在规定位置签字（或电子签名）的，必须按要求签字（或电子签名），否则，响应文件按无效处理。</w:t>
      </w:r>
    </w:p>
    <w:p w14:paraId="1C9902B4">
      <w:pPr>
        <w:spacing w:line="36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11.</w:t>
      </w:r>
      <w:r>
        <w:rPr>
          <w:rFonts w:ascii="宋体" w:hAnsi="宋体" w:eastAsia="宋体" w:cs="宋体"/>
          <w:color w:val="auto"/>
          <w:szCs w:val="21"/>
          <w:highlight w:val="none"/>
        </w:rPr>
        <w:t>2</w:t>
      </w:r>
      <w:r>
        <w:rPr>
          <w:rFonts w:hint="eastAsia" w:ascii="宋体" w:hAnsi="宋体" w:eastAsia="宋体" w:cs="宋体"/>
          <w:color w:val="auto"/>
          <w:szCs w:val="21"/>
          <w:highlight w:val="none"/>
        </w:rPr>
        <w:t>供应商应按竞争性磋商文件第六章“响应文件（格式）”编制响应文件。</w:t>
      </w:r>
    </w:p>
    <w:p w14:paraId="6D765C79">
      <w:pPr>
        <w:spacing w:line="360" w:lineRule="exact"/>
        <w:ind w:firstLine="422" w:firstLineChars="200"/>
        <w:rPr>
          <w:rFonts w:ascii="宋体" w:hAnsi="宋体" w:eastAsia="宋体" w:cs="宋体"/>
          <w:b/>
          <w:bCs/>
          <w:color w:val="auto"/>
          <w:szCs w:val="21"/>
          <w:highlight w:val="none"/>
        </w:rPr>
      </w:pPr>
      <w:bookmarkStart w:id="119" w:name="_Toc13660"/>
      <w:bookmarkStart w:id="120" w:name="_Toc2180"/>
      <w:bookmarkStart w:id="121" w:name="_Toc14454"/>
      <w:r>
        <w:rPr>
          <w:rFonts w:hint="eastAsia" w:ascii="宋体" w:hAnsi="宋体" w:eastAsia="宋体" w:cs="宋体"/>
          <w:b/>
          <w:bCs/>
          <w:color w:val="auto"/>
          <w:szCs w:val="21"/>
          <w:highlight w:val="none"/>
        </w:rPr>
        <w:t>12. 响应文件的语言及计量</w:t>
      </w:r>
      <w:bookmarkEnd w:id="119"/>
      <w:bookmarkEnd w:id="120"/>
      <w:bookmarkEnd w:id="121"/>
    </w:p>
    <w:p w14:paraId="0816C54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462C6B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12.2磋商计量单位，磋商文件已有明确规定的，使用磋商文件规定的计量单位；磋商文件没有规定的，应采用中华人民共和国法定计量单位（货币单位：人民币元），否则视同未响应。</w:t>
      </w:r>
    </w:p>
    <w:p w14:paraId="6C20F3B4">
      <w:pPr>
        <w:spacing w:line="360" w:lineRule="exact"/>
        <w:ind w:firstLine="422" w:firstLineChars="200"/>
        <w:rPr>
          <w:rFonts w:ascii="宋体" w:hAnsi="宋体" w:eastAsia="宋体" w:cs="宋体"/>
          <w:b/>
          <w:bCs/>
          <w:color w:val="auto"/>
          <w:szCs w:val="21"/>
          <w:highlight w:val="none"/>
        </w:rPr>
      </w:pPr>
      <w:bookmarkStart w:id="122" w:name="_Toc10838"/>
      <w:bookmarkStart w:id="123" w:name="_Toc8838"/>
      <w:bookmarkStart w:id="124" w:name="_Toc3058"/>
      <w:r>
        <w:rPr>
          <w:rFonts w:hint="eastAsia" w:ascii="宋体" w:hAnsi="宋体" w:eastAsia="宋体" w:cs="宋体"/>
          <w:b/>
          <w:bCs/>
          <w:color w:val="auto"/>
          <w:szCs w:val="21"/>
          <w:highlight w:val="none"/>
        </w:rPr>
        <w:t xml:space="preserve">13. </w:t>
      </w:r>
      <w:bookmarkEnd w:id="122"/>
      <w:bookmarkEnd w:id="123"/>
      <w:bookmarkEnd w:id="124"/>
      <w:r>
        <w:rPr>
          <w:rFonts w:hint="eastAsia" w:ascii="宋体" w:hAnsi="宋体" w:eastAsia="宋体" w:cs="宋体"/>
          <w:b/>
          <w:bCs/>
          <w:color w:val="auto"/>
          <w:szCs w:val="21"/>
          <w:highlight w:val="none"/>
        </w:rPr>
        <w:t>磋商报价及采购预算金额</w:t>
      </w:r>
    </w:p>
    <w:p w14:paraId="46BA138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13.1磋商报价应按磋商文件中相关附表格式填写。</w:t>
      </w:r>
    </w:p>
    <w:p w14:paraId="75025D47">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本项目预算总造价（人民币）：</w:t>
      </w:r>
      <w:r>
        <w:rPr>
          <w:rFonts w:hint="eastAsia" w:ascii="宋体" w:hAnsi="宋体" w:eastAsia="宋体" w:cs="宋体"/>
          <w:color w:val="auto"/>
          <w:szCs w:val="21"/>
          <w:highlight w:val="none"/>
          <w:lang w:eastAsia="zh-CN"/>
        </w:rPr>
        <w:t>1846764.24</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磋商报价超过招标控制价</w:t>
      </w:r>
      <w:r>
        <w:rPr>
          <w:rFonts w:hint="eastAsia" w:ascii="宋体" w:hAnsi="宋体" w:eastAsia="宋体" w:cs="宋体"/>
          <w:color w:val="auto"/>
          <w:szCs w:val="21"/>
          <w:highlight w:val="none"/>
          <w:lang w:eastAsia="zh-CN"/>
        </w:rPr>
        <w:t>1846764.24</w:t>
      </w:r>
      <w:r>
        <w:rPr>
          <w:rFonts w:hint="eastAsia" w:ascii="宋体" w:hAnsi="宋体" w:eastAsia="宋体" w:cs="宋体"/>
          <w:color w:val="auto"/>
          <w:szCs w:val="21"/>
          <w:highlight w:val="none"/>
        </w:rPr>
        <w:t>元的，响应文件作无效处理。</w:t>
      </w:r>
    </w:p>
    <w:p w14:paraId="20CCC80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13.2供应商必须就“工程量清单”中所有内容作完整唯一报价，响应文件只允许有一个报价方案，有选择的或有条件的报价，响应文件作无效处理。</w:t>
      </w:r>
    </w:p>
    <w:p w14:paraId="44CD94E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13.3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590F490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50B10ABE">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13.4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087DEB0">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按上述勘误修正原则及方法调整或修正响应文件的磋商报价，供应商需签字确认。</w:t>
      </w:r>
    </w:p>
    <w:p w14:paraId="53E77EFD">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13.5磋商报价应包括本次采购范围内提供的服务、技术费、人工费、保险、税金、培训、版权费等全部费用，磋商供应商综合考虑在报价中。</w:t>
      </w:r>
    </w:p>
    <w:p w14:paraId="5296422E">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13.6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24FBF5A8">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13.7供应商应按磋商文件提供的工程量清单计算工程项目的综合单价和合价。清单中的每一项均需计算填写综合单价和合价，供应商没有填写综合单价和合价的项目将不予支付，并认为此项费用已包括在清单的其他综合单价和合价中。供应商在清单中多报的细目或单价、合价或总额价发包人将不予支持。</w:t>
      </w:r>
    </w:p>
    <w:p w14:paraId="465B9AF9">
      <w:pPr>
        <w:spacing w:line="360" w:lineRule="exact"/>
        <w:ind w:firstLine="422" w:firstLineChars="200"/>
        <w:rPr>
          <w:rFonts w:ascii="宋体" w:hAnsi="宋体" w:eastAsia="宋体" w:cs="宋体"/>
          <w:b/>
          <w:bCs/>
          <w:color w:val="auto"/>
          <w:szCs w:val="21"/>
          <w:highlight w:val="none"/>
        </w:rPr>
      </w:pPr>
      <w:bookmarkStart w:id="125" w:name="_Toc30554"/>
      <w:bookmarkStart w:id="126" w:name="_Toc12156"/>
      <w:bookmarkStart w:id="127" w:name="_Toc26881"/>
      <w:r>
        <w:rPr>
          <w:rFonts w:hint="eastAsia" w:ascii="宋体" w:hAnsi="宋体" w:eastAsia="宋体" w:cs="宋体"/>
          <w:b/>
          <w:bCs/>
          <w:color w:val="auto"/>
          <w:szCs w:val="21"/>
          <w:highlight w:val="none"/>
        </w:rPr>
        <w:t>14. 响应文件有效期</w:t>
      </w:r>
      <w:bookmarkEnd w:id="125"/>
      <w:bookmarkEnd w:id="126"/>
      <w:bookmarkEnd w:id="127"/>
    </w:p>
    <w:p w14:paraId="492A209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14.1响应文件有效期：响应文件递交截止时间之日起90天，有效期不足的响应文件将被拒绝。</w:t>
      </w:r>
    </w:p>
    <w:p w14:paraId="30591AA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14.2出现特殊情况下，需要延长响应文件有效期的，采购代理机构书面通知供应商延长响应文件有效期。供应商同意延长的，但不能修改响应文件。供应商拒绝延长的，其响应文件无效。</w:t>
      </w:r>
    </w:p>
    <w:p w14:paraId="22975D3F">
      <w:pPr>
        <w:spacing w:line="360" w:lineRule="exact"/>
        <w:ind w:firstLine="422" w:firstLineChars="200"/>
        <w:rPr>
          <w:rFonts w:ascii="宋体" w:hAnsi="宋体" w:eastAsia="宋体" w:cs="宋体"/>
          <w:b/>
          <w:bCs/>
          <w:color w:val="auto"/>
          <w:szCs w:val="21"/>
          <w:highlight w:val="none"/>
        </w:rPr>
      </w:pPr>
      <w:bookmarkStart w:id="128" w:name="_Toc22602"/>
      <w:bookmarkStart w:id="129" w:name="_Toc8794"/>
      <w:bookmarkStart w:id="130" w:name="_Toc20698"/>
      <w:r>
        <w:rPr>
          <w:rFonts w:hint="eastAsia" w:ascii="宋体" w:hAnsi="宋体" w:eastAsia="宋体" w:cs="宋体"/>
          <w:b/>
          <w:bCs/>
          <w:color w:val="auto"/>
          <w:szCs w:val="21"/>
          <w:highlight w:val="none"/>
        </w:rPr>
        <w:t xml:space="preserve">15. </w:t>
      </w:r>
      <w:bookmarkEnd w:id="128"/>
      <w:bookmarkEnd w:id="129"/>
      <w:bookmarkEnd w:id="130"/>
      <w:r>
        <w:rPr>
          <w:rFonts w:hint="eastAsia" w:ascii="宋体" w:hAnsi="宋体" w:eastAsia="宋体" w:cs="宋体"/>
          <w:b/>
          <w:bCs/>
          <w:color w:val="auto"/>
          <w:szCs w:val="21"/>
          <w:highlight w:val="none"/>
        </w:rPr>
        <w:t>磋商保证金</w:t>
      </w:r>
    </w:p>
    <w:p w14:paraId="780A935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本项目无须缴纳磋商保证金。</w:t>
      </w:r>
    </w:p>
    <w:p w14:paraId="5EDFCEB2">
      <w:pPr>
        <w:spacing w:line="360" w:lineRule="exact"/>
        <w:ind w:firstLine="422" w:firstLineChars="200"/>
        <w:rPr>
          <w:rFonts w:ascii="宋体" w:hAnsi="宋体" w:eastAsia="宋体" w:cs="宋体"/>
          <w:b/>
          <w:bCs/>
          <w:color w:val="auto"/>
          <w:szCs w:val="21"/>
          <w:highlight w:val="none"/>
        </w:rPr>
      </w:pPr>
      <w:bookmarkStart w:id="131" w:name="_Toc387"/>
      <w:bookmarkStart w:id="132" w:name="_Toc19182"/>
      <w:bookmarkStart w:id="133" w:name="_Toc30118"/>
      <w:r>
        <w:rPr>
          <w:rFonts w:hint="eastAsia" w:ascii="宋体" w:hAnsi="宋体" w:eastAsia="宋体" w:cs="宋体"/>
          <w:b/>
          <w:bCs/>
          <w:color w:val="auto"/>
          <w:szCs w:val="21"/>
          <w:highlight w:val="none"/>
        </w:rPr>
        <w:t>16. 响应文件的</w:t>
      </w:r>
      <w:bookmarkEnd w:id="131"/>
      <w:r>
        <w:rPr>
          <w:rFonts w:hint="eastAsia" w:ascii="宋体" w:hAnsi="宋体" w:eastAsia="宋体" w:cs="宋体"/>
          <w:b/>
          <w:bCs/>
          <w:color w:val="auto"/>
          <w:szCs w:val="21"/>
          <w:highlight w:val="none"/>
        </w:rPr>
        <w:t>制作</w:t>
      </w:r>
      <w:bookmarkEnd w:id="132"/>
      <w:bookmarkEnd w:id="133"/>
    </w:p>
    <w:p w14:paraId="67550D1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电子响应文件中须加盖供应商公章部分均采用CA签章，并根据“政府采购项目电子交易管理操作指南-供应商”及本磋商文件规定的格式和顺序编制电子响应文件并进行关联定位，以便磋商小组在评审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7FEFF24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14:paraId="3946B52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16.3响应文件不得涂改，若有修改错漏处，须法定代表人（负责人）或授权委托人签字（或个人CA签章）。响应文件因字迹潦草或表达不清所引起的后果由供应商负责。</w:t>
      </w:r>
    </w:p>
    <w:p w14:paraId="680902B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16.4磋商前准备 </w:t>
      </w:r>
    </w:p>
    <w:p w14:paraId="19E5502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16.4.1本项目实行在线磋商，采用电子响应文件。若供应商参与磋商，自行承担磋商一切费用。 </w:t>
      </w:r>
    </w:p>
    <w:p w14:paraId="72FF128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16.4.2各供应商应在截标前应确保成为广西政府采购云平台正式注册入库供应商，并完成CA数字证书申领。因未注册入库、未办理CA数字证书等原因造成无法磋商或磋商失败等后果由供应商自行承担。 </w:t>
      </w:r>
    </w:p>
    <w:p w14:paraId="545B7F0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16.4.3供应商将广西政府采购云平台新版客户端下载、安装完成后，可通过账号密码或CA登录客户端进行响应文件制作。客户端请至网站下载专区查看，如有问题可拨打政采云客户服务热线95763进行咨询。</w:t>
      </w:r>
    </w:p>
    <w:p w14:paraId="61A6C757">
      <w:pPr>
        <w:spacing w:line="360" w:lineRule="exact"/>
        <w:ind w:firstLine="422" w:firstLineChars="200"/>
        <w:rPr>
          <w:rFonts w:ascii="宋体" w:hAnsi="宋体" w:eastAsia="宋体" w:cs="宋体"/>
          <w:b/>
          <w:bCs/>
          <w:color w:val="auto"/>
          <w:szCs w:val="21"/>
          <w:highlight w:val="none"/>
        </w:rPr>
      </w:pPr>
      <w:bookmarkStart w:id="134" w:name="_Toc8793"/>
      <w:bookmarkStart w:id="135" w:name="_Toc9738"/>
      <w:r>
        <w:rPr>
          <w:rFonts w:hint="eastAsia" w:ascii="宋体" w:hAnsi="宋体" w:eastAsia="宋体" w:cs="宋体"/>
          <w:b/>
          <w:bCs/>
          <w:color w:val="auto"/>
          <w:szCs w:val="21"/>
          <w:highlight w:val="none"/>
        </w:rPr>
        <w:t>17. 响应文件的修改和撤回</w:t>
      </w:r>
      <w:bookmarkEnd w:id="134"/>
      <w:bookmarkEnd w:id="135"/>
    </w:p>
    <w:p w14:paraId="7551396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17.1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52EA2E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17.2在响应文件递交截止时间后的响应文件有效期内，供应商不得撤回其响应文件。</w:t>
      </w:r>
    </w:p>
    <w:p w14:paraId="5CF551AE">
      <w:pPr>
        <w:spacing w:line="360" w:lineRule="exact"/>
        <w:ind w:firstLine="422" w:firstLineChars="200"/>
        <w:rPr>
          <w:rFonts w:ascii="宋体" w:hAnsi="宋体" w:eastAsia="宋体" w:cs="宋体"/>
          <w:b/>
          <w:bCs/>
          <w:color w:val="auto"/>
          <w:szCs w:val="21"/>
          <w:highlight w:val="none"/>
        </w:rPr>
      </w:pPr>
      <w:bookmarkStart w:id="136" w:name="_Toc24690"/>
      <w:bookmarkStart w:id="137" w:name="_Toc30156"/>
      <w:bookmarkStart w:id="138" w:name="_Toc27281"/>
      <w:r>
        <w:rPr>
          <w:rFonts w:hint="eastAsia" w:ascii="宋体" w:hAnsi="宋体" w:eastAsia="宋体" w:cs="宋体"/>
          <w:b/>
          <w:bCs/>
          <w:color w:val="auto"/>
          <w:szCs w:val="21"/>
          <w:highlight w:val="none"/>
        </w:rPr>
        <w:t>18. 响应文件的递交和解密</w:t>
      </w:r>
      <w:bookmarkEnd w:id="136"/>
      <w:bookmarkEnd w:id="137"/>
      <w:bookmarkEnd w:id="138"/>
    </w:p>
    <w:p w14:paraId="544E2301">
      <w:pPr>
        <w:spacing w:line="360" w:lineRule="exact"/>
        <w:ind w:firstLine="420" w:firstLineChars="200"/>
        <w:rPr>
          <w:rFonts w:hint="eastAsia" w:ascii="宋体" w:hAnsi="宋体" w:eastAsia="宋体" w:cs="宋体"/>
          <w:color w:val="auto"/>
          <w:szCs w:val="21"/>
          <w:highlight w:val="none"/>
        </w:rPr>
      </w:pPr>
      <w:bookmarkStart w:id="139" w:name="_Toc2433"/>
      <w:r>
        <w:rPr>
          <w:rFonts w:hint="eastAsia" w:ascii="宋体" w:hAnsi="宋体" w:cs="宋体"/>
          <w:color w:val="auto"/>
          <w:sz w:val="21"/>
          <w:szCs w:val="21"/>
          <w:highlight w:val="none"/>
        </w:rPr>
        <w:t>18.1响应文件递交截止时间：供应商应于</w:t>
      </w:r>
      <w:r>
        <w:rPr>
          <w:rFonts w:hint="eastAsia" w:ascii="宋体" w:hAnsi="宋体" w:cs="宋体"/>
          <w:color w:val="auto"/>
          <w:sz w:val="21"/>
          <w:szCs w:val="21"/>
          <w:highlight w:val="none"/>
          <w:u w:val="single"/>
        </w:rPr>
        <w:t>20</w:t>
      </w:r>
      <w:r>
        <w:rPr>
          <w:rFonts w:hint="eastAsia" w:ascii="宋体" w:hAnsi="宋体" w:cs="宋体"/>
          <w:color w:val="auto"/>
          <w:sz w:val="21"/>
          <w:szCs w:val="21"/>
          <w:highlight w:val="none"/>
          <w:u w:val="single"/>
          <w:lang w:val="en-US" w:eastAsia="zh-CN"/>
        </w:rPr>
        <w:t>26</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1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u w:val="single"/>
          <w:lang w:eastAsia="zh-CN"/>
        </w:rPr>
        <w:t>9时00分</w:t>
      </w:r>
      <w:r>
        <w:rPr>
          <w:rFonts w:hint="eastAsia" w:ascii="宋体" w:hAnsi="宋体" w:cs="宋体"/>
          <w:color w:val="auto"/>
          <w:sz w:val="21"/>
          <w:szCs w:val="21"/>
          <w:highlight w:val="none"/>
          <w:u w:val="single"/>
        </w:rPr>
        <w:t>（北京时间）</w:t>
      </w:r>
      <w:r>
        <w:rPr>
          <w:rFonts w:hint="eastAsia" w:ascii="宋体" w:hAnsi="宋体" w:eastAsia="宋体" w:cs="宋体"/>
          <w:color w:val="auto"/>
          <w:sz w:val="21"/>
          <w:szCs w:val="21"/>
          <w:highlight w:val="none"/>
        </w:rPr>
        <w:t>之前将电子响应文件上传到广西政府采购云平台。电子响应文件应按照本项目磋商文件和广西政府采购云平台的要求编制、加密传输响应文件。供应商在使用系统进行响应的过程中遇到涉及平台使用的任何问题，可致电广西政府采购云平台技术支持热线咨询，联系方</w:t>
      </w:r>
      <w:r>
        <w:rPr>
          <w:rFonts w:hint="eastAsia" w:ascii="宋体" w:hAnsi="宋体" w:eastAsia="宋体" w:cs="宋体"/>
          <w:color w:val="auto"/>
          <w:szCs w:val="21"/>
          <w:highlight w:val="none"/>
        </w:rPr>
        <w:t>式：95763。</w:t>
      </w:r>
    </w:p>
    <w:p w14:paraId="565E9EE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18.2响应文件解密时间：截标时间后30分钟内（202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日上午</w:t>
      </w:r>
      <w:r>
        <w:rPr>
          <w:rFonts w:hint="eastAsia" w:ascii="宋体" w:hAnsi="宋体" w:eastAsia="宋体" w:cs="宋体"/>
          <w:color w:val="auto"/>
          <w:szCs w:val="21"/>
          <w:highlight w:val="none"/>
          <w:lang w:eastAsia="zh-CN"/>
        </w:rPr>
        <w:t>9时00分</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分)磋商供应商可以登录广西政府采购云平台，用“项目采购-开标评标”功能进行解密电子磋商响应文件。</w:t>
      </w:r>
    </w:p>
    <w:p w14:paraId="7CA725F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响应文件网上递交截止时间后，各供应商须在解密时限内对上传广西政府采购云平台的响应文件进行解密，所有供应商在规定的解密时限内解密完成或解密时限结束后，由采购代理机构开启已解密的响应文件。供应商超过解密时限未解密的，系统默认自动放弃，造成响应无效的后果由供应商自行承担。</w:t>
      </w:r>
    </w:p>
    <w:p w14:paraId="30FB013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除竞争性磋商文件另有规定外，供应商所递交的响应文件不予退还。</w:t>
      </w:r>
    </w:p>
    <w:p w14:paraId="393C86A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 电子响应文件的相关说明</w:t>
      </w:r>
    </w:p>
    <w:p w14:paraId="18EBAEE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供应商进行电子投标应安装客户端软件，并按照磋商文件和广西政府采购云平台的要求编制并加密响应文件。供应商未按规定加密的响应文件，广西政府采购云平台将拒收。供应商应当在磋商截止时间前完成响应文件的传输递交，并可以补充、修改或者撤回磋商响应文件。补充或者修改磋商响应文件的，应当先行撤回原文件，补充、修改后重新传输递交。磋商截止时间前未完成传输的，视为撤回响应文件。磋商截止时间后递交的响应文件，广西政府采购云平台将拒收。 </w:t>
      </w:r>
    </w:p>
    <w:p w14:paraId="0586191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11D2D249">
      <w:pPr>
        <w:spacing w:line="360" w:lineRule="exact"/>
        <w:ind w:firstLine="422" w:firstLineChars="200"/>
        <w:rPr>
          <w:rFonts w:ascii="宋体" w:hAnsi="宋体" w:eastAsia="宋体" w:cs="宋体"/>
          <w:b/>
          <w:color w:val="auto"/>
          <w:szCs w:val="21"/>
          <w:highlight w:val="none"/>
        </w:rPr>
      </w:pPr>
    </w:p>
    <w:p w14:paraId="3E4BBA6A">
      <w:pPr>
        <w:spacing w:line="360" w:lineRule="exact"/>
        <w:jc w:val="center"/>
        <w:rPr>
          <w:rFonts w:ascii="宋体" w:hAnsi="宋体" w:eastAsia="宋体" w:cs="Times New Roman"/>
          <w:b/>
          <w:bCs/>
          <w:color w:val="auto"/>
          <w:sz w:val="28"/>
          <w:szCs w:val="28"/>
          <w:highlight w:val="none"/>
        </w:rPr>
      </w:pPr>
      <w:bookmarkStart w:id="140" w:name="_Toc8366"/>
      <w:bookmarkStart w:id="141" w:name="_Toc27502"/>
      <w:bookmarkStart w:id="142" w:name="_Toc5807"/>
      <w:r>
        <w:rPr>
          <w:rFonts w:hint="eastAsia" w:ascii="宋体" w:hAnsi="宋体" w:eastAsia="宋体" w:cs="Times New Roman"/>
          <w:b/>
          <w:bCs/>
          <w:color w:val="auto"/>
          <w:sz w:val="28"/>
          <w:szCs w:val="28"/>
          <w:highlight w:val="none"/>
        </w:rPr>
        <w:t>四、竞争性磋商（简称磋商）与评审</w:t>
      </w:r>
      <w:bookmarkEnd w:id="139"/>
      <w:bookmarkEnd w:id="140"/>
      <w:bookmarkEnd w:id="141"/>
      <w:bookmarkEnd w:id="142"/>
    </w:p>
    <w:p w14:paraId="4E14E789">
      <w:pPr>
        <w:spacing w:line="360" w:lineRule="exact"/>
        <w:ind w:firstLine="422" w:firstLineChars="200"/>
        <w:rPr>
          <w:rFonts w:ascii="宋体" w:hAnsi="宋体" w:eastAsia="宋体" w:cs="宋体"/>
          <w:b/>
          <w:bCs/>
          <w:color w:val="auto"/>
          <w:szCs w:val="21"/>
          <w:highlight w:val="none"/>
        </w:rPr>
      </w:pPr>
      <w:bookmarkStart w:id="143" w:name="_Toc11021"/>
      <w:bookmarkStart w:id="144" w:name="_Toc31588"/>
      <w:bookmarkStart w:id="145" w:name="_Toc9080"/>
      <w:r>
        <w:rPr>
          <w:rFonts w:hint="eastAsia" w:ascii="宋体" w:hAnsi="宋体" w:eastAsia="宋体" w:cs="宋体"/>
          <w:b/>
          <w:bCs/>
          <w:color w:val="auto"/>
          <w:szCs w:val="21"/>
          <w:highlight w:val="none"/>
        </w:rPr>
        <w:t>19. 磋商小组组成及磋商时间、地点、人员</w:t>
      </w:r>
      <w:bookmarkEnd w:id="143"/>
      <w:bookmarkEnd w:id="144"/>
      <w:bookmarkEnd w:id="145"/>
    </w:p>
    <w:p w14:paraId="68CCFFD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19.1磋商小组组成：</w:t>
      </w:r>
    </w:p>
    <w:p w14:paraId="7E6BC35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磋商及评审工作由采购代理机构负责组织，具体磋商、评审工作由依法组建的磋商小组负责，磋商小组由采购人代表和评审专家组成。磋商小组的构成：3人，其中采购人代表1人，评审专家2人。</w:t>
      </w:r>
    </w:p>
    <w:p w14:paraId="0BE48B3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19.2磋商时间、地点、人员：</w:t>
      </w:r>
    </w:p>
    <w:p w14:paraId="6EC71812">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19.2.1磋商时间：响应文件递交截止时间后。</w:t>
      </w:r>
    </w:p>
    <w:p w14:paraId="496FF92E">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19.2.2磋商地点：供应商代表在响应文件提交当天实时登录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73AE5564">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19.2.3磋商参加人员：供应商法定代表人、负责人、自然人或相应的委托代理人参加磋商。请供应商实时登录广西政府采购云平台等候在线磋商。</w:t>
      </w:r>
    </w:p>
    <w:p w14:paraId="09F5187E">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19.2.4响应文件递交截止时间后，登录广西政府采购云平台在线解密开启。</w:t>
      </w:r>
    </w:p>
    <w:p w14:paraId="1E0DA0F4">
      <w:pPr>
        <w:spacing w:line="360" w:lineRule="exact"/>
        <w:ind w:firstLine="422" w:firstLineChars="200"/>
        <w:rPr>
          <w:rFonts w:ascii="宋体" w:hAnsi="宋体" w:eastAsia="宋体" w:cs="宋体"/>
          <w:b/>
          <w:bCs/>
          <w:color w:val="auto"/>
          <w:szCs w:val="21"/>
          <w:highlight w:val="none"/>
        </w:rPr>
      </w:pPr>
      <w:bookmarkStart w:id="146" w:name="_Toc25258"/>
      <w:bookmarkStart w:id="147" w:name="_Toc21088"/>
      <w:bookmarkStart w:id="148" w:name="_Toc30573"/>
      <w:r>
        <w:rPr>
          <w:rFonts w:hint="eastAsia" w:ascii="宋体" w:hAnsi="宋体" w:eastAsia="宋体" w:cs="宋体"/>
          <w:b/>
          <w:bCs/>
          <w:color w:val="auto"/>
          <w:szCs w:val="21"/>
          <w:highlight w:val="none"/>
        </w:rPr>
        <w:t>20. 评审原则</w:t>
      </w:r>
      <w:bookmarkEnd w:id="146"/>
      <w:bookmarkEnd w:id="147"/>
      <w:bookmarkEnd w:id="148"/>
    </w:p>
    <w:p w14:paraId="09FA0B8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20.1磋商小组必须坚持公平、公正、科学和择优的原则。</w:t>
      </w:r>
    </w:p>
    <w:p w14:paraId="3944A48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20.2评审办法：具体详见第四章评审办法。</w:t>
      </w:r>
    </w:p>
    <w:p w14:paraId="4101FFE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20.3磋商小组应按磋商文件进行评审，不得擅自更改评审办法。</w:t>
      </w:r>
    </w:p>
    <w:p w14:paraId="6DB03A8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20.4在评审过程中，磋商小组任何人不得对某个供应商发表任何倾向性意见，不得向其他磋商小组成员明示或者暗示自己的评审意见。</w:t>
      </w:r>
    </w:p>
    <w:p w14:paraId="63B0568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20.5磋商小组成员对需要共同认定的事项存在争议的，按照少数服从多数的原则作出结论。持不同意见的磋商小组成员应当在评审报告上签署不同意见并说明理由，否则视为同意。</w:t>
      </w:r>
    </w:p>
    <w:p w14:paraId="49A840B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20.6响应文件最后报价出现前后不一致的，除竞争性磋商文件另有规定外，按照下列规定修正：</w:t>
      </w:r>
    </w:p>
    <w:p w14:paraId="3640C55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(1)响应文件中磋商报价表内容与响应文件中相应内容不一致的，以最后磋商报价表为准；</w:t>
      </w:r>
    </w:p>
    <w:p w14:paraId="0DCFE48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1467BC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CA0D32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D6E81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2E5422BF">
      <w:pPr>
        <w:spacing w:line="360" w:lineRule="exact"/>
        <w:ind w:firstLine="422" w:firstLineChars="200"/>
        <w:rPr>
          <w:rFonts w:ascii="宋体" w:hAnsi="宋体" w:eastAsia="宋体" w:cs="宋体"/>
          <w:b/>
          <w:bCs/>
          <w:color w:val="auto"/>
          <w:szCs w:val="21"/>
          <w:highlight w:val="none"/>
        </w:rPr>
      </w:pPr>
      <w:bookmarkStart w:id="149" w:name="_Toc27193"/>
      <w:bookmarkStart w:id="150" w:name="_Toc21012"/>
      <w:bookmarkStart w:id="151" w:name="_Toc17285"/>
      <w:r>
        <w:rPr>
          <w:rFonts w:hint="eastAsia" w:ascii="宋体" w:hAnsi="宋体" w:eastAsia="宋体" w:cs="宋体"/>
          <w:b/>
          <w:bCs/>
          <w:color w:val="auto"/>
          <w:szCs w:val="21"/>
          <w:highlight w:val="none"/>
        </w:rPr>
        <w:t>21. 评审程序及磋商要求</w:t>
      </w:r>
      <w:bookmarkEnd w:id="149"/>
      <w:bookmarkEnd w:id="150"/>
      <w:bookmarkEnd w:id="151"/>
    </w:p>
    <w:p w14:paraId="234F735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21.1磋商小组成员的通讯工具或相关电子设备交由</w:t>
      </w:r>
      <w:r>
        <w:rPr>
          <w:rFonts w:hint="eastAsia" w:ascii="宋体" w:hAnsi="宋体" w:eastAsia="宋体" w:cs="宋体"/>
          <w:color w:val="auto"/>
          <w:szCs w:val="21"/>
          <w:highlight w:val="none"/>
          <w:lang w:val="en-US" w:eastAsia="zh-CN"/>
        </w:rPr>
        <w:t>荔浦</w:t>
      </w:r>
      <w:r>
        <w:rPr>
          <w:rFonts w:hint="eastAsia" w:ascii="宋体" w:hAnsi="宋体" w:eastAsia="宋体" w:cs="宋体"/>
          <w:color w:val="auto"/>
          <w:szCs w:val="21"/>
          <w:highlight w:val="none"/>
        </w:rPr>
        <w:t>林市公共资源交易中心统一保管后到达评标室，采购代理机构核实磋商小组成员身份，告知回避要求，宣布评审工作纪律和程序，推选磋商小组组长。</w:t>
      </w:r>
    </w:p>
    <w:p w14:paraId="4486085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w:t>
      </w:r>
      <w:r>
        <w:rPr>
          <w:rFonts w:hint="eastAsia" w:ascii="宋体" w:hAnsi="宋体" w:eastAsia="宋体" w:cs="宋体"/>
          <w:color w:val="auto"/>
          <w:kern w:val="0"/>
          <w:szCs w:val="21"/>
          <w:highlight w:val="none"/>
        </w:rPr>
        <w:t>磋商小组应当审查供应商的响应文件并作出评价；要求供应商解释或者澄清其响应文件；编写评审报告；告知采购人、采购代理机构在评审过程中发现的供应商的违法违规行为。</w:t>
      </w:r>
    </w:p>
    <w:p w14:paraId="3FBC91C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w:t>
      </w:r>
      <w:r>
        <w:rPr>
          <w:rFonts w:hint="eastAsia" w:ascii="宋体" w:hAnsi="宋体" w:eastAsia="宋体" w:cs="宋体"/>
          <w:color w:val="auto"/>
          <w:kern w:val="0"/>
          <w:szCs w:val="21"/>
          <w:highlight w:val="none"/>
        </w:rPr>
        <w:t>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Cs w:val="21"/>
          <w:highlight w:val="none"/>
        </w:rPr>
        <w:t xml:space="preserve"> </w:t>
      </w:r>
    </w:p>
    <w:p w14:paraId="56E4B4C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21.4磋商小组在对供应商进行资格性审查时，将对供应商企业股东及出资等信息进行查询。根据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7E367A0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21.4.1查询渠道：《国家企业信用信息公示系统》（网址：www.gsxt.gov.cn/index.html）</w:t>
      </w:r>
    </w:p>
    <w:p w14:paraId="7E753A5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21.4.2审查流程：</w:t>
      </w:r>
    </w:p>
    <w:p w14:paraId="35E9677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6EE1A37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011070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7DB6EB0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4370179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70AC81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21.5磋商小组如发现供应商提供的证明文件不齐全或不符合规定格式的，应一次性告知供应商，供应商应在规定的时间内线上补正或更正。</w:t>
      </w:r>
    </w:p>
    <w:p w14:paraId="7146F18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自然人）或相应的授权委托代表签字（个人CA签章)或者加盖供应商公章(CA签章)。</w:t>
      </w:r>
    </w:p>
    <w:p w14:paraId="6A04A0F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1DDEFBD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376A1D0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07B7261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磋商小组对磋商过程和重要磋商内容进行记录，磋商双方在记录上签字确认（或电子签名、加盖电子签章）。</w:t>
      </w:r>
    </w:p>
    <w:p w14:paraId="6E9EEAA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21.7在磋商过程中，磋商小组可以根据磋商文件和磋商情况实质性变动项目需求中的技术、服务要求以及合同草案条款，但不得变动磋商文件中的其他内容。实质性变动的内容，须经采购人代表确认。 </w:t>
      </w:r>
    </w:p>
    <w:p w14:paraId="70C9FEE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对磋商文件作出的实质性变动是磋商文件的有效组成部分，磋商小组应当及时通过广西政府采购云平台同时通知所有参加磋商的供应商。 </w:t>
      </w:r>
    </w:p>
    <w:p w14:paraId="744E432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47630FB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21.8最后报价</w:t>
      </w:r>
    </w:p>
    <w:p w14:paraId="3D250E6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21.8.1磋商文件能够详细列明采购标的的质量要求的，磋商结束后，磋商小组应当要求所有继续参加磋商的供应商在规定时间内线上提交最后报价，提交最后报价的供应商不得少于</w:t>
      </w:r>
      <w:r>
        <w:rPr>
          <w:rFonts w:ascii="宋体" w:hAnsi="宋体" w:eastAsia="宋体" w:cs="宋体"/>
          <w:color w:val="auto"/>
          <w:szCs w:val="21"/>
          <w:highlight w:val="none"/>
        </w:rPr>
        <w:t>3</w:t>
      </w:r>
      <w:r>
        <w:rPr>
          <w:rFonts w:hint="eastAsia" w:ascii="宋体" w:hAnsi="宋体" w:eastAsia="宋体" w:cs="宋体"/>
          <w:color w:val="auto"/>
          <w:szCs w:val="21"/>
          <w:highlight w:val="none"/>
        </w:rPr>
        <w:t xml:space="preserve">家。 </w:t>
      </w:r>
    </w:p>
    <w:p w14:paraId="267D841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21.8.2磋商文件不能详细列明采购标的的施工要求，需经磋商由供应商提供最终设计方案或解决方案的，磋商结束后，磋商小组应当按照少数服从多数的原则投票推荐</w:t>
      </w:r>
      <w:r>
        <w:rPr>
          <w:rFonts w:ascii="宋体" w:hAnsi="宋体" w:eastAsia="宋体" w:cs="宋体"/>
          <w:color w:val="auto"/>
          <w:szCs w:val="21"/>
          <w:highlight w:val="none"/>
        </w:rPr>
        <w:t>3</w:t>
      </w:r>
      <w:r>
        <w:rPr>
          <w:rFonts w:hint="eastAsia" w:ascii="宋体" w:hAnsi="宋体" w:eastAsia="宋体" w:cs="宋体"/>
          <w:color w:val="auto"/>
          <w:szCs w:val="21"/>
          <w:highlight w:val="none"/>
        </w:rPr>
        <w:t>家以上（含</w:t>
      </w:r>
      <w:r>
        <w:rPr>
          <w:rFonts w:ascii="宋体" w:hAnsi="宋体" w:eastAsia="宋体" w:cs="宋体"/>
          <w:color w:val="auto"/>
          <w:szCs w:val="21"/>
          <w:highlight w:val="none"/>
        </w:rPr>
        <w:t>3</w:t>
      </w:r>
      <w:r>
        <w:rPr>
          <w:rFonts w:hint="eastAsia" w:ascii="宋体" w:hAnsi="宋体" w:eastAsia="宋体" w:cs="宋体"/>
          <w:color w:val="auto"/>
          <w:szCs w:val="21"/>
          <w:highlight w:val="none"/>
        </w:rPr>
        <w:t xml:space="preserve">家）供应商的设计方案或者解决方案，并要求其在规定时间内线上提交最后报价。 </w:t>
      </w:r>
    </w:p>
    <w:p w14:paraId="22A650D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21.8.3</w:t>
      </w:r>
      <w:r>
        <w:rPr>
          <w:rFonts w:hint="eastAsia" w:ascii="宋体" w:hAnsi="宋体" w:eastAsia="宋体" w:cs="宋体"/>
          <w:color w:val="auto"/>
          <w:kern w:val="0"/>
          <w:szCs w:val="21"/>
          <w:highlight w:val="none"/>
        </w:rPr>
        <w:t>最后报价（应答文件）是供应商响应文件的有效组成部分。</w:t>
      </w:r>
    </w:p>
    <w:p w14:paraId="49533DD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21.8.4根据《财政部关于政府采购竞争性磋商采购方式管理暂行办法有关问题的补充通知》(财库〔2014〕214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w:t>
      </w: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家的，采购人或者采购代理机构应当终止竞争性磋商采购活动，发布项目终止公告并说明原因，重新开展采购活动。 </w:t>
      </w:r>
    </w:p>
    <w:p w14:paraId="2E701945">
      <w:pPr>
        <w:spacing w:line="36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21.8.5根据《政府采购竞争性磋商采购方式管理暂行办法》(财库〔2014〕214号)的规定：最后报价是供应商响应文件的有效组成部分。符合本办法(财库〔2014〕214号文)第三条第四项情形的，提交最后报价的供应商可以为2家。（财库〔2014〕214号文第三条第四项：市场竞争不充分的科研项目，以及需要扶持的科技成果转化项目。）</w:t>
      </w:r>
    </w:p>
    <w:p w14:paraId="131A091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21.9已提交响应文件的供应商，在提交最后报价之前，可以根据磋商情况书面退出磋商。 </w:t>
      </w:r>
    </w:p>
    <w:p w14:paraId="057191E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未书面退出磋商的供应商在规定时间内线上提交最后报价，其最后报价超出采购预算导致已通过评审的响应文件无效的，按供应商在提交响应文件截止时间后撤回响应文件处理。 </w:t>
      </w:r>
    </w:p>
    <w:p w14:paraId="6C0A672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21.10评审报告 </w:t>
      </w:r>
    </w:p>
    <w:p w14:paraId="2F5AE48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5159494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w:t>
      </w:r>
      <w:r>
        <w:rPr>
          <w:rFonts w:ascii="宋体" w:hAnsi="宋体" w:eastAsia="宋体" w:cs="宋体"/>
          <w:color w:val="auto"/>
          <w:szCs w:val="21"/>
          <w:highlight w:val="none"/>
        </w:rPr>
        <w:t>1</w:t>
      </w:r>
      <w:r>
        <w:rPr>
          <w:rFonts w:hint="eastAsia" w:ascii="宋体" w:hAnsi="宋体" w:eastAsia="宋体" w:cs="宋体"/>
          <w:color w:val="auto"/>
          <w:szCs w:val="21"/>
          <w:highlight w:val="none"/>
        </w:rPr>
        <w:t xml:space="preserve">在评审过程中出现法律法规和磋商文件均没有明确规定的情形时，由磋商小组现场协商解决，协商不一致的，由全体磋商小组投票表决，以得票率二分之一以上磋商小组成员的意见为准。 </w:t>
      </w:r>
    </w:p>
    <w:p w14:paraId="15617F3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21.12采购代理机构发现磋商小组有明显的违规倾向或歧视现象，或不按评审办法进行，或其他不正常行为的，应当及时制止。如制止无效，应及时向政府采购监督管理机构报告。</w:t>
      </w:r>
    </w:p>
    <w:p w14:paraId="521BA1FE">
      <w:pPr>
        <w:spacing w:line="360" w:lineRule="exact"/>
        <w:ind w:firstLine="422" w:firstLineChars="200"/>
        <w:rPr>
          <w:rFonts w:ascii="宋体" w:hAnsi="宋体" w:eastAsia="宋体" w:cs="宋体"/>
          <w:b/>
          <w:bCs/>
          <w:color w:val="auto"/>
          <w:szCs w:val="21"/>
          <w:highlight w:val="none"/>
        </w:rPr>
      </w:pPr>
      <w:bookmarkStart w:id="152" w:name="_Toc12420"/>
      <w:bookmarkStart w:id="153" w:name="_Toc32470"/>
      <w:bookmarkStart w:id="154" w:name="_Toc18722"/>
      <w:r>
        <w:rPr>
          <w:rFonts w:hint="eastAsia" w:ascii="宋体" w:hAnsi="宋体" w:eastAsia="宋体" w:cs="宋体"/>
          <w:b/>
          <w:bCs/>
          <w:color w:val="auto"/>
          <w:szCs w:val="21"/>
          <w:highlight w:val="none"/>
        </w:rPr>
        <w:t>22. 确定成交供应商</w:t>
      </w:r>
      <w:bookmarkEnd w:id="152"/>
      <w:bookmarkEnd w:id="153"/>
      <w:bookmarkEnd w:id="154"/>
    </w:p>
    <w:p w14:paraId="23DA864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14:paraId="1500143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（2）采购人应当确定磋商小组推荐排名第一的成交候选供应商为成交供应商。</w:t>
      </w:r>
    </w:p>
    <w:p w14:paraId="0879C83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5FF8C8C6">
      <w:pPr>
        <w:spacing w:line="360" w:lineRule="exact"/>
        <w:ind w:firstLine="422" w:firstLineChars="200"/>
        <w:rPr>
          <w:rFonts w:ascii="宋体" w:hAnsi="宋体" w:eastAsia="宋体" w:cs="宋体"/>
          <w:b/>
          <w:bCs/>
          <w:color w:val="auto"/>
          <w:szCs w:val="21"/>
          <w:highlight w:val="none"/>
        </w:rPr>
      </w:pPr>
      <w:bookmarkStart w:id="155" w:name="_Toc15332"/>
      <w:bookmarkStart w:id="156" w:name="_Toc14882"/>
      <w:bookmarkStart w:id="157" w:name="_Toc21715"/>
      <w:r>
        <w:rPr>
          <w:rFonts w:hint="eastAsia" w:ascii="宋体" w:hAnsi="宋体" w:eastAsia="宋体" w:cs="宋体"/>
          <w:b/>
          <w:bCs/>
          <w:color w:val="auto"/>
          <w:szCs w:val="21"/>
          <w:highlight w:val="none"/>
        </w:rPr>
        <w:t>23. 属于下列情况之一者，响应文件无效</w:t>
      </w:r>
      <w:bookmarkEnd w:id="155"/>
      <w:bookmarkEnd w:id="156"/>
      <w:bookmarkEnd w:id="157"/>
    </w:p>
    <w:p w14:paraId="1B1389D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（1）未按磋商文件规定完整线上提交响应文件或未按规定要求线上签字、签章的；</w:t>
      </w:r>
    </w:p>
    <w:p w14:paraId="1C64E9E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6388306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）响应文件未按磋商文件的内容和要求编制，或提供虚假材料的；</w:t>
      </w:r>
    </w:p>
    <w:p w14:paraId="3519402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）响应文件有效期、质量要求、工期要求不能满足磋商文件要求的；</w:t>
      </w:r>
    </w:p>
    <w:p w14:paraId="4C00457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w:t>
      </w:r>
      <w:r>
        <w:rPr>
          <w:rFonts w:hint="eastAsia" w:ascii="宋体" w:hAnsi="宋体" w:eastAsia="宋体" w:cs="宋体"/>
          <w:color w:val="auto"/>
          <w:szCs w:val="21"/>
          <w:highlight w:val="none"/>
        </w:rPr>
        <w:t>）供应商未就“工程量清单”中的所有内容作完整唯一报价的，或报价超出采购预算金额的；</w:t>
      </w:r>
    </w:p>
    <w:p w14:paraId="0BC84B4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w:t>
      </w:r>
      <w:r>
        <w:rPr>
          <w:rFonts w:hint="eastAsia" w:ascii="宋体" w:hAnsi="宋体" w:eastAsia="宋体" w:cs="宋体"/>
          <w:color w:val="auto"/>
          <w:szCs w:val="21"/>
          <w:highlight w:val="none"/>
        </w:rPr>
        <w:t>）未在磋商小组规定的时间内提交响应文件(包括最后报价)的；</w:t>
      </w:r>
    </w:p>
    <w:p w14:paraId="566173E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w:t>
      </w:r>
      <w:r>
        <w:rPr>
          <w:rFonts w:hint="eastAsia" w:ascii="宋体" w:hAnsi="宋体" w:eastAsia="宋体" w:cs="宋体"/>
          <w:color w:val="auto"/>
          <w:szCs w:val="21"/>
          <w:highlight w:val="none"/>
        </w:rPr>
        <w:t>）超越了按照法律法规规定必须获得行政许可或者行政审批的经营范围的；</w:t>
      </w:r>
    </w:p>
    <w:p w14:paraId="6F0D892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8</w:t>
      </w:r>
      <w:r>
        <w:rPr>
          <w:rFonts w:hint="eastAsia" w:ascii="宋体" w:hAnsi="宋体" w:eastAsia="宋体" w:cs="宋体"/>
          <w:color w:val="auto"/>
          <w:szCs w:val="21"/>
          <w:highlight w:val="none"/>
        </w:rPr>
        <w:t>）未满足磋商文件实质性要求的或者响应文件有采购人不能接受的附加条件的；</w:t>
      </w:r>
    </w:p>
    <w:p w14:paraId="6150422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9</w:t>
      </w:r>
      <w:r>
        <w:rPr>
          <w:rFonts w:hint="eastAsia" w:ascii="宋体" w:hAnsi="宋体" w:eastAsia="宋体" w:cs="宋体"/>
          <w:color w:val="auto"/>
          <w:szCs w:val="21"/>
          <w:highlight w:val="none"/>
        </w:rPr>
        <w:t>）响应文件实质性要求未做变动，供应商最后报价高于第一次报价的；</w:t>
      </w:r>
    </w:p>
    <w:p w14:paraId="1D9465D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0</w:t>
      </w:r>
      <w:r>
        <w:rPr>
          <w:rFonts w:hint="eastAsia" w:ascii="宋体" w:hAnsi="宋体" w:eastAsia="宋体" w:cs="宋体"/>
          <w:color w:val="auto"/>
          <w:szCs w:val="21"/>
          <w:highlight w:val="none"/>
        </w:rPr>
        <w:t>）不符合法律、法规和磋商文件规定的其他实质性要求和条件的。</w:t>
      </w:r>
    </w:p>
    <w:p w14:paraId="27BEE929">
      <w:pPr>
        <w:spacing w:line="3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1F981D8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622028F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40F4DDE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371840A7">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（4）不同供应商的响应文件异常一致或竞标报价呈规律性差异；</w:t>
      </w:r>
    </w:p>
    <w:p w14:paraId="58661AA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（5）不同供应商的响应文件相互混装的。</w:t>
      </w:r>
    </w:p>
    <w:p w14:paraId="0C3EA593">
      <w:pPr>
        <w:spacing w:line="360" w:lineRule="exact"/>
        <w:ind w:firstLine="422" w:firstLineChars="200"/>
        <w:rPr>
          <w:rFonts w:ascii="宋体" w:hAnsi="宋体" w:eastAsia="宋体" w:cs="宋体"/>
          <w:b/>
          <w:bCs/>
          <w:color w:val="auto"/>
          <w:szCs w:val="21"/>
          <w:highlight w:val="none"/>
        </w:rPr>
      </w:pPr>
      <w:bookmarkStart w:id="158" w:name="_Toc27786"/>
      <w:bookmarkStart w:id="159" w:name="_Toc7715"/>
      <w:bookmarkStart w:id="160" w:name="_Toc5714"/>
      <w:r>
        <w:rPr>
          <w:rFonts w:hint="eastAsia" w:ascii="宋体" w:hAnsi="宋体" w:eastAsia="宋体" w:cs="宋体"/>
          <w:b/>
          <w:bCs/>
          <w:color w:val="auto"/>
          <w:szCs w:val="21"/>
          <w:highlight w:val="none"/>
        </w:rPr>
        <w:t>24. 出现下列情形之一的，采购人或者采购代理机构应当终止竞争性磋商采购活动，发布项目终止公告并说明原因，重新开展采购活动</w:t>
      </w:r>
      <w:bookmarkEnd w:id="158"/>
      <w:bookmarkEnd w:id="159"/>
      <w:bookmarkEnd w:id="160"/>
    </w:p>
    <w:p w14:paraId="00B97A6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68388D7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3CB6CF13">
      <w:pPr>
        <w:spacing w:line="360" w:lineRule="exact"/>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 xml:space="preserve">（3）在采购过程中符合竞争要求的供应商或者报价未超过采购预算的供应商不足3家的。（除财库〔2014〕214 号《政府采购竞争性磋商采购方式管理暂行办法》第二十一条第三款规定的情形外） </w:t>
      </w:r>
    </w:p>
    <w:p w14:paraId="0002C46C">
      <w:pPr>
        <w:spacing w:line="360" w:lineRule="exact"/>
        <w:ind w:firstLine="422" w:firstLineChars="200"/>
        <w:rPr>
          <w:rFonts w:ascii="宋体" w:hAnsi="宋体" w:eastAsia="宋体" w:cs="宋体"/>
          <w:b/>
          <w:bCs/>
          <w:color w:val="auto"/>
          <w:szCs w:val="21"/>
          <w:highlight w:val="none"/>
        </w:rPr>
      </w:pPr>
      <w:bookmarkStart w:id="161" w:name="_Toc19105"/>
      <w:bookmarkStart w:id="162" w:name="_Toc22405"/>
      <w:bookmarkStart w:id="163" w:name="_Toc19910"/>
      <w:r>
        <w:rPr>
          <w:rFonts w:hint="eastAsia" w:ascii="宋体" w:hAnsi="宋体" w:eastAsia="宋体" w:cs="宋体"/>
          <w:b/>
          <w:bCs/>
          <w:color w:val="auto"/>
          <w:szCs w:val="21"/>
          <w:highlight w:val="none"/>
        </w:rPr>
        <w:t>25. 磋商过程的监控</w:t>
      </w:r>
      <w:bookmarkEnd w:id="161"/>
      <w:bookmarkEnd w:id="162"/>
      <w:bookmarkEnd w:id="163"/>
    </w:p>
    <w:p w14:paraId="306ACD2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49B51BD3">
      <w:pPr>
        <w:numPr>
          <w:ilvl w:val="0"/>
          <w:numId w:val="2"/>
        </w:numPr>
        <w:spacing w:line="360" w:lineRule="exact"/>
        <w:ind w:firstLine="422" w:firstLineChars="200"/>
        <w:rPr>
          <w:rFonts w:ascii="宋体" w:hAnsi="宋体" w:eastAsia="宋体" w:cs="宋体"/>
          <w:b/>
          <w:bCs/>
          <w:color w:val="auto"/>
          <w:szCs w:val="21"/>
          <w:highlight w:val="none"/>
        </w:rPr>
      </w:pPr>
      <w:bookmarkStart w:id="164" w:name="_Toc14787"/>
      <w:bookmarkStart w:id="165" w:name="_Toc26291"/>
      <w:bookmarkStart w:id="166" w:name="_Toc865"/>
      <w:r>
        <w:rPr>
          <w:rFonts w:hint="eastAsia" w:ascii="宋体" w:hAnsi="宋体" w:eastAsia="宋体" w:cs="宋体"/>
          <w:b/>
          <w:bCs/>
          <w:color w:val="auto"/>
          <w:szCs w:val="21"/>
          <w:highlight w:val="none"/>
        </w:rPr>
        <w:t>信用查询</w:t>
      </w:r>
      <w:bookmarkEnd w:id="164"/>
      <w:bookmarkEnd w:id="165"/>
      <w:bookmarkEnd w:id="166"/>
    </w:p>
    <w:p w14:paraId="26CB80E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3264135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w:t>
      </w:r>
    </w:p>
    <w:p w14:paraId="51B0EC9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6886778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14E892D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47D0281">
      <w:pPr>
        <w:spacing w:line="360" w:lineRule="exact"/>
        <w:ind w:firstLine="422" w:firstLineChars="200"/>
        <w:rPr>
          <w:rFonts w:ascii="宋体" w:hAnsi="宋体" w:eastAsia="宋体" w:cs="宋体"/>
          <w:b/>
          <w:bCs/>
          <w:color w:val="auto"/>
          <w:szCs w:val="21"/>
          <w:highlight w:val="none"/>
        </w:rPr>
      </w:pPr>
      <w:bookmarkStart w:id="167" w:name="_Toc7989"/>
      <w:bookmarkStart w:id="168" w:name="_Toc9438"/>
      <w:bookmarkStart w:id="169" w:name="_Toc25468"/>
      <w:r>
        <w:rPr>
          <w:rFonts w:hint="eastAsia" w:ascii="宋体" w:hAnsi="宋体" w:eastAsia="宋体" w:cs="宋体"/>
          <w:b/>
          <w:bCs/>
          <w:color w:val="auto"/>
          <w:szCs w:val="21"/>
          <w:highlight w:val="none"/>
        </w:rPr>
        <w:t>27. 成交公告及成交通知书</w:t>
      </w:r>
      <w:bookmarkEnd w:id="167"/>
      <w:bookmarkEnd w:id="168"/>
      <w:bookmarkEnd w:id="169"/>
    </w:p>
    <w:p w14:paraId="50D9843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4EDC40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27.2在发布成交公告的同时，采购代理机构通过广西政府采购云平台线上向成交供应商发出电子成交通知书，成交供应商应自行登录广西政府采购云平台查收。</w:t>
      </w:r>
    </w:p>
    <w:p w14:paraId="70F116A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27.3采购代理机构无义务向未成交的供应商解释未成交原因和退还响应文件。</w:t>
      </w:r>
    </w:p>
    <w:p w14:paraId="4BE90B9F">
      <w:pPr>
        <w:spacing w:line="360" w:lineRule="exact"/>
        <w:ind w:firstLine="422" w:firstLineChars="200"/>
        <w:rPr>
          <w:rFonts w:ascii="宋体" w:hAnsi="宋体" w:eastAsia="宋体" w:cs="宋体"/>
          <w:b/>
          <w:color w:val="auto"/>
          <w:szCs w:val="21"/>
          <w:highlight w:val="none"/>
        </w:rPr>
      </w:pPr>
      <w:bookmarkStart w:id="170" w:name="_Toc25593"/>
    </w:p>
    <w:p w14:paraId="45D13035">
      <w:pPr>
        <w:spacing w:line="360" w:lineRule="exact"/>
        <w:jc w:val="center"/>
        <w:rPr>
          <w:rFonts w:ascii="宋体" w:hAnsi="宋体" w:eastAsia="宋体" w:cs="Times New Roman"/>
          <w:b/>
          <w:bCs/>
          <w:color w:val="auto"/>
          <w:sz w:val="28"/>
          <w:szCs w:val="28"/>
          <w:highlight w:val="none"/>
        </w:rPr>
      </w:pPr>
      <w:bookmarkStart w:id="171" w:name="_Toc24102"/>
      <w:bookmarkStart w:id="172" w:name="_Toc6429"/>
      <w:bookmarkStart w:id="173" w:name="_Toc14132"/>
      <w:r>
        <w:rPr>
          <w:rFonts w:hint="eastAsia" w:ascii="宋体" w:hAnsi="宋体" w:eastAsia="宋体" w:cs="Times New Roman"/>
          <w:b/>
          <w:bCs/>
          <w:color w:val="auto"/>
          <w:sz w:val="28"/>
          <w:szCs w:val="28"/>
          <w:highlight w:val="none"/>
        </w:rPr>
        <w:t>五、签订合同</w:t>
      </w:r>
      <w:bookmarkEnd w:id="170"/>
      <w:bookmarkEnd w:id="171"/>
      <w:bookmarkEnd w:id="172"/>
      <w:bookmarkEnd w:id="173"/>
    </w:p>
    <w:p w14:paraId="2B96959A">
      <w:pPr>
        <w:spacing w:line="360" w:lineRule="exact"/>
        <w:ind w:firstLine="422" w:firstLineChars="200"/>
        <w:rPr>
          <w:rFonts w:ascii="宋体" w:hAnsi="宋体" w:eastAsia="宋体" w:cs="宋体"/>
          <w:b/>
          <w:bCs/>
          <w:color w:val="auto"/>
          <w:szCs w:val="21"/>
          <w:highlight w:val="none"/>
        </w:rPr>
      </w:pPr>
      <w:bookmarkStart w:id="174" w:name="_Toc1032"/>
      <w:bookmarkStart w:id="175" w:name="_Toc26520"/>
      <w:bookmarkStart w:id="176" w:name="_Toc4019"/>
      <w:r>
        <w:rPr>
          <w:rFonts w:hint="eastAsia" w:ascii="宋体" w:hAnsi="宋体" w:eastAsia="宋体" w:cs="宋体"/>
          <w:b/>
          <w:bCs/>
          <w:color w:val="auto"/>
          <w:szCs w:val="21"/>
          <w:highlight w:val="none"/>
        </w:rPr>
        <w:t>28. 履约保证金</w:t>
      </w:r>
      <w:bookmarkEnd w:id="174"/>
      <w:bookmarkEnd w:id="175"/>
      <w:bookmarkEnd w:id="176"/>
    </w:p>
    <w:p w14:paraId="66DAF7F8">
      <w:pPr>
        <w:spacing w:line="360" w:lineRule="exact"/>
        <w:ind w:firstLine="420" w:firstLineChars="200"/>
        <w:rPr>
          <w:rFonts w:ascii="宋体" w:hAnsi="宋体" w:eastAsia="宋体" w:cs="宋体"/>
          <w:color w:val="auto"/>
          <w:szCs w:val="21"/>
          <w:highlight w:val="none"/>
        </w:rPr>
      </w:pPr>
      <w:bookmarkStart w:id="177" w:name="_Toc4956"/>
      <w:bookmarkStart w:id="178" w:name="_Toc22004"/>
      <w:r>
        <w:rPr>
          <w:rFonts w:hint="eastAsia" w:ascii="宋体" w:hAnsi="宋体" w:eastAsia="宋体" w:cs="宋体"/>
          <w:color w:val="auto"/>
          <w:szCs w:val="21"/>
          <w:highlight w:val="none"/>
        </w:rPr>
        <w:t>本项目不收取履约保证金。</w:t>
      </w:r>
    </w:p>
    <w:p w14:paraId="74E3D7B5">
      <w:pPr>
        <w:spacing w:line="360" w:lineRule="exact"/>
        <w:ind w:firstLine="422" w:firstLineChars="200"/>
        <w:rPr>
          <w:rFonts w:ascii="宋体" w:hAnsi="宋体" w:eastAsia="宋体" w:cs="宋体"/>
          <w:b/>
          <w:bCs/>
          <w:color w:val="auto"/>
          <w:szCs w:val="21"/>
          <w:highlight w:val="none"/>
        </w:rPr>
      </w:pPr>
      <w:bookmarkStart w:id="179" w:name="_Toc15345"/>
      <w:r>
        <w:rPr>
          <w:rFonts w:hint="eastAsia" w:ascii="宋体" w:hAnsi="宋体" w:eastAsia="宋体" w:cs="宋体"/>
          <w:b/>
          <w:bCs/>
          <w:color w:val="auto"/>
          <w:szCs w:val="21"/>
          <w:highlight w:val="none"/>
        </w:rPr>
        <w:t>29. 签订合同</w:t>
      </w:r>
      <w:bookmarkEnd w:id="177"/>
      <w:bookmarkEnd w:id="178"/>
      <w:bookmarkEnd w:id="179"/>
    </w:p>
    <w:p w14:paraId="7DB9903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29.1 签订合同时间：成交通知书发出之日起8个工作日内签订合同。</w:t>
      </w:r>
    </w:p>
    <w:p w14:paraId="7E9CFC4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29.2 如成交供应商有下列情形之一的，情节严重的，由财政部门将其列入不良行为记录名单，在一至三年内禁止参加政府采购活动，并予以通报。采购人可从磋商小组推荐的成交候选人中按顺序重新确定成交供应商或重新组织采购。拒绝签订政府采购合同的成交供应商不得参加对该项目重新开展的采购活动。</w:t>
      </w:r>
    </w:p>
    <w:p w14:paraId="473298D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6A5BB1E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0B8B061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5F0C509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29.3 合同备案存档：政府采购合同双方自签订之日起1个工作日内将合同原件一份交采购代理机构，采购代理机构收到政府采购合同原件后在省级以上人民政府财政部门指定媒体上公告并存档。</w:t>
      </w:r>
    </w:p>
    <w:p w14:paraId="15E33B45">
      <w:pPr>
        <w:spacing w:line="360" w:lineRule="exact"/>
        <w:jc w:val="center"/>
        <w:rPr>
          <w:rFonts w:ascii="宋体" w:hAnsi="宋体" w:eastAsia="宋体" w:cs="Times New Roman"/>
          <w:b/>
          <w:bCs/>
          <w:color w:val="auto"/>
          <w:sz w:val="28"/>
          <w:szCs w:val="28"/>
          <w:highlight w:val="none"/>
        </w:rPr>
      </w:pPr>
      <w:bookmarkStart w:id="180" w:name="_Toc4211"/>
      <w:bookmarkStart w:id="181" w:name="_Toc17898"/>
      <w:bookmarkStart w:id="182" w:name="_Toc11467"/>
      <w:bookmarkStart w:id="183" w:name="_Toc16348"/>
    </w:p>
    <w:p w14:paraId="04CC7D55">
      <w:pPr>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br w:type="page"/>
      </w:r>
    </w:p>
    <w:p w14:paraId="21C23E7A">
      <w:pPr>
        <w:spacing w:line="360" w:lineRule="exact"/>
        <w:jc w:val="center"/>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六、其他事项</w:t>
      </w:r>
      <w:bookmarkEnd w:id="180"/>
      <w:bookmarkEnd w:id="181"/>
      <w:bookmarkEnd w:id="182"/>
      <w:bookmarkEnd w:id="183"/>
    </w:p>
    <w:p w14:paraId="56325010">
      <w:pPr>
        <w:spacing w:line="360" w:lineRule="exact"/>
        <w:ind w:firstLine="422" w:firstLineChars="200"/>
        <w:rPr>
          <w:rFonts w:ascii="宋体" w:hAnsi="宋体" w:eastAsia="宋体" w:cs="宋体"/>
          <w:b/>
          <w:bCs/>
          <w:color w:val="auto"/>
          <w:szCs w:val="21"/>
          <w:highlight w:val="none"/>
        </w:rPr>
      </w:pPr>
      <w:bookmarkStart w:id="184" w:name="_Toc28647"/>
      <w:bookmarkStart w:id="185" w:name="_Toc29572"/>
      <w:bookmarkStart w:id="186" w:name="_Toc22506"/>
      <w:r>
        <w:rPr>
          <w:rFonts w:hint="eastAsia" w:ascii="宋体" w:hAnsi="宋体" w:eastAsia="宋体" w:cs="宋体"/>
          <w:b/>
          <w:bCs/>
          <w:color w:val="auto"/>
          <w:szCs w:val="21"/>
          <w:highlight w:val="none"/>
        </w:rPr>
        <w:t>30. 采购代理服务费</w:t>
      </w:r>
      <w:bookmarkEnd w:id="184"/>
      <w:bookmarkEnd w:id="185"/>
      <w:bookmarkEnd w:id="186"/>
    </w:p>
    <w:p w14:paraId="579B2177">
      <w:pPr>
        <w:spacing w:line="360" w:lineRule="exact"/>
        <w:ind w:firstLine="420" w:firstLineChars="200"/>
        <w:rPr>
          <w:rFonts w:hint="eastAsia" w:ascii="宋体" w:hAnsi="宋体" w:eastAsia="宋体" w:cs="宋体"/>
          <w:color w:val="auto"/>
          <w:szCs w:val="21"/>
          <w:highlight w:val="none"/>
        </w:rPr>
      </w:pPr>
      <w:bookmarkStart w:id="187" w:name="_Toc12374"/>
      <w:r>
        <w:rPr>
          <w:rFonts w:hint="eastAsia" w:ascii="宋体" w:hAnsi="宋体" w:eastAsia="宋体" w:cs="宋体"/>
          <w:color w:val="auto"/>
          <w:szCs w:val="21"/>
          <w:highlight w:val="none"/>
        </w:rPr>
        <w:t>本项目的招标代理服务收费标准参照计价格[2002]1980号《招标代理服务收费管理暂行办法》工程类收费标准</w:t>
      </w:r>
      <w:r>
        <w:rPr>
          <w:rFonts w:hint="eastAsia" w:ascii="宋体" w:hAnsi="宋体" w:eastAsia="宋体" w:cs="宋体"/>
          <w:color w:val="auto"/>
          <w:szCs w:val="21"/>
          <w:highlight w:val="none"/>
          <w:lang w:val="en-US" w:eastAsia="zh-CN"/>
        </w:rPr>
        <w:t>的60%</w:t>
      </w:r>
      <w:r>
        <w:rPr>
          <w:rFonts w:hint="eastAsia" w:ascii="宋体" w:hAnsi="宋体" w:eastAsia="宋体" w:cs="宋体"/>
          <w:color w:val="auto"/>
          <w:szCs w:val="21"/>
          <w:highlight w:val="none"/>
        </w:rPr>
        <w:t>（代理服务费不足人民币陆仟元时，按陆仟元收取），</w:t>
      </w:r>
      <w:r>
        <w:rPr>
          <w:rFonts w:hint="eastAsia" w:ascii="宋体" w:hAnsi="宋体" w:eastAsia="宋体" w:cs="宋体"/>
          <w:color w:val="auto"/>
          <w:szCs w:val="21"/>
          <w:highlight w:val="none"/>
          <w:lang w:val="en-US" w:eastAsia="zh-CN"/>
        </w:rPr>
        <w:t>由采购人</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桂林聚格项目管理有限公司</w:t>
      </w:r>
      <w:r>
        <w:rPr>
          <w:rFonts w:hint="eastAsia" w:ascii="宋体" w:hAnsi="宋体" w:eastAsia="宋体" w:cs="宋体"/>
          <w:color w:val="auto"/>
          <w:szCs w:val="21"/>
          <w:highlight w:val="none"/>
        </w:rPr>
        <w:t>一次性付清招标代理服务费。</w:t>
      </w:r>
    </w:p>
    <w:p w14:paraId="4AA3DB14">
      <w:pPr>
        <w:spacing w:line="36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采购代理服务收费标准</w:t>
      </w:r>
    </w:p>
    <w:tbl>
      <w:tblPr>
        <w:tblStyle w:val="13"/>
        <w:tblW w:w="907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1855"/>
        <w:gridCol w:w="2007"/>
        <w:gridCol w:w="2312"/>
      </w:tblGrid>
      <w:tr w14:paraId="2533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2904" w:type="dxa"/>
          </w:tcPr>
          <w:p w14:paraId="42DCD74C">
            <w:pPr>
              <w:spacing w:line="360" w:lineRule="exact"/>
              <w:rPr>
                <w:rFonts w:ascii="宋体" w:hAnsi="宋体" w:eastAsia="宋体" w:cs="宋体"/>
                <w:color w:val="auto"/>
                <w:szCs w:val="21"/>
                <w:highlight w:val="none"/>
              </w:rPr>
            </w:pPr>
            <w:r>
              <w:rPr>
                <w:rFonts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463675" cy="6534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35pt;margin-top:0.85pt;height:51.45pt;width:115.25pt;z-index:251660288;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AVM0&#10;1gAAAAgBAAAPAAAAAAAAAAEAIAAAACIAAABkcnMvZG93bnJldi54bWxQSwECFAAUAAAACACHTuJA&#10;YZQPP+oBAACv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费率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服务类型</w:t>
            </w:r>
          </w:p>
          <w:p w14:paraId="7920BE94">
            <w:pPr>
              <w:spacing w:line="36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pt;margin-top:3.1pt;height:31.2pt;width:144pt;z-index:25166131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6v&#10;RNYAAAAIAQAADwAAAAAAAAABACAAAAAiAAAAZHJzL2Rvd25yZXYueG1sUEsBAhQAFAAAAAgAh07i&#10;QCp60I7rAQAArwMAAA4AAAAAAAAAAQAgAAAAJQEAAGRycy9lMm9Eb2MueG1sUEsFBgAAAAAGAAYA&#10;WQEAAIIFAAAAAA==&#10;">
                      <v:fill on="f" focussize="0,0"/>
                      <v:stroke color="#000000" joinstyle="round"/>
                      <v:imagedata o:title=""/>
                      <o:lock v:ext="edit" aspectratio="f"/>
                    </v:line>
                  </w:pict>
                </mc:Fallback>
              </mc:AlternateContent>
            </w:r>
          </w:p>
          <w:p w14:paraId="6CC20B32">
            <w:pPr>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成交金额</w:t>
            </w:r>
          </w:p>
        </w:tc>
        <w:tc>
          <w:tcPr>
            <w:tcW w:w="1855" w:type="dxa"/>
            <w:vAlign w:val="center"/>
          </w:tcPr>
          <w:p w14:paraId="26E539C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货物采购</w:t>
            </w:r>
          </w:p>
        </w:tc>
        <w:tc>
          <w:tcPr>
            <w:tcW w:w="2007" w:type="dxa"/>
            <w:vAlign w:val="center"/>
          </w:tcPr>
          <w:p w14:paraId="0AEB305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服务采购</w:t>
            </w:r>
          </w:p>
        </w:tc>
        <w:tc>
          <w:tcPr>
            <w:tcW w:w="2312" w:type="dxa"/>
            <w:vAlign w:val="center"/>
          </w:tcPr>
          <w:p w14:paraId="7BD5767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工程采购</w:t>
            </w:r>
          </w:p>
        </w:tc>
      </w:tr>
      <w:tr w14:paraId="4C24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0884F837">
            <w:pPr>
              <w:spacing w:line="360" w:lineRule="exact"/>
              <w:ind w:firstLine="420" w:firstLineChars="200"/>
              <w:rPr>
                <w:rFonts w:ascii="宋体" w:hAnsi="宋体" w:eastAsia="宋体" w:cs="宋体"/>
                <w:color w:val="auto"/>
                <w:szCs w:val="21"/>
                <w:highlight w:val="none"/>
              </w:rPr>
            </w:pPr>
            <w:r>
              <w:rPr>
                <w:rFonts w:hint="eastAsia" w:ascii="宋体" w:hAnsi="宋体" w:eastAsia="宋体"/>
                <w:color w:val="auto"/>
                <w:highlight w:val="none"/>
              </w:rPr>
              <w:t>100万元以下</w:t>
            </w:r>
          </w:p>
        </w:tc>
        <w:tc>
          <w:tcPr>
            <w:tcW w:w="1855" w:type="dxa"/>
          </w:tcPr>
          <w:p w14:paraId="7F08EE5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007" w:type="dxa"/>
          </w:tcPr>
          <w:p w14:paraId="78651D0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312" w:type="dxa"/>
          </w:tcPr>
          <w:p w14:paraId="69BF974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4FB9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0DE1EF3F">
            <w:pPr>
              <w:spacing w:line="360" w:lineRule="exact"/>
              <w:ind w:firstLine="420" w:firstLineChars="200"/>
              <w:rPr>
                <w:rFonts w:ascii="宋体" w:hAnsi="宋体" w:eastAsia="宋体" w:cs="宋体"/>
                <w:color w:val="auto"/>
                <w:szCs w:val="21"/>
                <w:highlight w:val="none"/>
              </w:rPr>
            </w:pPr>
            <w:r>
              <w:rPr>
                <w:rFonts w:hint="eastAsia" w:ascii="宋体" w:hAnsi="宋体" w:eastAsia="宋体"/>
                <w:color w:val="auto"/>
                <w:highlight w:val="none"/>
              </w:rPr>
              <w:t>100～500万元</w:t>
            </w:r>
          </w:p>
        </w:tc>
        <w:tc>
          <w:tcPr>
            <w:tcW w:w="1855" w:type="dxa"/>
          </w:tcPr>
          <w:p w14:paraId="005D59B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007" w:type="dxa"/>
          </w:tcPr>
          <w:p w14:paraId="212F382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312" w:type="dxa"/>
          </w:tcPr>
          <w:p w14:paraId="285DC6F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4B5F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252AD0F0">
            <w:pPr>
              <w:spacing w:line="360" w:lineRule="exact"/>
              <w:ind w:firstLine="420" w:firstLineChars="200"/>
              <w:rPr>
                <w:rFonts w:ascii="宋体" w:hAnsi="宋体" w:eastAsia="宋体" w:cs="宋体"/>
                <w:color w:val="auto"/>
                <w:szCs w:val="21"/>
                <w:highlight w:val="none"/>
              </w:rPr>
            </w:pPr>
            <w:r>
              <w:rPr>
                <w:rFonts w:hint="eastAsia" w:ascii="宋体" w:hAnsi="宋体" w:eastAsia="宋体"/>
                <w:color w:val="auto"/>
                <w:highlight w:val="none"/>
              </w:rPr>
              <w:t>500～1000万元</w:t>
            </w:r>
          </w:p>
        </w:tc>
        <w:tc>
          <w:tcPr>
            <w:tcW w:w="1855" w:type="dxa"/>
          </w:tcPr>
          <w:p w14:paraId="125C27C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007" w:type="dxa"/>
          </w:tcPr>
          <w:p w14:paraId="51620E0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312" w:type="dxa"/>
          </w:tcPr>
          <w:p w14:paraId="66CD8CF9">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85D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904" w:type="dxa"/>
          </w:tcPr>
          <w:p w14:paraId="7C61CC5F">
            <w:pPr>
              <w:spacing w:line="360" w:lineRule="exact"/>
              <w:ind w:firstLine="420" w:firstLineChars="200"/>
              <w:rPr>
                <w:rFonts w:ascii="宋体" w:hAnsi="宋体" w:eastAsia="宋体" w:cs="宋体"/>
                <w:color w:val="auto"/>
                <w:szCs w:val="21"/>
                <w:highlight w:val="none"/>
              </w:rPr>
            </w:pPr>
            <w:r>
              <w:rPr>
                <w:rFonts w:hint="eastAsia" w:ascii="宋体" w:hAnsi="宋体" w:eastAsia="宋体"/>
                <w:color w:val="auto"/>
                <w:highlight w:val="none"/>
              </w:rPr>
              <w:t>1000～5000万元</w:t>
            </w:r>
          </w:p>
        </w:tc>
        <w:tc>
          <w:tcPr>
            <w:tcW w:w="1855" w:type="dxa"/>
          </w:tcPr>
          <w:p w14:paraId="765D148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2007" w:type="dxa"/>
          </w:tcPr>
          <w:p w14:paraId="5F120D8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312" w:type="dxa"/>
          </w:tcPr>
          <w:p w14:paraId="41292A7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35F0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904" w:type="dxa"/>
          </w:tcPr>
          <w:p w14:paraId="1F7B6C5D">
            <w:pPr>
              <w:spacing w:line="360" w:lineRule="exact"/>
              <w:ind w:firstLine="420" w:firstLineChars="200"/>
              <w:rPr>
                <w:rFonts w:ascii="宋体" w:hAnsi="宋体" w:eastAsia="宋体" w:cs="宋体"/>
                <w:color w:val="auto"/>
                <w:szCs w:val="21"/>
                <w:highlight w:val="none"/>
              </w:rPr>
            </w:pPr>
            <w:r>
              <w:rPr>
                <w:rFonts w:hint="eastAsia" w:ascii="宋体" w:hAnsi="宋体" w:eastAsia="宋体"/>
                <w:color w:val="auto"/>
                <w:highlight w:val="none"/>
              </w:rPr>
              <w:t>5000万元～1亿元</w:t>
            </w:r>
          </w:p>
        </w:tc>
        <w:tc>
          <w:tcPr>
            <w:tcW w:w="1855" w:type="dxa"/>
          </w:tcPr>
          <w:p w14:paraId="2655B80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007" w:type="dxa"/>
          </w:tcPr>
          <w:p w14:paraId="280B7CC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312" w:type="dxa"/>
          </w:tcPr>
          <w:p w14:paraId="7DA41AD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33EC9850">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注：采购代理服务收费按差额定率累进法计算。</w:t>
      </w:r>
    </w:p>
    <w:p w14:paraId="43C15DEB">
      <w:pPr>
        <w:numPr>
          <w:ilvl w:val="0"/>
          <w:numId w:val="3"/>
        </w:numPr>
        <w:spacing w:line="360" w:lineRule="exact"/>
        <w:ind w:firstLine="422" w:firstLineChars="200"/>
        <w:rPr>
          <w:rFonts w:ascii="宋体" w:hAnsi="宋体" w:eastAsia="宋体" w:cs="宋体"/>
          <w:b/>
          <w:color w:val="auto"/>
          <w:szCs w:val="21"/>
          <w:highlight w:val="none"/>
        </w:rPr>
      </w:pPr>
      <w:bookmarkStart w:id="188" w:name="_Toc9779"/>
      <w:bookmarkStart w:id="189" w:name="_Toc132"/>
      <w:r>
        <w:rPr>
          <w:rFonts w:hint="eastAsia" w:ascii="宋体" w:hAnsi="宋体" w:eastAsia="宋体" w:cs="宋体"/>
          <w:b/>
          <w:color w:val="auto"/>
          <w:szCs w:val="21"/>
          <w:highlight w:val="none"/>
        </w:rPr>
        <w:t>采购代理机构银行账户：</w:t>
      </w:r>
    </w:p>
    <w:bookmarkEnd w:id="187"/>
    <w:bookmarkEnd w:id="188"/>
    <w:bookmarkEnd w:id="189"/>
    <w:p w14:paraId="036BAEAB">
      <w:pPr>
        <w:pStyle w:val="7"/>
        <w:wordWrap w:val="0"/>
        <w:snapToGrid w:val="0"/>
        <w:spacing w:line="360" w:lineRule="exact"/>
        <w:ind w:firstLine="420" w:firstLineChars="200"/>
        <w:rPr>
          <w:rFonts w:hint="eastAsia" w:hAnsi="宋体"/>
          <w:color w:val="auto"/>
          <w:szCs w:val="21"/>
          <w:highlight w:val="none"/>
          <w:u w:val="single"/>
        </w:rPr>
      </w:pPr>
      <w:r>
        <w:rPr>
          <w:rFonts w:hint="eastAsia" w:hAnsi="宋体"/>
          <w:color w:val="auto"/>
          <w:szCs w:val="21"/>
          <w:highlight w:val="none"/>
        </w:rPr>
        <w:t>账户名称：桂林聚格项目管理有限公司</w:t>
      </w:r>
    </w:p>
    <w:p w14:paraId="2BEC6D95">
      <w:pPr>
        <w:pStyle w:val="7"/>
        <w:wordWrap w:val="0"/>
        <w:snapToGrid w:val="0"/>
        <w:spacing w:line="360" w:lineRule="exact"/>
        <w:ind w:firstLine="420" w:firstLineChars="200"/>
        <w:rPr>
          <w:rFonts w:hint="eastAsia" w:hAnsi="宋体"/>
          <w:color w:val="auto"/>
          <w:szCs w:val="21"/>
          <w:highlight w:val="none"/>
          <w:u w:val="single"/>
        </w:rPr>
      </w:pPr>
      <w:r>
        <w:rPr>
          <w:rFonts w:hint="eastAsia" w:hAnsi="宋体"/>
          <w:color w:val="auto"/>
          <w:szCs w:val="21"/>
          <w:highlight w:val="none"/>
        </w:rPr>
        <w:t>开户银行：桂林银行股份有限公司建干路支行</w:t>
      </w:r>
    </w:p>
    <w:p w14:paraId="5044FCB3">
      <w:pPr>
        <w:spacing w:line="360" w:lineRule="exact"/>
        <w:ind w:firstLine="420" w:firstLineChars="200"/>
        <w:rPr>
          <w:rFonts w:hint="eastAsia" w:hAnsi="宋体"/>
          <w:color w:val="auto"/>
          <w:szCs w:val="21"/>
          <w:highlight w:val="none"/>
        </w:rPr>
      </w:pPr>
      <w:r>
        <w:rPr>
          <w:rFonts w:hint="eastAsia" w:hAnsi="宋体"/>
          <w:color w:val="auto"/>
          <w:szCs w:val="21"/>
          <w:highlight w:val="none"/>
        </w:rPr>
        <w:t>银行账号：6600 1107 8385 9000 10</w:t>
      </w:r>
    </w:p>
    <w:p w14:paraId="371C5E2C">
      <w:pPr>
        <w:spacing w:line="3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32.</w:t>
      </w:r>
      <w:r>
        <w:rPr>
          <w:rFonts w:ascii="宋体" w:hAnsi="宋体" w:eastAsia="宋体" w:cs="宋体"/>
          <w:b/>
          <w:color w:val="auto"/>
          <w:szCs w:val="21"/>
          <w:highlight w:val="none"/>
        </w:rPr>
        <w:t xml:space="preserve"> </w:t>
      </w:r>
      <w:r>
        <w:rPr>
          <w:rFonts w:hint="eastAsia" w:ascii="宋体" w:hAnsi="宋体" w:eastAsia="宋体" w:cs="宋体"/>
          <w:b/>
          <w:bCs/>
          <w:color w:val="auto"/>
          <w:szCs w:val="21"/>
          <w:highlight w:val="none"/>
        </w:rPr>
        <w:t>解释权：</w:t>
      </w:r>
      <w:r>
        <w:rPr>
          <w:rFonts w:hint="eastAsia" w:ascii="宋体" w:hAnsi="宋体" w:eastAsia="宋体" w:cs="宋体"/>
          <w:color w:val="auto"/>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27148181">
      <w:pPr>
        <w:spacing w:line="360" w:lineRule="exact"/>
        <w:ind w:firstLine="422" w:firstLineChars="200"/>
        <w:outlineLvl w:val="2"/>
        <w:rPr>
          <w:rFonts w:hint="eastAsia" w:ascii="宋体" w:hAnsi="宋体" w:eastAsia="宋体" w:cs="宋体"/>
          <w:bCs/>
          <w:color w:val="auto"/>
          <w:kern w:val="0"/>
          <w:szCs w:val="21"/>
          <w:highlight w:val="none"/>
          <w:lang w:eastAsia="zh-CN"/>
        </w:rPr>
      </w:pPr>
      <w:bookmarkStart w:id="190" w:name="_Toc32738"/>
      <w:bookmarkStart w:id="191" w:name="_Toc10701"/>
      <w:bookmarkStart w:id="192" w:name="_Toc24551"/>
      <w:r>
        <w:rPr>
          <w:rFonts w:hint="eastAsia" w:ascii="宋体" w:hAnsi="宋体" w:eastAsia="宋体" w:cs="宋体"/>
          <w:b/>
          <w:color w:val="auto"/>
          <w:szCs w:val="21"/>
          <w:highlight w:val="none"/>
        </w:rPr>
        <w:t>3</w:t>
      </w:r>
      <w:r>
        <w:rPr>
          <w:rFonts w:ascii="宋体" w:hAnsi="宋体" w:eastAsia="宋体" w:cs="宋体"/>
          <w:b/>
          <w:color w:val="auto"/>
          <w:szCs w:val="21"/>
          <w:highlight w:val="none"/>
        </w:rPr>
        <w:t>3</w:t>
      </w:r>
      <w:r>
        <w:rPr>
          <w:rFonts w:hint="eastAsia" w:ascii="宋体" w:hAnsi="宋体" w:eastAsia="宋体" w:cs="宋体"/>
          <w:b/>
          <w:color w:val="auto"/>
          <w:szCs w:val="21"/>
          <w:highlight w:val="none"/>
        </w:rPr>
        <w:t>. 监督管理机构</w:t>
      </w:r>
      <w:bookmarkEnd w:id="190"/>
      <w:r>
        <w:rPr>
          <w:rFonts w:hint="eastAsia" w:ascii="宋体" w:hAnsi="宋体" w:eastAsia="宋体" w:cs="宋体"/>
          <w:color w:val="auto"/>
          <w:szCs w:val="21"/>
          <w:highlight w:val="none"/>
        </w:rPr>
        <w:t>：</w:t>
      </w:r>
      <w:bookmarkEnd w:id="191"/>
      <w:bookmarkEnd w:id="192"/>
      <w:r>
        <w:rPr>
          <w:rFonts w:hint="eastAsia" w:ascii="宋体" w:hAnsi="宋体" w:eastAsia="宋体" w:cs="宋体"/>
          <w:color w:val="auto"/>
          <w:szCs w:val="21"/>
          <w:highlight w:val="none"/>
          <w:lang w:eastAsia="zh-CN"/>
        </w:rPr>
        <w:t>荔浦市政府采购管理办公室；联系电话：0773-7233366</w:t>
      </w:r>
    </w:p>
    <w:p w14:paraId="45B9ECCB">
      <w:pPr>
        <w:spacing w:line="360" w:lineRule="exact"/>
        <w:ind w:firstLine="420" w:firstLineChars="200"/>
        <w:outlineLvl w:val="2"/>
        <w:rPr>
          <w:rFonts w:ascii="宋体" w:hAnsi="宋体" w:eastAsia="宋体" w:cs="宋体"/>
          <w:bCs/>
          <w:color w:val="auto"/>
          <w:kern w:val="0"/>
          <w:szCs w:val="21"/>
          <w:highlight w:val="none"/>
        </w:rPr>
      </w:pPr>
    </w:p>
    <w:p w14:paraId="510BBBC9">
      <w:pPr>
        <w:spacing w:line="360" w:lineRule="exact"/>
        <w:ind w:firstLine="420" w:firstLineChars="200"/>
        <w:outlineLvl w:val="2"/>
        <w:rPr>
          <w:rFonts w:ascii="宋体" w:hAnsi="宋体" w:eastAsia="宋体" w:cs="宋体"/>
          <w:bCs/>
          <w:color w:val="auto"/>
          <w:kern w:val="0"/>
          <w:szCs w:val="21"/>
          <w:highlight w:val="none"/>
        </w:rPr>
      </w:pPr>
    </w:p>
    <w:p w14:paraId="084366D1">
      <w:pPr>
        <w:spacing w:line="360" w:lineRule="exact"/>
        <w:ind w:firstLine="420" w:firstLineChars="200"/>
        <w:outlineLvl w:val="2"/>
        <w:rPr>
          <w:rFonts w:ascii="宋体" w:hAnsi="宋体" w:eastAsia="宋体" w:cs="宋体"/>
          <w:bCs/>
          <w:color w:val="auto"/>
          <w:kern w:val="0"/>
          <w:szCs w:val="21"/>
          <w:highlight w:val="none"/>
        </w:rPr>
      </w:pPr>
    </w:p>
    <w:p w14:paraId="67477972">
      <w:pPr>
        <w:spacing w:line="360" w:lineRule="exact"/>
        <w:ind w:firstLine="420" w:firstLineChars="200"/>
        <w:outlineLvl w:val="2"/>
        <w:rPr>
          <w:rFonts w:ascii="宋体" w:hAnsi="宋体" w:eastAsia="宋体" w:cs="宋体"/>
          <w:bCs/>
          <w:color w:val="auto"/>
          <w:kern w:val="0"/>
          <w:szCs w:val="21"/>
          <w:highlight w:val="none"/>
        </w:rPr>
      </w:pPr>
    </w:p>
    <w:p w14:paraId="42240E3F">
      <w:pPr>
        <w:pStyle w:val="3"/>
        <w:rPr>
          <w:rFonts w:ascii="宋体" w:hAnsi="宋体" w:eastAsia="宋体" w:cs="宋体"/>
          <w:bCs/>
          <w:color w:val="auto"/>
          <w:kern w:val="0"/>
          <w:szCs w:val="21"/>
          <w:highlight w:val="none"/>
        </w:rPr>
      </w:pPr>
    </w:p>
    <w:p w14:paraId="23963EFA">
      <w:pPr>
        <w:rPr>
          <w:rFonts w:ascii="宋体" w:hAnsi="宋体" w:eastAsia="宋体" w:cs="宋体"/>
          <w:bCs/>
          <w:color w:val="auto"/>
          <w:kern w:val="0"/>
          <w:szCs w:val="21"/>
          <w:highlight w:val="none"/>
        </w:rPr>
      </w:pPr>
    </w:p>
    <w:p w14:paraId="7D44A660">
      <w:pPr>
        <w:pStyle w:val="3"/>
        <w:rPr>
          <w:rFonts w:ascii="宋体" w:hAnsi="宋体" w:eastAsia="宋体" w:cs="宋体"/>
          <w:bCs/>
          <w:color w:val="auto"/>
          <w:kern w:val="0"/>
          <w:szCs w:val="21"/>
          <w:highlight w:val="none"/>
        </w:rPr>
      </w:pPr>
    </w:p>
    <w:p w14:paraId="111B3506">
      <w:pPr>
        <w:rPr>
          <w:rFonts w:ascii="宋体" w:hAnsi="宋体" w:eastAsia="宋体" w:cs="宋体"/>
          <w:bCs/>
          <w:color w:val="auto"/>
          <w:kern w:val="0"/>
          <w:szCs w:val="21"/>
          <w:highlight w:val="none"/>
        </w:rPr>
      </w:pPr>
    </w:p>
    <w:p w14:paraId="219A76AA">
      <w:pPr>
        <w:pStyle w:val="3"/>
        <w:rPr>
          <w:rFonts w:ascii="宋体" w:hAnsi="宋体" w:eastAsia="宋体" w:cs="宋体"/>
          <w:bCs/>
          <w:color w:val="auto"/>
          <w:kern w:val="0"/>
          <w:szCs w:val="21"/>
          <w:highlight w:val="none"/>
        </w:rPr>
      </w:pPr>
    </w:p>
    <w:p w14:paraId="51A00525">
      <w:pPr>
        <w:rPr>
          <w:rFonts w:ascii="宋体" w:hAnsi="宋体" w:eastAsia="宋体" w:cs="宋体"/>
          <w:bCs/>
          <w:color w:val="auto"/>
          <w:kern w:val="0"/>
          <w:szCs w:val="21"/>
          <w:highlight w:val="none"/>
        </w:rPr>
      </w:pPr>
    </w:p>
    <w:p w14:paraId="5DB92AFF">
      <w:pPr>
        <w:snapToGrid w:val="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附表1：</w:t>
      </w:r>
    </w:p>
    <w:p w14:paraId="0EA0958D">
      <w:pPr>
        <w:spacing w:line="460" w:lineRule="exact"/>
        <w:jc w:val="center"/>
        <w:rPr>
          <w:rFonts w:ascii="宋体" w:hAnsi="宋体" w:eastAsia="宋体" w:cs="Times New Roman"/>
          <w:color w:val="auto"/>
          <w:sz w:val="32"/>
          <w:szCs w:val="32"/>
          <w:highlight w:val="none"/>
        </w:rPr>
      </w:pPr>
      <w:r>
        <w:rPr>
          <w:rFonts w:hint="eastAsia" w:ascii="宋体" w:hAnsi="宋体" w:eastAsia="宋体" w:cs="仿宋"/>
          <w:b/>
          <w:bCs/>
          <w:color w:val="auto"/>
          <w:sz w:val="32"/>
          <w:szCs w:val="32"/>
          <w:highlight w:val="none"/>
        </w:rPr>
        <w:t>质疑函（格式）</w:t>
      </w:r>
    </w:p>
    <w:p w14:paraId="12F7681A">
      <w:pPr>
        <w:snapToGrid w:val="0"/>
        <w:spacing w:line="360" w:lineRule="exact"/>
        <w:ind w:firstLine="422" w:firstLineChars="200"/>
        <w:rPr>
          <w:rFonts w:ascii="宋体" w:hAnsi="宋体" w:eastAsia="宋体" w:cs="Times New Roman"/>
          <w:b/>
          <w:bCs/>
          <w:color w:val="auto"/>
          <w:highlight w:val="none"/>
        </w:rPr>
      </w:pPr>
      <w:r>
        <w:rPr>
          <w:rFonts w:hint="eastAsia" w:ascii="宋体" w:hAnsi="宋体" w:eastAsia="宋体" w:cs="Times New Roman"/>
          <w:b/>
          <w:bCs/>
          <w:color w:val="auto"/>
          <w:highlight w:val="none"/>
        </w:rPr>
        <w:t>一、质疑供应商基本信息：</w:t>
      </w:r>
    </w:p>
    <w:p w14:paraId="525B8ADF">
      <w:pPr>
        <w:snapToGrid w:val="0"/>
        <w:spacing w:line="36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质疑供应商：</w:t>
      </w:r>
      <w:r>
        <w:rPr>
          <w:rFonts w:hint="eastAsia" w:ascii="宋体" w:hAnsi="宋体" w:eastAsia="宋体" w:cs="Times New Roman"/>
          <w:bCs/>
          <w:color w:val="auto"/>
          <w:highlight w:val="none"/>
          <w:u w:val="single"/>
        </w:rPr>
        <w:t xml:space="preserve">                                       </w:t>
      </w:r>
    </w:p>
    <w:p w14:paraId="650565B9">
      <w:pPr>
        <w:snapToGrid w:val="0"/>
        <w:spacing w:line="36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地址</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邮编</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02F45BDA">
      <w:pPr>
        <w:snapToGrid w:val="0"/>
        <w:spacing w:line="36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联系人</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联系电话</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48EC3B52">
      <w:pPr>
        <w:snapToGrid w:val="0"/>
        <w:spacing w:line="360" w:lineRule="exact"/>
        <w:ind w:firstLine="420" w:firstLineChars="200"/>
        <w:rPr>
          <w:rFonts w:ascii="宋体" w:hAnsi="宋体" w:eastAsia="宋体" w:cs="Times New Roman"/>
          <w:bCs/>
          <w:color w:val="auto"/>
          <w:highlight w:val="none"/>
        </w:rPr>
      </w:pPr>
      <w:r>
        <w:rPr>
          <w:rFonts w:hint="eastAsia" w:ascii="宋体" w:hAnsi="宋体" w:eastAsia="宋体" w:cs="Times New Roman"/>
          <w:bCs/>
          <w:color w:val="auto"/>
          <w:highlight w:val="none"/>
        </w:rPr>
        <w:t>授权代表：</w:t>
      </w:r>
      <w:r>
        <w:rPr>
          <w:rFonts w:hint="eastAsia" w:ascii="宋体" w:hAnsi="宋体" w:eastAsia="宋体" w:cs="Times New Roman"/>
          <w:bCs/>
          <w:color w:val="auto"/>
          <w:highlight w:val="none"/>
          <w:u w:val="single"/>
        </w:rPr>
        <w:t xml:space="preserve">                      </w:t>
      </w:r>
    </w:p>
    <w:p w14:paraId="7ED85130">
      <w:pPr>
        <w:snapToGrid w:val="0"/>
        <w:spacing w:line="360" w:lineRule="exact"/>
        <w:ind w:firstLine="420" w:firstLineChars="200"/>
        <w:rPr>
          <w:rFonts w:ascii="宋体" w:hAnsi="宋体" w:eastAsia="宋体" w:cs="Times New Roman"/>
          <w:bCs/>
          <w:color w:val="auto"/>
          <w:highlight w:val="none"/>
          <w:u w:val="single"/>
        </w:rPr>
      </w:pPr>
      <w:r>
        <w:rPr>
          <w:rFonts w:ascii="宋体" w:hAnsi="宋体" w:eastAsia="宋体" w:cs="Times New Roman"/>
          <w:bCs/>
          <w:color w:val="auto"/>
          <w:highlight w:val="none"/>
        </w:rPr>
        <w:t>联系</w:t>
      </w:r>
      <w:r>
        <w:rPr>
          <w:rFonts w:hint="eastAsia" w:ascii="宋体" w:hAnsi="宋体" w:eastAsia="宋体" w:cs="Times New Roman"/>
          <w:bCs/>
          <w:color w:val="auto"/>
          <w:highlight w:val="none"/>
        </w:rPr>
        <w:t>电话：</w:t>
      </w:r>
      <w:r>
        <w:rPr>
          <w:rFonts w:hint="eastAsia" w:ascii="宋体" w:hAnsi="宋体" w:eastAsia="宋体" w:cs="Times New Roman"/>
          <w:bCs/>
          <w:color w:val="auto"/>
          <w:highlight w:val="none"/>
          <w:u w:val="single"/>
        </w:rPr>
        <w:t xml:space="preserve">                      </w:t>
      </w:r>
    </w:p>
    <w:p w14:paraId="6C58268C">
      <w:pPr>
        <w:snapToGrid w:val="0"/>
        <w:spacing w:line="36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地址</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邮编</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4E2D8E92">
      <w:pPr>
        <w:snapToGrid w:val="0"/>
        <w:spacing w:line="360" w:lineRule="exact"/>
        <w:ind w:firstLine="422" w:firstLineChars="200"/>
        <w:rPr>
          <w:rFonts w:ascii="宋体" w:hAnsi="宋体" w:eastAsia="宋体" w:cs="Times New Roman"/>
          <w:b/>
          <w:bCs/>
          <w:color w:val="auto"/>
          <w:highlight w:val="none"/>
        </w:rPr>
      </w:pPr>
      <w:r>
        <w:rPr>
          <w:rFonts w:hint="eastAsia" w:ascii="宋体" w:hAnsi="宋体" w:eastAsia="宋体" w:cs="Times New Roman"/>
          <w:b/>
          <w:bCs/>
          <w:color w:val="auto"/>
          <w:highlight w:val="none"/>
        </w:rPr>
        <w:t>二、质疑项目基本情况：</w:t>
      </w:r>
    </w:p>
    <w:p w14:paraId="45E50D5B">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bCs/>
          <w:color w:val="auto"/>
          <w:highlight w:val="none"/>
        </w:rPr>
        <w:t>质疑</w:t>
      </w:r>
      <w:r>
        <w:rPr>
          <w:rFonts w:hint="eastAsia" w:ascii="宋体" w:hAnsi="宋体" w:eastAsia="宋体" w:cs="Times New Roman"/>
          <w:color w:val="auto"/>
          <w:szCs w:val="21"/>
          <w:highlight w:val="none"/>
        </w:rPr>
        <w:t>项目的名称：</w:t>
      </w:r>
      <w:r>
        <w:rPr>
          <w:rFonts w:hint="eastAsia" w:ascii="宋体" w:hAnsi="宋体" w:eastAsia="宋体" w:cs="Times New Roman"/>
          <w:bCs/>
          <w:color w:val="auto"/>
          <w:highlight w:val="none"/>
          <w:u w:val="single"/>
        </w:rPr>
        <w:t xml:space="preserve">                                     </w:t>
      </w:r>
    </w:p>
    <w:p w14:paraId="3ABDAEE4">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bCs/>
          <w:color w:val="auto"/>
          <w:highlight w:val="none"/>
        </w:rPr>
        <w:t>质疑</w:t>
      </w:r>
      <w:r>
        <w:rPr>
          <w:rFonts w:hint="eastAsia" w:ascii="宋体" w:hAnsi="宋体" w:eastAsia="宋体" w:cs="Times New Roman"/>
          <w:color w:val="auto"/>
          <w:szCs w:val="21"/>
          <w:highlight w:val="none"/>
        </w:rPr>
        <w:t>项目的编号：</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包号：</w:t>
      </w:r>
      <w:r>
        <w:rPr>
          <w:rFonts w:hint="eastAsia" w:ascii="宋体" w:hAnsi="宋体" w:eastAsia="宋体" w:cs="Times New Roman"/>
          <w:bCs/>
          <w:color w:val="auto"/>
          <w:highlight w:val="none"/>
          <w:u w:val="single"/>
        </w:rPr>
        <w:t xml:space="preserve">                            </w:t>
      </w:r>
    </w:p>
    <w:p w14:paraId="00445793">
      <w:pPr>
        <w:spacing w:line="360" w:lineRule="exact"/>
        <w:ind w:left="25" w:leftChars="12" w:firstLine="413" w:firstLineChars="197"/>
        <w:rPr>
          <w:rFonts w:ascii="宋体" w:hAnsi="宋体" w:eastAsia="宋体" w:cs="Times New Roman"/>
          <w:bCs/>
          <w:color w:val="auto"/>
          <w:highlight w:val="none"/>
          <w:u w:val="single"/>
        </w:rPr>
      </w:pPr>
      <w:r>
        <w:rPr>
          <w:rFonts w:hint="eastAsia" w:ascii="宋体" w:hAnsi="宋体" w:eastAsia="宋体" w:cs="Times New Roman"/>
          <w:color w:val="auto"/>
          <w:szCs w:val="21"/>
          <w:highlight w:val="none"/>
        </w:rPr>
        <w:t>采购人名称：</w:t>
      </w:r>
      <w:r>
        <w:rPr>
          <w:rFonts w:hint="eastAsia" w:ascii="宋体" w:hAnsi="宋体" w:eastAsia="宋体" w:cs="Times New Roman"/>
          <w:bCs/>
          <w:color w:val="auto"/>
          <w:highlight w:val="none"/>
          <w:u w:val="single"/>
        </w:rPr>
        <w:t xml:space="preserve">                                         </w:t>
      </w:r>
    </w:p>
    <w:p w14:paraId="212FC2D5">
      <w:pPr>
        <w:spacing w:line="360" w:lineRule="exact"/>
        <w:ind w:left="25" w:leftChars="12" w:firstLine="413" w:firstLineChars="197"/>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采购文件获取日期：</w:t>
      </w:r>
      <w:r>
        <w:rPr>
          <w:rFonts w:hint="eastAsia" w:ascii="宋体" w:hAnsi="宋体" w:eastAsia="宋体" w:cs="Times New Roman"/>
          <w:color w:val="auto"/>
          <w:szCs w:val="21"/>
          <w:highlight w:val="none"/>
          <w:u w:val="single"/>
        </w:rPr>
        <w:t xml:space="preserve">                                   </w:t>
      </w:r>
    </w:p>
    <w:p w14:paraId="6F0ADE0C">
      <w:pPr>
        <w:spacing w:line="360" w:lineRule="exact"/>
        <w:ind w:left="25" w:leftChars="12"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三、质疑事项具体内容</w:t>
      </w:r>
    </w:p>
    <w:p w14:paraId="15046118">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质疑事项1：</w:t>
      </w:r>
      <w:r>
        <w:rPr>
          <w:rFonts w:hint="eastAsia" w:ascii="宋体" w:hAnsi="宋体" w:eastAsia="宋体" w:cs="Times New Roman"/>
          <w:bCs/>
          <w:color w:val="auto"/>
          <w:highlight w:val="none"/>
          <w:u w:val="single"/>
        </w:rPr>
        <w:t xml:space="preserve">                                                                    </w:t>
      </w:r>
    </w:p>
    <w:p w14:paraId="0218A6A9">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事实依据：</w:t>
      </w:r>
      <w:r>
        <w:rPr>
          <w:rFonts w:hint="eastAsia" w:ascii="宋体" w:hAnsi="宋体" w:eastAsia="宋体" w:cs="Times New Roman"/>
          <w:bCs/>
          <w:color w:val="auto"/>
          <w:highlight w:val="none"/>
          <w:u w:val="single"/>
        </w:rPr>
        <w:t xml:space="preserve">                                                                      </w:t>
      </w:r>
    </w:p>
    <w:p w14:paraId="2E59FA4D">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法律依据：</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bCs/>
          <w:color w:val="auto"/>
          <w:highlight w:val="none"/>
          <w:u w:val="single"/>
        </w:rPr>
        <w:t xml:space="preserve">              </w:t>
      </w:r>
    </w:p>
    <w:p w14:paraId="193AF3EC">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质疑事项2</w:t>
      </w:r>
    </w:p>
    <w:p w14:paraId="17E9B6A2">
      <w:pPr>
        <w:spacing w:line="360" w:lineRule="exact"/>
        <w:ind w:left="25" w:leftChars="12" w:firstLine="413" w:firstLineChars="197"/>
        <w:rPr>
          <w:rFonts w:ascii="宋体" w:hAnsi="宋体" w:eastAsia="宋体" w:cs="Times New Roman"/>
          <w:color w:val="auto"/>
          <w:szCs w:val="21"/>
          <w:highlight w:val="none"/>
        </w:rPr>
      </w:pPr>
      <w:r>
        <w:rPr>
          <w:rFonts w:ascii="宋体" w:hAnsi="宋体" w:eastAsia="宋体" w:cs="Times New Roman"/>
          <w:color w:val="auto"/>
          <w:szCs w:val="21"/>
          <w:highlight w:val="none"/>
        </w:rPr>
        <w:t>……</w:t>
      </w:r>
    </w:p>
    <w:p w14:paraId="38016AA4">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四、与质疑事项相关的质疑请求：</w:t>
      </w:r>
    </w:p>
    <w:p w14:paraId="3C8335A5">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请求：</w:t>
      </w:r>
      <w:r>
        <w:rPr>
          <w:rFonts w:hint="eastAsia" w:ascii="宋体" w:hAnsi="宋体" w:eastAsia="宋体" w:cs="Times New Roman"/>
          <w:bCs/>
          <w:color w:val="auto"/>
          <w:highlight w:val="none"/>
          <w:u w:val="single"/>
        </w:rPr>
        <w:t xml:space="preserve">                                                                </w:t>
      </w:r>
    </w:p>
    <w:p w14:paraId="559F40B5">
      <w:pPr>
        <w:spacing w:line="360" w:lineRule="exact"/>
        <w:ind w:left="25" w:leftChars="12" w:firstLine="308" w:firstLineChars="147"/>
        <w:rPr>
          <w:rFonts w:ascii="宋体" w:hAnsi="宋体" w:eastAsia="宋体" w:cs="Times New Roman"/>
          <w:color w:val="auto"/>
          <w:szCs w:val="21"/>
          <w:highlight w:val="none"/>
        </w:rPr>
      </w:pPr>
    </w:p>
    <w:p w14:paraId="574CF06C">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签字（签章）：                                       公章：</w:t>
      </w:r>
    </w:p>
    <w:p w14:paraId="479AC8BA">
      <w:pPr>
        <w:spacing w:line="360" w:lineRule="exact"/>
        <w:ind w:left="25" w:leftChars="12" w:firstLine="308" w:firstLineChars="147"/>
        <w:rPr>
          <w:rFonts w:ascii="宋体" w:hAnsi="宋体" w:eastAsia="宋体" w:cs="Times New Roman"/>
          <w:color w:val="auto"/>
          <w:szCs w:val="21"/>
          <w:highlight w:val="none"/>
        </w:rPr>
      </w:pPr>
    </w:p>
    <w:p w14:paraId="53C45F3C">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p>
    <w:p w14:paraId="6CF57D90">
      <w:pPr>
        <w:snapToGrid w:val="0"/>
        <w:spacing w:line="340" w:lineRule="exact"/>
        <w:rPr>
          <w:rFonts w:ascii="宋体" w:hAnsi="宋体" w:eastAsia="宋体" w:cs="Times New Roman"/>
          <w:b/>
          <w:color w:val="auto"/>
          <w:szCs w:val="21"/>
          <w:highlight w:val="none"/>
        </w:rPr>
      </w:pPr>
    </w:p>
    <w:p w14:paraId="1E54266C">
      <w:pPr>
        <w:snapToGrid w:val="0"/>
        <w:spacing w:line="34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w:t>
      </w:r>
    </w:p>
    <w:p w14:paraId="3AEC6274">
      <w:pPr>
        <w:spacing w:line="340" w:lineRule="exact"/>
        <w:ind w:left="25" w:leftChars="12" w:firstLine="310" w:firstLineChars="147"/>
        <w:rPr>
          <w:rFonts w:ascii="宋体" w:hAnsi="宋体" w:eastAsia="宋体" w:cs="Times New Roman"/>
          <w:b/>
          <w:bCs/>
          <w:color w:val="auto"/>
          <w:highlight w:val="none"/>
        </w:rPr>
      </w:pPr>
      <w:r>
        <w:rPr>
          <w:rFonts w:hint="eastAsia" w:ascii="宋体" w:hAnsi="宋体" w:eastAsia="宋体" w:cs="Times New Roman"/>
          <w:b/>
          <w:color w:val="auto"/>
          <w:szCs w:val="21"/>
          <w:highlight w:val="none"/>
        </w:rPr>
        <w:t>1.供应商提出质疑时，应提交质疑函和必要的证明材料</w:t>
      </w:r>
      <w:r>
        <w:rPr>
          <w:rFonts w:hint="eastAsia" w:ascii="宋体" w:hAnsi="宋体" w:eastAsia="宋体" w:cs="Times New Roman"/>
          <w:b/>
          <w:bCs/>
          <w:color w:val="auto"/>
          <w:highlight w:val="none"/>
        </w:rPr>
        <w:t>。</w:t>
      </w:r>
    </w:p>
    <w:p w14:paraId="0722B080">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99C834">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3.质疑供应商若对项目的某一分包进行质疑，质疑函中应列明具体分包号。</w:t>
      </w:r>
    </w:p>
    <w:p w14:paraId="390CF25C">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4.质疑函的质疑事项应具体、明确，并有必要的事实依据和法律依据。</w:t>
      </w:r>
    </w:p>
    <w:p w14:paraId="090717E9">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5.质疑函的质疑请求应与质疑事项相关。</w:t>
      </w:r>
    </w:p>
    <w:p w14:paraId="0B3E02F9">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12CA2644">
      <w:pPr>
        <w:snapToGrid w:val="0"/>
        <w:rPr>
          <w:rFonts w:ascii="宋体" w:hAnsi="Courier New" w:eastAsia="宋体" w:cs="Times New Roman"/>
          <w:b/>
          <w:color w:val="auto"/>
          <w:sz w:val="24"/>
          <w:szCs w:val="24"/>
          <w:highlight w:val="none"/>
        </w:rPr>
      </w:pPr>
    </w:p>
    <w:p w14:paraId="0097773C">
      <w:pPr>
        <w:snapToGrid w:val="0"/>
        <w:rPr>
          <w:rFonts w:ascii="宋体" w:hAnsi="Courier New" w:eastAsia="宋体" w:cs="Times New Roman"/>
          <w:b/>
          <w:color w:val="auto"/>
          <w:sz w:val="24"/>
          <w:szCs w:val="24"/>
          <w:highlight w:val="none"/>
        </w:rPr>
      </w:pPr>
    </w:p>
    <w:p w14:paraId="6D47E970">
      <w:pPr>
        <w:snapToGrid w:val="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附表2：</w:t>
      </w:r>
    </w:p>
    <w:p w14:paraId="57DBB77A">
      <w:pPr>
        <w:spacing w:line="460" w:lineRule="exact"/>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投诉书（格式）</w:t>
      </w:r>
    </w:p>
    <w:p w14:paraId="7FB9A1F4">
      <w:pPr>
        <w:snapToGrid w:val="0"/>
        <w:spacing w:line="400" w:lineRule="exact"/>
        <w:ind w:firstLine="422" w:firstLineChars="200"/>
        <w:rPr>
          <w:rFonts w:ascii="宋体" w:hAnsi="宋体" w:eastAsia="宋体" w:cs="Times New Roman"/>
          <w:b/>
          <w:bCs/>
          <w:color w:val="auto"/>
          <w:highlight w:val="none"/>
        </w:rPr>
      </w:pPr>
      <w:r>
        <w:rPr>
          <w:rFonts w:hint="eastAsia" w:ascii="宋体" w:hAnsi="宋体" w:eastAsia="宋体" w:cs="Times New Roman"/>
          <w:b/>
          <w:bCs/>
          <w:color w:val="auto"/>
          <w:highlight w:val="none"/>
        </w:rPr>
        <w:t>一、投诉相关主体基本情况：</w:t>
      </w:r>
    </w:p>
    <w:p w14:paraId="2740A690">
      <w:pPr>
        <w:snapToGrid w:val="0"/>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投标人：</w:t>
      </w:r>
      <w:r>
        <w:rPr>
          <w:rFonts w:hint="eastAsia" w:ascii="宋体" w:hAnsi="宋体" w:eastAsia="宋体" w:cs="Times New Roman"/>
          <w:bCs/>
          <w:color w:val="auto"/>
          <w:highlight w:val="none"/>
          <w:u w:val="single"/>
        </w:rPr>
        <w:t xml:space="preserve">                                                                          </w:t>
      </w:r>
    </w:p>
    <w:p w14:paraId="640DB6BE">
      <w:pPr>
        <w:snapToGrid w:val="0"/>
        <w:spacing w:line="40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地址</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邮编</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7959F278">
      <w:pPr>
        <w:snapToGrid w:val="0"/>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法定代表人/主要负责人：</w:t>
      </w:r>
      <w:r>
        <w:rPr>
          <w:rFonts w:hint="eastAsia" w:ascii="宋体" w:hAnsi="宋体" w:eastAsia="宋体" w:cs="Times New Roman"/>
          <w:bCs/>
          <w:color w:val="auto"/>
          <w:highlight w:val="none"/>
          <w:u w:val="single"/>
        </w:rPr>
        <w:t xml:space="preserve">                                                           </w:t>
      </w:r>
    </w:p>
    <w:p w14:paraId="5C058C1E">
      <w:pPr>
        <w:snapToGrid w:val="0"/>
        <w:spacing w:line="40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联系电话</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4DBD07E1">
      <w:pPr>
        <w:snapToGrid w:val="0"/>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授权代表：</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联系</w:t>
      </w:r>
      <w:r>
        <w:rPr>
          <w:rFonts w:hint="eastAsia" w:ascii="宋体" w:hAnsi="宋体" w:eastAsia="宋体" w:cs="Times New Roman"/>
          <w:bCs/>
          <w:color w:val="auto"/>
          <w:highlight w:val="none"/>
        </w:rPr>
        <w:t>电话：</w:t>
      </w:r>
      <w:r>
        <w:rPr>
          <w:rFonts w:hint="eastAsia" w:ascii="宋体" w:hAnsi="宋体" w:eastAsia="宋体" w:cs="Times New Roman"/>
          <w:bCs/>
          <w:color w:val="auto"/>
          <w:highlight w:val="none"/>
          <w:u w:val="single"/>
        </w:rPr>
        <w:t xml:space="preserve">                     </w:t>
      </w:r>
    </w:p>
    <w:p w14:paraId="52E09CE8">
      <w:pPr>
        <w:snapToGrid w:val="0"/>
        <w:spacing w:line="40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地址</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邮编</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003B9837">
      <w:pPr>
        <w:snapToGrid w:val="0"/>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被投诉人1：</w:t>
      </w:r>
      <w:r>
        <w:rPr>
          <w:rFonts w:hint="eastAsia" w:ascii="宋体" w:hAnsi="宋体" w:eastAsia="宋体" w:cs="Times New Roman"/>
          <w:bCs/>
          <w:color w:val="auto"/>
          <w:highlight w:val="none"/>
          <w:u w:val="single"/>
        </w:rPr>
        <w:t xml:space="preserve">                                       </w:t>
      </w:r>
    </w:p>
    <w:p w14:paraId="76ED15AB">
      <w:pPr>
        <w:snapToGrid w:val="0"/>
        <w:spacing w:line="400" w:lineRule="exact"/>
        <w:ind w:firstLine="420" w:firstLineChars="200"/>
        <w:rPr>
          <w:rFonts w:ascii="宋体" w:hAnsi="宋体" w:eastAsia="宋体" w:cs="Times New Roman"/>
          <w:bCs/>
          <w:color w:val="auto"/>
          <w:highlight w:val="none"/>
        </w:rPr>
      </w:pPr>
      <w:r>
        <w:rPr>
          <w:rFonts w:hint="eastAsia" w:ascii="宋体" w:hAnsi="宋体" w:eastAsia="宋体" w:cs="Times New Roman"/>
          <w:bCs/>
          <w:color w:val="auto"/>
          <w:highlight w:val="none"/>
        </w:rPr>
        <w:t>地址：</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邮编</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0BA25616">
      <w:pPr>
        <w:snapToGrid w:val="0"/>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联系人：</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联系</w:t>
      </w:r>
      <w:r>
        <w:rPr>
          <w:rFonts w:hint="eastAsia" w:ascii="宋体" w:hAnsi="宋体" w:eastAsia="宋体" w:cs="Times New Roman"/>
          <w:bCs/>
          <w:color w:val="auto"/>
          <w:highlight w:val="none"/>
        </w:rPr>
        <w:t>电话：</w:t>
      </w:r>
      <w:r>
        <w:rPr>
          <w:rFonts w:hint="eastAsia" w:ascii="宋体" w:hAnsi="宋体" w:eastAsia="宋体" w:cs="Times New Roman"/>
          <w:bCs/>
          <w:color w:val="auto"/>
          <w:highlight w:val="none"/>
          <w:u w:val="single"/>
        </w:rPr>
        <w:t xml:space="preserve">                </w:t>
      </w:r>
    </w:p>
    <w:p w14:paraId="177BF4C6">
      <w:pPr>
        <w:snapToGrid w:val="0"/>
        <w:spacing w:line="400" w:lineRule="exact"/>
        <w:ind w:firstLine="420" w:firstLineChars="200"/>
        <w:rPr>
          <w:rFonts w:ascii="宋体" w:hAnsi="宋体" w:eastAsia="宋体" w:cs="Times New Roman"/>
          <w:bCs/>
          <w:color w:val="auto"/>
          <w:highlight w:val="none"/>
        </w:rPr>
      </w:pPr>
      <w:r>
        <w:rPr>
          <w:rFonts w:hint="eastAsia" w:ascii="宋体" w:hAnsi="宋体" w:eastAsia="宋体" w:cs="Times New Roman"/>
          <w:bCs/>
          <w:color w:val="auto"/>
          <w:highlight w:val="none"/>
        </w:rPr>
        <w:t>被投诉人2：</w:t>
      </w:r>
    </w:p>
    <w:p w14:paraId="57892D21">
      <w:pPr>
        <w:snapToGrid w:val="0"/>
        <w:spacing w:line="400" w:lineRule="exact"/>
        <w:ind w:firstLine="420" w:firstLineChars="200"/>
        <w:rPr>
          <w:rFonts w:ascii="宋体" w:hAnsi="宋体" w:eastAsia="宋体" w:cs="Times New Roman"/>
          <w:bCs/>
          <w:color w:val="auto"/>
          <w:highlight w:val="none"/>
        </w:rPr>
      </w:pPr>
      <w:r>
        <w:rPr>
          <w:rFonts w:ascii="宋体" w:hAnsi="宋体" w:eastAsia="宋体" w:cs="Times New Roman"/>
          <w:bCs/>
          <w:color w:val="auto"/>
          <w:highlight w:val="none"/>
        </w:rPr>
        <w:t>……</w:t>
      </w:r>
    </w:p>
    <w:p w14:paraId="462BAE66">
      <w:pPr>
        <w:snapToGrid w:val="0"/>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相关供应商：</w:t>
      </w:r>
      <w:r>
        <w:rPr>
          <w:rFonts w:hint="eastAsia" w:ascii="宋体" w:hAnsi="宋体" w:eastAsia="宋体" w:cs="Times New Roman"/>
          <w:bCs/>
          <w:color w:val="auto"/>
          <w:highlight w:val="none"/>
          <w:u w:val="single"/>
        </w:rPr>
        <w:t xml:space="preserve">                                                                      </w:t>
      </w:r>
    </w:p>
    <w:p w14:paraId="69490DC2">
      <w:pPr>
        <w:snapToGrid w:val="0"/>
        <w:spacing w:line="400" w:lineRule="exact"/>
        <w:ind w:firstLine="420" w:firstLineChars="200"/>
        <w:rPr>
          <w:rFonts w:ascii="宋体" w:hAnsi="宋体" w:eastAsia="宋体" w:cs="Times New Roman"/>
          <w:bCs/>
          <w:color w:val="auto"/>
          <w:highlight w:val="none"/>
          <w:u w:val="single"/>
        </w:rPr>
      </w:pPr>
      <w:r>
        <w:rPr>
          <w:rFonts w:ascii="宋体" w:hAnsi="宋体" w:eastAsia="宋体" w:cs="Times New Roman"/>
          <w:bCs/>
          <w:color w:val="auto"/>
          <w:highlight w:val="none"/>
        </w:rPr>
        <w:t>地址</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邮编</w:t>
      </w:r>
      <w:r>
        <w:rPr>
          <w:rFonts w:hint="eastAsia" w:ascii="宋体" w:hAnsi="宋体" w:eastAsia="宋体" w:cs="Times New Roman"/>
          <w:bCs/>
          <w:color w:val="auto"/>
          <w:highlight w:val="none"/>
        </w:rPr>
        <w:t>：</w:t>
      </w:r>
      <w:r>
        <w:rPr>
          <w:rFonts w:hint="eastAsia" w:ascii="宋体" w:hAnsi="宋体" w:eastAsia="宋体" w:cs="Times New Roman"/>
          <w:bCs/>
          <w:color w:val="auto"/>
          <w:highlight w:val="none"/>
          <w:u w:val="single"/>
        </w:rPr>
        <w:t xml:space="preserve">                        </w:t>
      </w:r>
    </w:p>
    <w:p w14:paraId="47159687">
      <w:pPr>
        <w:snapToGrid w:val="0"/>
        <w:spacing w:line="400" w:lineRule="exact"/>
        <w:ind w:firstLine="420" w:firstLineChars="200"/>
        <w:rPr>
          <w:rFonts w:ascii="宋体" w:hAnsi="宋体" w:eastAsia="宋体" w:cs="Times New Roman"/>
          <w:bCs/>
          <w:color w:val="auto"/>
          <w:highlight w:val="none"/>
        </w:rPr>
      </w:pPr>
      <w:r>
        <w:rPr>
          <w:rFonts w:hint="eastAsia" w:ascii="宋体" w:hAnsi="宋体" w:eastAsia="宋体" w:cs="Times New Roman"/>
          <w:bCs/>
          <w:color w:val="auto"/>
          <w:highlight w:val="none"/>
        </w:rPr>
        <w:t>联系人：</w:t>
      </w:r>
      <w:r>
        <w:rPr>
          <w:rFonts w:hint="eastAsia" w:ascii="宋体" w:hAnsi="宋体" w:eastAsia="宋体" w:cs="Times New Roman"/>
          <w:bCs/>
          <w:color w:val="auto"/>
          <w:highlight w:val="none"/>
          <w:u w:val="single"/>
        </w:rPr>
        <w:t xml:space="preserve">                                            </w:t>
      </w:r>
      <w:r>
        <w:rPr>
          <w:rFonts w:ascii="宋体" w:hAnsi="宋体" w:eastAsia="宋体" w:cs="Times New Roman"/>
          <w:bCs/>
          <w:color w:val="auto"/>
          <w:highlight w:val="none"/>
        </w:rPr>
        <w:t>联系</w:t>
      </w:r>
      <w:r>
        <w:rPr>
          <w:rFonts w:hint="eastAsia" w:ascii="宋体" w:hAnsi="宋体" w:eastAsia="宋体" w:cs="Times New Roman"/>
          <w:bCs/>
          <w:color w:val="auto"/>
          <w:highlight w:val="none"/>
        </w:rPr>
        <w:t>电话：</w:t>
      </w:r>
      <w:r>
        <w:rPr>
          <w:rFonts w:hint="eastAsia" w:ascii="宋体" w:hAnsi="宋体" w:eastAsia="宋体" w:cs="Times New Roman"/>
          <w:bCs/>
          <w:color w:val="auto"/>
          <w:highlight w:val="none"/>
          <w:u w:val="single"/>
        </w:rPr>
        <w:t xml:space="preserve">                    </w:t>
      </w:r>
    </w:p>
    <w:p w14:paraId="27386059">
      <w:pPr>
        <w:snapToGrid w:val="0"/>
        <w:spacing w:line="400" w:lineRule="exact"/>
        <w:ind w:firstLine="422" w:firstLineChars="200"/>
        <w:rPr>
          <w:rFonts w:ascii="宋体" w:hAnsi="宋体" w:eastAsia="宋体" w:cs="Times New Roman"/>
          <w:b/>
          <w:bCs/>
          <w:color w:val="auto"/>
          <w:highlight w:val="none"/>
        </w:rPr>
      </w:pPr>
      <w:r>
        <w:rPr>
          <w:rFonts w:hint="eastAsia" w:ascii="宋体" w:hAnsi="宋体" w:eastAsia="宋体" w:cs="Times New Roman"/>
          <w:b/>
          <w:bCs/>
          <w:color w:val="auto"/>
          <w:highlight w:val="none"/>
        </w:rPr>
        <w:t>二、投诉项目基本情况：</w:t>
      </w:r>
    </w:p>
    <w:p w14:paraId="370AAD0F">
      <w:pPr>
        <w:spacing w:line="40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bCs/>
          <w:color w:val="auto"/>
          <w:highlight w:val="none"/>
        </w:rPr>
        <w:t>采购</w:t>
      </w:r>
      <w:r>
        <w:rPr>
          <w:rFonts w:hint="eastAsia" w:ascii="宋体" w:hAnsi="宋体" w:eastAsia="宋体" w:cs="Times New Roman"/>
          <w:color w:val="auto"/>
          <w:szCs w:val="21"/>
          <w:highlight w:val="none"/>
        </w:rPr>
        <w:t>项目的名称：</w:t>
      </w:r>
      <w:r>
        <w:rPr>
          <w:rFonts w:hint="eastAsia" w:ascii="宋体" w:hAnsi="宋体" w:eastAsia="宋体" w:cs="Times New Roman"/>
          <w:bCs/>
          <w:color w:val="auto"/>
          <w:highlight w:val="none"/>
          <w:u w:val="single"/>
        </w:rPr>
        <w:t xml:space="preserve">                                                                  </w:t>
      </w:r>
    </w:p>
    <w:p w14:paraId="13FB6F45">
      <w:pPr>
        <w:spacing w:line="40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bCs/>
          <w:color w:val="auto"/>
          <w:highlight w:val="none"/>
        </w:rPr>
        <w:t>采购</w:t>
      </w:r>
      <w:r>
        <w:rPr>
          <w:rFonts w:hint="eastAsia" w:ascii="宋体" w:hAnsi="宋体" w:eastAsia="宋体" w:cs="Times New Roman"/>
          <w:color w:val="auto"/>
          <w:szCs w:val="21"/>
          <w:highlight w:val="none"/>
        </w:rPr>
        <w:t>项目的编号：</w:t>
      </w:r>
      <w:r>
        <w:rPr>
          <w:rFonts w:hint="eastAsia" w:ascii="宋体" w:hAnsi="宋体" w:eastAsia="宋体" w:cs="Times New Roman"/>
          <w:bCs/>
          <w:color w:val="auto"/>
          <w:highlight w:val="none"/>
          <w:u w:val="single"/>
        </w:rPr>
        <w:t xml:space="preserve">                                    </w:t>
      </w:r>
      <w:r>
        <w:rPr>
          <w:rFonts w:hint="eastAsia" w:ascii="宋体" w:hAnsi="宋体" w:eastAsia="宋体" w:cs="Times New Roman"/>
          <w:bCs/>
          <w:color w:val="auto"/>
          <w:highlight w:val="none"/>
        </w:rPr>
        <w:t>包号：</w:t>
      </w:r>
      <w:r>
        <w:rPr>
          <w:rFonts w:hint="eastAsia" w:ascii="宋体" w:hAnsi="宋体" w:eastAsia="宋体" w:cs="Times New Roman"/>
          <w:bCs/>
          <w:color w:val="auto"/>
          <w:highlight w:val="none"/>
          <w:u w:val="single"/>
        </w:rPr>
        <w:t xml:space="preserve">                        </w:t>
      </w:r>
    </w:p>
    <w:p w14:paraId="268F1B94">
      <w:pPr>
        <w:spacing w:line="400" w:lineRule="exact"/>
        <w:ind w:left="25" w:leftChars="12" w:firstLine="413" w:firstLineChars="197"/>
        <w:rPr>
          <w:rFonts w:ascii="宋体" w:hAnsi="宋体" w:eastAsia="宋体" w:cs="Times New Roman"/>
          <w:bCs/>
          <w:color w:val="auto"/>
          <w:highlight w:val="none"/>
          <w:u w:val="single"/>
        </w:rPr>
      </w:pPr>
      <w:r>
        <w:rPr>
          <w:rFonts w:hint="eastAsia" w:ascii="宋体" w:hAnsi="宋体" w:eastAsia="宋体" w:cs="Times New Roman"/>
          <w:color w:val="auto"/>
          <w:szCs w:val="21"/>
          <w:highlight w:val="none"/>
        </w:rPr>
        <w:t>采购人名称：</w:t>
      </w:r>
      <w:r>
        <w:rPr>
          <w:rFonts w:hint="eastAsia" w:ascii="宋体" w:hAnsi="宋体" w:eastAsia="宋体" w:cs="Times New Roman"/>
          <w:bCs/>
          <w:color w:val="auto"/>
          <w:highlight w:val="none"/>
          <w:u w:val="single"/>
        </w:rPr>
        <w:t xml:space="preserve">                                                                      </w:t>
      </w:r>
    </w:p>
    <w:p w14:paraId="6DC5D68D">
      <w:pPr>
        <w:spacing w:line="400" w:lineRule="exact"/>
        <w:ind w:left="25" w:leftChars="12" w:firstLine="413" w:firstLineChars="197"/>
        <w:rPr>
          <w:rFonts w:ascii="宋体" w:hAnsi="宋体" w:eastAsia="宋体" w:cs="Times New Roman"/>
          <w:bCs/>
          <w:color w:val="auto"/>
          <w:highlight w:val="none"/>
          <w:u w:val="single"/>
        </w:rPr>
      </w:pPr>
      <w:r>
        <w:rPr>
          <w:rFonts w:hint="eastAsia" w:ascii="宋体" w:hAnsi="宋体" w:eastAsia="宋体" w:cs="Times New Roman"/>
          <w:color w:val="auto"/>
          <w:szCs w:val="21"/>
          <w:highlight w:val="none"/>
        </w:rPr>
        <w:t>代理机构名称：</w:t>
      </w:r>
      <w:r>
        <w:rPr>
          <w:rFonts w:hint="eastAsia" w:ascii="宋体" w:hAnsi="宋体" w:eastAsia="宋体" w:cs="Times New Roman"/>
          <w:bCs/>
          <w:color w:val="auto"/>
          <w:highlight w:val="none"/>
          <w:u w:val="single"/>
        </w:rPr>
        <w:t xml:space="preserve">                                                                    </w:t>
      </w:r>
    </w:p>
    <w:p w14:paraId="7F87C33C">
      <w:pPr>
        <w:spacing w:line="400" w:lineRule="exact"/>
        <w:ind w:left="25" w:leftChars="12" w:firstLine="413" w:firstLineChars="197"/>
        <w:rPr>
          <w:rFonts w:ascii="宋体" w:hAnsi="宋体" w:eastAsia="宋体" w:cs="Times New Roman"/>
          <w:bCs/>
          <w:color w:val="auto"/>
          <w:highlight w:val="none"/>
          <w:u w:val="single"/>
        </w:rPr>
      </w:pPr>
      <w:r>
        <w:rPr>
          <w:rFonts w:hint="eastAsia" w:ascii="宋体" w:hAnsi="宋体" w:eastAsia="宋体" w:cs="Times New Roman"/>
          <w:bCs/>
          <w:color w:val="auto"/>
          <w:highlight w:val="none"/>
        </w:rPr>
        <w:t>采购文件公告：</w:t>
      </w:r>
      <w:r>
        <w:rPr>
          <w:rFonts w:hint="eastAsia" w:ascii="宋体" w:hAnsi="宋体" w:eastAsia="宋体" w:cs="Times New Roman"/>
          <w:bCs/>
          <w:color w:val="auto"/>
          <w:highlight w:val="none"/>
          <w:u w:val="single"/>
        </w:rPr>
        <w:t>是/否</w:t>
      </w:r>
      <w:r>
        <w:rPr>
          <w:rFonts w:hint="eastAsia" w:ascii="宋体" w:hAnsi="宋体" w:eastAsia="宋体" w:cs="Times New Roman"/>
          <w:bCs/>
          <w:color w:val="auto"/>
          <w:highlight w:val="none"/>
        </w:rPr>
        <w:t>公告期限：</w:t>
      </w:r>
      <w:r>
        <w:rPr>
          <w:rFonts w:hint="eastAsia" w:ascii="宋体" w:hAnsi="宋体" w:eastAsia="宋体" w:cs="Times New Roman"/>
          <w:bCs/>
          <w:color w:val="auto"/>
          <w:highlight w:val="none"/>
          <w:u w:val="single"/>
        </w:rPr>
        <w:t xml:space="preserve">                                                     </w:t>
      </w:r>
    </w:p>
    <w:p w14:paraId="5A5597A2">
      <w:pPr>
        <w:spacing w:line="400" w:lineRule="exact"/>
        <w:ind w:left="25" w:leftChars="12" w:firstLine="413" w:firstLineChars="197"/>
        <w:rPr>
          <w:rFonts w:ascii="宋体" w:hAnsi="宋体" w:eastAsia="宋体" w:cs="Times New Roman"/>
          <w:b/>
          <w:color w:val="auto"/>
          <w:szCs w:val="21"/>
          <w:highlight w:val="none"/>
        </w:rPr>
      </w:pPr>
      <w:r>
        <w:rPr>
          <w:rFonts w:hint="eastAsia" w:ascii="宋体" w:hAnsi="宋体" w:eastAsia="宋体" w:cs="Times New Roman"/>
          <w:bCs/>
          <w:color w:val="auto"/>
          <w:highlight w:val="none"/>
        </w:rPr>
        <w:t>采购结果公告：</w:t>
      </w:r>
      <w:r>
        <w:rPr>
          <w:rFonts w:hint="eastAsia" w:ascii="宋体" w:hAnsi="宋体" w:eastAsia="宋体" w:cs="Times New Roman"/>
          <w:bCs/>
          <w:color w:val="auto"/>
          <w:highlight w:val="none"/>
          <w:u w:val="single"/>
        </w:rPr>
        <w:t>是/否</w:t>
      </w:r>
      <w:r>
        <w:rPr>
          <w:rFonts w:hint="eastAsia" w:ascii="宋体" w:hAnsi="宋体" w:eastAsia="宋体" w:cs="Times New Roman"/>
          <w:bCs/>
          <w:color w:val="auto"/>
          <w:highlight w:val="none"/>
        </w:rPr>
        <w:t>公告期限：</w:t>
      </w:r>
      <w:r>
        <w:rPr>
          <w:rFonts w:hint="eastAsia" w:ascii="宋体" w:hAnsi="宋体" w:eastAsia="宋体" w:cs="Times New Roman"/>
          <w:bCs/>
          <w:color w:val="auto"/>
          <w:highlight w:val="none"/>
          <w:u w:val="single"/>
        </w:rPr>
        <w:t xml:space="preserve">                                                     </w:t>
      </w:r>
    </w:p>
    <w:p w14:paraId="60802D51">
      <w:pPr>
        <w:spacing w:line="400" w:lineRule="exact"/>
        <w:ind w:left="25" w:leftChars="12"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三、质疑基本情况</w:t>
      </w:r>
    </w:p>
    <w:p w14:paraId="16F3C26C">
      <w:pPr>
        <w:spacing w:line="400" w:lineRule="exact"/>
        <w:ind w:left="25" w:leftChars="12" w:firstLine="833" w:firstLineChars="3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投诉人于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日，向</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提出质疑，质疑事项为：</w:t>
      </w:r>
    </w:p>
    <w:p w14:paraId="6D2DECE3">
      <w:pPr>
        <w:spacing w:line="400" w:lineRule="exact"/>
        <w:rPr>
          <w:rFonts w:ascii="宋体" w:hAnsi="宋体" w:eastAsia="宋体" w:cs="Times New Roman"/>
          <w:bCs/>
          <w:color w:val="auto"/>
          <w:highlight w:val="none"/>
          <w:u w:val="single"/>
        </w:rPr>
      </w:pPr>
      <w:r>
        <w:rPr>
          <w:rFonts w:hint="eastAsia" w:ascii="宋体" w:hAnsi="宋体" w:eastAsia="宋体" w:cs="Times New Roman"/>
          <w:color w:val="auto"/>
          <w:szCs w:val="21"/>
          <w:highlight w:val="none"/>
        </w:rPr>
        <w:t xml:space="preserve">    </w:t>
      </w:r>
      <w:r>
        <w:rPr>
          <w:rFonts w:hint="eastAsia" w:ascii="宋体" w:hAnsi="宋体" w:eastAsia="宋体" w:cs="Times New Roman"/>
          <w:bCs/>
          <w:color w:val="auto"/>
          <w:highlight w:val="none"/>
          <w:u w:val="single"/>
        </w:rPr>
        <w:t xml:space="preserve">                                                                                  </w:t>
      </w:r>
    </w:p>
    <w:p w14:paraId="297C5385">
      <w:pPr>
        <w:spacing w:line="400" w:lineRule="exact"/>
        <w:rPr>
          <w:rFonts w:ascii="宋体" w:hAnsi="宋体" w:eastAsia="宋体" w:cs="Times New Roman"/>
          <w:bCs/>
          <w:color w:val="auto"/>
          <w:highlight w:val="none"/>
          <w:u w:val="singl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highlight w:val="none"/>
          <w:u w:val="single"/>
        </w:rPr>
        <w:t xml:space="preserve">                                                                                  </w:t>
      </w:r>
    </w:p>
    <w:p w14:paraId="653DB3D8">
      <w:pPr>
        <w:spacing w:line="400" w:lineRule="exact"/>
        <w:rPr>
          <w:rFonts w:ascii="宋体" w:hAnsi="宋体" w:eastAsia="宋体" w:cs="Times New Roman"/>
          <w:color w:val="auto"/>
          <w:szCs w:val="21"/>
          <w:highlight w:val="non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highlight w:val="none"/>
          <w:u w:val="single"/>
        </w:rPr>
        <w:t>采购人/代理机构</w:t>
      </w:r>
      <w:r>
        <w:rPr>
          <w:rFonts w:hint="eastAsia" w:ascii="宋体" w:hAnsi="宋体" w:eastAsia="宋体" w:cs="Times New Roman"/>
          <w:bCs/>
          <w:color w:val="auto"/>
          <w:highlight w:val="none"/>
        </w:rPr>
        <w:t>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r>
        <w:rPr>
          <w:rFonts w:hint="eastAsia" w:ascii="宋体" w:hAnsi="宋体" w:eastAsia="宋体" w:cs="Times New Roman"/>
          <w:bCs/>
          <w:color w:val="auto"/>
          <w:highlight w:val="none"/>
        </w:rPr>
        <w:t xml:space="preserve">就质疑事项作出了答复/没有在法定期限内作出答复。                                                                                             </w:t>
      </w:r>
    </w:p>
    <w:p w14:paraId="2193C1FC">
      <w:pPr>
        <w:spacing w:line="400" w:lineRule="exact"/>
        <w:ind w:left="25" w:leftChars="12"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四、投诉事项具体内容</w:t>
      </w:r>
    </w:p>
    <w:p w14:paraId="7E3FBF70">
      <w:pPr>
        <w:spacing w:line="400" w:lineRule="exact"/>
        <w:ind w:left="25" w:leftChars="12" w:firstLine="413" w:firstLineChars="197"/>
        <w:rPr>
          <w:rFonts w:ascii="宋体" w:hAnsi="宋体" w:eastAsia="宋体" w:cs="Times New Roman"/>
          <w:bCs/>
          <w:color w:val="auto"/>
          <w:highlight w:val="none"/>
          <w:u w:val="single"/>
        </w:rPr>
      </w:pPr>
      <w:r>
        <w:rPr>
          <w:rFonts w:hint="eastAsia" w:ascii="宋体" w:hAnsi="宋体" w:eastAsia="宋体" w:cs="Times New Roman"/>
          <w:color w:val="auto"/>
          <w:szCs w:val="21"/>
          <w:highlight w:val="none"/>
        </w:rPr>
        <w:t>投诉事项1：</w:t>
      </w:r>
      <w:r>
        <w:rPr>
          <w:rFonts w:hint="eastAsia" w:ascii="宋体" w:hAnsi="宋体" w:eastAsia="宋体" w:cs="Times New Roman"/>
          <w:bCs/>
          <w:color w:val="auto"/>
          <w:highlight w:val="none"/>
          <w:u w:val="single"/>
        </w:rPr>
        <w:t xml:space="preserve">                                                                      </w:t>
      </w:r>
    </w:p>
    <w:p w14:paraId="2B02D892">
      <w:pPr>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事实依据：</w:t>
      </w:r>
      <w:r>
        <w:rPr>
          <w:rFonts w:hint="eastAsia" w:ascii="宋体" w:hAnsi="宋体" w:eastAsia="宋体" w:cs="Times New Roman"/>
          <w:color w:val="auto"/>
          <w:szCs w:val="21"/>
          <w:highlight w:val="none"/>
        </w:rPr>
        <w:t xml:space="preserve"> </w:t>
      </w:r>
      <w:r>
        <w:rPr>
          <w:rFonts w:hint="eastAsia" w:ascii="宋体" w:hAnsi="宋体" w:eastAsia="宋体" w:cs="Times New Roman"/>
          <w:bCs/>
          <w:color w:val="auto"/>
          <w:highlight w:val="none"/>
          <w:u w:val="single"/>
        </w:rPr>
        <w:t xml:space="preserve">                                                                       </w:t>
      </w:r>
    </w:p>
    <w:p w14:paraId="48F031AB">
      <w:pPr>
        <w:spacing w:line="40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bCs/>
          <w:color w:val="auto"/>
          <w:highlight w:val="none"/>
          <w:u w:val="single"/>
        </w:rPr>
        <w:t xml:space="preserve">                                                                                  </w:t>
      </w:r>
    </w:p>
    <w:p w14:paraId="5C8D790D">
      <w:pPr>
        <w:spacing w:line="400" w:lineRule="exact"/>
        <w:ind w:firstLine="420" w:firstLineChars="200"/>
        <w:rPr>
          <w:rFonts w:ascii="宋体" w:hAnsi="宋体" w:eastAsia="宋体" w:cs="Times New Roman"/>
          <w:bCs/>
          <w:color w:val="auto"/>
          <w:highlight w:val="none"/>
          <w:u w:val="single"/>
        </w:rPr>
      </w:pPr>
      <w:r>
        <w:rPr>
          <w:rFonts w:hint="eastAsia" w:ascii="宋体" w:hAnsi="宋体" w:eastAsia="宋体" w:cs="Times New Roman"/>
          <w:bCs/>
          <w:color w:val="auto"/>
          <w:highlight w:val="none"/>
        </w:rPr>
        <w:t>法律依据：</w:t>
      </w:r>
      <w:r>
        <w:rPr>
          <w:rFonts w:hint="eastAsia" w:ascii="宋体" w:hAnsi="宋体" w:eastAsia="宋体" w:cs="Times New Roman"/>
          <w:color w:val="auto"/>
          <w:szCs w:val="21"/>
          <w:highlight w:val="none"/>
        </w:rPr>
        <w:t xml:space="preserve"> </w:t>
      </w:r>
      <w:r>
        <w:rPr>
          <w:rFonts w:hint="eastAsia" w:ascii="宋体" w:hAnsi="宋体" w:eastAsia="宋体" w:cs="Times New Roman"/>
          <w:bCs/>
          <w:color w:val="auto"/>
          <w:highlight w:val="none"/>
          <w:u w:val="single"/>
        </w:rPr>
        <w:t xml:space="preserve">                                                                       </w:t>
      </w:r>
    </w:p>
    <w:p w14:paraId="51B7CC33">
      <w:pPr>
        <w:spacing w:line="400" w:lineRule="exact"/>
        <w:ind w:left="25" w:leftChars="12" w:firstLine="308" w:firstLineChars="147"/>
        <w:rPr>
          <w:rFonts w:ascii="宋体" w:hAnsi="宋体" w:eastAsia="宋体" w:cs="Times New Roman"/>
          <w:bCs/>
          <w:color w:val="auto"/>
          <w:highlight w:val="none"/>
          <w:u w:val="singl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highlight w:val="none"/>
          <w:u w:val="single"/>
        </w:rPr>
        <w:t xml:space="preserve">                                                                                  </w:t>
      </w:r>
    </w:p>
    <w:p w14:paraId="2EA22067">
      <w:pPr>
        <w:spacing w:line="400" w:lineRule="exact"/>
        <w:ind w:left="25" w:leftChars="12" w:firstLine="413" w:firstLineChars="197"/>
        <w:rPr>
          <w:rFonts w:ascii="宋体" w:hAnsi="宋体" w:eastAsia="宋体" w:cs="Times New Roman"/>
          <w:bCs/>
          <w:color w:val="auto"/>
          <w:highlight w:val="none"/>
        </w:rPr>
      </w:pPr>
      <w:r>
        <w:rPr>
          <w:rFonts w:hint="eastAsia" w:ascii="宋体" w:hAnsi="宋体" w:eastAsia="宋体" w:cs="Times New Roman"/>
          <w:color w:val="auto"/>
          <w:szCs w:val="21"/>
          <w:highlight w:val="none"/>
        </w:rPr>
        <w:t xml:space="preserve">投诉事项2 </w:t>
      </w:r>
    </w:p>
    <w:p w14:paraId="6FB9DE51">
      <w:pPr>
        <w:spacing w:line="400" w:lineRule="exact"/>
        <w:ind w:left="25" w:leftChars="12" w:firstLine="413" w:firstLineChars="197"/>
        <w:rPr>
          <w:rFonts w:ascii="宋体" w:hAnsi="宋体" w:eastAsia="宋体" w:cs="Times New Roman"/>
          <w:bCs/>
          <w:color w:val="auto"/>
          <w:highlight w:val="none"/>
        </w:rPr>
      </w:pPr>
      <w:r>
        <w:rPr>
          <w:rFonts w:ascii="宋体" w:hAnsi="宋体" w:eastAsia="宋体" w:cs="Times New Roman"/>
          <w:bCs/>
          <w:color w:val="auto"/>
          <w:highlight w:val="none"/>
        </w:rPr>
        <w:t>……</w:t>
      </w:r>
    </w:p>
    <w:p w14:paraId="31A673EA">
      <w:pPr>
        <w:spacing w:line="400" w:lineRule="exact"/>
        <w:ind w:left="25" w:leftChars="12" w:firstLine="413" w:firstLineChars="196"/>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五、与投诉事项相关的投诉请求：</w:t>
      </w:r>
    </w:p>
    <w:p w14:paraId="5FD99B84">
      <w:pPr>
        <w:spacing w:line="40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请求：</w:t>
      </w:r>
      <w:r>
        <w:rPr>
          <w:rFonts w:hint="eastAsia" w:ascii="宋体" w:hAnsi="宋体" w:eastAsia="宋体" w:cs="Times New Roman"/>
          <w:bCs/>
          <w:color w:val="auto"/>
          <w:highlight w:val="none"/>
          <w:u w:val="single"/>
        </w:rPr>
        <w:t xml:space="preserve">                                                                            </w:t>
      </w:r>
    </w:p>
    <w:p w14:paraId="3A01CF02">
      <w:pPr>
        <w:spacing w:line="400" w:lineRule="exact"/>
        <w:ind w:left="25" w:leftChars="12" w:firstLine="308" w:firstLineChars="147"/>
        <w:rPr>
          <w:rFonts w:ascii="宋体" w:hAnsi="宋体" w:eastAsia="宋体" w:cs="Times New Roman"/>
          <w:color w:val="auto"/>
          <w:szCs w:val="21"/>
          <w:highlight w:val="none"/>
        </w:rPr>
      </w:pPr>
    </w:p>
    <w:p w14:paraId="05B94089">
      <w:pPr>
        <w:spacing w:line="40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签字（签章）：                                       公章：</w:t>
      </w:r>
    </w:p>
    <w:p w14:paraId="31AD871D">
      <w:pPr>
        <w:spacing w:line="400" w:lineRule="exact"/>
        <w:ind w:left="25" w:leftChars="12" w:firstLine="308" w:firstLineChars="147"/>
        <w:rPr>
          <w:rFonts w:ascii="宋体" w:hAnsi="宋体" w:eastAsia="宋体" w:cs="Times New Roman"/>
          <w:color w:val="auto"/>
          <w:szCs w:val="21"/>
          <w:highlight w:val="none"/>
        </w:rPr>
      </w:pPr>
    </w:p>
    <w:p w14:paraId="007DB74E">
      <w:pPr>
        <w:spacing w:line="40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p>
    <w:p w14:paraId="332CD071">
      <w:pPr>
        <w:spacing w:line="360" w:lineRule="exact"/>
        <w:ind w:left="25" w:leftChars="12" w:firstLine="413" w:firstLineChars="197"/>
        <w:rPr>
          <w:rFonts w:ascii="宋体" w:hAnsi="宋体" w:eastAsia="宋体" w:cs="Times New Roman"/>
          <w:color w:val="auto"/>
          <w:szCs w:val="21"/>
          <w:highlight w:val="none"/>
        </w:rPr>
      </w:pPr>
      <w:r>
        <w:rPr>
          <w:rFonts w:hint="eastAsia" w:ascii="宋体" w:hAnsi="宋体" w:eastAsia="宋体" w:cs="Times New Roman"/>
          <w:bCs/>
          <w:color w:val="auto"/>
          <w:highlight w:val="none"/>
        </w:rPr>
        <w:t xml:space="preserve">                                                                                 </w:t>
      </w:r>
    </w:p>
    <w:p w14:paraId="1344A806">
      <w:pPr>
        <w:snapToGrid w:val="0"/>
        <w:spacing w:line="340" w:lineRule="exac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说明：</w:t>
      </w:r>
    </w:p>
    <w:p w14:paraId="02DF5734">
      <w:pPr>
        <w:spacing w:line="340" w:lineRule="exact"/>
        <w:ind w:left="25" w:leftChars="12" w:firstLine="310" w:firstLineChars="147"/>
        <w:rPr>
          <w:rFonts w:ascii="宋体" w:hAnsi="宋体" w:eastAsia="宋体" w:cs="Times New Roman"/>
          <w:b/>
          <w:bCs/>
          <w:color w:val="auto"/>
          <w:highlight w:val="none"/>
        </w:rPr>
      </w:pPr>
      <w:r>
        <w:rPr>
          <w:rFonts w:hint="eastAsia" w:ascii="宋体" w:hAnsi="宋体" w:eastAsia="宋体" w:cs="Times New Roman"/>
          <w:b/>
          <w:color w:val="auto"/>
          <w:szCs w:val="21"/>
          <w:highlight w:val="none"/>
        </w:rPr>
        <w:t>1.投诉人提起投诉时，应当提交投诉书和必要的证明材料，并按照被投诉人和与投诉事项有关的供应商数量提供投诉书副本。</w:t>
      </w:r>
    </w:p>
    <w:p w14:paraId="51073EE9">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68456C62">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3.投诉人若对项目的某一分包进行投诉，投诉书应列明具体分包号。</w:t>
      </w:r>
    </w:p>
    <w:p w14:paraId="77079994">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4.投诉书应简要列明质疑事项，质疑函、质疑答复等作为附件材料提供。</w:t>
      </w:r>
    </w:p>
    <w:p w14:paraId="4667D342">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5.投诉书的投诉事项应具体、明确，并有必要的事实依据和法律依据。</w:t>
      </w:r>
    </w:p>
    <w:p w14:paraId="208E2537">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6.投诉书的投诉请求应与投诉事项相关。</w:t>
      </w:r>
    </w:p>
    <w:p w14:paraId="21156444">
      <w:pPr>
        <w:spacing w:line="340" w:lineRule="exact"/>
        <w:ind w:left="25" w:leftChars="12" w:firstLine="310" w:firstLineChars="147"/>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7.投诉人为自然人的，投诉书应当由本人签字；投诉人为法人或者其他组织的，投诉书应当由法定代表人、主要负责人，或者其授权代表签字或者盖章，并加盖公章。</w:t>
      </w:r>
    </w:p>
    <w:p w14:paraId="7BE4EF61">
      <w:pPr>
        <w:tabs>
          <w:tab w:val="center" w:pos="4410"/>
          <w:tab w:val="left" w:pos="6735"/>
        </w:tabs>
        <w:spacing w:line="480" w:lineRule="auto"/>
        <w:jc w:val="center"/>
        <w:rPr>
          <w:rFonts w:ascii="宋体" w:hAnsi="宋体" w:eastAsia="宋体" w:cs="宋体"/>
          <w:b/>
          <w:color w:val="auto"/>
          <w:sz w:val="32"/>
          <w:szCs w:val="32"/>
          <w:highlight w:val="none"/>
        </w:rPr>
      </w:pPr>
    </w:p>
    <w:p w14:paraId="2543F378">
      <w:pPr>
        <w:tabs>
          <w:tab w:val="center" w:pos="4410"/>
          <w:tab w:val="left" w:pos="6735"/>
        </w:tabs>
        <w:spacing w:line="480" w:lineRule="auto"/>
        <w:jc w:val="center"/>
        <w:rPr>
          <w:rFonts w:ascii="宋体" w:hAnsi="宋体" w:eastAsia="宋体" w:cs="宋体"/>
          <w:b/>
          <w:color w:val="auto"/>
          <w:sz w:val="32"/>
          <w:szCs w:val="32"/>
          <w:highlight w:val="none"/>
        </w:rPr>
      </w:pPr>
    </w:p>
    <w:p w14:paraId="7845CD11">
      <w:pPr>
        <w:pStyle w:val="3"/>
        <w:rPr>
          <w:rFonts w:ascii="宋体" w:hAnsi="宋体" w:eastAsia="宋体" w:cs="宋体"/>
          <w:b/>
          <w:color w:val="auto"/>
          <w:sz w:val="32"/>
          <w:szCs w:val="32"/>
          <w:highlight w:val="none"/>
        </w:rPr>
      </w:pPr>
    </w:p>
    <w:p w14:paraId="5E1AC5E9">
      <w:pPr>
        <w:rPr>
          <w:rFonts w:ascii="宋体" w:hAnsi="宋体" w:eastAsia="宋体" w:cs="宋体"/>
          <w:b/>
          <w:color w:val="auto"/>
          <w:sz w:val="32"/>
          <w:szCs w:val="32"/>
          <w:highlight w:val="none"/>
        </w:rPr>
      </w:pPr>
    </w:p>
    <w:p w14:paraId="685813E2">
      <w:pPr>
        <w:pStyle w:val="3"/>
        <w:rPr>
          <w:rFonts w:ascii="宋体" w:hAnsi="宋体" w:eastAsia="宋体" w:cs="宋体"/>
          <w:b/>
          <w:color w:val="auto"/>
          <w:sz w:val="32"/>
          <w:szCs w:val="32"/>
          <w:highlight w:val="none"/>
        </w:rPr>
      </w:pPr>
    </w:p>
    <w:p w14:paraId="79929ECD">
      <w:pPr>
        <w:rPr>
          <w:rFonts w:ascii="宋体" w:hAnsi="宋体" w:eastAsia="宋体" w:cs="宋体"/>
          <w:b/>
          <w:color w:val="auto"/>
          <w:sz w:val="32"/>
          <w:szCs w:val="32"/>
          <w:highlight w:val="none"/>
        </w:rPr>
      </w:pPr>
    </w:p>
    <w:p w14:paraId="051372EE">
      <w:pPr>
        <w:pStyle w:val="3"/>
        <w:rPr>
          <w:rFonts w:ascii="宋体" w:hAnsi="宋体" w:eastAsia="宋体" w:cs="宋体"/>
          <w:b/>
          <w:color w:val="auto"/>
          <w:sz w:val="32"/>
          <w:szCs w:val="32"/>
          <w:highlight w:val="none"/>
        </w:rPr>
      </w:pPr>
    </w:p>
    <w:p w14:paraId="0E02B52C">
      <w:pPr>
        <w:rPr>
          <w:color w:val="auto"/>
          <w:highlight w:val="none"/>
        </w:rPr>
      </w:pPr>
    </w:p>
    <w:p w14:paraId="0358BB08">
      <w:pPr>
        <w:tabs>
          <w:tab w:val="center" w:pos="4410"/>
          <w:tab w:val="left" w:pos="6735"/>
        </w:tabs>
        <w:spacing w:line="480" w:lineRule="auto"/>
        <w:jc w:val="center"/>
        <w:rPr>
          <w:rFonts w:ascii="宋体" w:hAnsi="宋体" w:eastAsia="宋体" w:cs="宋体"/>
          <w:b/>
          <w:color w:val="auto"/>
          <w:sz w:val="32"/>
          <w:szCs w:val="32"/>
          <w:highlight w:val="none"/>
        </w:rPr>
      </w:pPr>
    </w:p>
    <w:p w14:paraId="22C4F3F4">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3D4F8AC">
      <w:pPr>
        <w:widowControl/>
        <w:spacing w:line="580" w:lineRule="exact"/>
        <w:jc w:val="center"/>
        <w:rPr>
          <w:rFonts w:ascii="方正小标宋_GBK" w:hAnsi="Times New Roman" w:eastAsia="方正小标宋_GBK" w:cs="Times New Roman"/>
          <w:color w:val="auto"/>
          <w:sz w:val="44"/>
          <w:szCs w:val="44"/>
          <w:highlight w:val="none"/>
        </w:rPr>
      </w:pPr>
    </w:p>
    <w:p w14:paraId="650C3A90">
      <w:pPr>
        <w:widowControl/>
        <w:spacing w:line="580" w:lineRule="exact"/>
        <w:jc w:val="center"/>
        <w:rPr>
          <w:rFonts w:ascii="方正小标宋_GBK" w:hAnsi="Times New Roman" w:eastAsia="方正小标宋_GBK" w:cs="Times New Roman"/>
          <w:color w:val="auto"/>
          <w:sz w:val="44"/>
          <w:szCs w:val="44"/>
          <w:highlight w:val="none"/>
        </w:rPr>
      </w:pPr>
      <w:r>
        <w:rPr>
          <w:rFonts w:hint="eastAsia" w:ascii="方正小标宋_GBK" w:hAnsi="Times New Roman" w:eastAsia="方正小标宋_GBK" w:cs="Times New Roman"/>
          <w:color w:val="auto"/>
          <w:sz w:val="44"/>
          <w:szCs w:val="44"/>
          <w:highlight w:val="none"/>
        </w:rPr>
        <w:t>广西线上“政采贷”政策告知函</w:t>
      </w:r>
    </w:p>
    <w:p w14:paraId="5668159F">
      <w:pPr>
        <w:widowControl/>
        <w:spacing w:line="580" w:lineRule="exact"/>
        <w:ind w:firstLine="640" w:firstLineChars="200"/>
        <w:rPr>
          <w:rFonts w:ascii="Times New Roman" w:hAnsi="Times New Roman" w:eastAsia="仿宋_GB2312" w:cs="Times New Roman"/>
          <w:color w:val="auto"/>
          <w:sz w:val="32"/>
          <w:szCs w:val="32"/>
          <w:highlight w:val="none"/>
        </w:rPr>
      </w:pPr>
    </w:p>
    <w:p w14:paraId="1CB4D698">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465543D6">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1B468BFB">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ADEF09B">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Times New Roman" w:hAnsi="Times New Roman" w:eastAsia="仿宋_GB2312" w:cs="Times New Roman"/>
          <w:color w:val="auto"/>
          <w:sz w:val="32"/>
          <w:szCs w:val="24"/>
          <w:highlight w:val="none"/>
        </w:rPr>
        <w:t>https://www.crcrfsp.com/</w:t>
      </w:r>
      <w:r>
        <w:rPr>
          <w:rFonts w:ascii="Times New Roman" w:hAnsi="Times New Roman" w:eastAsia="仿宋_GB2312" w:cs="Times New Roman"/>
          <w:color w:val="auto"/>
          <w:sz w:val="32"/>
          <w:szCs w:val="24"/>
          <w:highlight w:val="none"/>
        </w:rPr>
        <w:fldChar w:fldCharType="end"/>
      </w:r>
      <w:r>
        <w:rPr>
          <w:rFonts w:hint="eastAsia" w:ascii="Times New Roman" w:hAnsi="Times New Roman" w:eastAsia="仿宋_GB2312" w:cs="Times New Roman"/>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4259EA7C">
      <w:pPr>
        <w:rPr>
          <w:rFonts w:ascii="Times New Roman" w:hAnsi="宋体" w:eastAsia="宋体" w:cs="宋体"/>
          <w:b/>
          <w:bCs/>
          <w:color w:val="auto"/>
          <w:sz w:val="30"/>
          <w:szCs w:val="30"/>
          <w:highlight w:val="none"/>
        </w:rPr>
      </w:pPr>
    </w:p>
    <w:p w14:paraId="2CA0F734">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color w:val="auto"/>
          <w:kern w:val="0"/>
          <w:sz w:val="30"/>
          <w:szCs w:val="30"/>
          <w:highlight w:val="none"/>
        </w:rPr>
      </w:pPr>
    </w:p>
    <w:p w14:paraId="7D20C579">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color w:val="auto"/>
          <w:kern w:val="0"/>
          <w:sz w:val="30"/>
          <w:szCs w:val="30"/>
          <w:highlight w:val="none"/>
        </w:rPr>
      </w:pPr>
    </w:p>
    <w:p w14:paraId="1AC36EB1">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color w:val="auto"/>
          <w:kern w:val="0"/>
          <w:sz w:val="30"/>
          <w:szCs w:val="30"/>
          <w:highlight w:val="none"/>
        </w:rPr>
      </w:pPr>
    </w:p>
    <w:p w14:paraId="770E779A">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color w:val="auto"/>
          <w:kern w:val="0"/>
          <w:sz w:val="30"/>
          <w:szCs w:val="30"/>
          <w:highlight w:val="none"/>
        </w:rPr>
      </w:pPr>
    </w:p>
    <w:p w14:paraId="554D0794">
      <w:pPr>
        <w:widowControl/>
        <w:overflowPunct w:val="0"/>
        <w:autoSpaceDE w:val="0"/>
        <w:autoSpaceDN w:val="0"/>
        <w:adjustRightInd w:val="0"/>
        <w:snapToGrid w:val="0"/>
        <w:spacing w:line="360" w:lineRule="auto"/>
        <w:ind w:left="1440" w:right="-510" w:hanging="759"/>
        <w:textAlignment w:val="baseline"/>
        <w:rPr>
          <w:rFonts w:ascii="Times New Roman" w:hAnsi="宋体" w:eastAsia="宋体" w:cs="宋体"/>
          <w:b/>
          <w:bCs/>
          <w:color w:val="auto"/>
          <w:kern w:val="0"/>
          <w:sz w:val="30"/>
          <w:szCs w:val="30"/>
          <w:highlight w:val="none"/>
        </w:rPr>
      </w:pPr>
    </w:p>
    <w:p w14:paraId="73EC5C45">
      <w:pPr>
        <w:pStyle w:val="3"/>
        <w:rPr>
          <w:rFonts w:ascii="Times New Roman" w:hAnsi="宋体" w:eastAsia="宋体" w:cs="宋体"/>
          <w:b/>
          <w:bCs/>
          <w:color w:val="auto"/>
          <w:kern w:val="0"/>
          <w:sz w:val="30"/>
          <w:szCs w:val="30"/>
          <w:highlight w:val="none"/>
        </w:rPr>
      </w:pPr>
    </w:p>
    <w:p w14:paraId="22662F86">
      <w:pPr>
        <w:rPr>
          <w:color w:val="auto"/>
          <w:highlight w:val="none"/>
        </w:rPr>
      </w:pPr>
    </w:p>
    <w:p w14:paraId="31B0BC71">
      <w:pPr>
        <w:widowControl/>
        <w:overflowPunct w:val="0"/>
        <w:autoSpaceDE w:val="0"/>
        <w:autoSpaceDN w:val="0"/>
        <w:adjustRightInd w:val="0"/>
        <w:snapToGrid w:val="0"/>
        <w:spacing w:line="360" w:lineRule="auto"/>
        <w:ind w:right="-510"/>
        <w:textAlignment w:val="baseline"/>
        <w:rPr>
          <w:rFonts w:ascii="Times New Roman" w:hAnsi="宋体" w:eastAsia="宋体" w:cs="宋体"/>
          <w:b/>
          <w:bCs/>
          <w:color w:val="auto"/>
          <w:kern w:val="0"/>
          <w:sz w:val="30"/>
          <w:szCs w:val="30"/>
          <w:highlight w:val="none"/>
        </w:rPr>
      </w:pPr>
    </w:p>
    <w:p w14:paraId="49C6A7E0">
      <w:pPr>
        <w:rPr>
          <w:rFonts w:hint="eastAsia"/>
          <w:color w:val="auto"/>
          <w:kern w:val="0"/>
          <w:highlight w:val="none"/>
          <w:lang w:val="zh-CN"/>
        </w:rPr>
      </w:pPr>
      <w:bookmarkStart w:id="193" w:name="_Toc6272"/>
      <w:bookmarkStart w:id="194" w:name="_Toc28939"/>
      <w:bookmarkStart w:id="195" w:name="_Toc3525"/>
      <w:bookmarkStart w:id="196" w:name="_Toc2989"/>
      <w:r>
        <w:rPr>
          <w:rFonts w:hint="eastAsia"/>
          <w:color w:val="auto"/>
          <w:kern w:val="0"/>
          <w:highlight w:val="none"/>
          <w:lang w:val="zh-CN"/>
        </w:rPr>
        <w:br w:type="page"/>
      </w:r>
    </w:p>
    <w:p w14:paraId="0A1CFA4C">
      <w:pPr>
        <w:pStyle w:val="12"/>
        <w:spacing w:after="60"/>
        <w:ind w:firstLine="0"/>
        <w:rPr>
          <w:color w:val="auto"/>
          <w:kern w:val="0"/>
          <w:highlight w:val="none"/>
          <w:lang w:val="zh-CN"/>
        </w:rPr>
      </w:pPr>
      <w:r>
        <w:rPr>
          <w:rFonts w:hint="eastAsia"/>
          <w:color w:val="auto"/>
          <w:kern w:val="0"/>
          <w:highlight w:val="none"/>
          <w:lang w:val="zh-CN"/>
        </w:rPr>
        <w:t>第三章</w:t>
      </w:r>
      <w:r>
        <w:rPr>
          <w:color w:val="auto"/>
          <w:kern w:val="0"/>
          <w:highlight w:val="none"/>
          <w:lang w:val="zh-CN"/>
        </w:rPr>
        <w:t xml:space="preserve">  </w:t>
      </w:r>
      <w:r>
        <w:rPr>
          <w:rFonts w:hint="eastAsia"/>
          <w:color w:val="auto"/>
          <w:kern w:val="0"/>
          <w:highlight w:val="none"/>
          <w:lang w:val="zh-CN"/>
        </w:rPr>
        <w:t>工程量清单</w:t>
      </w:r>
      <w:bookmarkEnd w:id="193"/>
      <w:bookmarkEnd w:id="194"/>
      <w:bookmarkEnd w:id="195"/>
    </w:p>
    <w:p w14:paraId="6F60DD84">
      <w:pPr>
        <w:tabs>
          <w:tab w:val="left" w:pos="210"/>
        </w:tabs>
        <w:spacing w:line="360" w:lineRule="exact"/>
        <w:jc w:val="left"/>
        <w:outlineLvl w:val="1"/>
        <w:rPr>
          <w:rFonts w:ascii="Times New Roman" w:hAnsi="Times New Roman" w:eastAsia="宋体" w:cs="Times New Roman"/>
          <w:color w:val="auto"/>
          <w:szCs w:val="24"/>
          <w:highlight w:val="none"/>
        </w:rPr>
      </w:pPr>
    </w:p>
    <w:p w14:paraId="226F1E46">
      <w:pPr>
        <w:keepNext w:val="0"/>
        <w:keepLines w:val="0"/>
        <w:pageBreakBefore w:val="0"/>
        <w:widowControl w:val="0"/>
        <w:tabs>
          <w:tab w:val="left" w:pos="210"/>
        </w:tabs>
        <w:kinsoku/>
        <w:wordWrap/>
        <w:overflowPunct/>
        <w:topLinePunct w:val="0"/>
        <w:autoSpaceDE/>
        <w:autoSpaceDN/>
        <w:bidi w:val="0"/>
        <w:adjustRightInd/>
        <w:snapToGrid/>
        <w:spacing w:line="440" w:lineRule="exact"/>
        <w:jc w:val="left"/>
        <w:textAlignment w:val="auto"/>
        <w:outlineLvl w:val="1"/>
        <w:rPr>
          <w:rFonts w:ascii="宋体" w:hAnsi="宋体" w:cs="宋体"/>
          <w:b/>
          <w:bCs/>
          <w:color w:val="auto"/>
          <w:sz w:val="21"/>
          <w:szCs w:val="21"/>
          <w:highlight w:val="none"/>
        </w:rPr>
      </w:pPr>
      <w:bookmarkStart w:id="197" w:name="_Toc160609998"/>
      <w:bookmarkStart w:id="198" w:name="_Toc164138057"/>
      <w:bookmarkStart w:id="199" w:name="_Toc194308407"/>
      <w:bookmarkStart w:id="200" w:name="_Toc7172"/>
      <w:bookmarkStart w:id="201" w:name="_Toc26783"/>
      <w:bookmarkStart w:id="202" w:name="_Toc10833"/>
      <w:r>
        <w:rPr>
          <w:rFonts w:hint="eastAsia" w:ascii="宋体" w:hAnsi="宋体" w:cs="宋体"/>
          <w:b/>
          <w:bCs/>
          <w:color w:val="auto"/>
          <w:sz w:val="21"/>
          <w:szCs w:val="21"/>
          <w:highlight w:val="none"/>
        </w:rPr>
        <w:t>一、工程量清单说明</w:t>
      </w:r>
      <w:bookmarkEnd w:id="197"/>
      <w:bookmarkEnd w:id="198"/>
      <w:r>
        <w:rPr>
          <w:rFonts w:hint="eastAsia" w:ascii="宋体" w:hAnsi="宋体" w:cs="宋体"/>
          <w:b/>
          <w:bCs/>
          <w:color w:val="auto"/>
          <w:sz w:val="21"/>
          <w:szCs w:val="21"/>
          <w:highlight w:val="none"/>
        </w:rPr>
        <w:t>：</w:t>
      </w:r>
      <w:bookmarkEnd w:id="199"/>
      <w:bookmarkEnd w:id="200"/>
      <w:r>
        <w:rPr>
          <w:rFonts w:hint="eastAsia" w:ascii="宋体" w:hAnsi="宋体" w:cs="宋体"/>
          <w:b/>
          <w:bCs/>
          <w:color w:val="auto"/>
          <w:sz w:val="21"/>
          <w:szCs w:val="21"/>
          <w:highlight w:val="none"/>
        </w:rPr>
        <w:t xml:space="preserve"> </w:t>
      </w:r>
    </w:p>
    <w:p w14:paraId="7802D38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color w:val="auto"/>
          <w:sz w:val="21"/>
          <w:szCs w:val="21"/>
          <w:highlight w:val="none"/>
        </w:rPr>
      </w:pPr>
      <w:r>
        <w:rPr>
          <w:rFonts w:hint="eastAsia" w:ascii="宋体" w:hAnsi="宋体" w:cs="宋体"/>
          <w:color w:val="auto"/>
          <w:sz w:val="21"/>
          <w:szCs w:val="21"/>
          <w:highlight w:val="none"/>
        </w:rPr>
        <w:t xml:space="preserve">1、工程概况：本工程为荔浦市荔城镇沙街社区洋洞河堤顶路健身步道建设项目；其中包含排水渠疏浚、渠堤顶路面硬化、路灯、健身广场、健身器材、绿化等项目。 </w:t>
      </w:r>
    </w:p>
    <w:p w14:paraId="6D4B85F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2、编制依据：</w:t>
      </w:r>
    </w:p>
    <w:p w14:paraId="5D3892FC">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 w:val="21"/>
          <w:szCs w:val="21"/>
          <w:highlight w:val="none"/>
        </w:rPr>
      </w:pPr>
      <w:bookmarkStart w:id="203" w:name="_Toc23096"/>
      <w:r>
        <w:rPr>
          <w:rFonts w:hint="eastAsia" w:ascii="宋体" w:hAnsi="宋体" w:cs="宋体"/>
          <w:color w:val="auto"/>
          <w:sz w:val="21"/>
          <w:szCs w:val="21"/>
          <w:highlight w:val="none"/>
        </w:rPr>
        <w:t xml:space="preserve">（1）《建设工程工程量清单计价规范》(GB50500-2013)（修订本）； </w:t>
      </w:r>
    </w:p>
    <w:p w14:paraId="403331E9">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）《〈建设工程工程量计算规范〉（GB50854~50862-2013）广西壮族自治区实施细则（修订本）》</w:t>
      </w:r>
      <w:r>
        <w:rPr>
          <w:rFonts w:hint="eastAsia" w:ascii="宋体" w:hAnsi="宋体" w:cs="宋体"/>
          <w:color w:val="auto"/>
          <w:sz w:val="21"/>
          <w:szCs w:val="21"/>
          <w:highlight w:val="none"/>
        </w:rPr>
        <w:t>；</w:t>
      </w:r>
    </w:p>
    <w:p w14:paraId="1722449D">
      <w:pPr>
        <w:keepNext w:val="0"/>
        <w:keepLines w:val="0"/>
        <w:pageBreakBefore w:val="0"/>
        <w:widowControl w:val="0"/>
        <w:tabs>
          <w:tab w:val="left" w:pos="210"/>
        </w:tabs>
        <w:kinsoku/>
        <w:wordWrap/>
        <w:overflowPunct/>
        <w:topLinePunct w:val="0"/>
        <w:autoSpaceDE/>
        <w:autoSpaceDN/>
        <w:bidi w:val="0"/>
        <w:adjustRightInd/>
        <w:snapToGrid/>
        <w:spacing w:line="440" w:lineRule="exact"/>
        <w:ind w:left="0" w:leftChars="0" w:firstLine="367" w:firstLineChars="175"/>
        <w:textAlignment w:val="auto"/>
        <w:rPr>
          <w:rFonts w:ascii="宋体" w:hAnsi="宋体" w:cs="宋体"/>
          <w:color w:val="auto"/>
          <w:sz w:val="21"/>
          <w:szCs w:val="21"/>
          <w:highlight w:val="none"/>
        </w:rPr>
      </w:pPr>
      <w:r>
        <w:rPr>
          <w:rFonts w:hint="eastAsia" w:ascii="宋体" w:hAnsi="宋体" w:cs="宋体"/>
          <w:color w:val="auto"/>
          <w:sz w:val="21"/>
          <w:szCs w:val="21"/>
          <w:highlight w:val="none"/>
        </w:rPr>
        <w:t>（3）2022年《广西壮族自治区市政工程消耗量定额》及其计价相关规定；</w:t>
      </w:r>
    </w:p>
    <w:p w14:paraId="300FC880">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2021年《广西壮族自治区园林绿化及仿古建筑工程消耗量定额》及配套费用定额；</w:t>
      </w:r>
    </w:p>
    <w:p w14:paraId="2E5E28E8">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2023年《广西壮族自治区安装工程消耗量定额》及配套费用定额；</w:t>
      </w:r>
    </w:p>
    <w:p w14:paraId="4FE945C6">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《自治区住房城乡建设厅关于调整建设工程定额人工费及有关费率的通知》（桂建标﹝2023﹞7号）；</w:t>
      </w:r>
    </w:p>
    <w:p w14:paraId="025D1578">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增值税按《自治区住房城乡建设厅关于调整建设工程计价增值税税率的通知》（桂建标【2019】12号文的有关规定计算；</w:t>
      </w:r>
    </w:p>
    <w:p w14:paraId="5223CB8D">
      <w:pPr>
        <w:keepNext w:val="0"/>
        <w:keepLines w:val="0"/>
        <w:pageBreakBefore w:val="0"/>
        <w:widowControl w:val="0"/>
        <w:numPr>
          <w:ilvl w:val="0"/>
          <w:numId w:val="4"/>
        </w:numPr>
        <w:tabs>
          <w:tab w:val="left" w:pos="210"/>
        </w:tabs>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材料价格参照2026年第2期《桂林市建设工程造价信息》公布的荔浦市不含税信息价，没有的按桂林市不含税信息价或市场询价；</w:t>
      </w:r>
    </w:p>
    <w:p w14:paraId="290F5E69">
      <w:pPr>
        <w:keepNext w:val="0"/>
        <w:keepLines w:val="0"/>
        <w:pageBreakBefore w:val="0"/>
        <w:widowControl w:val="0"/>
        <w:tabs>
          <w:tab w:val="left" w:pos="210"/>
        </w:tabs>
        <w:kinsoku/>
        <w:wordWrap/>
        <w:overflowPunct/>
        <w:topLinePunct w:val="0"/>
        <w:autoSpaceDE/>
        <w:autoSpaceDN/>
        <w:bidi w:val="0"/>
        <w:adjustRightInd/>
        <w:snapToGrid/>
        <w:spacing w:line="440" w:lineRule="exact"/>
        <w:ind w:left="0" w:leftChars="0" w:firstLine="367" w:firstLineChars="175"/>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）设计图。</w:t>
      </w:r>
    </w:p>
    <w:p w14:paraId="2F7491B3">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440" w:lineRule="exact"/>
        <w:ind w:left="420" w:lef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3、其他需要说明的问题</w:t>
      </w:r>
    </w:p>
    <w:p w14:paraId="599922EC">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440" w:lineRule="exact"/>
        <w:ind w:left="420" w:left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default" w:ascii="宋体" w:hAnsi="宋体" w:cs="宋体"/>
          <w:color w:val="auto"/>
          <w:sz w:val="21"/>
          <w:szCs w:val="21"/>
          <w:highlight w:val="none"/>
          <w:lang w:val="en-US" w:eastAsia="zh-CN"/>
        </w:rPr>
        <w:t>本工程混凝土采用有商品混凝土及现场拌制混凝土；</w:t>
      </w:r>
    </w:p>
    <w:p w14:paraId="2CE1A57D">
      <w:pPr>
        <w:pStyle w:val="3"/>
        <w:rPr>
          <w:rFonts w:hint="default" w:ascii="宋体" w:hAnsi="宋体" w:cs="宋体" w:eastAsiaTheme="minorEastAsia"/>
          <w:b w:val="0"/>
          <w:bCs w:val="0"/>
          <w:iCs w:val="0"/>
          <w:color w:val="auto"/>
          <w:kern w:val="2"/>
          <w:sz w:val="21"/>
          <w:szCs w:val="21"/>
          <w:highlight w:val="none"/>
          <w:lang w:val="en-US" w:eastAsia="zh-CN" w:bidi="ar-SA"/>
        </w:rPr>
      </w:pPr>
      <w:r>
        <w:rPr>
          <w:rFonts w:hint="default" w:ascii="宋体" w:hAnsi="宋体" w:cs="宋体" w:eastAsiaTheme="minorEastAsia"/>
          <w:b w:val="0"/>
          <w:bCs w:val="0"/>
          <w:iCs w:val="0"/>
          <w:color w:val="auto"/>
          <w:kern w:val="2"/>
          <w:sz w:val="21"/>
          <w:szCs w:val="21"/>
          <w:highlight w:val="none"/>
          <w:lang w:val="en-US" w:eastAsia="zh-CN" w:bidi="ar-SA"/>
        </w:rPr>
        <w:t xml:space="preserve"> </w:t>
      </w:r>
      <w:r>
        <w:rPr>
          <w:rFonts w:hint="eastAsia" w:ascii="宋体" w:hAnsi="宋体" w:cs="宋体" w:eastAsiaTheme="minorEastAsia"/>
          <w:b w:val="0"/>
          <w:bCs w:val="0"/>
          <w:iCs w:val="0"/>
          <w:color w:val="auto"/>
          <w:kern w:val="2"/>
          <w:sz w:val="21"/>
          <w:szCs w:val="21"/>
          <w:highlight w:val="none"/>
          <w:lang w:val="en-US" w:eastAsia="zh-CN" w:bidi="ar-SA"/>
        </w:rPr>
        <w:t xml:space="preserve">   （</w:t>
      </w:r>
      <w:r>
        <w:rPr>
          <w:rFonts w:hint="default" w:ascii="宋体" w:hAnsi="宋体" w:cs="宋体" w:eastAsiaTheme="minorEastAsia"/>
          <w:b w:val="0"/>
          <w:bCs w:val="0"/>
          <w:iCs w:val="0"/>
          <w:color w:val="auto"/>
          <w:kern w:val="2"/>
          <w:sz w:val="21"/>
          <w:szCs w:val="21"/>
          <w:highlight w:val="none"/>
          <w:lang w:val="en-US" w:eastAsia="zh-CN" w:bidi="ar-SA"/>
        </w:rPr>
        <w:t>2）本工程采用一般计税法计算。</w:t>
      </w:r>
    </w:p>
    <w:p w14:paraId="25035C70">
      <w:pPr>
        <w:pStyle w:val="3"/>
        <w:rPr>
          <w:rFonts w:ascii="宋体" w:hAnsi="宋体" w:cs="宋体"/>
          <w:b/>
          <w:bCs/>
          <w:color w:val="auto"/>
          <w:sz w:val="21"/>
          <w:szCs w:val="21"/>
          <w:highlight w:val="none"/>
        </w:rPr>
      </w:pPr>
      <w:r>
        <w:rPr>
          <w:rFonts w:hint="eastAsia"/>
          <w:color w:val="auto"/>
          <w:sz w:val="21"/>
          <w:szCs w:val="21"/>
          <w:highlight w:val="none"/>
        </w:rPr>
        <w:t>二</w:t>
      </w:r>
      <w:r>
        <w:rPr>
          <w:rFonts w:hint="eastAsia" w:ascii="宋体" w:hAnsi="宋体" w:cs="宋体"/>
          <w:b/>
          <w:bCs/>
          <w:color w:val="auto"/>
          <w:sz w:val="21"/>
          <w:szCs w:val="21"/>
          <w:highlight w:val="none"/>
        </w:rPr>
        <w:t>、注意事项及要求：</w:t>
      </w:r>
      <w:bookmarkEnd w:id="203"/>
    </w:p>
    <w:p w14:paraId="00DFA62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1、严格按国家标准及本项目工程量清单、图纸要求施工。</w:t>
      </w:r>
    </w:p>
    <w:p w14:paraId="7B24E734">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2、要求工期：</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0日历天</w:t>
      </w:r>
    </w:p>
    <w:p w14:paraId="0FB66DFD">
      <w:pPr>
        <w:keepNext w:val="0"/>
        <w:keepLines w:val="0"/>
        <w:pageBreakBefore w:val="0"/>
        <w:widowControl w:val="0"/>
        <w:tabs>
          <w:tab w:val="left" w:pos="210"/>
        </w:tabs>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rPr>
        <w:t>3、质量要求：达到国家施工验收规范合格标准</w:t>
      </w:r>
      <w:r>
        <w:rPr>
          <w:rFonts w:hint="eastAsia" w:ascii="宋体" w:hAnsi="宋体" w:cs="宋体"/>
          <w:color w:val="auto"/>
          <w:sz w:val="21"/>
          <w:szCs w:val="21"/>
          <w:highlight w:val="none"/>
          <w:lang w:eastAsia="zh-CN"/>
        </w:rPr>
        <w:t>。</w:t>
      </w:r>
    </w:p>
    <w:p w14:paraId="7EF85321">
      <w:pPr>
        <w:keepNext w:val="0"/>
        <w:keepLines w:val="0"/>
        <w:pageBreakBefore w:val="0"/>
        <w:widowControl w:val="0"/>
        <w:tabs>
          <w:tab w:val="left" w:pos="210"/>
        </w:tabs>
        <w:kinsoku/>
        <w:wordWrap/>
        <w:overflowPunct/>
        <w:topLinePunct w:val="0"/>
        <w:autoSpaceDE/>
        <w:autoSpaceDN/>
        <w:bidi w:val="0"/>
        <w:adjustRightInd/>
        <w:snapToGrid/>
        <w:spacing w:line="440" w:lineRule="exact"/>
        <w:jc w:val="left"/>
        <w:textAlignment w:val="auto"/>
        <w:outlineLvl w:val="1"/>
        <w:rPr>
          <w:color w:val="auto"/>
          <w:sz w:val="21"/>
          <w:szCs w:val="21"/>
          <w:highlight w:val="none"/>
        </w:rPr>
      </w:pPr>
      <w:bookmarkStart w:id="204" w:name="_Toc29479"/>
      <w:r>
        <w:rPr>
          <w:rFonts w:hint="eastAsia" w:ascii="宋体" w:hAnsi="宋体" w:cs="宋体"/>
          <w:b/>
          <w:bCs/>
          <w:color w:val="auto"/>
          <w:sz w:val="21"/>
          <w:szCs w:val="21"/>
          <w:highlight w:val="none"/>
        </w:rPr>
        <w:t>三、</w:t>
      </w:r>
      <w:bookmarkEnd w:id="204"/>
      <w:r>
        <w:rPr>
          <w:rFonts w:hint="eastAsia" w:ascii="宋体" w:hAnsi="宋体" w:cs="宋体"/>
          <w:b/>
          <w:bCs/>
          <w:color w:val="auto"/>
          <w:sz w:val="21"/>
          <w:szCs w:val="21"/>
          <w:highlight w:val="none"/>
        </w:rPr>
        <w:t>工程量清单</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另附</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电子版自行下载）。</w:t>
      </w:r>
    </w:p>
    <w:p w14:paraId="53C93538">
      <w:pPr>
        <w:pStyle w:val="12"/>
        <w:spacing w:after="60"/>
        <w:ind w:firstLine="0"/>
        <w:rPr>
          <w:rFonts w:ascii="华文中宋" w:hAnsi="华文中宋" w:eastAsia="华文中宋" w:cs="华文中宋"/>
          <w:b w:val="0"/>
          <w:bCs w:val="0"/>
          <w:color w:val="auto"/>
          <w:highlight w:val="none"/>
        </w:rPr>
      </w:pPr>
      <w:r>
        <w:rPr>
          <w:rFonts w:hint="eastAsia" w:ascii="华文中宋" w:hAnsi="华文中宋" w:eastAsia="华文中宋" w:cs="华文中宋"/>
          <w:b/>
          <w:bCs/>
          <w:color w:val="auto"/>
          <w:sz w:val="32"/>
          <w:szCs w:val="32"/>
          <w:highlight w:val="none"/>
        </w:rPr>
        <w:br w:type="page"/>
      </w:r>
      <w:bookmarkStart w:id="205" w:name="_Toc1651"/>
      <w:r>
        <w:rPr>
          <w:rFonts w:hint="eastAsia"/>
          <w:color w:val="auto"/>
          <w:kern w:val="0"/>
          <w:highlight w:val="none"/>
          <w:lang w:val="zh-CN"/>
        </w:rPr>
        <w:t>第四章</w:t>
      </w:r>
      <w:r>
        <w:rPr>
          <w:color w:val="auto"/>
          <w:kern w:val="0"/>
          <w:highlight w:val="none"/>
          <w:lang w:val="zh-CN"/>
        </w:rPr>
        <w:t xml:space="preserve">  </w:t>
      </w:r>
      <w:r>
        <w:rPr>
          <w:rFonts w:hint="eastAsia"/>
          <w:color w:val="auto"/>
          <w:kern w:val="0"/>
          <w:highlight w:val="none"/>
          <w:lang w:val="zh-CN"/>
        </w:rPr>
        <w:t>评审办法</w:t>
      </w:r>
      <w:bookmarkEnd w:id="196"/>
      <w:bookmarkEnd w:id="201"/>
      <w:bookmarkEnd w:id="202"/>
      <w:bookmarkEnd w:id="205"/>
    </w:p>
    <w:p w14:paraId="085B0D8A">
      <w:pPr>
        <w:spacing w:line="360" w:lineRule="exact"/>
        <w:ind w:firstLine="422" w:firstLineChars="200"/>
        <w:outlineLvl w:val="1"/>
        <w:rPr>
          <w:rFonts w:ascii="宋体" w:hAnsi="宋体" w:eastAsia="宋体" w:cs="宋体"/>
          <w:b/>
          <w:bCs/>
          <w:color w:val="auto"/>
          <w:szCs w:val="21"/>
          <w:highlight w:val="none"/>
        </w:rPr>
      </w:pPr>
      <w:bookmarkStart w:id="206" w:name="_Toc20438"/>
      <w:bookmarkStart w:id="207" w:name="_Toc3700"/>
      <w:r>
        <w:rPr>
          <w:rFonts w:hint="eastAsia" w:ascii="宋体" w:hAnsi="宋体" w:eastAsia="宋体" w:cs="宋体"/>
          <w:b/>
          <w:bCs/>
          <w:color w:val="auto"/>
          <w:szCs w:val="21"/>
          <w:highlight w:val="none"/>
        </w:rPr>
        <w:t>一、评审依据及方式</w:t>
      </w:r>
      <w:bookmarkEnd w:id="206"/>
      <w:bookmarkEnd w:id="207"/>
    </w:p>
    <w:p w14:paraId="5E512908">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1.评审依据：磋商小组以磋商文件和响应文件为评审依据，对供应商的响应文件按百分制打分。</w:t>
      </w:r>
    </w:p>
    <w:p w14:paraId="2C17E92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2.评审方式：以封闭方式进行评审。</w:t>
      </w:r>
    </w:p>
    <w:p w14:paraId="7459948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3.根据财库〔2012〕69号文规定，采购人和采购代理机构，磋商小组成员要严格遵守政府采购相关法律制度，依法履行各自职责，公正、客观、审慎地组织和参与评审工作。</w:t>
      </w:r>
    </w:p>
    <w:p w14:paraId="3379356F">
      <w:pPr>
        <w:spacing w:line="360" w:lineRule="exact"/>
        <w:ind w:firstLine="422" w:firstLineChars="200"/>
        <w:outlineLvl w:val="1"/>
        <w:rPr>
          <w:rFonts w:ascii="宋体" w:hAnsi="宋体" w:eastAsia="宋体" w:cs="宋体"/>
          <w:b/>
          <w:bCs/>
          <w:color w:val="auto"/>
          <w:szCs w:val="21"/>
          <w:highlight w:val="none"/>
        </w:rPr>
      </w:pPr>
      <w:bookmarkStart w:id="208" w:name="_Toc13784"/>
      <w:bookmarkStart w:id="209" w:name="_Toc29329"/>
      <w:r>
        <w:rPr>
          <w:rFonts w:hint="eastAsia" w:ascii="宋体" w:hAnsi="宋体" w:eastAsia="宋体" w:cs="宋体"/>
          <w:b/>
          <w:bCs/>
          <w:color w:val="auto"/>
          <w:szCs w:val="21"/>
          <w:highlight w:val="none"/>
        </w:rPr>
        <w:t>二、评审办法</w:t>
      </w:r>
      <w:bookmarkEnd w:id="208"/>
      <w:bookmarkEnd w:id="209"/>
    </w:p>
    <w:p w14:paraId="57374755">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（一）对进入详评的，采用综合评分法。</w:t>
      </w:r>
    </w:p>
    <w:p w14:paraId="68C05AAC">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（二）计分办法（百分制，分值保留两位小数）</w:t>
      </w:r>
    </w:p>
    <w:p w14:paraId="0707571E">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1、价格分……………………………………………………………………………………满分30分</w:t>
      </w:r>
    </w:p>
    <w:p w14:paraId="5D0BC8D0">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（1）以进入综合评分环节的最低的最后报价为基准价，基准价报价得分为30分。</w:t>
      </w:r>
    </w:p>
    <w:p w14:paraId="1233C274">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（2）供应商磋商报价得分=（磋商基准价/供应商的最后报价）×30分。</w:t>
      </w:r>
    </w:p>
    <w:p w14:paraId="18BDF9EB">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本项目专门面向中小微企业采购，无需再进行政策性扣除后再参与评审。</w:t>
      </w:r>
    </w:p>
    <w:p w14:paraId="043CA996">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2、技术分………………………………………………</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…………满分60分</w:t>
      </w:r>
    </w:p>
    <w:p w14:paraId="027D48B0">
      <w:pPr>
        <w:spacing w:line="36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由磋商小组针对供应商提供的施工组织设计进行独立评分：</w:t>
      </w:r>
    </w:p>
    <w:p w14:paraId="0BE0A42C">
      <w:pPr>
        <w:tabs>
          <w:tab w:val="left" w:leader="middleDot" w:pos="8820"/>
        </w:tabs>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（1）总体概述………………………………………………………………………………………8分</w:t>
      </w:r>
    </w:p>
    <w:p w14:paraId="72369657">
      <w:pPr>
        <w:spacing w:line="36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优（8分）：对项目总体有深刻认识，表达清晰、完整、严谨、合理，措施先进、具体、有效、成熟；施工段划分清晰、合理，符合规范要求；</w:t>
      </w:r>
    </w:p>
    <w:p w14:paraId="648F82BF">
      <w:pPr>
        <w:spacing w:line="36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良（</w:t>
      </w:r>
      <w:r>
        <w:rPr>
          <w:rFonts w:ascii="宋体" w:hAnsi="宋体" w:eastAsia="宋体" w:cs="宋体"/>
          <w:bCs/>
          <w:color w:val="auto"/>
          <w:kern w:val="0"/>
          <w:szCs w:val="21"/>
          <w:highlight w:val="none"/>
        </w:rPr>
        <w:t>5</w:t>
      </w:r>
      <w:r>
        <w:rPr>
          <w:rFonts w:hint="eastAsia" w:ascii="宋体" w:hAnsi="宋体" w:eastAsia="宋体" w:cs="宋体"/>
          <w:bCs/>
          <w:color w:val="auto"/>
          <w:kern w:val="0"/>
          <w:szCs w:val="21"/>
          <w:highlight w:val="none"/>
        </w:rPr>
        <w:t>分）：对项目总体有一定认识，表达清晰、完整，措施具体有效；施工段划分清晰，符合规范要求；</w:t>
      </w:r>
    </w:p>
    <w:p w14:paraId="626D71ED">
      <w:pPr>
        <w:spacing w:line="36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中（</w:t>
      </w:r>
      <w:r>
        <w:rPr>
          <w:rFonts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rPr>
        <w:t>分）：对项目总体有认识，有一定的措施但部分不具体；施工段划分较合理，符合规范要求；</w:t>
      </w:r>
    </w:p>
    <w:p w14:paraId="3CB0C2AE">
      <w:pPr>
        <w:spacing w:line="36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差（</w:t>
      </w:r>
      <w:r>
        <w:rPr>
          <w:rFonts w:ascii="宋体" w:hAnsi="宋体" w:eastAsia="宋体" w:cs="宋体"/>
          <w:bCs/>
          <w:color w:val="auto"/>
          <w:kern w:val="0"/>
          <w:szCs w:val="21"/>
          <w:highlight w:val="none"/>
        </w:rPr>
        <w:t>0</w:t>
      </w:r>
      <w:r>
        <w:rPr>
          <w:rFonts w:hint="eastAsia" w:ascii="宋体" w:hAnsi="宋体" w:eastAsia="宋体" w:cs="宋体"/>
          <w:bCs/>
          <w:color w:val="auto"/>
          <w:kern w:val="0"/>
          <w:szCs w:val="21"/>
          <w:highlight w:val="none"/>
        </w:rPr>
        <w:t>分）：对项目认识不足，表达不清晰，措施不具体；施工段划分不合理。</w:t>
      </w:r>
    </w:p>
    <w:p w14:paraId="4433C792">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（2）主要施工方法…………………………………………………………………………………8分</w:t>
      </w:r>
    </w:p>
    <w:p w14:paraId="71157EFF">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优（8</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）：各主要分部施工方法符合项目实际，有详尽的施工技术方案，工艺先进、方法科学合理、可行，能指导具体施工并确保安全；</w:t>
      </w:r>
    </w:p>
    <w:p w14:paraId="136F61EB">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ascii="宋体" w:hAnsi="宋体" w:eastAsia="宋体" w:cs="宋体"/>
          <w:bCs/>
          <w:color w:val="auto"/>
          <w:szCs w:val="21"/>
          <w:highlight w:val="none"/>
        </w:rPr>
        <w:t>5</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）：各主要分部施工方法符合项目实际，有较详尽的施工技术方案，工艺较好、方法科学合理、可行，能指导具体施工并确保安全；</w:t>
      </w:r>
    </w:p>
    <w:p w14:paraId="4D129D0B">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ascii="宋体" w:hAnsi="宋体" w:eastAsia="宋体" w:cs="宋体"/>
          <w:bCs/>
          <w:color w:val="auto"/>
          <w:szCs w:val="21"/>
          <w:highlight w:val="none"/>
        </w:rPr>
        <w:t>3</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）：各主要分部施工方法能满足项目需求，有施工技术方案，能指导具体施工并确保安全；</w:t>
      </w:r>
    </w:p>
    <w:p w14:paraId="68CC6518">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）：各主要分部施工方法不能满足项目需求，没有施工技术方案，不能指导具体施工并确保安全。</w:t>
      </w:r>
    </w:p>
    <w:p w14:paraId="39AA9A48">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（3）施工进度计划和各阶段进度的保证措施……………………………………………………6分</w:t>
      </w:r>
    </w:p>
    <w:p w14:paraId="2D511D04">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bCs/>
          <w:color w:val="auto"/>
          <w:kern w:val="0"/>
          <w:szCs w:val="21"/>
          <w:highlight w:val="none"/>
        </w:rPr>
        <w:t>（6分）</w:t>
      </w:r>
      <w:r>
        <w:rPr>
          <w:rFonts w:hint="eastAsia" w:ascii="宋体" w:hAnsi="宋体" w:eastAsia="宋体" w:cs="宋体"/>
          <w:bCs/>
          <w:color w:val="auto"/>
          <w:szCs w:val="21"/>
          <w:highlight w:val="none"/>
        </w:rPr>
        <w:t>：关键线路清晰、准确、完整，计划编制合理、可行，关键节点的控制措施有力、合理、可行；</w:t>
      </w:r>
    </w:p>
    <w:p w14:paraId="72121E14">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rPr>
        <w:t>分）</w:t>
      </w:r>
      <w:r>
        <w:rPr>
          <w:rFonts w:hint="eastAsia" w:ascii="宋体" w:hAnsi="宋体" w:eastAsia="宋体" w:cs="宋体"/>
          <w:bCs/>
          <w:color w:val="auto"/>
          <w:szCs w:val="21"/>
          <w:highlight w:val="none"/>
        </w:rPr>
        <w:t>：关键线路清晰、准确、完整，计划编制可行，关键节点的控制措施合理、可行；</w:t>
      </w:r>
    </w:p>
    <w:p w14:paraId="4F8A16C6">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rPr>
        <w:t>分）</w:t>
      </w:r>
      <w:r>
        <w:rPr>
          <w:rFonts w:hint="eastAsia" w:ascii="宋体" w:hAnsi="宋体" w:eastAsia="宋体" w:cs="宋体"/>
          <w:bCs/>
          <w:color w:val="auto"/>
          <w:szCs w:val="21"/>
          <w:highlight w:val="none"/>
        </w:rPr>
        <w:t>：关键线路基本准确，计划编制合理，关键节点的控制措施基本可行；</w:t>
      </w:r>
    </w:p>
    <w:p w14:paraId="6B62E5B1">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）：关键线路不准确，计划编制不合理，关键节点的控制不可行。</w:t>
      </w:r>
    </w:p>
    <w:p w14:paraId="6B9D6DEF">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（4）劳动力和材料投入计划及其保证措施………………………………………………………6分</w:t>
      </w:r>
    </w:p>
    <w:p w14:paraId="3A327466">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w:t>
      </w:r>
      <w:r>
        <w:rPr>
          <w:rFonts w:hint="eastAsia" w:ascii="宋体" w:hAnsi="宋体" w:eastAsia="宋体" w:cs="宋体"/>
          <w:color w:val="auto"/>
          <w:kern w:val="0"/>
          <w:szCs w:val="21"/>
          <w:highlight w:val="none"/>
        </w:rPr>
        <w:t>6分</w:t>
      </w:r>
      <w:r>
        <w:rPr>
          <w:rFonts w:hint="eastAsia" w:ascii="宋体" w:hAnsi="宋体" w:eastAsia="宋体" w:cs="宋体"/>
          <w:bCs/>
          <w:color w:val="auto"/>
          <w:szCs w:val="21"/>
          <w:highlight w:val="none"/>
        </w:rPr>
        <w:t>）：投入计划与进度计划呼应，较好满足施工需要，调配投入计划合理、准确；</w:t>
      </w:r>
    </w:p>
    <w:p w14:paraId="03D56F55">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）：投入计划与进度计划呼应，基本满足施工需要，调配投入计划基本合理、准确；</w:t>
      </w:r>
    </w:p>
    <w:p w14:paraId="652D12C0">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）：投入计划与进度计划呼应，基本满足施工需要，调配投入计划基本合理；</w:t>
      </w:r>
    </w:p>
    <w:p w14:paraId="379CC477">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）：投入计划与进度计划不呼应，不能满足施工需要。</w:t>
      </w:r>
    </w:p>
    <w:p w14:paraId="55D937B4">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（5）施工平面布置和临时设施布置………………………………………………………………6分</w:t>
      </w:r>
    </w:p>
    <w:p w14:paraId="7D609DCF">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优（6</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）：总体布置有针对性、合理，较好满足施工需要，符合安全、文明生产要求；</w:t>
      </w:r>
    </w:p>
    <w:p w14:paraId="7B6935BD">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）：总体布置合理，能满足施工需要，基本符合安全、文明生产要求；</w:t>
      </w:r>
    </w:p>
    <w:p w14:paraId="2DFC2541">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ascii="宋体" w:hAnsi="宋体" w:eastAsia="宋体" w:cs="宋体"/>
          <w:bCs/>
          <w:color w:val="auto"/>
          <w:szCs w:val="21"/>
          <w:highlight w:val="none"/>
        </w:rPr>
        <w:t>2</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）：总体布置基本合理，基本满足施工需要；</w:t>
      </w:r>
    </w:p>
    <w:p w14:paraId="2406A80F">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）：总体布置不合理，不符合安全、文明生产要求。</w:t>
      </w:r>
    </w:p>
    <w:p w14:paraId="280653E2">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（6）关键施工技术、工艺及工程实施的重点、难点和解决方案………………………………8分</w:t>
      </w:r>
    </w:p>
    <w:p w14:paraId="04872969">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优（8</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）：对项目关键技术、工艺有深入的表达，对重点、难点有先进合理的施工措施并有可行的安全措施，解决方案完整、经济、安全、切实可行，措施得力；</w:t>
      </w:r>
    </w:p>
    <w:p w14:paraId="331B8A6A">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ascii="宋体" w:hAnsi="宋体" w:eastAsia="宋体" w:cs="宋体"/>
          <w:bCs/>
          <w:color w:val="auto"/>
          <w:szCs w:val="21"/>
          <w:highlight w:val="none"/>
        </w:rPr>
        <w:t>5</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）：对项目关键技术、工艺有深入的表达，对重点、难点有合理的建议，解决方案经济、安全、基本可行；</w:t>
      </w:r>
    </w:p>
    <w:p w14:paraId="777D8491">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ascii="宋体" w:hAnsi="宋体" w:eastAsia="宋体" w:cs="宋体"/>
          <w:bCs/>
          <w:color w:val="auto"/>
          <w:szCs w:val="21"/>
          <w:highlight w:val="none"/>
        </w:rPr>
        <w:t>3</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）：对项目关键技术有一定了解，对重点、难点有建议，解决方案基本可行；</w:t>
      </w:r>
    </w:p>
    <w:p w14:paraId="6B81F0B8">
      <w:pPr>
        <w:spacing w:line="36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）：对项目关键技术有表述，对重点、难点有建议，解决方案不可行。</w:t>
      </w:r>
    </w:p>
    <w:p w14:paraId="574726ED">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kern w:val="0"/>
          <w:szCs w:val="21"/>
          <w:highlight w:val="none"/>
        </w:rPr>
        <w:t>（7）安全文明施工措施</w:t>
      </w:r>
      <w:r>
        <w:rPr>
          <w:rFonts w:hint="eastAsia" w:ascii="宋体" w:hAnsi="宋体" w:eastAsia="宋体" w:cs="宋体"/>
          <w:b/>
          <w:color w:val="auto"/>
          <w:szCs w:val="21"/>
          <w:highlight w:val="none"/>
        </w:rPr>
        <w:t>……………………………………………………………………………6分</w:t>
      </w:r>
    </w:p>
    <w:p w14:paraId="77C33C5F">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优（6</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）：针对项目实际情况，有先进、具体、完整、可行的实施措施，采用规范正确、清晰；</w:t>
      </w:r>
    </w:p>
    <w:p w14:paraId="19E62DFA">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ascii="宋体" w:hAnsi="宋体" w:eastAsia="宋体" w:cs="宋体"/>
          <w:bCs/>
          <w:color w:val="auto"/>
          <w:szCs w:val="21"/>
          <w:highlight w:val="none"/>
        </w:rPr>
        <w:t>4</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）：针对项目实际情况，有合理的措施且具体、完整，采用规范正确；</w:t>
      </w:r>
    </w:p>
    <w:p w14:paraId="3A0937C4">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ascii="宋体" w:hAnsi="宋体" w:eastAsia="宋体" w:cs="宋体"/>
          <w:bCs/>
          <w:color w:val="auto"/>
          <w:szCs w:val="21"/>
          <w:highlight w:val="none"/>
        </w:rPr>
        <w:t>2</w:t>
      </w:r>
      <w:r>
        <w:rPr>
          <w:rFonts w:hint="eastAsia" w:ascii="宋体" w:hAnsi="宋体" w:eastAsia="宋体" w:cs="宋体"/>
          <w:bCs/>
          <w:color w:val="auto"/>
          <w:szCs w:val="21"/>
          <w:highlight w:val="none"/>
        </w:rPr>
        <w:t>分）：有基本合理的措施，采用规范正确；</w:t>
      </w:r>
    </w:p>
    <w:p w14:paraId="6C63E5CC">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）：安全文明措施不得力，采用规范不正确。</w:t>
      </w:r>
    </w:p>
    <w:p w14:paraId="324C8DEA">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（8）质量保证与承诺………………………………………………………………………………6分</w:t>
      </w:r>
    </w:p>
    <w:p w14:paraId="2311BF38">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优（6</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）：针对项目实际提出先进、可行、具体的保证措施，超过招标文件的质量要求及施工验收规范要求；</w:t>
      </w:r>
    </w:p>
    <w:p w14:paraId="656E9F73">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良（</w:t>
      </w:r>
      <w:r>
        <w:rPr>
          <w:rFonts w:ascii="宋体" w:hAnsi="宋体" w:eastAsia="宋体" w:cs="宋体"/>
          <w:bCs/>
          <w:color w:val="auto"/>
          <w:szCs w:val="21"/>
          <w:highlight w:val="none"/>
        </w:rPr>
        <w:t>4</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）：针对项目实际提出先进、可行、具体的保证措施，满足招标文件的质量要求；</w:t>
      </w:r>
    </w:p>
    <w:p w14:paraId="6628457D">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中（</w:t>
      </w:r>
      <w:r>
        <w:rPr>
          <w:rFonts w:ascii="宋体" w:hAnsi="宋体" w:eastAsia="宋体" w:cs="宋体"/>
          <w:bCs/>
          <w:color w:val="auto"/>
          <w:szCs w:val="21"/>
          <w:highlight w:val="none"/>
        </w:rPr>
        <w:t>2</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）：具体措施可行，满足招标文件的质量要求；</w:t>
      </w:r>
    </w:p>
    <w:p w14:paraId="241570FB">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差（</w:t>
      </w:r>
      <w:r>
        <w:rPr>
          <w:rFonts w:ascii="宋体" w:hAnsi="宋体" w:eastAsia="宋体" w:cs="宋体"/>
          <w:bCs/>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bCs/>
          <w:color w:val="auto"/>
          <w:szCs w:val="21"/>
          <w:highlight w:val="none"/>
        </w:rPr>
        <w:t>）：措施不可行。</w:t>
      </w:r>
    </w:p>
    <w:p w14:paraId="16072B86">
      <w:pPr>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（9）新技术应用与承诺……………………………………………………………………………6分</w:t>
      </w:r>
    </w:p>
    <w:p w14:paraId="69EF40E2">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优（6</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49D844B4">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良（</w:t>
      </w:r>
      <w:r>
        <w:rPr>
          <w:rFonts w:ascii="宋体" w:hAnsi="宋体" w:eastAsia="宋体" w:cs="宋体"/>
          <w:color w:val="auto"/>
          <w:szCs w:val="21"/>
          <w:highlight w:val="none"/>
        </w:rPr>
        <w:t>4</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）：针对项目实际，提出采用新技术的具体措施。新技术的验证材料可靠，对节约投资和工期有保证措施。对采用新技术可能产生的风险有一定的预见；</w:t>
      </w:r>
    </w:p>
    <w:p w14:paraId="63D81B4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中（</w:t>
      </w:r>
      <w:r>
        <w:rPr>
          <w:rFonts w:ascii="宋体" w:hAnsi="宋体" w:eastAsia="宋体" w:cs="宋体"/>
          <w:color w:val="auto"/>
          <w:szCs w:val="21"/>
          <w:highlight w:val="none"/>
        </w:rPr>
        <w:t>2</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）：有新技术措施，但验证材料不充分，对节约投资和工期可能有一定收益，对采用新技术可能产生的风险预见不足；</w:t>
      </w:r>
    </w:p>
    <w:p w14:paraId="6A91631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差（</w:t>
      </w:r>
      <w:r>
        <w:rPr>
          <w:rFonts w:ascii="宋体" w:hAnsi="宋体" w:eastAsia="宋体" w:cs="宋体"/>
          <w:color w:val="auto"/>
          <w:szCs w:val="21"/>
          <w:highlight w:val="none"/>
        </w:rPr>
        <w:t>0</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）：采用的新技术针对性不强或验证材料不可靠，对节约投资和工期没有具体收益。</w:t>
      </w:r>
    </w:p>
    <w:p w14:paraId="2F0E1F60">
      <w:pPr>
        <w:spacing w:line="360" w:lineRule="exact"/>
        <w:ind w:firstLine="422" w:firstLineChars="200"/>
        <w:rPr>
          <w:rFonts w:ascii="宋体" w:hAnsi="宋体" w:eastAsia="宋体" w:cs="宋体"/>
          <w:b/>
          <w:bCs/>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bCs/>
          <w:color w:val="auto"/>
          <w:szCs w:val="21"/>
          <w:highlight w:val="none"/>
        </w:rPr>
        <w:t>业绩分……………………</w:t>
      </w: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………………………………………………10分</w:t>
      </w:r>
    </w:p>
    <w:p w14:paraId="3D5E910F">
      <w:pPr>
        <w:spacing w:line="360" w:lineRule="exact"/>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供应商202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年1月1日以来具有同类项目业绩，每提供一个得5分，满分10分。（无不良记录，以中标、成交通知书或签订的合同为准，并能清晰反映项目的名称、采购内容、采购金额、采购时间）。</w:t>
      </w:r>
    </w:p>
    <w:p w14:paraId="536A6E2A">
      <w:pPr>
        <w:tabs>
          <w:tab w:val="left" w:pos="1305"/>
        </w:tabs>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4、综合得分＝1+2+3</w:t>
      </w:r>
    </w:p>
    <w:p w14:paraId="2E478D93">
      <w:pPr>
        <w:tabs>
          <w:tab w:val="left" w:pos="1305"/>
        </w:tabs>
        <w:spacing w:line="360" w:lineRule="exact"/>
        <w:ind w:firstLine="422" w:firstLineChars="200"/>
        <w:outlineLvl w:val="1"/>
        <w:rPr>
          <w:rFonts w:ascii="宋体" w:hAnsi="宋体" w:eastAsia="宋体" w:cs="宋体"/>
          <w:b/>
          <w:color w:val="auto"/>
          <w:szCs w:val="21"/>
          <w:highlight w:val="none"/>
        </w:rPr>
      </w:pPr>
      <w:bookmarkStart w:id="210" w:name="_Toc19546"/>
      <w:bookmarkStart w:id="211" w:name="_Toc26624"/>
      <w:r>
        <w:rPr>
          <w:rFonts w:hint="eastAsia" w:ascii="宋体" w:hAnsi="宋体" w:eastAsia="宋体" w:cs="宋体"/>
          <w:b/>
          <w:color w:val="auto"/>
          <w:szCs w:val="21"/>
          <w:highlight w:val="none"/>
        </w:rPr>
        <w:t>三、推荐成交候选人原则</w:t>
      </w:r>
      <w:bookmarkEnd w:id="210"/>
      <w:bookmarkEnd w:id="211"/>
    </w:p>
    <w:p w14:paraId="6E0C7D0B">
      <w:pPr>
        <w:tabs>
          <w:tab w:val="left" w:pos="1305"/>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项目管理机构分、业绩分由高到低顺序排列并推荐成交候选供应商。</w:t>
      </w:r>
    </w:p>
    <w:p w14:paraId="2740B3A6">
      <w:pPr>
        <w:tabs>
          <w:tab w:val="left" w:pos="1305"/>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（2）采购人应当确定磋商小组推荐排名第一的成交候选供应商为成交供应商。</w:t>
      </w:r>
    </w:p>
    <w:p w14:paraId="7D6EA201">
      <w:pPr>
        <w:tabs>
          <w:tab w:val="left" w:pos="1305"/>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成交供应商放弃成交、拒绝与采购人签订合同、因不可抗力提出不能履行合同，或应当提交履约保证金而未按规定提交的，或信用信息记录不符合相关规定的，采购人可以按照评审报告推荐的成交候选供应商名单排序，确定下一候选供应商成交，也可以重新开展政府采购活动。</w:t>
      </w:r>
    </w:p>
    <w:p w14:paraId="6DC9A6F0">
      <w:pPr>
        <w:tabs>
          <w:tab w:val="left" w:pos="1305"/>
        </w:tabs>
        <w:spacing w:line="36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四、特别说明</w:t>
      </w:r>
    </w:p>
    <w:p w14:paraId="46647BEC">
      <w:pPr>
        <w:tabs>
          <w:tab w:val="left" w:pos="1305"/>
        </w:tabs>
        <w:spacing w:line="3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u w:val="double"/>
        </w:rPr>
        <w:t>评审时，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响应无效处理。</w:t>
      </w:r>
    </w:p>
    <w:p w14:paraId="088C88C0">
      <w:pPr>
        <w:tabs>
          <w:tab w:val="left" w:pos="1305"/>
        </w:tabs>
        <w:spacing w:line="360" w:lineRule="exact"/>
        <w:ind w:firstLine="420" w:firstLineChars="200"/>
        <w:rPr>
          <w:rFonts w:ascii="宋体" w:hAnsi="宋体" w:eastAsia="宋体" w:cs="宋体"/>
          <w:color w:val="auto"/>
          <w:szCs w:val="21"/>
          <w:highlight w:val="none"/>
        </w:rPr>
      </w:pPr>
    </w:p>
    <w:p w14:paraId="78003751">
      <w:pPr>
        <w:tabs>
          <w:tab w:val="left" w:pos="1305"/>
        </w:tabs>
        <w:spacing w:line="360" w:lineRule="exact"/>
        <w:ind w:firstLine="420" w:firstLineChars="200"/>
        <w:rPr>
          <w:rFonts w:ascii="宋体" w:hAnsi="宋体" w:eastAsia="宋体" w:cs="宋体"/>
          <w:color w:val="auto"/>
          <w:szCs w:val="21"/>
          <w:highlight w:val="none"/>
        </w:rPr>
      </w:pPr>
    </w:p>
    <w:p w14:paraId="5E2328A1">
      <w:pPr>
        <w:tabs>
          <w:tab w:val="left" w:pos="1305"/>
        </w:tabs>
        <w:spacing w:line="360" w:lineRule="exact"/>
        <w:ind w:firstLine="420" w:firstLineChars="200"/>
        <w:rPr>
          <w:rFonts w:ascii="宋体" w:hAnsi="宋体" w:eastAsia="宋体" w:cs="宋体"/>
          <w:color w:val="auto"/>
          <w:szCs w:val="21"/>
          <w:highlight w:val="none"/>
        </w:rPr>
      </w:pPr>
    </w:p>
    <w:p w14:paraId="7EA6261F">
      <w:pPr>
        <w:tabs>
          <w:tab w:val="left" w:pos="1305"/>
        </w:tabs>
        <w:spacing w:line="360" w:lineRule="exact"/>
        <w:ind w:firstLine="420" w:firstLineChars="200"/>
        <w:rPr>
          <w:rFonts w:ascii="宋体" w:hAnsi="宋体" w:eastAsia="宋体" w:cs="宋体"/>
          <w:color w:val="auto"/>
          <w:szCs w:val="21"/>
          <w:highlight w:val="none"/>
        </w:rPr>
      </w:pPr>
    </w:p>
    <w:p w14:paraId="2AB722E9">
      <w:pPr>
        <w:tabs>
          <w:tab w:val="left" w:pos="1305"/>
        </w:tabs>
        <w:spacing w:line="360" w:lineRule="exact"/>
        <w:ind w:firstLine="420" w:firstLineChars="200"/>
        <w:rPr>
          <w:rFonts w:ascii="宋体" w:hAnsi="宋体" w:eastAsia="宋体" w:cs="宋体"/>
          <w:color w:val="auto"/>
          <w:szCs w:val="21"/>
          <w:highlight w:val="none"/>
        </w:rPr>
      </w:pPr>
    </w:p>
    <w:p w14:paraId="7873A9AA">
      <w:pPr>
        <w:tabs>
          <w:tab w:val="left" w:pos="1305"/>
        </w:tabs>
        <w:spacing w:line="360" w:lineRule="exact"/>
        <w:ind w:firstLine="420" w:firstLineChars="200"/>
        <w:rPr>
          <w:rFonts w:ascii="宋体" w:hAnsi="宋体" w:eastAsia="宋体" w:cs="宋体"/>
          <w:color w:val="auto"/>
          <w:szCs w:val="21"/>
          <w:highlight w:val="none"/>
        </w:rPr>
      </w:pPr>
    </w:p>
    <w:p w14:paraId="6FB6B43D">
      <w:pPr>
        <w:tabs>
          <w:tab w:val="left" w:pos="1305"/>
        </w:tabs>
        <w:spacing w:line="360" w:lineRule="exact"/>
        <w:ind w:firstLine="420" w:firstLineChars="200"/>
        <w:rPr>
          <w:rFonts w:ascii="宋体" w:hAnsi="宋体" w:eastAsia="宋体" w:cs="宋体"/>
          <w:color w:val="auto"/>
          <w:szCs w:val="21"/>
          <w:highlight w:val="none"/>
        </w:rPr>
      </w:pPr>
    </w:p>
    <w:p w14:paraId="2569FBAC">
      <w:pPr>
        <w:tabs>
          <w:tab w:val="left" w:pos="1305"/>
        </w:tabs>
        <w:spacing w:line="360" w:lineRule="exact"/>
        <w:ind w:firstLine="420" w:firstLineChars="200"/>
        <w:rPr>
          <w:rFonts w:ascii="宋体" w:hAnsi="宋体" w:eastAsia="宋体" w:cs="宋体"/>
          <w:color w:val="auto"/>
          <w:szCs w:val="21"/>
          <w:highlight w:val="none"/>
        </w:rPr>
      </w:pPr>
    </w:p>
    <w:p w14:paraId="7EA7EC8F">
      <w:pPr>
        <w:spacing w:line="280" w:lineRule="exact"/>
        <w:outlineLvl w:val="1"/>
        <w:rPr>
          <w:rFonts w:ascii="宋体" w:hAnsi="宋体" w:eastAsia="宋体" w:cs="宋体"/>
          <w:b/>
          <w:bCs/>
          <w:color w:val="auto"/>
          <w:sz w:val="24"/>
          <w:szCs w:val="24"/>
          <w:highlight w:val="none"/>
        </w:rPr>
      </w:pPr>
      <w:bookmarkStart w:id="212" w:name="_Toc25835"/>
      <w:bookmarkStart w:id="213" w:name="_Toc23442"/>
      <w:r>
        <w:rPr>
          <w:rFonts w:hint="eastAsia" w:ascii="宋体" w:hAnsi="宋体" w:eastAsia="宋体" w:cs="宋体"/>
          <w:b/>
          <w:bCs/>
          <w:color w:val="auto"/>
          <w:sz w:val="24"/>
          <w:szCs w:val="24"/>
          <w:highlight w:val="none"/>
        </w:rPr>
        <w:t>附表</w:t>
      </w:r>
      <w:bookmarkEnd w:id="212"/>
      <w:bookmarkEnd w:id="213"/>
    </w:p>
    <w:p w14:paraId="7D11313F">
      <w:pPr>
        <w:widowControl/>
        <w:spacing w:before="120" w:beforeLines="50" w:after="120" w:afterLines="50" w:line="280" w:lineRule="exact"/>
        <w:jc w:val="center"/>
        <w:rPr>
          <w:rFonts w:ascii="宋体" w:hAnsi="宋体" w:eastAsia="宋体" w:cs="宋体"/>
          <w:b/>
          <w:bCs/>
          <w:color w:val="auto"/>
          <w:kern w:val="0"/>
          <w:sz w:val="30"/>
          <w:szCs w:val="30"/>
          <w:highlight w:val="none"/>
        </w:rPr>
      </w:pPr>
      <w:bookmarkStart w:id="214" w:name="_Toc28361_WPSOffice_Level2"/>
      <w:r>
        <w:rPr>
          <w:rFonts w:hint="eastAsia" w:ascii="宋体" w:hAnsi="宋体" w:eastAsia="宋体" w:cs="宋体"/>
          <w:b/>
          <w:bCs/>
          <w:color w:val="auto"/>
          <w:kern w:val="0"/>
          <w:sz w:val="30"/>
          <w:szCs w:val="30"/>
          <w:highlight w:val="none"/>
        </w:rPr>
        <w:t>统计上大中小微型企业划分标准</w:t>
      </w:r>
      <w:bookmarkEnd w:id="214"/>
    </w:p>
    <w:tbl>
      <w:tblPr>
        <w:tblStyle w:val="1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35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7C2C644E">
            <w:pPr>
              <w:widowControl/>
              <w:spacing w:line="280" w:lineRule="exact"/>
              <w:jc w:val="center"/>
              <w:rPr>
                <w:rFonts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vAlign w:val="center"/>
          </w:tcPr>
          <w:p w14:paraId="791D0045">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vAlign w:val="center"/>
          </w:tcPr>
          <w:p w14:paraId="13AAE50E">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1359F559">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vAlign w:val="center"/>
          </w:tcPr>
          <w:p w14:paraId="1FD9EDD8">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vAlign w:val="center"/>
          </w:tcPr>
          <w:p w14:paraId="3A9A44E4">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vAlign w:val="center"/>
          </w:tcPr>
          <w:p w14:paraId="7F1954F2">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vAlign w:val="center"/>
          </w:tcPr>
          <w:p w14:paraId="4C4D8C1C">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1BF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4D18D32">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vAlign w:val="center"/>
          </w:tcPr>
          <w:p w14:paraId="0B1340A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63DC1E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9CE8E3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4EE5D8E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26E6B25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vAlign w:val="center"/>
          </w:tcPr>
          <w:p w14:paraId="08ACFDE3">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3E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2A7212">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vAlign w:val="center"/>
          </w:tcPr>
          <w:p w14:paraId="56111E7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F87FC62">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EB5D673">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4BD704A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74C43EB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5BE2DE9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911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71A2D8">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3A8868F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31ECEBA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B058A7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73D9924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vAlign w:val="center"/>
          </w:tcPr>
          <w:p w14:paraId="21E0645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vAlign w:val="center"/>
          </w:tcPr>
          <w:p w14:paraId="1F51DD0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DE1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3E8AA3">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vAlign w:val="center"/>
          </w:tcPr>
          <w:p w14:paraId="0EE3A0C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0577A00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A8A28D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vAlign w:val="center"/>
          </w:tcPr>
          <w:p w14:paraId="07E45E92">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vAlign w:val="center"/>
          </w:tcPr>
          <w:p w14:paraId="533A7D24">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vAlign w:val="center"/>
          </w:tcPr>
          <w:p w14:paraId="1735763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3B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17D217B">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2CB397B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6219524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2ED6FF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vAlign w:val="center"/>
          </w:tcPr>
          <w:p w14:paraId="701EEF1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vAlign w:val="center"/>
          </w:tcPr>
          <w:p w14:paraId="10F315B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vAlign w:val="center"/>
          </w:tcPr>
          <w:p w14:paraId="00016DC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208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4F0FDF7">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vAlign w:val="center"/>
          </w:tcPr>
          <w:p w14:paraId="6038988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2E9F77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743C40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6CC2DA9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vAlign w:val="center"/>
          </w:tcPr>
          <w:p w14:paraId="6CB2C0E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vAlign w:val="center"/>
          </w:tcPr>
          <w:p w14:paraId="3406B18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2EA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05F85B4">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78CD32C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886D562">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5CEC0F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vAlign w:val="center"/>
          </w:tcPr>
          <w:p w14:paraId="660BB12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vAlign w:val="center"/>
          </w:tcPr>
          <w:p w14:paraId="6B39DC7A">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vAlign w:val="center"/>
          </w:tcPr>
          <w:p w14:paraId="262A335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C5E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1FA7C6">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vAlign w:val="center"/>
          </w:tcPr>
          <w:p w14:paraId="4CA69BB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AE3DA0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64697D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C6AB0C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vAlign w:val="center"/>
          </w:tcPr>
          <w:p w14:paraId="48867820">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vAlign w:val="center"/>
          </w:tcPr>
          <w:p w14:paraId="67D69EB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C80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42B92F">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51B6AD74">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346597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1789C2C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vAlign w:val="center"/>
          </w:tcPr>
          <w:p w14:paraId="69E30223">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vAlign w:val="center"/>
          </w:tcPr>
          <w:p w14:paraId="2E04F82C">
            <w:pPr>
              <w:widowControl/>
              <w:spacing w:line="280" w:lineRule="exact"/>
              <w:ind w:left="-1" w:leftChars="-1" w:hanging="1"/>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vAlign w:val="center"/>
          </w:tcPr>
          <w:p w14:paraId="29A9377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409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2E10CAC">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vAlign w:val="center"/>
          </w:tcPr>
          <w:p w14:paraId="74C1183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0C2B7F8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4B1C09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71664B8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23D4B3F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7018819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606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49BE24A">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7BD6A64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024F756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BF5362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75B576C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vAlign w:val="center"/>
          </w:tcPr>
          <w:p w14:paraId="12F0B87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vAlign w:val="center"/>
          </w:tcPr>
          <w:p w14:paraId="561466E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2B9C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AA1AC78">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vAlign w:val="center"/>
          </w:tcPr>
          <w:p w14:paraId="1F0419A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6FC8EF1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FA4B64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vAlign w:val="center"/>
          </w:tcPr>
          <w:p w14:paraId="0AEC5ECE">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vAlign w:val="center"/>
          </w:tcPr>
          <w:p w14:paraId="7EE6BF1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vAlign w:val="center"/>
          </w:tcPr>
          <w:p w14:paraId="313D770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AB1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3C2113">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579A91E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A4E516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34A74A6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04C140C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vAlign w:val="center"/>
          </w:tcPr>
          <w:p w14:paraId="5E0E922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228B58B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A85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C4A5280">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vAlign w:val="center"/>
          </w:tcPr>
          <w:p w14:paraId="32BBBB8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3A57555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6D536F9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7669EBE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1C956AA4">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vAlign w:val="center"/>
          </w:tcPr>
          <w:p w14:paraId="7F8EEF1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167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50B275">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1277A2E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19F4451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FEC4DC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vAlign w:val="center"/>
          </w:tcPr>
          <w:p w14:paraId="336E9B0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vAlign w:val="center"/>
          </w:tcPr>
          <w:p w14:paraId="618031B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2903DB1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D1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017B6E">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vAlign w:val="center"/>
          </w:tcPr>
          <w:p w14:paraId="58EC003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4C507D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B07AD0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16EDF1B">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59E10FB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6D51D41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3FD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9D8406">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2FC665A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6E18389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86AAC9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6199897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647BAD9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20FC183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F78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F9A3CE">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vAlign w:val="center"/>
          </w:tcPr>
          <w:p w14:paraId="10C09CC3">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EA1A13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74A1704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7795CFCE">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0A63B42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30A352C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914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5534B73">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51832C4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2F026A7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B43430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30A8C93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vAlign w:val="center"/>
          </w:tcPr>
          <w:p w14:paraId="768379B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vAlign w:val="center"/>
          </w:tcPr>
          <w:p w14:paraId="556FF41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29B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DF4BE7">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vAlign w:val="center"/>
          </w:tcPr>
          <w:p w14:paraId="39FADBF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112515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1C90F2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vAlign w:val="center"/>
          </w:tcPr>
          <w:p w14:paraId="4CDA08DB">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vAlign w:val="center"/>
          </w:tcPr>
          <w:p w14:paraId="3538351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2905319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95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5CDB8D">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0A8E62F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57F46B2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571407F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vAlign w:val="center"/>
          </w:tcPr>
          <w:p w14:paraId="6F5E1D0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vAlign w:val="center"/>
          </w:tcPr>
          <w:p w14:paraId="01B72A1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7928ED0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0D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CEE26FB">
            <w:pPr>
              <w:widowControl/>
              <w:spacing w:line="280" w:lineRule="exact"/>
              <w:jc w:val="left"/>
              <w:rPr>
                <w:rFonts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vAlign w:val="center"/>
          </w:tcPr>
          <w:p w14:paraId="781EABF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1227D0E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0DC37C8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2FD1C69E">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vAlign w:val="center"/>
          </w:tcPr>
          <w:p w14:paraId="408489E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3766DE0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7E9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6EC0C6">
            <w:pPr>
              <w:widowControl/>
              <w:spacing w:line="280" w:lineRule="exact"/>
              <w:jc w:val="left"/>
              <w:rPr>
                <w:rFonts w:ascii="宋体" w:hAnsi="宋体" w:eastAsia="宋体" w:cs="宋体"/>
                <w:color w:val="auto"/>
                <w:spacing w:val="-12"/>
                <w:kern w:val="0"/>
                <w:sz w:val="18"/>
                <w:szCs w:val="18"/>
                <w:highlight w:val="none"/>
              </w:rPr>
            </w:pPr>
          </w:p>
        </w:tc>
        <w:tc>
          <w:tcPr>
            <w:tcW w:w="1369" w:type="dxa"/>
            <w:vAlign w:val="center"/>
          </w:tcPr>
          <w:p w14:paraId="49898C8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4159FBA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45F12CB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vAlign w:val="center"/>
          </w:tcPr>
          <w:p w14:paraId="03688C5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vAlign w:val="center"/>
          </w:tcPr>
          <w:p w14:paraId="2D4FC812">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vAlign w:val="center"/>
          </w:tcPr>
          <w:p w14:paraId="4EF6DF6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9D9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12AFC85">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vAlign w:val="center"/>
          </w:tcPr>
          <w:p w14:paraId="2039C36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B9C823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775F10C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vAlign w:val="center"/>
          </w:tcPr>
          <w:p w14:paraId="2593B334">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vAlign w:val="center"/>
          </w:tcPr>
          <w:p w14:paraId="5DF6AFD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vAlign w:val="center"/>
          </w:tcPr>
          <w:p w14:paraId="1B99858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A58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2911C8">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03CBA4C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776B5B84">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0EBD47D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vAlign w:val="center"/>
          </w:tcPr>
          <w:p w14:paraId="574DED83">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vAlign w:val="center"/>
          </w:tcPr>
          <w:p w14:paraId="650CE92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vAlign w:val="center"/>
          </w:tcPr>
          <w:p w14:paraId="7219CF1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0EEF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4D37169">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vAlign w:val="center"/>
          </w:tcPr>
          <w:p w14:paraId="5466364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5176044F">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3F9E121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vAlign w:val="center"/>
          </w:tcPr>
          <w:p w14:paraId="1759C5C2">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vAlign w:val="center"/>
          </w:tcPr>
          <w:p w14:paraId="7144AF5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vAlign w:val="center"/>
          </w:tcPr>
          <w:p w14:paraId="479D917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723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E02339F">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663E3FC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vAlign w:val="center"/>
          </w:tcPr>
          <w:p w14:paraId="7A208AC1">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2038C1B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vAlign w:val="center"/>
          </w:tcPr>
          <w:p w14:paraId="65FB13A2">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vAlign w:val="center"/>
          </w:tcPr>
          <w:p w14:paraId="76EC0C8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vAlign w:val="center"/>
          </w:tcPr>
          <w:p w14:paraId="1F13062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958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1E4F4D2">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vAlign w:val="center"/>
          </w:tcPr>
          <w:p w14:paraId="26DE2E1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4A3CE319">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2B78FC2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74DB1508">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75734BB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7FE01F86">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F55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EF42401">
            <w:pPr>
              <w:widowControl/>
              <w:spacing w:line="280" w:lineRule="exact"/>
              <w:jc w:val="left"/>
              <w:rPr>
                <w:rFonts w:ascii="宋体" w:hAnsi="宋体" w:eastAsia="宋体" w:cs="宋体"/>
                <w:color w:val="auto"/>
                <w:kern w:val="0"/>
                <w:sz w:val="18"/>
                <w:szCs w:val="18"/>
                <w:highlight w:val="none"/>
              </w:rPr>
            </w:pPr>
          </w:p>
        </w:tc>
        <w:tc>
          <w:tcPr>
            <w:tcW w:w="1369" w:type="dxa"/>
            <w:vAlign w:val="center"/>
          </w:tcPr>
          <w:p w14:paraId="71A2D5E0">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vAlign w:val="center"/>
          </w:tcPr>
          <w:p w14:paraId="3A4F681A">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vAlign w:val="center"/>
          </w:tcPr>
          <w:p w14:paraId="695D74E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vAlign w:val="center"/>
          </w:tcPr>
          <w:p w14:paraId="0843567C">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vAlign w:val="center"/>
          </w:tcPr>
          <w:p w14:paraId="6D049CB4">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vAlign w:val="center"/>
          </w:tcPr>
          <w:p w14:paraId="31D73CE5">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5D7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ABB7449">
            <w:pPr>
              <w:widowControl/>
              <w:spacing w:line="28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vAlign w:val="center"/>
          </w:tcPr>
          <w:p w14:paraId="5A9AAD97">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vAlign w:val="center"/>
          </w:tcPr>
          <w:p w14:paraId="76419E7D">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vAlign w:val="center"/>
          </w:tcPr>
          <w:p w14:paraId="5A6AA013">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vAlign w:val="center"/>
          </w:tcPr>
          <w:p w14:paraId="591E0CE6">
            <w:pPr>
              <w:widowControl/>
              <w:spacing w:line="280" w:lineRule="exact"/>
              <w:ind w:left="1" w:leftChars="-51" w:hanging="108" w:hangingChars="60"/>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vAlign w:val="center"/>
          </w:tcPr>
          <w:p w14:paraId="420F52BE">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vAlign w:val="center"/>
          </w:tcPr>
          <w:p w14:paraId="1695C518">
            <w:pPr>
              <w:widowControl/>
              <w:spacing w:line="28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4709F7">
      <w:pPr>
        <w:widowControl/>
        <w:spacing w:line="440" w:lineRule="exact"/>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B383D13">
      <w:pPr>
        <w:adjustRightInd w:val="0"/>
        <w:spacing w:line="440" w:lineRule="exact"/>
        <w:ind w:firstLine="452" w:firstLineChars="200"/>
        <w:contextualSpacing/>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1.大型、中型和小型企业须同时满足所列指标的下限，否则下划一档；微型企业只须满足所列指标中的一项即可。</w:t>
      </w:r>
    </w:p>
    <w:p w14:paraId="376D575E">
      <w:pPr>
        <w:adjustRightInd w:val="0"/>
        <w:spacing w:line="440" w:lineRule="exact"/>
        <w:ind w:firstLine="452" w:firstLineChars="200"/>
        <w:contextualSpacing/>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01EA162">
      <w:pPr>
        <w:spacing w:line="440" w:lineRule="exact"/>
        <w:ind w:firstLine="452" w:firstLineChars="200"/>
        <w:rPr>
          <w:rFonts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15" w:name="_Toc8466"/>
      <w:bookmarkStart w:id="216" w:name="_Toc4774"/>
    </w:p>
    <w:p w14:paraId="204E3BA9">
      <w:pPr>
        <w:ind w:left="2940" w:leftChars="1400"/>
        <w:rPr>
          <w:rFonts w:ascii="宋体" w:hAnsi="宋体" w:eastAsia="宋体" w:cs="宋体"/>
          <w:color w:val="auto"/>
          <w:spacing w:val="8"/>
          <w:kern w:val="0"/>
          <w:sz w:val="24"/>
          <w:szCs w:val="24"/>
          <w:highlight w:val="none"/>
        </w:rPr>
      </w:pPr>
    </w:p>
    <w:p w14:paraId="0ED50616">
      <w:pPr>
        <w:pStyle w:val="12"/>
        <w:numPr>
          <w:ilvl w:val="0"/>
          <w:numId w:val="5"/>
        </w:numPr>
        <w:spacing w:after="60"/>
        <w:ind w:firstLine="0"/>
        <w:rPr>
          <w:color w:val="auto"/>
          <w:kern w:val="0"/>
          <w:highlight w:val="none"/>
          <w:lang w:val="zh-CN"/>
        </w:rPr>
      </w:pPr>
      <w:bookmarkStart w:id="217" w:name="_Toc11185"/>
      <w:bookmarkStart w:id="218" w:name="_Toc25717"/>
      <w:r>
        <w:rPr>
          <w:rFonts w:hint="eastAsia" w:ascii="华文中宋" w:hAnsi="华文中宋" w:eastAsia="华文中宋" w:cs="华文中宋"/>
          <w:color w:val="auto"/>
          <w:highlight w:val="none"/>
        </w:rPr>
        <w:br w:type="page"/>
      </w:r>
      <w:r>
        <w:rPr>
          <w:rFonts w:hint="eastAsia"/>
          <w:color w:val="auto"/>
          <w:kern w:val="0"/>
          <w:highlight w:val="none"/>
          <w:lang w:val="zh-CN"/>
        </w:rPr>
        <w:t xml:space="preserve"> </w:t>
      </w:r>
      <w:bookmarkStart w:id="219" w:name="_Toc13365"/>
      <w:r>
        <w:rPr>
          <w:rFonts w:hint="eastAsia"/>
          <w:color w:val="auto"/>
          <w:kern w:val="0"/>
          <w:highlight w:val="none"/>
          <w:lang w:val="zh-CN"/>
        </w:rPr>
        <w:t>采购合同（合同主要条款及格式）</w:t>
      </w:r>
      <w:bookmarkEnd w:id="215"/>
      <w:bookmarkEnd w:id="216"/>
      <w:bookmarkEnd w:id="217"/>
      <w:bookmarkEnd w:id="218"/>
      <w:bookmarkEnd w:id="219"/>
    </w:p>
    <w:p w14:paraId="776F0C9D">
      <w:pPr>
        <w:spacing w:line="500" w:lineRule="exact"/>
        <w:ind w:firstLine="3200" w:firstLineChars="1000"/>
        <w:jc w:val="left"/>
        <w:rPr>
          <w:rFonts w:ascii="宋体" w:hAnsi="宋体" w:cs="宋体"/>
          <w:bCs/>
          <w:color w:val="auto"/>
          <w:sz w:val="32"/>
          <w:szCs w:val="32"/>
          <w:highlight w:val="none"/>
        </w:rPr>
      </w:pPr>
      <w:r>
        <w:rPr>
          <w:rFonts w:hint="eastAsia" w:ascii="宋体" w:hAnsi="宋体" w:cs="宋体"/>
          <w:bCs/>
          <w:color w:val="auto"/>
          <w:sz w:val="32"/>
          <w:szCs w:val="32"/>
          <w:highlight w:val="none"/>
        </w:rPr>
        <w:t>（GF—2017—0201）</w:t>
      </w:r>
    </w:p>
    <w:p w14:paraId="66BB122D">
      <w:pPr>
        <w:spacing w:line="500" w:lineRule="exact"/>
        <w:jc w:val="center"/>
        <w:rPr>
          <w:rFonts w:ascii="宋体" w:hAnsi="宋体" w:cs="宋体"/>
          <w:b/>
          <w:color w:val="auto"/>
          <w:sz w:val="52"/>
          <w:szCs w:val="52"/>
          <w:highlight w:val="none"/>
        </w:rPr>
      </w:pPr>
    </w:p>
    <w:p w14:paraId="76760DD6">
      <w:pPr>
        <w:spacing w:line="500" w:lineRule="exact"/>
        <w:jc w:val="center"/>
        <w:rPr>
          <w:rFonts w:ascii="宋体" w:hAnsi="宋体" w:cs="宋体"/>
          <w:b/>
          <w:color w:val="auto"/>
          <w:sz w:val="52"/>
          <w:szCs w:val="52"/>
          <w:highlight w:val="none"/>
        </w:rPr>
      </w:pPr>
    </w:p>
    <w:p w14:paraId="590FAED4">
      <w:pPr>
        <w:spacing w:line="500" w:lineRule="exact"/>
        <w:jc w:val="center"/>
        <w:rPr>
          <w:rFonts w:ascii="宋体" w:hAnsi="宋体" w:cs="宋体"/>
          <w:b/>
          <w:color w:val="auto"/>
          <w:sz w:val="52"/>
          <w:szCs w:val="52"/>
          <w:highlight w:val="none"/>
        </w:rPr>
      </w:pPr>
    </w:p>
    <w:p w14:paraId="21070E60">
      <w:pPr>
        <w:spacing w:line="500" w:lineRule="exact"/>
        <w:jc w:val="center"/>
        <w:rPr>
          <w:rFonts w:ascii="宋体" w:hAnsi="宋体" w:cs="宋体"/>
          <w:b/>
          <w:color w:val="auto"/>
          <w:sz w:val="52"/>
          <w:szCs w:val="52"/>
          <w:highlight w:val="none"/>
        </w:rPr>
      </w:pPr>
    </w:p>
    <w:p w14:paraId="4969A70D">
      <w:pPr>
        <w:spacing w:line="600" w:lineRule="exact"/>
        <w:jc w:val="center"/>
        <w:rPr>
          <w:rFonts w:ascii="宋体" w:hAnsi="宋体" w:cs="宋体"/>
          <w:b/>
          <w:color w:val="auto"/>
          <w:sz w:val="52"/>
          <w:szCs w:val="52"/>
          <w:highlight w:val="none"/>
        </w:rPr>
      </w:pPr>
      <w:r>
        <w:rPr>
          <w:rFonts w:hint="eastAsia" w:ascii="宋体" w:hAnsi="宋体" w:cs="宋体"/>
          <w:b/>
          <w:color w:val="auto"/>
          <w:sz w:val="52"/>
          <w:szCs w:val="52"/>
          <w:highlight w:val="none"/>
        </w:rPr>
        <w:t>建设工程施工合同</w:t>
      </w:r>
    </w:p>
    <w:p w14:paraId="4ADB8DA8">
      <w:pPr>
        <w:spacing w:line="600" w:lineRule="exact"/>
        <w:jc w:val="center"/>
        <w:rPr>
          <w:rFonts w:ascii="宋体" w:hAnsi="宋体" w:cs="宋体"/>
          <w:b/>
          <w:color w:val="auto"/>
          <w:sz w:val="52"/>
          <w:szCs w:val="52"/>
          <w:highlight w:val="none"/>
        </w:rPr>
      </w:pPr>
      <w:r>
        <w:rPr>
          <w:rFonts w:hint="eastAsia" w:ascii="宋体" w:hAnsi="宋体" w:cs="宋体"/>
          <w:b/>
          <w:color w:val="auto"/>
          <w:sz w:val="32"/>
          <w:szCs w:val="32"/>
          <w:highlight w:val="none"/>
        </w:rPr>
        <w:t>（示范文本）</w:t>
      </w:r>
    </w:p>
    <w:p w14:paraId="4A08CD17">
      <w:pPr>
        <w:spacing w:line="500" w:lineRule="exact"/>
        <w:jc w:val="center"/>
        <w:rPr>
          <w:rFonts w:ascii="宋体" w:hAnsi="宋体" w:cs="宋体"/>
          <w:b/>
          <w:color w:val="auto"/>
          <w:sz w:val="52"/>
          <w:szCs w:val="52"/>
          <w:highlight w:val="none"/>
        </w:rPr>
      </w:pPr>
    </w:p>
    <w:p w14:paraId="6311BECE">
      <w:pPr>
        <w:spacing w:line="500" w:lineRule="exact"/>
        <w:jc w:val="center"/>
        <w:rPr>
          <w:rFonts w:ascii="宋体" w:hAnsi="宋体" w:cs="宋体"/>
          <w:b/>
          <w:color w:val="auto"/>
          <w:sz w:val="72"/>
          <w:szCs w:val="72"/>
          <w:highlight w:val="none"/>
        </w:rPr>
      </w:pPr>
    </w:p>
    <w:p w14:paraId="4AFDBD10">
      <w:pPr>
        <w:spacing w:line="500" w:lineRule="exact"/>
        <w:jc w:val="center"/>
        <w:rPr>
          <w:rFonts w:ascii="宋体" w:hAnsi="宋体" w:cs="宋体"/>
          <w:b/>
          <w:color w:val="auto"/>
          <w:sz w:val="72"/>
          <w:szCs w:val="72"/>
          <w:highlight w:val="none"/>
        </w:rPr>
      </w:pPr>
    </w:p>
    <w:p w14:paraId="3E0577A5">
      <w:pPr>
        <w:spacing w:line="500" w:lineRule="exact"/>
        <w:rPr>
          <w:rFonts w:ascii="宋体" w:hAnsi="宋体" w:cs="宋体"/>
          <w:b/>
          <w:color w:val="auto"/>
          <w:sz w:val="28"/>
          <w:szCs w:val="28"/>
          <w:highlight w:val="none"/>
        </w:rPr>
      </w:pPr>
    </w:p>
    <w:p w14:paraId="7CC930C4">
      <w:pPr>
        <w:spacing w:line="500" w:lineRule="exact"/>
        <w:rPr>
          <w:rFonts w:ascii="宋体" w:hAnsi="宋体" w:cs="宋体"/>
          <w:b/>
          <w:color w:val="auto"/>
          <w:sz w:val="28"/>
          <w:szCs w:val="28"/>
          <w:highlight w:val="none"/>
        </w:rPr>
      </w:pPr>
    </w:p>
    <w:p w14:paraId="5DA1BEBF">
      <w:pPr>
        <w:spacing w:line="500" w:lineRule="exact"/>
        <w:rPr>
          <w:rFonts w:ascii="宋体" w:hAnsi="宋体" w:cs="宋体"/>
          <w:b/>
          <w:color w:val="auto"/>
          <w:sz w:val="28"/>
          <w:szCs w:val="28"/>
          <w:highlight w:val="none"/>
        </w:rPr>
      </w:pPr>
    </w:p>
    <w:p w14:paraId="144A87B6">
      <w:pPr>
        <w:spacing w:line="500" w:lineRule="exact"/>
        <w:ind w:right="2719" w:rightChars="1295"/>
        <w:jc w:val="distribute"/>
        <w:rPr>
          <w:rFonts w:ascii="宋体" w:hAnsi="宋体" w:cs="宋体"/>
          <w:b/>
          <w:color w:val="auto"/>
          <w:sz w:val="32"/>
          <w:szCs w:val="28"/>
          <w:highlight w:val="none"/>
        </w:rPr>
      </w:pP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4579620</wp:posOffset>
                </wp:positionH>
                <wp:positionV relativeFrom="paragraph">
                  <wp:posOffset>120015</wp:posOffset>
                </wp:positionV>
                <wp:extent cx="638175" cy="457200"/>
                <wp:effectExtent l="4445" t="4445" r="5080" b="14605"/>
                <wp:wrapNone/>
                <wp:docPr id="3" name="文本框 5"/>
                <wp:cNvGraphicFramePr/>
                <a:graphic xmlns:a="http://schemas.openxmlformats.org/drawingml/2006/main">
                  <a:graphicData uri="http://schemas.microsoft.com/office/word/2010/wordprocessingShape">
                    <wps:wsp>
                      <wps:cNvSpPr txBox="1"/>
                      <wps:spPr>
                        <a:xfrm>
                          <a:off x="0" y="0"/>
                          <a:ext cx="638175" cy="457200"/>
                        </a:xfrm>
                        <a:prstGeom prst="rect">
                          <a:avLst/>
                        </a:prstGeom>
                        <a:noFill/>
                        <a:ln w="9525" cap="flat" cmpd="sng">
                          <a:solidFill>
                            <a:srgbClr val="FFFFFF"/>
                          </a:solidFill>
                          <a:prstDash val="solid"/>
                          <a:miter/>
                          <a:headEnd type="none" w="med" len="med"/>
                          <a:tailEnd type="none" w="med" len="med"/>
                        </a:ln>
                        <a:effectLst/>
                      </wps:spPr>
                      <wps:txbx>
                        <w:txbxContent>
                          <w:p w14:paraId="3A3B422B">
                            <w:pPr>
                              <w:rPr>
                                <w:b/>
                                <w:bCs/>
                                <w:sz w:val="32"/>
                              </w:rPr>
                            </w:pPr>
                            <w:r>
                              <w:rPr>
                                <w:rFonts w:hint="eastAsia"/>
                                <w:b/>
                                <w:bCs/>
                                <w:sz w:val="32"/>
                              </w:rPr>
                              <w:t>制定</w:t>
                            </w:r>
                          </w:p>
                        </w:txbxContent>
                      </wps:txbx>
                      <wps:bodyPr wrap="square" upright="1"/>
                    </wps:wsp>
                  </a:graphicData>
                </a:graphic>
              </wp:anchor>
            </w:drawing>
          </mc:Choice>
          <mc:Fallback>
            <w:pict>
              <v:shape id="文本框 5" o:spid="_x0000_s1026" o:spt="202" type="#_x0000_t202" style="position:absolute;left:0pt;margin-left:360.6pt;margin-top:9.45pt;height:36pt;width:50.25pt;z-index:251662336;mso-width-relative:page;mso-height-relative:page;" filled="f" stroked="t" coordsize="21600,21600" o:gfxdata="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brhfYAAAACQEAAA8AAAAA&#10;AAAAAQAgAAAAIgAAAGRycy9kb3ducmV2LnhtbFBLAQIUABQAAAAIAIdO4kBBhPj4FAIAACgEAAAO&#10;AAAAAAAAAAEAIAAAACcBAABkcnMvZTJvRG9jLnhtbFBLBQYAAAAABgAGAFkBAACtBQAAAAA=&#10;">
                <v:fill on="f" focussize="0,0"/>
                <v:stroke color="#FFFFFF" joinstyle="miter"/>
                <v:imagedata o:title=""/>
                <o:lock v:ext="edit" aspectratio="f"/>
                <v:textbox>
                  <w:txbxContent>
                    <w:p w14:paraId="3A3B422B">
                      <w:pPr>
                        <w:rPr>
                          <w:b/>
                          <w:bCs/>
                          <w:sz w:val="32"/>
                        </w:rPr>
                      </w:pPr>
                      <w:r>
                        <w:rPr>
                          <w:rFonts w:hint="eastAsia"/>
                          <w:b/>
                          <w:bCs/>
                          <w:sz w:val="32"/>
                        </w:rPr>
                        <w:t>制定</w:t>
                      </w:r>
                    </w:p>
                  </w:txbxContent>
                </v:textbox>
              </v:shape>
            </w:pict>
          </mc:Fallback>
        </mc:AlternateContent>
      </w:r>
      <w:r>
        <w:rPr>
          <w:rFonts w:hint="eastAsia" w:ascii="宋体" w:hAnsi="宋体" w:cs="宋体"/>
          <w:b/>
          <w:color w:val="auto"/>
          <w:sz w:val="32"/>
          <w:szCs w:val="28"/>
          <w:highlight w:val="none"/>
        </w:rPr>
        <w:t xml:space="preserve">               住房城乡建设部</w:t>
      </w:r>
    </w:p>
    <w:p w14:paraId="122C5A49">
      <w:pPr>
        <w:spacing w:line="500" w:lineRule="exact"/>
        <w:ind w:right="2719" w:rightChars="1295"/>
        <w:jc w:val="distribute"/>
        <w:rPr>
          <w:rFonts w:ascii="宋体" w:hAnsi="宋体" w:cs="宋体"/>
          <w:b/>
          <w:color w:val="auto"/>
          <w:sz w:val="32"/>
          <w:szCs w:val="28"/>
          <w:highlight w:val="none"/>
        </w:rPr>
      </w:pPr>
      <w:r>
        <w:rPr>
          <w:rFonts w:hint="eastAsia" w:ascii="宋体" w:hAnsi="宋体" w:cs="宋体"/>
          <w:b/>
          <w:color w:val="auto"/>
          <w:sz w:val="32"/>
          <w:szCs w:val="28"/>
          <w:highlight w:val="none"/>
        </w:rPr>
        <w:t xml:space="preserve">               国家工商行政管理总局</w:t>
      </w:r>
    </w:p>
    <w:p w14:paraId="2E048048">
      <w:pPr>
        <w:spacing w:line="500" w:lineRule="exact"/>
        <w:rPr>
          <w:rFonts w:ascii="宋体" w:hAnsi="宋体" w:cs="宋体"/>
          <w:b/>
          <w:color w:val="auto"/>
          <w:highlight w:val="none"/>
        </w:rPr>
      </w:pPr>
    </w:p>
    <w:p w14:paraId="6806FE2D">
      <w:pPr>
        <w:jc w:val="left"/>
        <w:rPr>
          <w:rFonts w:hint="eastAsia" w:ascii="宋体" w:hAnsi="宋体" w:eastAsia="宋体" w:cs="宋体"/>
          <w:bCs/>
          <w:color w:val="auto"/>
          <w:sz w:val="32"/>
          <w:szCs w:val="32"/>
          <w:highlight w:val="none"/>
        </w:rPr>
      </w:pPr>
      <w:r>
        <w:rPr>
          <w:rFonts w:hint="eastAsia" w:ascii="宋体" w:hAnsi="宋体" w:cs="宋体"/>
          <w:b/>
          <w:color w:val="auto"/>
          <w:highlight w:val="none"/>
        </w:rPr>
        <w:br w:type="page"/>
      </w:r>
    </w:p>
    <w:p w14:paraId="4567382A">
      <w:pPr>
        <w:pStyle w:val="4"/>
        <w:spacing w:line="247" w:lineRule="auto"/>
        <w:rPr>
          <w:rFonts w:hint="eastAsia" w:ascii="宋体" w:hAnsi="宋体" w:eastAsia="宋体" w:cs="宋体"/>
          <w:color w:val="auto"/>
          <w:highlight w:val="none"/>
        </w:rPr>
      </w:pPr>
    </w:p>
    <w:p w14:paraId="7455AB79">
      <w:pPr>
        <w:pStyle w:val="2"/>
        <w:spacing w:line="360" w:lineRule="auto"/>
        <w:jc w:val="center"/>
        <w:rPr>
          <w:rFonts w:hint="eastAsia" w:ascii="宋体" w:hAnsi="宋体" w:eastAsia="宋体" w:cs="宋体"/>
          <w:b/>
          <w:bCs/>
          <w:color w:val="auto"/>
          <w:highlight w:val="none"/>
        </w:rPr>
      </w:pPr>
      <w:bookmarkStart w:id="220" w:name="_Toc28708"/>
      <w:r>
        <w:rPr>
          <w:rFonts w:hint="eastAsia" w:ascii="宋体" w:hAnsi="宋体" w:eastAsia="宋体" w:cs="宋体"/>
          <w:b/>
          <w:bCs/>
          <w:color w:val="auto"/>
          <w:sz w:val="36"/>
          <w:szCs w:val="36"/>
          <w:highlight w:val="none"/>
        </w:rPr>
        <w:t>第一部分 合同协议书</w:t>
      </w:r>
      <w:bookmarkEnd w:id="220"/>
    </w:p>
    <w:p w14:paraId="1631500C">
      <w:pPr>
        <w:pageBreakBefore w:val="0"/>
        <w:widowControl w:val="0"/>
        <w:kinsoku/>
        <w:wordWrap/>
        <w:overflowPunct/>
        <w:topLinePunct w:val="0"/>
        <w:bidi w:val="0"/>
        <w:snapToGrid/>
        <w:spacing w:line="520" w:lineRule="exact"/>
        <w:textAlignment w:val="auto"/>
        <w:rPr>
          <w:rFonts w:hint="default"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color="auto"/>
          <w:lang w:eastAsia="zh-CN"/>
        </w:rPr>
        <w:t>荔浦市财政局</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p>
    <w:p w14:paraId="44F463E6">
      <w:pPr>
        <w:pageBreakBefore w:val="0"/>
        <w:widowControl w:val="0"/>
        <w:kinsoku/>
        <w:wordWrap/>
        <w:overflowPunct/>
        <w:topLinePunct w:val="0"/>
        <w:bidi w:val="0"/>
        <w:snapToGrid/>
        <w:spacing w:line="520" w:lineRule="exact"/>
        <w:textAlignment w:val="auto"/>
        <w:rPr>
          <w:rFonts w:hint="eastAsia" w:ascii="宋体" w:hAnsi="宋体" w:eastAsia="宋体" w:cs="宋体"/>
          <w:b/>
          <w:color w:val="auto"/>
          <w:sz w:val="24"/>
          <w:szCs w:val="24"/>
          <w:highlight w:val="none"/>
          <w:u w:val="single"/>
          <w:lang w:val="en-US" w:eastAsia="zh-CN"/>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p>
    <w:p w14:paraId="79FB2509">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9"/>
          <w:sz w:val="24"/>
          <w:szCs w:val="24"/>
          <w:highlight w:val="none"/>
          <w:u w:val="single"/>
          <w:lang w:eastAsia="zh-CN"/>
        </w:rPr>
        <w:t>荔浦市荔城镇沙街社区洋洞河堤顶路健身步道建设项目</w:t>
      </w:r>
      <w:r>
        <w:rPr>
          <w:rFonts w:hint="eastAsia" w:ascii="宋体" w:hAnsi="宋体" w:eastAsia="宋体" w:cs="宋体"/>
          <w:color w:val="auto"/>
          <w:spacing w:val="9"/>
          <w:sz w:val="24"/>
          <w:szCs w:val="24"/>
          <w:highlight w:val="none"/>
          <w:u w:val="single"/>
          <w:lang w:val="en-US" w:eastAsia="zh-CN"/>
        </w:rPr>
        <w:t xml:space="preserve"> </w:t>
      </w:r>
      <w:r>
        <w:rPr>
          <w:rFonts w:hint="eastAsia" w:ascii="宋体" w:hAnsi="宋体" w:eastAsia="宋体" w:cs="宋体"/>
          <w:color w:val="auto"/>
          <w:sz w:val="24"/>
          <w:szCs w:val="24"/>
          <w:highlight w:val="none"/>
        </w:rPr>
        <w:t>施工及有关事项协商一致，共同达成如下协议：</w:t>
      </w:r>
    </w:p>
    <w:p w14:paraId="4D7B1725">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    </w:t>
      </w:r>
      <w:bookmarkStart w:id="221" w:name="_Toc32259"/>
      <w:r>
        <w:rPr>
          <w:rFonts w:hint="eastAsia" w:ascii="宋体" w:hAnsi="宋体" w:eastAsia="宋体" w:cs="宋体"/>
          <w:b/>
          <w:bCs w:val="0"/>
          <w:color w:val="auto"/>
          <w:sz w:val="24"/>
          <w:szCs w:val="24"/>
          <w:highlight w:val="none"/>
        </w:rPr>
        <w:t>一、工程概况</w:t>
      </w:r>
      <w:bookmarkEnd w:id="221"/>
    </w:p>
    <w:p w14:paraId="597BC8D6">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pacing w:val="9"/>
          <w:sz w:val="24"/>
          <w:szCs w:val="24"/>
          <w:highlight w:val="none"/>
          <w:u w:val="single"/>
          <w:lang w:eastAsia="zh-CN"/>
        </w:rPr>
        <w:t>荔浦市荔城镇沙街社区洋洞河堤顶路健身步道建设项目</w:t>
      </w:r>
      <w:r>
        <w:rPr>
          <w:rFonts w:hint="eastAsia" w:ascii="宋体" w:hAnsi="宋体" w:eastAsia="宋体" w:cs="宋体"/>
          <w:color w:val="auto"/>
          <w:sz w:val="24"/>
          <w:szCs w:val="24"/>
          <w:highlight w:val="none"/>
        </w:rPr>
        <w:t>。</w:t>
      </w:r>
    </w:p>
    <w:p w14:paraId="12343DEF">
      <w:pPr>
        <w:pageBreakBefore w:val="0"/>
        <w:widowControl w:val="0"/>
        <w:kinsoku/>
        <w:wordWrap/>
        <w:overflowPunct/>
        <w:topLinePunct w:val="0"/>
        <w:bidi w:val="0"/>
        <w:snapToGrid/>
        <w:spacing w:line="520" w:lineRule="exact"/>
        <w:ind w:firstLine="470" w:firstLineChars="196"/>
        <w:textAlignment w:val="auto"/>
        <w:rPr>
          <w:rFonts w:hint="default" w:eastAsia="宋体"/>
          <w:color w:val="auto"/>
          <w:sz w:val="24"/>
          <w:szCs w:val="24"/>
          <w:highlight w:val="none"/>
          <w:lang w:val="en-US" w:eastAsia="zh-CN"/>
        </w:rPr>
      </w:pPr>
      <w:r>
        <w:rPr>
          <w:rFonts w:hint="eastAsia" w:ascii="宋体" w:hAnsi="宋体" w:eastAsia="宋体" w:cs="宋体"/>
          <w:bCs/>
          <w:color w:val="auto"/>
          <w:sz w:val="24"/>
          <w:szCs w:val="24"/>
          <w:highlight w:val="none"/>
        </w:rPr>
        <w:t>2.工程地点：</w:t>
      </w:r>
      <w:r>
        <w:rPr>
          <w:rFonts w:hint="eastAsia" w:ascii="宋体" w:hAnsi="宋体" w:eastAsia="宋体" w:cs="宋体"/>
          <w:bCs/>
          <w:color w:val="auto"/>
          <w:sz w:val="24"/>
          <w:szCs w:val="24"/>
          <w:highlight w:val="none"/>
          <w:u w:val="single"/>
        </w:rPr>
        <w:t>荔浦市荔城镇沙街社区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4A325333">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color w:val="auto"/>
          <w:spacing w:val="-1"/>
          <w:sz w:val="24"/>
          <w:szCs w:val="24"/>
          <w:highlight w:val="none"/>
        </w:rPr>
        <w:t>工程立项批准文号：</w:t>
      </w:r>
      <w:r>
        <w:rPr>
          <w:rFonts w:hint="eastAsia"/>
          <w:color w:val="auto"/>
          <w:spacing w:val="-1"/>
          <w:sz w:val="24"/>
          <w:szCs w:val="24"/>
          <w:highlight w:val="none"/>
          <w:u w:val="single"/>
          <w:lang w:val="en-US" w:eastAsia="zh-CN"/>
        </w:rPr>
        <w:t xml:space="preserve">                      </w:t>
      </w:r>
      <w:r>
        <w:rPr>
          <w:color w:val="auto"/>
          <w:spacing w:val="-1"/>
          <w:sz w:val="24"/>
          <w:szCs w:val="24"/>
          <w:highlight w:val="none"/>
        </w:rPr>
        <w:t>。</w:t>
      </w:r>
    </w:p>
    <w:p w14:paraId="4C97BE61">
      <w:pPr>
        <w:pageBreakBefore w:val="0"/>
        <w:widowControl w:val="0"/>
        <w:kinsoku/>
        <w:wordWrap/>
        <w:overflowPunct/>
        <w:topLinePunct w:val="0"/>
        <w:bidi w:val="0"/>
        <w:snapToGrid/>
        <w:spacing w:line="520" w:lineRule="exact"/>
        <w:ind w:firstLine="470" w:firstLineChars="196"/>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资金来源：</w:t>
      </w:r>
      <w:r>
        <w:rPr>
          <w:rFonts w:hint="eastAsia" w:eastAsia="宋体"/>
          <w:color w:val="auto"/>
          <w:sz w:val="24"/>
          <w:szCs w:val="24"/>
          <w:highlight w:val="none"/>
          <w:u w:val="single" w:color="auto"/>
          <w:lang w:val="en-US" w:eastAsia="zh-CN"/>
        </w:rPr>
        <w:t xml:space="preserve"> 财政资金</w:t>
      </w:r>
      <w:r>
        <w:rPr>
          <w:rFonts w:hint="eastAsia" w:ascii="宋体" w:hAnsi="宋体" w:eastAsia="宋体" w:cs="宋体"/>
          <w:bCs/>
          <w:color w:val="auto"/>
          <w:sz w:val="24"/>
          <w:szCs w:val="24"/>
          <w:highlight w:val="none"/>
        </w:rPr>
        <w:t>。</w:t>
      </w:r>
    </w:p>
    <w:p w14:paraId="74606929">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bCs/>
          <w:color w:val="auto"/>
          <w:sz w:val="24"/>
          <w:szCs w:val="24"/>
          <w:highlight w:val="none"/>
          <w:u w:val="single" w:color="auto"/>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工程内容：</w:t>
      </w:r>
      <w:r>
        <w:rPr>
          <w:color w:val="auto"/>
          <w:spacing w:val="-2"/>
          <w:sz w:val="24"/>
          <w:szCs w:val="24"/>
          <w:highlight w:val="none"/>
          <w:u w:val="single" w:color="auto"/>
        </w:rPr>
        <w:t>本项目主要包含</w:t>
      </w:r>
      <w:r>
        <w:rPr>
          <w:rFonts w:hint="eastAsia"/>
          <w:color w:val="auto"/>
          <w:spacing w:val="-2"/>
          <w:sz w:val="24"/>
          <w:szCs w:val="24"/>
          <w:highlight w:val="none"/>
          <w:u w:val="single" w:color="auto"/>
        </w:rPr>
        <w:t>包含排水渠疏浚、渠堤顶路面硬化、路灯、健身广场、健身器材、绿化等</w:t>
      </w:r>
      <w:r>
        <w:rPr>
          <w:rFonts w:hint="eastAsia"/>
          <w:color w:val="auto"/>
          <w:spacing w:val="-1"/>
          <w:sz w:val="24"/>
          <w:szCs w:val="24"/>
          <w:highlight w:val="none"/>
          <w:u w:val="single" w:color="auto"/>
        </w:rPr>
        <w:t>。</w:t>
      </w:r>
    </w:p>
    <w:p w14:paraId="4071578C">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6C73CC1A">
      <w:pPr>
        <w:pageBreakBefore w:val="0"/>
        <w:widowControl w:val="0"/>
        <w:kinsoku/>
        <w:wordWrap/>
        <w:overflowPunct/>
        <w:topLinePunct w:val="0"/>
        <w:bidi w:val="0"/>
        <w:snapToGrid/>
        <w:spacing w:line="52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.工程承包范围：</w:t>
      </w:r>
      <w:r>
        <w:rPr>
          <w:rFonts w:hint="eastAsia" w:ascii="宋体" w:hAnsi="宋体" w:eastAsia="宋体" w:cs="宋体"/>
          <w:color w:val="auto"/>
          <w:spacing w:val="-23"/>
          <w:sz w:val="24"/>
          <w:szCs w:val="24"/>
          <w:highlight w:val="none"/>
        </w:rPr>
        <w:t xml:space="preserve"> </w:t>
      </w:r>
      <w:r>
        <w:rPr>
          <w:rFonts w:hint="eastAsia" w:eastAsia="宋体"/>
          <w:color w:val="auto"/>
          <w:spacing w:val="2"/>
          <w:sz w:val="24"/>
          <w:szCs w:val="24"/>
          <w:highlight w:val="none"/>
          <w:u w:val="single" w:color="auto"/>
          <w:lang w:eastAsia="zh-CN"/>
        </w:rPr>
        <w:t>荔浦市荔城镇沙街社区洋洞河堤顶路健身步道建设项目</w:t>
      </w:r>
      <w:r>
        <w:rPr>
          <w:color w:val="auto"/>
          <w:spacing w:val="2"/>
          <w:sz w:val="24"/>
          <w:szCs w:val="24"/>
          <w:highlight w:val="none"/>
          <w:u w:val="single" w:color="auto"/>
        </w:rPr>
        <w:t>， 施工图纸范围所</w:t>
      </w:r>
      <w:r>
        <w:rPr>
          <w:color w:val="auto"/>
          <w:spacing w:val="1"/>
          <w:sz w:val="24"/>
          <w:szCs w:val="24"/>
          <w:highlight w:val="none"/>
          <w:u w:val="single" w:color="auto"/>
        </w:rPr>
        <w:t>包含的内容，详见评</w:t>
      </w:r>
      <w:r>
        <w:rPr>
          <w:color w:val="auto"/>
          <w:spacing w:val="-2"/>
          <w:sz w:val="24"/>
          <w:szCs w:val="24"/>
          <w:highlight w:val="none"/>
          <w:u w:val="single" w:color="auto"/>
        </w:rPr>
        <w:t>审后的工程量清单</w:t>
      </w:r>
      <w:r>
        <w:rPr>
          <w:rFonts w:hint="eastAsia" w:ascii="宋体" w:hAnsi="宋体" w:eastAsia="宋体" w:cs="宋体"/>
          <w:color w:val="auto"/>
          <w:sz w:val="24"/>
          <w:szCs w:val="24"/>
          <w:highlight w:val="none"/>
        </w:rPr>
        <w:t>。</w:t>
      </w:r>
    </w:p>
    <w:p w14:paraId="0F600A45">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22" w:name="_Toc18362"/>
      <w:r>
        <w:rPr>
          <w:rFonts w:hint="eastAsia" w:ascii="宋体" w:hAnsi="宋体" w:eastAsia="宋体" w:cs="宋体"/>
          <w:b/>
          <w:bCs w:val="0"/>
          <w:color w:val="auto"/>
          <w:sz w:val="24"/>
          <w:szCs w:val="24"/>
          <w:highlight w:val="none"/>
        </w:rPr>
        <w:t>二、合同工期</w:t>
      </w:r>
      <w:bookmarkEnd w:id="222"/>
    </w:p>
    <w:p w14:paraId="3DA54BB1">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77C0FCF">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E1557FC">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4EA31055">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23" w:name="_Toc650"/>
      <w:r>
        <w:rPr>
          <w:rFonts w:hint="eastAsia" w:ascii="宋体" w:hAnsi="宋体" w:eastAsia="宋体" w:cs="宋体"/>
          <w:b/>
          <w:bCs w:val="0"/>
          <w:color w:val="auto"/>
          <w:sz w:val="24"/>
          <w:szCs w:val="24"/>
          <w:highlight w:val="none"/>
        </w:rPr>
        <w:t>三、质量标准</w:t>
      </w:r>
      <w:bookmarkEnd w:id="223"/>
    </w:p>
    <w:p w14:paraId="7CA5DEC0">
      <w:pPr>
        <w:pageBreakBefore w:val="0"/>
        <w:widowControl w:val="0"/>
        <w:kinsoku/>
        <w:wordWrap/>
        <w:overflowPunct/>
        <w:topLinePunct w:val="0"/>
        <w:bidi w:val="0"/>
        <w:snapToGrid/>
        <w:spacing w:line="520" w:lineRule="exact"/>
        <w:ind w:firstLine="45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lang w:val="en-US" w:eastAsia="zh-CN"/>
        </w:rPr>
        <w:t xml:space="preserve">  合格  </w:t>
      </w:r>
      <w:r>
        <w:rPr>
          <w:rFonts w:hint="eastAsia" w:ascii="宋体" w:hAnsi="宋体" w:eastAsia="宋体" w:cs="宋体"/>
          <w:color w:val="auto"/>
          <w:sz w:val="24"/>
          <w:szCs w:val="24"/>
          <w:highlight w:val="none"/>
        </w:rPr>
        <w:t>标准。</w:t>
      </w:r>
    </w:p>
    <w:p w14:paraId="746B3CBA">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24" w:name="_Toc29804"/>
      <w:r>
        <w:rPr>
          <w:rFonts w:hint="eastAsia" w:ascii="宋体" w:hAnsi="宋体" w:eastAsia="宋体" w:cs="宋体"/>
          <w:b/>
          <w:bCs w:val="0"/>
          <w:color w:val="auto"/>
          <w:sz w:val="24"/>
          <w:szCs w:val="24"/>
          <w:highlight w:val="none"/>
        </w:rPr>
        <w:t>四、签约合同价与合同价格形式</w:t>
      </w:r>
      <w:bookmarkEnd w:id="224"/>
      <w:r>
        <w:rPr>
          <w:rFonts w:hint="eastAsia" w:ascii="宋体" w:hAnsi="宋体" w:eastAsia="宋体" w:cs="宋体"/>
          <w:b/>
          <w:bCs w:val="0"/>
          <w:color w:val="auto"/>
          <w:sz w:val="24"/>
          <w:szCs w:val="24"/>
          <w:highlight w:val="none"/>
        </w:rPr>
        <w:tab/>
      </w:r>
    </w:p>
    <w:p w14:paraId="63019C51">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023B9898">
      <w:pPr>
        <w:pageBreakBefore w:val="0"/>
        <w:widowControl w:val="0"/>
        <w:kinsoku/>
        <w:wordWrap/>
        <w:overflowPunct/>
        <w:topLinePunct w:val="0"/>
        <w:bidi w:val="0"/>
        <w:snapToGrid/>
        <w:spacing w:line="520" w:lineRule="exact"/>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元</w:t>
      </w:r>
      <w:r>
        <w:rPr>
          <w:rFonts w:hint="eastAsia" w:ascii="宋体" w:hAnsi="宋体" w:eastAsia="宋体" w:cs="宋体"/>
          <w:color w:val="auto"/>
          <w:spacing w:val="0"/>
          <w:w w:val="99"/>
          <w:sz w:val="24"/>
          <w:szCs w:val="24"/>
          <w:highlight w:val="none"/>
        </w:rPr>
        <w:t>）</w:t>
      </w:r>
      <w:r>
        <w:rPr>
          <w:rFonts w:hint="eastAsia" w:ascii="宋体" w:hAnsi="宋体" w:eastAsia="宋体" w:cs="宋体"/>
          <w:color w:val="auto"/>
          <w:sz w:val="24"/>
          <w:szCs w:val="24"/>
          <w:highlight w:val="none"/>
        </w:rPr>
        <w:t>；</w:t>
      </w:r>
    </w:p>
    <w:p w14:paraId="5F2E59B5">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5414E453">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40EEB5B4">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元)</w:t>
      </w:r>
      <w:r>
        <w:rPr>
          <w:rFonts w:hint="eastAsia" w:ascii="宋体" w:hAnsi="宋体" w:eastAsia="宋体" w:cs="宋体"/>
          <w:color w:val="auto"/>
          <w:sz w:val="24"/>
          <w:szCs w:val="24"/>
          <w:highlight w:val="none"/>
        </w:rPr>
        <w:t>；</w:t>
      </w:r>
    </w:p>
    <w:p w14:paraId="21337048">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19D91DD9">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C4929CD">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04B5894E">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p>
    <w:p w14:paraId="34EBF02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2589D0BD">
      <w:pPr>
        <w:pageBreakBefore w:val="0"/>
        <w:widowControl w:val="0"/>
        <w:kinsoku/>
        <w:wordWrap/>
        <w:overflowPunct/>
        <w:topLinePunct w:val="0"/>
        <w:bidi w:val="0"/>
        <w:snapToGrid/>
        <w:spacing w:line="520" w:lineRule="exact"/>
        <w:ind w:firstLine="1080" w:firstLine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元)。</w:t>
      </w:r>
    </w:p>
    <w:p w14:paraId="455B7A14">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合同价格形式：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单价合同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9B0AF15">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    </w:t>
      </w:r>
      <w:bookmarkStart w:id="225" w:name="_Toc14657"/>
      <w:r>
        <w:rPr>
          <w:rFonts w:hint="eastAsia" w:ascii="宋体" w:hAnsi="宋体" w:eastAsia="宋体" w:cs="宋体"/>
          <w:b/>
          <w:bCs w:val="0"/>
          <w:color w:val="auto"/>
          <w:sz w:val="24"/>
          <w:szCs w:val="24"/>
          <w:highlight w:val="none"/>
        </w:rPr>
        <w:t>五、项目经理</w:t>
      </w:r>
      <w:bookmarkEnd w:id="225"/>
    </w:p>
    <w:p w14:paraId="364B9DAF">
      <w:pPr>
        <w:pageBreakBefore w:val="0"/>
        <w:widowControl w:val="0"/>
        <w:kinsoku/>
        <w:wordWrap/>
        <w:overflowPunct/>
        <w:topLinePunct w:val="0"/>
        <w:bidi w:val="0"/>
        <w:snapToGrid/>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w:t>
      </w:r>
    </w:p>
    <w:p w14:paraId="43C55A3A">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26" w:name="_Toc22274"/>
      <w:r>
        <w:rPr>
          <w:rFonts w:hint="eastAsia" w:ascii="宋体" w:hAnsi="宋体" w:eastAsia="宋体" w:cs="宋体"/>
          <w:b/>
          <w:bCs w:val="0"/>
          <w:color w:val="auto"/>
          <w:sz w:val="24"/>
          <w:szCs w:val="24"/>
          <w:highlight w:val="none"/>
        </w:rPr>
        <w:t>六、合同文件构成</w:t>
      </w:r>
      <w:bookmarkEnd w:id="226"/>
    </w:p>
    <w:p w14:paraId="480A1820">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4C6A764E">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2C9F8BBA">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18223699">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747F50C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1B7FE948">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776B6336">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1F41802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01F742E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579C85F5">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468547B2">
      <w:pPr>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0FFAE104">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27" w:name="_Toc17908"/>
      <w:r>
        <w:rPr>
          <w:rFonts w:hint="eastAsia" w:ascii="宋体" w:hAnsi="宋体" w:eastAsia="宋体" w:cs="宋体"/>
          <w:b/>
          <w:bCs w:val="0"/>
          <w:color w:val="auto"/>
          <w:sz w:val="24"/>
          <w:szCs w:val="24"/>
          <w:highlight w:val="none"/>
        </w:rPr>
        <w:t>七、承诺</w:t>
      </w:r>
      <w:bookmarkEnd w:id="227"/>
    </w:p>
    <w:p w14:paraId="33514AC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483181D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C08BCC5">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9889EC2">
      <w:pPr>
        <w:pageBreakBefore w:val="0"/>
        <w:widowControl w:val="0"/>
        <w:kinsoku/>
        <w:wordWrap/>
        <w:overflowPunct/>
        <w:topLinePunct w:val="0"/>
        <w:bidi w:val="0"/>
        <w:snapToGrid/>
        <w:spacing w:line="52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 xml:space="preserve">    八、词语含义</w:t>
      </w:r>
    </w:p>
    <w:p w14:paraId="6F08EB63">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7D9D9AE1">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228" w:name="_Toc14766"/>
      <w:r>
        <w:rPr>
          <w:rFonts w:hint="eastAsia" w:ascii="宋体" w:hAnsi="宋体" w:eastAsia="宋体" w:cs="宋体"/>
          <w:b/>
          <w:bCs w:val="0"/>
          <w:color w:val="auto"/>
          <w:sz w:val="24"/>
          <w:szCs w:val="24"/>
          <w:highlight w:val="none"/>
        </w:rPr>
        <w:t>九、签订时间</w:t>
      </w:r>
      <w:bookmarkEnd w:id="228"/>
    </w:p>
    <w:p w14:paraId="5151EC72">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日签订。</w:t>
      </w:r>
    </w:p>
    <w:p w14:paraId="755CD0C3">
      <w:pPr>
        <w:pStyle w:val="3"/>
        <w:pageBreakBefore w:val="0"/>
        <w:widowControl w:val="0"/>
        <w:kinsoku/>
        <w:wordWrap/>
        <w:overflowPunct/>
        <w:topLinePunct w:val="0"/>
        <w:bidi w:val="0"/>
        <w:snapToGrid/>
        <w:spacing w:before="120" w:after="120" w:line="52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29" w:name="_Toc4410"/>
      <w:r>
        <w:rPr>
          <w:rFonts w:hint="eastAsia" w:ascii="宋体" w:hAnsi="宋体" w:eastAsia="宋体" w:cs="宋体"/>
          <w:b/>
          <w:bCs w:val="0"/>
          <w:color w:val="auto"/>
          <w:sz w:val="24"/>
          <w:szCs w:val="24"/>
          <w:highlight w:val="none"/>
        </w:rPr>
        <w:t>十、签订地点</w:t>
      </w:r>
      <w:bookmarkEnd w:id="229"/>
    </w:p>
    <w:p w14:paraId="5B2F81BD">
      <w:pPr>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荔浦市财政局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签订。</w:t>
      </w:r>
    </w:p>
    <w:p w14:paraId="14C9B976">
      <w:pPr>
        <w:pStyle w:val="3"/>
        <w:pageBreakBefore w:val="0"/>
        <w:widowControl w:val="0"/>
        <w:kinsoku/>
        <w:wordWrap/>
        <w:overflowPunct/>
        <w:topLinePunct w:val="0"/>
        <w:autoSpaceDE/>
        <w:autoSpaceDN/>
        <w:bidi w:val="0"/>
        <w:adjustRightInd/>
        <w:snapToGrid/>
        <w:spacing w:before="120" w:after="120" w:line="52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230" w:name="_Toc21787"/>
      <w:r>
        <w:rPr>
          <w:rFonts w:hint="eastAsia" w:ascii="宋体" w:hAnsi="宋体" w:eastAsia="宋体" w:cs="宋体"/>
          <w:b/>
          <w:bCs w:val="0"/>
          <w:color w:val="auto"/>
          <w:sz w:val="24"/>
          <w:szCs w:val="24"/>
          <w:highlight w:val="none"/>
        </w:rPr>
        <w:t>十一、补充协议</w:t>
      </w:r>
      <w:bookmarkEnd w:id="230"/>
    </w:p>
    <w:p w14:paraId="045C3150">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405465D8">
      <w:pPr>
        <w:pStyle w:val="3"/>
        <w:pageBreakBefore w:val="0"/>
        <w:widowControl w:val="0"/>
        <w:kinsoku/>
        <w:wordWrap/>
        <w:overflowPunct/>
        <w:topLinePunct w:val="0"/>
        <w:autoSpaceDE/>
        <w:autoSpaceDN/>
        <w:bidi w:val="0"/>
        <w:adjustRightInd/>
        <w:snapToGrid/>
        <w:spacing w:before="120" w:after="120" w:line="520" w:lineRule="exac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 xml:space="preserve">    </w:t>
      </w:r>
      <w:bookmarkStart w:id="231" w:name="_Toc16856"/>
      <w:r>
        <w:rPr>
          <w:rFonts w:hint="eastAsia" w:ascii="宋体" w:hAnsi="宋体" w:eastAsia="宋体" w:cs="宋体"/>
          <w:b/>
          <w:bCs w:val="0"/>
          <w:color w:val="auto"/>
          <w:sz w:val="24"/>
          <w:szCs w:val="24"/>
          <w:highlight w:val="none"/>
        </w:rPr>
        <w:t>十二、合同生效</w:t>
      </w:r>
      <w:bookmarkEnd w:id="231"/>
    </w:p>
    <w:p w14:paraId="27C3734A">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双方法定代表人或其委托代理人签字或盖章并加盖单位</w:t>
      </w:r>
      <w:r>
        <w:rPr>
          <w:rFonts w:hint="eastAsia" w:ascii="宋体" w:hAnsi="宋体" w:eastAsia="宋体" w:cs="宋体"/>
          <w:color w:val="auto"/>
          <w:sz w:val="24"/>
          <w:szCs w:val="24"/>
          <w:highlight w:val="none"/>
          <w:u w:val="single"/>
          <w:lang w:eastAsia="zh-CN"/>
        </w:rPr>
        <w:t>公</w:t>
      </w:r>
      <w:r>
        <w:rPr>
          <w:rFonts w:hint="eastAsia" w:ascii="宋体" w:hAnsi="宋体" w:eastAsia="宋体" w:cs="宋体"/>
          <w:color w:val="auto"/>
          <w:sz w:val="24"/>
          <w:szCs w:val="24"/>
          <w:highlight w:val="none"/>
          <w:u w:val="single"/>
        </w:rPr>
        <w:t>章后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226CBC03">
      <w:pPr>
        <w:pStyle w:val="3"/>
        <w:pageBreakBefore w:val="0"/>
        <w:widowControl w:val="0"/>
        <w:kinsoku/>
        <w:wordWrap/>
        <w:overflowPunct/>
        <w:topLinePunct w:val="0"/>
        <w:autoSpaceDE/>
        <w:autoSpaceDN/>
        <w:bidi w:val="0"/>
        <w:adjustRightInd/>
        <w:snapToGrid/>
        <w:spacing w:before="120" w:after="120" w:line="520" w:lineRule="exact"/>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232" w:name="_Toc19121"/>
      <w:r>
        <w:rPr>
          <w:rFonts w:hint="eastAsia" w:ascii="宋体" w:hAnsi="宋体" w:eastAsia="宋体" w:cs="宋体"/>
          <w:b/>
          <w:bCs w:val="0"/>
          <w:color w:val="auto"/>
          <w:sz w:val="24"/>
          <w:szCs w:val="24"/>
          <w:highlight w:val="none"/>
        </w:rPr>
        <w:t>十三、合同份数</w:t>
      </w:r>
      <w:bookmarkEnd w:id="232"/>
    </w:p>
    <w:p w14:paraId="039B4408">
      <w:pPr>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lang w:val="en-US" w:eastAsia="zh-CN"/>
        </w:rPr>
        <w:t xml:space="preserve"> 肆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lang w:val="en-US" w:eastAsia="zh-CN"/>
        </w:rPr>
        <w:t xml:space="preserve"> 贰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lang w:val="en-US" w:eastAsia="zh-CN"/>
        </w:rPr>
        <w:t xml:space="preserve"> 贰 </w:t>
      </w:r>
      <w:r>
        <w:rPr>
          <w:rFonts w:hint="eastAsia" w:ascii="宋体" w:hAnsi="宋体" w:eastAsia="宋体" w:cs="宋体"/>
          <w:bCs/>
          <w:color w:val="auto"/>
          <w:sz w:val="24"/>
          <w:szCs w:val="24"/>
          <w:highlight w:val="none"/>
        </w:rPr>
        <w:t>份。</w:t>
      </w:r>
    </w:p>
    <w:p w14:paraId="11657D53">
      <w:pPr>
        <w:spacing w:line="360" w:lineRule="auto"/>
        <w:jc w:val="center"/>
        <w:rPr>
          <w:rFonts w:hint="eastAsia" w:ascii="宋体" w:hAnsi="宋体" w:eastAsia="宋体" w:cs="宋体"/>
          <w:b/>
          <w:bCs w:val="0"/>
          <w:color w:val="auto"/>
          <w:sz w:val="24"/>
          <w:szCs w:val="24"/>
          <w:highlight w:val="none"/>
          <w:lang w:eastAsia="zh-CN"/>
        </w:rPr>
      </w:pPr>
    </w:p>
    <w:p w14:paraId="710E3151">
      <w:pPr>
        <w:spacing w:line="360" w:lineRule="auto"/>
        <w:jc w:val="center"/>
        <w:rPr>
          <w:rFonts w:hint="eastAsia" w:ascii="宋体" w:hAnsi="宋体" w:eastAsia="宋体" w:cs="宋体"/>
          <w:b/>
          <w:bCs w:val="0"/>
          <w:color w:val="auto"/>
          <w:sz w:val="24"/>
          <w:szCs w:val="24"/>
          <w:highlight w:val="none"/>
          <w:lang w:eastAsia="zh-CN"/>
        </w:rPr>
      </w:pPr>
    </w:p>
    <w:p w14:paraId="6AAB6991">
      <w:pPr>
        <w:pStyle w:val="4"/>
        <w:rPr>
          <w:rFonts w:hint="eastAsia" w:ascii="宋体" w:hAnsi="宋体" w:eastAsia="宋体" w:cs="宋体"/>
          <w:b/>
          <w:bCs w:val="0"/>
          <w:color w:val="auto"/>
          <w:sz w:val="24"/>
          <w:szCs w:val="24"/>
          <w:highlight w:val="none"/>
          <w:lang w:eastAsia="zh-CN"/>
        </w:rPr>
      </w:pPr>
    </w:p>
    <w:p w14:paraId="0A248B5A">
      <w:pPr>
        <w:pStyle w:val="4"/>
        <w:rPr>
          <w:rFonts w:hint="eastAsia" w:ascii="宋体" w:hAnsi="宋体" w:eastAsia="宋体" w:cs="宋体"/>
          <w:b/>
          <w:bCs w:val="0"/>
          <w:color w:val="auto"/>
          <w:sz w:val="24"/>
          <w:szCs w:val="24"/>
          <w:highlight w:val="none"/>
          <w:lang w:eastAsia="zh-CN"/>
        </w:rPr>
      </w:pPr>
    </w:p>
    <w:p w14:paraId="5BC742B5">
      <w:pPr>
        <w:pStyle w:val="4"/>
        <w:rPr>
          <w:rFonts w:hint="eastAsia"/>
          <w:color w:val="auto"/>
          <w:highlight w:val="none"/>
          <w:lang w:eastAsia="zh-CN"/>
        </w:rPr>
      </w:pPr>
    </w:p>
    <w:p w14:paraId="6CB9CC2C">
      <w:pPr>
        <w:spacing w:line="360" w:lineRule="auto"/>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（本页为签章页，无正文）</w:t>
      </w:r>
    </w:p>
    <w:p w14:paraId="5B3A58DB">
      <w:pPr>
        <w:spacing w:line="360" w:lineRule="auto"/>
        <w:rPr>
          <w:rFonts w:hint="eastAsia" w:ascii="宋体" w:hAnsi="宋体" w:eastAsia="宋体" w:cs="宋体"/>
          <w:bCs/>
          <w:color w:val="auto"/>
          <w:sz w:val="24"/>
          <w:szCs w:val="24"/>
          <w:highlight w:val="none"/>
        </w:rPr>
      </w:pPr>
    </w:p>
    <w:p w14:paraId="2B93EE0C">
      <w:pPr>
        <w:rPr>
          <w:rFonts w:hint="eastAsia" w:ascii="宋体" w:hAnsi="宋体" w:eastAsia="宋体" w:cs="宋体"/>
          <w:bCs/>
          <w:color w:val="auto"/>
          <w:sz w:val="24"/>
          <w:szCs w:val="24"/>
          <w:highlight w:val="none"/>
        </w:rPr>
      </w:pPr>
    </w:p>
    <w:p w14:paraId="37E33283">
      <w:pPr>
        <w:pStyle w:val="4"/>
        <w:rPr>
          <w:rFonts w:hint="eastAsia"/>
          <w:color w:val="auto"/>
          <w:highlight w:val="none"/>
        </w:rPr>
      </w:pPr>
    </w:p>
    <w:tbl>
      <w:tblPr>
        <w:tblStyle w:val="40"/>
        <w:tblW w:w="9218" w:type="dxa"/>
        <w:tblInd w:w="1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567"/>
        <w:gridCol w:w="4651"/>
      </w:tblGrid>
      <w:tr w14:paraId="4BEEF7A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91" w:hRule="atLeast"/>
        </w:trPr>
        <w:tc>
          <w:tcPr>
            <w:tcW w:w="4567" w:type="dxa"/>
            <w:noWrap w:val="0"/>
            <w:vAlign w:val="top"/>
          </w:tcPr>
          <w:p w14:paraId="661632C7">
            <w:pPr>
              <w:keepNext w:val="0"/>
              <w:keepLines w:val="0"/>
              <w:pageBreakBefore w:val="0"/>
              <w:widowControl/>
              <w:kinsoku w:val="0"/>
              <w:wordWrap/>
              <w:overflowPunct/>
              <w:topLinePunct w:val="0"/>
              <w:autoSpaceDE w:val="0"/>
              <w:autoSpaceDN w:val="0"/>
              <w:bidi w:val="0"/>
              <w:adjustRightInd w:val="0"/>
              <w:snapToGrid w:val="0"/>
              <w:spacing w:line="520" w:lineRule="exact"/>
              <w:ind w:left="5"/>
              <w:jc w:val="left"/>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16"/>
                <w:sz w:val="24"/>
                <w:szCs w:val="24"/>
                <w:highlight w:val="none"/>
              </w:rPr>
              <w:t>发</w:t>
            </w:r>
            <w:r>
              <w:rPr>
                <w:rFonts w:hint="eastAsia" w:ascii="宋体" w:hAnsi="宋体" w:eastAsia="宋体" w:cs="宋体"/>
                <w:color w:val="auto"/>
                <w:spacing w:val="-9"/>
                <w:sz w:val="24"/>
                <w:szCs w:val="24"/>
                <w:highlight w:val="none"/>
              </w:rPr>
              <w:t>包人：</w:t>
            </w:r>
            <w:r>
              <w:rPr>
                <w:rFonts w:hint="eastAsia" w:ascii="宋体" w:hAnsi="宋体" w:eastAsia="宋体" w:cs="宋体"/>
                <w:color w:val="auto"/>
                <w:spacing w:val="3"/>
                <w:sz w:val="24"/>
                <w:szCs w:val="24"/>
                <w:highlight w:val="none"/>
                <w:u w:val="none" w:color="auto"/>
                <w:lang w:val="en-US" w:eastAsia="zh-CN"/>
              </w:rPr>
              <w:t xml:space="preserve">荔浦市财政局  </w:t>
            </w:r>
          </w:p>
          <w:p w14:paraId="5D73BA5F">
            <w:pPr>
              <w:keepNext w:val="0"/>
              <w:keepLines w:val="0"/>
              <w:pageBreakBefore w:val="0"/>
              <w:widowControl/>
              <w:kinsoku w:val="0"/>
              <w:wordWrap/>
              <w:overflowPunct/>
              <w:topLinePunct w:val="0"/>
              <w:autoSpaceDE w:val="0"/>
              <w:autoSpaceDN w:val="0"/>
              <w:bidi w:val="0"/>
              <w:adjustRightInd w:val="0"/>
              <w:snapToGrid w:val="0"/>
              <w:spacing w:line="520" w:lineRule="exact"/>
              <w:ind w:left="5" w:firstLine="1554" w:firstLineChars="7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(公章)</w:t>
            </w:r>
          </w:p>
        </w:tc>
        <w:tc>
          <w:tcPr>
            <w:tcW w:w="4651" w:type="dxa"/>
            <w:noWrap w:val="0"/>
            <w:vAlign w:val="top"/>
          </w:tcPr>
          <w:p w14:paraId="6C6FACD5">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12"/>
                <w:sz w:val="24"/>
                <w:szCs w:val="24"/>
                <w:highlight w:val="none"/>
              </w:rPr>
              <w:t>承</w:t>
            </w:r>
            <w:r>
              <w:rPr>
                <w:rFonts w:hint="eastAsia" w:ascii="宋体" w:hAnsi="宋体" w:eastAsia="宋体" w:cs="宋体"/>
                <w:color w:val="auto"/>
                <w:spacing w:val="-9"/>
                <w:sz w:val="24"/>
                <w:szCs w:val="24"/>
                <w:highlight w:val="none"/>
              </w:rPr>
              <w:t>包人：</w:t>
            </w:r>
            <w:r>
              <w:rPr>
                <w:rFonts w:hint="eastAsia" w:ascii="宋体" w:hAnsi="宋体" w:eastAsia="宋体" w:cs="宋体"/>
                <w:color w:val="auto"/>
                <w:spacing w:val="-9"/>
                <w:sz w:val="24"/>
                <w:szCs w:val="24"/>
                <w:highlight w:val="none"/>
                <w:lang w:val="en-US" w:eastAsia="zh-CN"/>
              </w:rPr>
              <w:t xml:space="preserve">      </w:t>
            </w:r>
          </w:p>
          <w:p w14:paraId="611C32D2">
            <w:pPr>
              <w:keepNext w:val="0"/>
              <w:keepLines w:val="0"/>
              <w:pageBreakBefore w:val="0"/>
              <w:widowControl/>
              <w:kinsoku w:val="0"/>
              <w:wordWrap/>
              <w:overflowPunct/>
              <w:topLinePunct w:val="0"/>
              <w:autoSpaceDE w:val="0"/>
              <w:autoSpaceDN w:val="0"/>
              <w:bidi w:val="0"/>
              <w:adjustRightInd w:val="0"/>
              <w:snapToGrid w:val="0"/>
              <w:spacing w:line="520" w:lineRule="exact"/>
              <w:ind w:firstLine="1776"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(公章)</w:t>
            </w:r>
          </w:p>
        </w:tc>
      </w:tr>
      <w:tr w14:paraId="2725313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0" w:hRule="atLeast"/>
        </w:trPr>
        <w:tc>
          <w:tcPr>
            <w:tcW w:w="4567" w:type="dxa"/>
            <w:noWrap w:val="0"/>
            <w:vAlign w:val="top"/>
          </w:tcPr>
          <w:p w14:paraId="1334535A">
            <w:pPr>
              <w:keepNext w:val="0"/>
              <w:keepLines w:val="0"/>
              <w:pageBreakBefore w:val="0"/>
              <w:widowControl/>
              <w:kinsoku w:val="0"/>
              <w:wordWrap/>
              <w:overflowPunct/>
              <w:topLinePunct w:val="0"/>
              <w:autoSpaceDE w:val="0"/>
              <w:autoSpaceDN w:val="0"/>
              <w:bidi w:val="0"/>
              <w:adjustRightInd w:val="0"/>
              <w:snapToGrid w:val="0"/>
              <w:spacing w:before="279" w:line="520" w:lineRule="exact"/>
              <w:ind w:left="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w:t>
            </w:r>
            <w:r>
              <w:rPr>
                <w:rFonts w:hint="eastAsia" w:ascii="宋体" w:hAnsi="宋体" w:eastAsia="宋体" w:cs="宋体"/>
                <w:color w:val="auto"/>
                <w:spacing w:val="-2"/>
                <w:sz w:val="24"/>
                <w:szCs w:val="24"/>
                <w:highlight w:val="none"/>
              </w:rPr>
              <w:t>代表人或其委托代理人：</w:t>
            </w:r>
          </w:p>
        </w:tc>
        <w:tc>
          <w:tcPr>
            <w:tcW w:w="4651" w:type="dxa"/>
            <w:noWrap w:val="0"/>
            <w:vAlign w:val="top"/>
          </w:tcPr>
          <w:p w14:paraId="2C458D6B">
            <w:pPr>
              <w:keepNext w:val="0"/>
              <w:keepLines w:val="0"/>
              <w:pageBreakBefore w:val="0"/>
              <w:widowControl/>
              <w:kinsoku w:val="0"/>
              <w:wordWrap/>
              <w:overflowPunct/>
              <w:topLinePunct w:val="0"/>
              <w:autoSpaceDE w:val="0"/>
              <w:autoSpaceDN w:val="0"/>
              <w:bidi w:val="0"/>
              <w:adjustRightInd w:val="0"/>
              <w:snapToGrid w:val="0"/>
              <w:spacing w:before="279"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法定代</w:t>
            </w:r>
            <w:r>
              <w:rPr>
                <w:rFonts w:hint="eastAsia" w:ascii="宋体" w:hAnsi="宋体" w:eastAsia="宋体" w:cs="宋体"/>
                <w:color w:val="auto"/>
                <w:spacing w:val="-3"/>
                <w:sz w:val="24"/>
                <w:szCs w:val="24"/>
                <w:highlight w:val="none"/>
              </w:rPr>
              <w:t>表</w:t>
            </w:r>
            <w:r>
              <w:rPr>
                <w:rFonts w:hint="eastAsia" w:ascii="宋体" w:hAnsi="宋体" w:eastAsia="宋体" w:cs="宋体"/>
                <w:color w:val="auto"/>
                <w:spacing w:val="-2"/>
                <w:sz w:val="24"/>
                <w:szCs w:val="24"/>
                <w:highlight w:val="none"/>
              </w:rPr>
              <w:t>人或其委托代理人：</w:t>
            </w:r>
          </w:p>
        </w:tc>
      </w:tr>
      <w:tr w14:paraId="4607056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0" w:hRule="atLeast"/>
        </w:trPr>
        <w:tc>
          <w:tcPr>
            <w:tcW w:w="4567" w:type="dxa"/>
            <w:noWrap w:val="0"/>
            <w:vAlign w:val="top"/>
          </w:tcPr>
          <w:p w14:paraId="1C6D30E0">
            <w:pPr>
              <w:keepNext w:val="0"/>
              <w:keepLines w:val="0"/>
              <w:pageBreakBefore w:val="0"/>
              <w:widowControl/>
              <w:kinsoku w:val="0"/>
              <w:wordWrap/>
              <w:overflowPunct/>
              <w:topLinePunct w:val="0"/>
              <w:autoSpaceDE w:val="0"/>
              <w:autoSpaceDN w:val="0"/>
              <w:bidi w:val="0"/>
              <w:adjustRightInd w:val="0"/>
              <w:snapToGrid w:val="0"/>
              <w:spacing w:before="97" w:line="520" w:lineRule="exact"/>
              <w:ind w:left="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(签字)</w:t>
            </w:r>
          </w:p>
        </w:tc>
        <w:tc>
          <w:tcPr>
            <w:tcW w:w="4651" w:type="dxa"/>
            <w:noWrap w:val="0"/>
            <w:vAlign w:val="top"/>
          </w:tcPr>
          <w:p w14:paraId="4DF85FEF">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(签字)</w:t>
            </w:r>
          </w:p>
        </w:tc>
      </w:tr>
      <w:tr w14:paraId="6F132F2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2" w:hRule="atLeast"/>
        </w:trPr>
        <w:tc>
          <w:tcPr>
            <w:tcW w:w="4567" w:type="dxa"/>
            <w:noWrap w:val="0"/>
            <w:vAlign w:val="top"/>
          </w:tcPr>
          <w:p w14:paraId="50C3F52D">
            <w:pPr>
              <w:keepNext w:val="0"/>
              <w:keepLines w:val="0"/>
              <w:pageBreakBefore w:val="0"/>
              <w:widowControl/>
              <w:kinsoku w:val="0"/>
              <w:wordWrap/>
              <w:overflowPunct/>
              <w:topLinePunct w:val="0"/>
              <w:autoSpaceDE w:val="0"/>
              <w:autoSpaceDN w:val="0"/>
              <w:bidi w:val="0"/>
              <w:adjustRightInd w:val="0"/>
              <w:snapToGrid w:val="0"/>
              <w:spacing w:before="280" w:line="520" w:lineRule="exact"/>
              <w:ind w:left="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统</w:t>
            </w:r>
            <w:r>
              <w:rPr>
                <w:rFonts w:hint="eastAsia" w:ascii="宋体" w:hAnsi="宋体" w:eastAsia="宋体" w:cs="宋体"/>
                <w:color w:val="auto"/>
                <w:spacing w:val="-9"/>
                <w:sz w:val="24"/>
                <w:szCs w:val="24"/>
                <w:highlight w:val="none"/>
              </w:rPr>
              <w:t>一社会信用代码：</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46640258">
            <w:pPr>
              <w:keepNext w:val="0"/>
              <w:keepLines w:val="0"/>
              <w:pageBreakBefore w:val="0"/>
              <w:widowControl/>
              <w:kinsoku w:val="0"/>
              <w:wordWrap/>
              <w:overflowPunct/>
              <w:topLinePunct w:val="0"/>
              <w:autoSpaceDE w:val="0"/>
              <w:autoSpaceDN w:val="0"/>
              <w:bidi w:val="0"/>
              <w:adjustRightInd w:val="0"/>
              <w:snapToGrid w:val="0"/>
              <w:spacing w:before="280"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统一社会</w:t>
            </w:r>
            <w:r>
              <w:rPr>
                <w:rFonts w:hint="eastAsia" w:ascii="宋体" w:hAnsi="宋体" w:eastAsia="宋体" w:cs="宋体"/>
                <w:color w:val="auto"/>
                <w:spacing w:val="-1"/>
                <w:sz w:val="24"/>
                <w:szCs w:val="24"/>
                <w:highlight w:val="none"/>
              </w:rPr>
              <w:t>信用代码：</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4148CBE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6E75ABC0">
            <w:pPr>
              <w:keepNext w:val="0"/>
              <w:keepLines w:val="0"/>
              <w:pageBreakBefore w:val="0"/>
              <w:widowControl/>
              <w:kinsoku w:val="0"/>
              <w:wordWrap/>
              <w:overflowPunct/>
              <w:topLinePunct w:val="0"/>
              <w:autoSpaceDE w:val="0"/>
              <w:autoSpaceDN w:val="0"/>
              <w:bidi w:val="0"/>
              <w:adjustRightInd w:val="0"/>
              <w:snapToGrid w:val="0"/>
              <w:spacing w:before="96" w:line="520" w:lineRule="exact"/>
              <w:ind w:left="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地</w:t>
            </w:r>
            <w:r>
              <w:rPr>
                <w:rFonts w:hint="eastAsia" w:ascii="宋体" w:hAnsi="宋体" w:eastAsia="宋体" w:cs="宋体"/>
                <w:color w:val="auto"/>
                <w:spacing w:val="-15"/>
                <w:sz w:val="24"/>
                <w:szCs w:val="24"/>
                <w:highlight w:val="none"/>
              </w:rPr>
              <w:t xml:space="preserve">  址：</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7BA256D3">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地  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135C9A4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14040309">
            <w:pPr>
              <w:keepNext w:val="0"/>
              <w:keepLines w:val="0"/>
              <w:pageBreakBefore w:val="0"/>
              <w:widowControl/>
              <w:kinsoku w:val="0"/>
              <w:wordWrap/>
              <w:overflowPunct/>
              <w:topLinePunct w:val="0"/>
              <w:autoSpaceDE w:val="0"/>
              <w:autoSpaceDN w:val="0"/>
              <w:bidi w:val="0"/>
              <w:adjustRightInd w:val="0"/>
              <w:snapToGrid w:val="0"/>
              <w:spacing w:before="96" w:line="520" w:lineRule="exact"/>
              <w:ind w:left="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邮</w:t>
            </w:r>
            <w:r>
              <w:rPr>
                <w:rFonts w:hint="eastAsia" w:ascii="宋体" w:hAnsi="宋体" w:eastAsia="宋体" w:cs="宋体"/>
                <w:color w:val="auto"/>
                <w:spacing w:val="-19"/>
                <w:sz w:val="24"/>
                <w:szCs w:val="24"/>
                <w:highlight w:val="none"/>
              </w:rPr>
              <w:t>政编码：</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tc>
        <w:tc>
          <w:tcPr>
            <w:tcW w:w="4651" w:type="dxa"/>
            <w:noWrap w:val="0"/>
            <w:vAlign w:val="top"/>
          </w:tcPr>
          <w:p w14:paraId="5717838A">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邮</w:t>
            </w:r>
            <w:r>
              <w:rPr>
                <w:rFonts w:hint="eastAsia" w:ascii="宋体" w:hAnsi="宋体" w:eastAsia="宋体" w:cs="宋体"/>
                <w:color w:val="auto"/>
                <w:spacing w:val="-4"/>
                <w:sz w:val="24"/>
                <w:szCs w:val="24"/>
                <w:highlight w:val="none"/>
              </w:rPr>
              <w:t>政编码：</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29203CA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05EDD78F">
            <w:pPr>
              <w:keepNext w:val="0"/>
              <w:keepLines w:val="0"/>
              <w:pageBreakBefore w:val="0"/>
              <w:widowControl/>
              <w:kinsoku w:val="0"/>
              <w:wordWrap/>
              <w:overflowPunct/>
              <w:topLinePunct w:val="0"/>
              <w:autoSpaceDE w:val="0"/>
              <w:autoSpaceDN w:val="0"/>
              <w:bidi w:val="0"/>
              <w:adjustRightInd w:val="0"/>
              <w:snapToGrid w:val="0"/>
              <w:spacing w:before="96" w:line="520" w:lineRule="exact"/>
              <w:ind w:left="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w:t>
            </w:r>
            <w:r>
              <w:rPr>
                <w:rFonts w:hint="eastAsia" w:ascii="宋体" w:hAnsi="宋体" w:eastAsia="宋体" w:cs="宋体"/>
                <w:color w:val="auto"/>
                <w:spacing w:val="-1"/>
                <w:sz w:val="24"/>
                <w:szCs w:val="24"/>
                <w:highlight w:val="none"/>
              </w:rPr>
              <w:t>代表人：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2526EDF9">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法定代表人：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389B083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0" w:hRule="atLeast"/>
        </w:trPr>
        <w:tc>
          <w:tcPr>
            <w:tcW w:w="4567" w:type="dxa"/>
            <w:noWrap w:val="0"/>
            <w:vAlign w:val="top"/>
          </w:tcPr>
          <w:p w14:paraId="16F846D6">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4B0E72EA">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委</w:t>
            </w:r>
            <w:r>
              <w:rPr>
                <w:rFonts w:hint="eastAsia" w:ascii="宋体" w:hAnsi="宋体" w:eastAsia="宋体" w:cs="宋体"/>
                <w:color w:val="auto"/>
                <w:spacing w:val="-13"/>
                <w:sz w:val="24"/>
                <w:szCs w:val="24"/>
                <w:highlight w:val="none"/>
              </w:rPr>
              <w:t>托代理人：</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53FDEEC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567" w:type="dxa"/>
            <w:noWrap w:val="0"/>
            <w:vAlign w:val="top"/>
          </w:tcPr>
          <w:p w14:paraId="14A1AA44">
            <w:pPr>
              <w:keepNext w:val="0"/>
              <w:keepLines w:val="0"/>
              <w:pageBreakBefore w:val="0"/>
              <w:widowControl/>
              <w:kinsoku w:val="0"/>
              <w:wordWrap/>
              <w:overflowPunct/>
              <w:topLinePunct w:val="0"/>
              <w:autoSpaceDE w:val="0"/>
              <w:autoSpaceDN w:val="0"/>
              <w:bidi w:val="0"/>
              <w:adjustRightInd w:val="0"/>
              <w:snapToGrid w:val="0"/>
              <w:spacing w:before="97" w:line="520" w:lineRule="exact"/>
              <w:ind w:left="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电</w:t>
            </w:r>
            <w:r>
              <w:rPr>
                <w:rFonts w:hint="eastAsia" w:ascii="宋体" w:hAnsi="宋体" w:eastAsia="宋体" w:cs="宋体"/>
                <w:color w:val="auto"/>
                <w:spacing w:val="-20"/>
                <w:sz w:val="24"/>
                <w:szCs w:val="24"/>
                <w:highlight w:val="none"/>
              </w:rPr>
              <w:t xml:space="preserve">  话：</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77F5AAE3">
            <w:pPr>
              <w:keepNext w:val="0"/>
              <w:keepLines w:val="0"/>
              <w:pageBreakBefore w:val="0"/>
              <w:widowControl/>
              <w:kinsoku w:val="0"/>
              <w:wordWrap/>
              <w:overflowPunct/>
              <w:topLinePunct w:val="0"/>
              <w:autoSpaceDE w:val="0"/>
              <w:autoSpaceDN w:val="0"/>
              <w:bidi w:val="0"/>
              <w:adjustRightInd w:val="0"/>
              <w:snapToGrid w:val="0"/>
              <w:spacing w:before="97"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电  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76D256E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567" w:type="dxa"/>
            <w:noWrap w:val="0"/>
            <w:vAlign w:val="top"/>
          </w:tcPr>
          <w:p w14:paraId="55A178EC">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传</w:t>
            </w:r>
            <w:r>
              <w:rPr>
                <w:rFonts w:hint="eastAsia" w:ascii="宋体" w:hAnsi="宋体" w:eastAsia="宋体" w:cs="宋体"/>
                <w:color w:val="auto"/>
                <w:spacing w:val="-15"/>
                <w:sz w:val="24"/>
                <w:szCs w:val="24"/>
                <w:highlight w:val="none"/>
              </w:rPr>
              <w:t xml:space="preserve">  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6BBA7892">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传</w:t>
            </w:r>
            <w:r>
              <w:rPr>
                <w:rFonts w:hint="eastAsia" w:ascii="宋体" w:hAnsi="宋体" w:eastAsia="宋体" w:cs="宋体"/>
                <w:color w:val="auto"/>
                <w:spacing w:val="-15"/>
                <w:sz w:val="24"/>
                <w:szCs w:val="24"/>
                <w:highlight w:val="none"/>
              </w:rPr>
              <w:t xml:space="preserve">  真：</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43BB4E0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0" w:hRule="atLeast"/>
        </w:trPr>
        <w:tc>
          <w:tcPr>
            <w:tcW w:w="4567" w:type="dxa"/>
            <w:noWrap w:val="0"/>
            <w:vAlign w:val="top"/>
          </w:tcPr>
          <w:p w14:paraId="09DFF860">
            <w:pPr>
              <w:keepNext w:val="0"/>
              <w:keepLines w:val="0"/>
              <w:pageBreakBefore w:val="0"/>
              <w:widowControl/>
              <w:kinsoku w:val="0"/>
              <w:wordWrap/>
              <w:overflowPunct/>
              <w:topLinePunct w:val="0"/>
              <w:autoSpaceDE w:val="0"/>
              <w:autoSpaceDN w:val="0"/>
              <w:bidi w:val="0"/>
              <w:adjustRightInd w:val="0"/>
              <w:snapToGrid w:val="0"/>
              <w:spacing w:before="96" w:line="520" w:lineRule="exact"/>
              <w:ind w:left="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3"/>
                <w:sz w:val="24"/>
                <w:szCs w:val="24"/>
                <w:highlight w:val="none"/>
              </w:rPr>
              <w:t>电</w:t>
            </w:r>
            <w:r>
              <w:rPr>
                <w:rFonts w:hint="eastAsia" w:ascii="宋体" w:hAnsi="宋体" w:eastAsia="宋体" w:cs="宋体"/>
                <w:color w:val="auto"/>
                <w:spacing w:val="-21"/>
                <w:sz w:val="24"/>
                <w:szCs w:val="24"/>
                <w:highlight w:val="none"/>
              </w:rPr>
              <w:t>子信箱：</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426B8B6D">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电</w:t>
            </w:r>
            <w:r>
              <w:rPr>
                <w:rFonts w:hint="eastAsia" w:ascii="宋体" w:hAnsi="宋体" w:eastAsia="宋体" w:cs="宋体"/>
                <w:color w:val="auto"/>
                <w:spacing w:val="-6"/>
                <w:sz w:val="24"/>
                <w:szCs w:val="24"/>
                <w:highlight w:val="none"/>
              </w:rPr>
              <w:t>子信箱：</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458D5CB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567" w:type="dxa"/>
            <w:noWrap w:val="0"/>
            <w:vAlign w:val="top"/>
          </w:tcPr>
          <w:p w14:paraId="177CD8C3">
            <w:pPr>
              <w:keepNext w:val="0"/>
              <w:keepLines w:val="0"/>
              <w:pageBreakBefore w:val="0"/>
              <w:widowControl/>
              <w:kinsoku w:val="0"/>
              <w:wordWrap/>
              <w:overflowPunct/>
              <w:topLinePunct w:val="0"/>
              <w:autoSpaceDE w:val="0"/>
              <w:autoSpaceDN w:val="0"/>
              <w:bidi w:val="0"/>
              <w:adjustRightInd w:val="0"/>
              <w:snapToGrid w:val="0"/>
              <w:spacing w:before="96" w:line="520" w:lineRule="exact"/>
              <w:ind w:left="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开</w:t>
            </w:r>
            <w:r>
              <w:rPr>
                <w:rFonts w:hint="eastAsia" w:ascii="宋体" w:hAnsi="宋体" w:eastAsia="宋体" w:cs="宋体"/>
                <w:color w:val="auto"/>
                <w:spacing w:val="-16"/>
                <w:sz w:val="24"/>
                <w:szCs w:val="24"/>
                <w:highlight w:val="none"/>
              </w:rPr>
              <w:t>户银行：</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1040B989">
            <w:pPr>
              <w:keepNext w:val="0"/>
              <w:keepLines w:val="0"/>
              <w:pageBreakBefore w:val="0"/>
              <w:widowControl/>
              <w:kinsoku w:val="0"/>
              <w:wordWrap/>
              <w:overflowPunct/>
              <w:topLinePunct w:val="0"/>
              <w:autoSpaceDE w:val="0"/>
              <w:autoSpaceDN w:val="0"/>
              <w:bidi w:val="0"/>
              <w:adjustRightInd w:val="0"/>
              <w:snapToGrid w:val="0"/>
              <w:spacing w:before="96" w:line="520" w:lineRule="exac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开户银行</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lang w:val="en-US" w:eastAsia="zh-CN"/>
              </w:rPr>
              <w:t xml:space="preserve">                             </w:t>
            </w:r>
          </w:p>
        </w:tc>
      </w:tr>
      <w:tr w14:paraId="4703198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3" w:hRule="atLeast"/>
        </w:trPr>
        <w:tc>
          <w:tcPr>
            <w:tcW w:w="4567" w:type="dxa"/>
            <w:noWrap w:val="0"/>
            <w:vAlign w:val="top"/>
          </w:tcPr>
          <w:p w14:paraId="409BE09F">
            <w:pPr>
              <w:keepNext w:val="0"/>
              <w:keepLines w:val="0"/>
              <w:pageBreakBefore w:val="0"/>
              <w:widowControl/>
              <w:kinsoku w:val="0"/>
              <w:wordWrap/>
              <w:overflowPunct/>
              <w:topLinePunct w:val="0"/>
              <w:autoSpaceDE w:val="0"/>
              <w:autoSpaceDN w:val="0"/>
              <w:bidi w:val="0"/>
              <w:adjustRightInd w:val="0"/>
              <w:snapToGrid w:val="0"/>
              <w:spacing w:before="98" w:line="520" w:lineRule="exact"/>
              <w:ind w:left="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账  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4651" w:type="dxa"/>
            <w:noWrap w:val="0"/>
            <w:vAlign w:val="top"/>
          </w:tcPr>
          <w:p w14:paraId="632BDE3A">
            <w:pPr>
              <w:keepNext w:val="0"/>
              <w:keepLines w:val="0"/>
              <w:pageBreakBefore w:val="0"/>
              <w:widowControl/>
              <w:kinsoku w:val="0"/>
              <w:wordWrap/>
              <w:overflowPunct/>
              <w:topLinePunct w:val="0"/>
              <w:autoSpaceDE w:val="0"/>
              <w:autoSpaceDN w:val="0"/>
              <w:bidi w:val="0"/>
              <w:adjustRightInd w:val="0"/>
              <w:snapToGrid w:val="0"/>
              <w:spacing w:before="98"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账</w:t>
            </w:r>
            <w:r>
              <w:rPr>
                <w:rFonts w:hint="eastAsia" w:ascii="宋体" w:hAnsi="宋体" w:eastAsia="宋体" w:cs="宋体"/>
                <w:color w:val="auto"/>
                <w:spacing w:val="-16"/>
                <w:sz w:val="24"/>
                <w:szCs w:val="24"/>
                <w:highlight w:val="none"/>
              </w:rPr>
              <w:t xml:space="preserve">  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color="auto"/>
              </w:rPr>
              <w:t xml:space="preserve">    </w:t>
            </w:r>
          </w:p>
        </w:tc>
      </w:tr>
    </w:tbl>
    <w:p w14:paraId="27DF6B19">
      <w:pPr>
        <w:spacing w:before="63" w:line="225" w:lineRule="auto"/>
        <w:ind w:left="2992"/>
        <w:outlineLvl w:val="1"/>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0DEED3E8">
      <w:pPr>
        <w:spacing w:before="63" w:line="225" w:lineRule="auto"/>
        <w:ind w:left="2992"/>
        <w:outlineLvl w:val="1"/>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38161996">
      <w:pPr>
        <w:spacing w:before="63" w:line="225" w:lineRule="auto"/>
        <w:ind w:left="2992"/>
        <w:outlineLvl w:val="1"/>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7CFBF1BB">
      <w:pPr>
        <w:pStyle w:val="4"/>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64F521CD">
      <w:pPr>
        <w:pStyle w:val="4"/>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29CBD798">
      <w:pPr>
        <w:rPr>
          <w:rFonts w:hint="eastAsia" w:ascii="宋体" w:hAnsi="宋体" w:eastAsia="宋体" w:cs="宋体"/>
          <w:color w:val="auto"/>
          <w:spacing w:val="9"/>
          <w:sz w:val="31"/>
          <w:szCs w:val="31"/>
          <w:highlight w:val="none"/>
          <w14:textOutline w14:w="5793" w14:cap="sq" w14:cmpd="sng">
            <w14:solidFill>
              <w14:srgbClr w14:val="000000"/>
            </w14:solidFill>
            <w14:prstDash w14:val="solid"/>
            <w14:bevel/>
          </w14:textOutline>
        </w:rPr>
      </w:pPr>
    </w:p>
    <w:p w14:paraId="48D2BC52">
      <w:pPr>
        <w:pStyle w:val="4"/>
        <w:rPr>
          <w:rFonts w:hint="eastAsia"/>
          <w:color w:val="auto"/>
          <w:highlight w:val="none"/>
        </w:rPr>
      </w:pPr>
    </w:p>
    <w:p w14:paraId="7C41583A">
      <w:pPr>
        <w:pStyle w:val="4"/>
        <w:rPr>
          <w:rFonts w:hint="eastAsia"/>
          <w:color w:val="auto"/>
          <w:highlight w:val="none"/>
        </w:rPr>
      </w:pPr>
    </w:p>
    <w:p w14:paraId="078D2B32">
      <w:pPr>
        <w:spacing w:before="63" w:line="225" w:lineRule="auto"/>
        <w:ind w:left="2992"/>
        <w:outlineLvl w:val="1"/>
        <w:rPr>
          <w:rFonts w:hint="eastAsia" w:ascii="宋体" w:hAnsi="宋体" w:eastAsia="宋体" w:cs="宋体"/>
          <w:color w:val="auto"/>
          <w:sz w:val="36"/>
          <w:szCs w:val="36"/>
          <w:highlight w:val="none"/>
        </w:rPr>
      </w:pPr>
      <w:r>
        <w:rPr>
          <w:rFonts w:hint="eastAsia" w:ascii="宋体" w:hAnsi="宋体" w:eastAsia="宋体" w:cs="宋体"/>
          <w:color w:val="auto"/>
          <w:spacing w:val="9"/>
          <w:sz w:val="36"/>
          <w:szCs w:val="36"/>
          <w:highlight w:val="none"/>
          <w14:textOutline w14:w="5793" w14:cap="sq" w14:cmpd="sng">
            <w14:solidFill>
              <w14:srgbClr w14:val="000000"/>
            </w14:solidFill>
            <w14:prstDash w14:val="solid"/>
            <w14:bevel/>
          </w14:textOutline>
        </w:rPr>
        <w:t>第二部分</w:t>
      </w:r>
      <w:r>
        <w:rPr>
          <w:rFonts w:hint="eastAsia" w:ascii="宋体" w:hAnsi="宋体" w:eastAsia="宋体" w:cs="宋体"/>
          <w:color w:val="auto"/>
          <w:spacing w:val="9"/>
          <w:sz w:val="36"/>
          <w:szCs w:val="36"/>
          <w:highlight w:val="none"/>
        </w:rPr>
        <w:t xml:space="preserve"> </w:t>
      </w:r>
      <w:r>
        <w:rPr>
          <w:rFonts w:hint="eastAsia" w:ascii="宋体" w:hAnsi="宋体" w:eastAsia="宋体" w:cs="宋体"/>
          <w:color w:val="auto"/>
          <w:spacing w:val="9"/>
          <w:sz w:val="36"/>
          <w:szCs w:val="36"/>
          <w:highlight w:val="none"/>
          <w14:textOutline w14:w="5793" w14:cap="sq" w14:cmpd="sng">
            <w14:solidFill>
              <w14:srgbClr w14:val="000000"/>
            </w14:solidFill>
            <w14:prstDash w14:val="solid"/>
            <w14:bevel/>
          </w14:textOutline>
        </w:rPr>
        <w:t>通用合同条款</w:t>
      </w:r>
    </w:p>
    <w:p w14:paraId="14F5FD05">
      <w:pPr>
        <w:spacing w:before="140" w:line="225" w:lineRule="auto"/>
        <w:ind w:left="3147"/>
        <w:outlineLvl w:val="0"/>
        <w:rPr>
          <w:rFonts w:hint="eastAsia" w:ascii="宋体" w:hAnsi="宋体" w:eastAsia="宋体" w:cs="宋体"/>
          <w:color w:val="auto"/>
          <w:spacing w:val="9"/>
          <w:sz w:val="36"/>
          <w:szCs w:val="36"/>
          <w:highlight w:val="none"/>
          <w14:textOutline w14:w="5793" w14:cap="sq" w14:cmpd="sng">
            <w14:solidFill>
              <w14:srgbClr w14:val="000000"/>
            </w14:solidFill>
            <w14:prstDash w14:val="solid"/>
            <w14:bevel/>
          </w14:textOutline>
        </w:rPr>
      </w:pPr>
    </w:p>
    <w:p w14:paraId="196890BA">
      <w:pPr>
        <w:pStyle w:val="4"/>
        <w:spacing w:before="68"/>
        <w:ind w:left="441"/>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2"/>
          <w:sz w:val="28"/>
          <w:szCs w:val="28"/>
          <w:highlight w:val="none"/>
        </w:rPr>
        <w:t>采用《建设工程施工合同（示范文本）》（GF—2017—0201）。</w:t>
      </w:r>
    </w:p>
    <w:p w14:paraId="381FD554">
      <w:pPr>
        <w:pStyle w:val="4"/>
        <w:bidi w:val="0"/>
        <w:spacing w:line="480" w:lineRule="auto"/>
        <w:jc w:val="center"/>
        <w:rPr>
          <w:rFonts w:hint="eastAsia" w:ascii="宋体" w:hAnsi="宋体" w:eastAsia="宋体" w:cs="宋体"/>
          <w:color w:val="auto"/>
          <w:sz w:val="24"/>
          <w:szCs w:val="24"/>
          <w:highlight w:val="none"/>
        </w:rPr>
      </w:pPr>
    </w:p>
    <w:p w14:paraId="4AB5CA87">
      <w:pPr>
        <w:spacing w:before="140" w:line="225" w:lineRule="auto"/>
        <w:ind w:left="3147"/>
        <w:outlineLvl w:val="0"/>
        <w:rPr>
          <w:rFonts w:hint="eastAsia" w:ascii="宋体" w:hAnsi="宋体" w:eastAsia="宋体" w:cs="宋体"/>
          <w:color w:val="auto"/>
          <w:sz w:val="36"/>
          <w:szCs w:val="36"/>
          <w:highlight w:val="none"/>
        </w:rPr>
      </w:pPr>
      <w:r>
        <w:rPr>
          <w:rFonts w:hint="eastAsia" w:ascii="宋体" w:hAnsi="宋体" w:eastAsia="宋体" w:cs="宋体"/>
          <w:color w:val="auto"/>
          <w:spacing w:val="9"/>
          <w:sz w:val="36"/>
          <w:szCs w:val="36"/>
          <w:highlight w:val="none"/>
          <w14:textOutline w14:w="5793" w14:cap="sq" w14:cmpd="sng">
            <w14:solidFill>
              <w14:srgbClr w14:val="000000"/>
            </w14:solidFill>
            <w14:prstDash w14:val="solid"/>
            <w14:bevel/>
          </w14:textOutline>
        </w:rPr>
        <w:t>第三部分</w:t>
      </w:r>
      <w:r>
        <w:rPr>
          <w:rFonts w:hint="eastAsia" w:ascii="宋体" w:hAnsi="宋体" w:eastAsia="宋体" w:cs="宋体"/>
          <w:color w:val="auto"/>
          <w:spacing w:val="9"/>
          <w:sz w:val="36"/>
          <w:szCs w:val="36"/>
          <w:highlight w:val="none"/>
        </w:rPr>
        <w:t xml:space="preserve"> </w:t>
      </w:r>
      <w:r>
        <w:rPr>
          <w:rFonts w:hint="eastAsia" w:ascii="宋体" w:hAnsi="宋体" w:eastAsia="宋体" w:cs="宋体"/>
          <w:color w:val="auto"/>
          <w:spacing w:val="9"/>
          <w:sz w:val="36"/>
          <w:szCs w:val="36"/>
          <w:highlight w:val="none"/>
          <w14:textOutline w14:w="5793" w14:cap="sq" w14:cmpd="sng">
            <w14:solidFill>
              <w14:srgbClr w14:val="000000"/>
            </w14:solidFill>
            <w14:prstDash w14:val="solid"/>
            <w14:bevel/>
          </w14:textOutline>
        </w:rPr>
        <w:t>专用合同条款</w:t>
      </w:r>
    </w:p>
    <w:p w14:paraId="255E7249">
      <w:pPr>
        <w:keepNext w:val="0"/>
        <w:keepLines w:val="0"/>
        <w:pageBreakBefore w:val="0"/>
        <w:widowControl/>
        <w:kinsoku w:val="0"/>
        <w:wordWrap/>
        <w:overflowPunct/>
        <w:topLinePunct w:val="0"/>
        <w:autoSpaceDE w:val="0"/>
        <w:autoSpaceDN w:val="0"/>
        <w:bidi w:val="0"/>
        <w:adjustRightInd w:val="0"/>
        <w:snapToGrid w:val="0"/>
        <w:spacing w:before="216" w:line="480" w:lineRule="exact"/>
        <w:ind w:left="1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一般约定</w:t>
      </w:r>
    </w:p>
    <w:p w14:paraId="3DA0C1A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1.1</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词语定义</w:t>
      </w:r>
    </w:p>
    <w:sdt>
      <w:sdtPr>
        <w:rPr>
          <w:rFonts w:hint="eastAsia" w:ascii="宋体" w:hAnsi="宋体" w:eastAsia="宋体" w:cs="宋体"/>
          <w:color w:val="auto"/>
          <w:sz w:val="24"/>
          <w:szCs w:val="24"/>
          <w:highlight w:val="none"/>
        </w:rPr>
        <w:id w:val="2"/>
        <w:docPartObj>
          <w:docPartGallery w:val="Table of Contents"/>
          <w:docPartUnique/>
        </w:docPartObj>
      </w:sdtPr>
      <w:sdtEndPr>
        <w:rPr>
          <w:rFonts w:hint="eastAsia" w:ascii="宋体" w:hAnsi="宋体" w:eastAsia="宋体" w:cs="宋体"/>
          <w:color w:val="auto"/>
          <w:sz w:val="24"/>
          <w:szCs w:val="24"/>
          <w:highlight w:val="none"/>
        </w:rPr>
      </w:sdtEndPr>
      <w:sdtContent>
        <w:p w14:paraId="2F6562F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1.1.1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1"/>
              <w:sz w:val="24"/>
              <w:szCs w:val="24"/>
              <w:highlight w:val="none"/>
            </w:rPr>
            <w:t>合同</w:t>
          </w:r>
        </w:p>
        <w:p w14:paraId="263F1438">
          <w:pPr>
            <w:keepNext w:val="0"/>
            <w:keepLines w:val="0"/>
            <w:pageBreakBefore w:val="0"/>
            <w:widowControl/>
            <w:kinsoku w:val="0"/>
            <w:wordWrap/>
            <w:overflowPunct/>
            <w:topLinePunct w:val="0"/>
            <w:autoSpaceDE w:val="0"/>
            <w:autoSpaceDN w:val="0"/>
            <w:bidi w:val="0"/>
            <w:adjustRightInd w:val="0"/>
            <w:snapToGrid w:val="0"/>
            <w:spacing w:before="1" w:line="480" w:lineRule="exact"/>
            <w:ind w:left="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"1.1.1.10"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9"/>
              <w:sz w:val="24"/>
              <w:szCs w:val="24"/>
              <w:highlight w:val="none"/>
            </w:rPr>
            <w:t>1.1.1.10</w:t>
          </w:r>
          <w:r>
            <w:rPr>
              <w:rFonts w:hint="eastAsia" w:ascii="宋体" w:hAnsi="宋体" w:eastAsia="宋体" w:cs="宋体"/>
              <w:color w:val="auto"/>
              <w:spacing w:val="9"/>
              <w:sz w:val="24"/>
              <w:szCs w:val="24"/>
              <w:highlight w:val="none"/>
            </w:rPr>
            <w:fldChar w:fldCharType="end"/>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9"/>
              <w:sz w:val="24"/>
              <w:szCs w:val="24"/>
              <w:highlight w:val="none"/>
            </w:rPr>
            <w:t>其他合同文件包括</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u w:val="single" w:color="auto"/>
              <w:lang w:val="en-US" w:eastAsia="zh-CN"/>
            </w:rPr>
            <w:t>其他有关本工程的洽商、变更等书面协议</w:t>
          </w:r>
          <w:r>
            <w:rPr>
              <w:rFonts w:hint="eastAsia" w:ascii="宋体" w:hAnsi="宋体" w:eastAsia="宋体" w:cs="宋体"/>
              <w:color w:val="auto"/>
              <w:sz w:val="24"/>
              <w:szCs w:val="24"/>
              <w:highlight w:val="none"/>
            </w:rPr>
            <w:t>。</w:t>
          </w:r>
        </w:p>
      </w:sdtContent>
    </w:sdt>
    <w:p w14:paraId="535F7F03">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position w:val="13"/>
          <w:sz w:val="24"/>
          <w:szCs w:val="24"/>
          <w:highlight w:val="none"/>
        </w:rPr>
        <w:t>1.1.2 合同当事人及其他相关方</w:t>
      </w:r>
    </w:p>
    <w:p w14:paraId="674CA8E8">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4"/>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"1.1.2.4"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2"/>
          <w:sz w:val="24"/>
          <w:szCs w:val="24"/>
          <w:highlight w:val="none"/>
        </w:rPr>
        <w:t>1.1.2.4</w:t>
      </w:r>
      <w:r>
        <w:rPr>
          <w:rFonts w:hint="eastAsia" w:ascii="宋体" w:hAnsi="宋体" w:eastAsia="宋体" w:cs="宋体"/>
          <w:color w:val="auto"/>
          <w:spacing w:val="2"/>
          <w:sz w:val="24"/>
          <w:szCs w:val="24"/>
          <w:highlight w:val="none"/>
        </w:rPr>
        <w:fldChar w:fldCharType="end"/>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2"/>
          <w:sz w:val="24"/>
          <w:szCs w:val="24"/>
          <w:highlight w:val="none"/>
        </w:rPr>
        <w:t>监理人：</w:t>
      </w:r>
      <w:r>
        <w:rPr>
          <w:rFonts w:hint="eastAsia" w:ascii="宋体" w:hAnsi="宋体" w:eastAsia="宋体" w:cs="宋体"/>
          <w:color w:val="auto"/>
          <w:spacing w:val="2"/>
          <w:sz w:val="24"/>
          <w:szCs w:val="24"/>
          <w:highlight w:val="none"/>
          <w:lang w:val="en-US" w:eastAsia="zh-CN"/>
        </w:rPr>
        <w:t xml:space="preserve">        </w:t>
      </w:r>
    </w:p>
    <w:p w14:paraId="24FA7061">
      <w:pPr>
        <w:keepNext w:val="0"/>
        <w:keepLines w:val="0"/>
        <w:pageBreakBefore w:val="0"/>
        <w:widowControl/>
        <w:kinsoku w:val="0"/>
        <w:wordWrap/>
        <w:overflowPunct/>
        <w:topLinePunct w:val="0"/>
        <w:autoSpaceDE w:val="0"/>
        <w:autoSpaceDN w:val="0"/>
        <w:bidi w:val="0"/>
        <w:adjustRightInd w:val="0"/>
        <w:snapToGrid w:val="0"/>
        <w:spacing w:before="129"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w:t>
      </w:r>
    </w:p>
    <w:p w14:paraId="764BE255">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2458" w:leftChars="203" w:hanging="2032" w:hanging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资质类别和等级</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2131BF45">
      <w:pPr>
        <w:keepNext w:val="0"/>
        <w:keepLines w:val="0"/>
        <w:pageBreakBefore w:val="0"/>
        <w:widowControl/>
        <w:kinsoku w:val="0"/>
        <w:wordWrap/>
        <w:overflowPunct/>
        <w:topLinePunct w:val="0"/>
        <w:autoSpaceDE w:val="0"/>
        <w:autoSpaceDN w:val="0"/>
        <w:bidi w:val="0"/>
        <w:adjustRightInd w:val="0"/>
        <w:snapToGrid w:val="0"/>
        <w:spacing w:before="1"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联系电话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556F1AFB">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4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2F4EE71D">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通信地址：</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none" w:color="auto"/>
          <w:lang w:val="en-US" w:eastAsia="zh-CN"/>
        </w:rPr>
        <w:t>。</w:t>
      </w:r>
    </w:p>
    <w:p w14:paraId="3A3AC6C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3"/>
          <w:position w:val="13"/>
          <w:sz w:val="24"/>
          <w:szCs w:val="24"/>
          <w:highlight w:val="none"/>
        </w:rPr>
        <w:t>1.1.2.5</w:t>
      </w:r>
      <w:r>
        <w:rPr>
          <w:rFonts w:hint="eastAsia" w:ascii="宋体" w:hAnsi="宋体" w:eastAsia="宋体" w:cs="宋体"/>
          <w:color w:val="auto"/>
          <w:spacing w:val="3"/>
          <w:position w:val="13"/>
          <w:sz w:val="24"/>
          <w:szCs w:val="24"/>
          <w:highlight w:val="none"/>
        </w:rPr>
        <w:fldChar w:fldCharType="end"/>
      </w:r>
      <w:r>
        <w:rPr>
          <w:rFonts w:hint="eastAsia" w:ascii="宋体" w:hAnsi="宋体" w:eastAsia="宋体" w:cs="宋体"/>
          <w:color w:val="auto"/>
          <w:spacing w:val="3"/>
          <w:position w:val="13"/>
          <w:sz w:val="24"/>
          <w:szCs w:val="24"/>
          <w:highlight w:val="none"/>
        </w:rPr>
        <w:t xml:space="preserve"> 设计人：</w:t>
      </w:r>
    </w:p>
    <w:p w14:paraId="6A7D03E4">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w:t>
      </w:r>
    </w:p>
    <w:p w14:paraId="0CC08F3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资质类别和等级</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4967597C">
      <w:pPr>
        <w:keepNext w:val="0"/>
        <w:keepLines w:val="0"/>
        <w:pageBreakBefore w:val="0"/>
        <w:widowControl/>
        <w:kinsoku w:val="0"/>
        <w:wordWrap/>
        <w:overflowPunct/>
        <w:topLinePunct w:val="0"/>
        <w:autoSpaceDE w:val="0"/>
        <w:autoSpaceDN w:val="0"/>
        <w:bidi w:val="0"/>
        <w:adjustRightInd w:val="0"/>
        <w:snapToGrid w:val="0"/>
        <w:spacing w:before="1"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联系电话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26C45E3F">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4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295CCF3C">
      <w:pPr>
        <w:keepNext w:val="0"/>
        <w:keepLines w:val="0"/>
        <w:pageBreakBefore w:val="0"/>
        <w:widowControl/>
        <w:kinsoku w:val="0"/>
        <w:wordWrap/>
        <w:overflowPunct/>
        <w:topLinePunct w:val="0"/>
        <w:autoSpaceDE w:val="0"/>
        <w:autoSpaceDN w:val="0"/>
        <w:bidi w:val="0"/>
        <w:adjustRightInd w:val="0"/>
        <w:snapToGrid w:val="0"/>
        <w:spacing w:before="1"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通信地址：</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6F61957F">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1.1.3</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3"/>
          <w:sz w:val="24"/>
          <w:szCs w:val="24"/>
          <w:highlight w:val="none"/>
        </w:rPr>
        <w:t>工程和设备</w:t>
      </w:r>
    </w:p>
    <w:p w14:paraId="7616D0BA">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8"/>
          <w:sz w:val="24"/>
          <w:szCs w:val="24"/>
          <w:highlight w:val="none"/>
        </w:rPr>
        <w:t>1.1.3.7</w:t>
      </w:r>
      <w:r>
        <w:rPr>
          <w:rFonts w:hint="eastAsia" w:ascii="宋体" w:hAnsi="宋体" w:eastAsia="宋体" w:cs="宋体"/>
          <w:color w:val="auto"/>
          <w:spacing w:val="8"/>
          <w:sz w:val="24"/>
          <w:szCs w:val="24"/>
          <w:highlight w:val="none"/>
        </w:rPr>
        <w:fldChar w:fldCharType="end"/>
      </w:r>
      <w:r>
        <w:rPr>
          <w:rFonts w:hint="eastAsia" w:ascii="宋体" w:hAnsi="宋体" w:eastAsia="宋体" w:cs="宋体"/>
          <w:color w:val="auto"/>
          <w:spacing w:val="8"/>
          <w:sz w:val="24"/>
          <w:szCs w:val="24"/>
          <w:highlight w:val="none"/>
        </w:rPr>
        <w:t xml:space="preserve"> 作为施工现场组成部分的其他场所</w:t>
      </w:r>
      <w:r>
        <w:rPr>
          <w:rFonts w:hint="eastAsia" w:ascii="宋体" w:hAnsi="宋体" w:eastAsia="宋体" w:cs="宋体"/>
          <w:color w:val="auto"/>
          <w:spacing w:val="7"/>
          <w:sz w:val="24"/>
          <w:szCs w:val="24"/>
          <w:highlight w:val="none"/>
        </w:rPr>
        <w:t>包括：</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  /    </w:t>
      </w:r>
      <w:r>
        <w:rPr>
          <w:rFonts w:hint="eastAsia" w:ascii="宋体" w:hAnsi="宋体" w:eastAsia="宋体" w:cs="宋体"/>
          <w:color w:val="auto"/>
          <w:spacing w:val="7"/>
          <w:sz w:val="24"/>
          <w:szCs w:val="24"/>
          <w:highlight w:val="none"/>
        </w:rPr>
        <w:t>。</w:t>
      </w:r>
    </w:p>
    <w:p w14:paraId="5FB70EAE">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7"/>
          <w:sz w:val="24"/>
          <w:szCs w:val="24"/>
          <w:highlight w:val="none"/>
        </w:rPr>
        <w:t>1.1.3.9</w:t>
      </w:r>
      <w:r>
        <w:rPr>
          <w:rFonts w:hint="eastAsia" w:ascii="宋体" w:hAnsi="宋体" w:eastAsia="宋体" w:cs="宋体"/>
          <w:color w:val="auto"/>
          <w:spacing w:val="7"/>
          <w:sz w:val="24"/>
          <w:szCs w:val="24"/>
          <w:highlight w:val="none"/>
        </w:rPr>
        <w:fldChar w:fldCharType="end"/>
      </w:r>
      <w:r>
        <w:rPr>
          <w:rFonts w:hint="eastAsia" w:ascii="宋体" w:hAnsi="宋体" w:eastAsia="宋体" w:cs="宋体"/>
          <w:color w:val="auto"/>
          <w:spacing w:val="7"/>
          <w:sz w:val="24"/>
          <w:szCs w:val="24"/>
          <w:highlight w:val="none"/>
        </w:rPr>
        <w:t xml:space="preserve"> 永久占地包括：</w:t>
      </w:r>
      <w:r>
        <w:rPr>
          <w:rFonts w:hint="eastAsia" w:ascii="宋体" w:hAnsi="宋体" w:eastAsia="宋体" w:cs="宋体"/>
          <w:color w:val="auto"/>
          <w:spacing w:val="7"/>
          <w:sz w:val="24"/>
          <w:szCs w:val="24"/>
          <w:highlight w:val="none"/>
          <w:u w:val="single" w:color="auto"/>
        </w:rPr>
        <w:t xml:space="preserve">  为实施工程需永久占用的土地  </w:t>
      </w:r>
      <w:r>
        <w:rPr>
          <w:rFonts w:hint="eastAsia" w:ascii="宋体" w:hAnsi="宋体" w:eastAsia="宋体" w:cs="宋体"/>
          <w:color w:val="auto"/>
          <w:spacing w:val="7"/>
          <w:sz w:val="24"/>
          <w:szCs w:val="24"/>
          <w:highlight w:val="none"/>
        </w:rPr>
        <w:t>。</w:t>
      </w:r>
    </w:p>
    <w:p w14:paraId="681688CC">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"1.1.3.10"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7"/>
          <w:sz w:val="24"/>
          <w:szCs w:val="24"/>
          <w:highlight w:val="none"/>
        </w:rPr>
        <w:t>1.1.3.10</w:t>
      </w:r>
      <w:r>
        <w:rPr>
          <w:rFonts w:hint="eastAsia" w:ascii="宋体" w:hAnsi="宋体" w:eastAsia="宋体" w:cs="宋体"/>
          <w:color w:val="auto"/>
          <w:spacing w:val="7"/>
          <w:sz w:val="24"/>
          <w:szCs w:val="24"/>
          <w:highlight w:val="none"/>
        </w:rPr>
        <w:fldChar w:fldCharType="end"/>
      </w:r>
      <w:r>
        <w:rPr>
          <w:rFonts w:hint="eastAsia" w:ascii="宋体" w:hAnsi="宋体" w:eastAsia="宋体" w:cs="宋体"/>
          <w:color w:val="auto"/>
          <w:spacing w:val="7"/>
          <w:sz w:val="24"/>
          <w:szCs w:val="24"/>
          <w:highlight w:val="none"/>
        </w:rPr>
        <w:t xml:space="preserve"> 临时占地包括：</w:t>
      </w:r>
      <w:r>
        <w:rPr>
          <w:rFonts w:hint="eastAsia" w:ascii="宋体" w:hAnsi="宋体" w:eastAsia="宋体" w:cs="宋体"/>
          <w:color w:val="auto"/>
          <w:spacing w:val="7"/>
          <w:sz w:val="24"/>
          <w:szCs w:val="24"/>
          <w:highlight w:val="none"/>
          <w:u w:val="single" w:color="auto"/>
        </w:rPr>
        <w:t xml:space="preserve"> 为实施工程需临时占用的土地 </w:t>
      </w:r>
      <w:r>
        <w:rPr>
          <w:rFonts w:hint="eastAsia" w:ascii="宋体" w:hAnsi="宋体" w:eastAsia="宋体" w:cs="宋体"/>
          <w:color w:val="auto"/>
          <w:spacing w:val="7"/>
          <w:sz w:val="24"/>
          <w:szCs w:val="24"/>
          <w:highlight w:val="none"/>
        </w:rPr>
        <w:t>。</w:t>
      </w:r>
    </w:p>
    <w:p w14:paraId="57D90C9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1.3</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法律</w:t>
      </w:r>
    </w:p>
    <w:p w14:paraId="6AFDA21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适用于合同的其他规范性文件：</w:t>
      </w:r>
      <w:r>
        <w:rPr>
          <w:color w:val="auto"/>
          <w:spacing w:val="2"/>
          <w:sz w:val="24"/>
          <w:szCs w:val="24"/>
          <w:highlight w:val="none"/>
          <w:u w:val="single" w:color="auto"/>
        </w:rPr>
        <w:t>现行的国家法律和行政法规，工程所在地政府的有</w:t>
      </w:r>
      <w:r>
        <w:rPr>
          <w:color w:val="auto"/>
          <w:spacing w:val="8"/>
          <w:sz w:val="24"/>
          <w:szCs w:val="24"/>
          <w:highlight w:val="none"/>
        </w:rPr>
        <w:t xml:space="preserve"> </w:t>
      </w:r>
      <w:r>
        <w:rPr>
          <w:color w:val="auto"/>
          <w:spacing w:val="-2"/>
          <w:sz w:val="24"/>
          <w:szCs w:val="24"/>
          <w:highlight w:val="none"/>
          <w:u w:val="single" w:color="auto"/>
        </w:rPr>
        <w:t>关法律和法规</w:t>
      </w:r>
      <w:r>
        <w:rPr>
          <w:rFonts w:hint="eastAsia" w:ascii="宋体" w:hAnsi="宋体" w:eastAsia="宋体" w:cs="宋体"/>
          <w:color w:val="auto"/>
          <w:spacing w:val="9"/>
          <w:sz w:val="24"/>
          <w:szCs w:val="24"/>
          <w:highlight w:val="none"/>
        </w:rPr>
        <w:t>。</w:t>
      </w:r>
    </w:p>
    <w:p w14:paraId="179DD72F">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1.4</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标准和规范</w:t>
      </w:r>
    </w:p>
    <w:p w14:paraId="517DF7C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1.4.1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8"/>
          <w:sz w:val="24"/>
          <w:szCs w:val="24"/>
          <w:highlight w:val="none"/>
        </w:rPr>
        <w:t>适用于工程的标准规范包括：</w:t>
      </w:r>
      <w:r>
        <w:rPr>
          <w:rFonts w:hint="eastAsia" w:ascii="宋体" w:hAnsi="宋体" w:eastAsia="宋体" w:cs="宋体"/>
          <w:color w:val="auto"/>
          <w:spacing w:val="8"/>
          <w:sz w:val="24"/>
          <w:szCs w:val="24"/>
          <w:highlight w:val="none"/>
          <w:u w:val="single" w:color="auto"/>
        </w:rPr>
        <w:t>现行国家、地方、部门有关标准规</w:t>
      </w:r>
      <w:r>
        <w:rPr>
          <w:rFonts w:hint="eastAsia" w:ascii="宋体" w:hAnsi="宋体" w:eastAsia="宋体" w:cs="宋体"/>
          <w:color w:val="auto"/>
          <w:spacing w:val="7"/>
          <w:sz w:val="24"/>
          <w:szCs w:val="24"/>
          <w:highlight w:val="none"/>
          <w:u w:val="single" w:color="auto"/>
        </w:rPr>
        <w:t>范</w:t>
      </w:r>
      <w:r>
        <w:rPr>
          <w:rFonts w:hint="eastAsia" w:ascii="宋体" w:hAnsi="宋体" w:eastAsia="宋体" w:cs="宋体"/>
          <w:color w:val="auto"/>
          <w:spacing w:val="7"/>
          <w:sz w:val="24"/>
          <w:szCs w:val="24"/>
          <w:highlight w:val="none"/>
        </w:rPr>
        <w:t>。</w:t>
      </w:r>
    </w:p>
    <w:p w14:paraId="62B756E6">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right="678" w:rightChars="0" w:firstLine="12"/>
        <w:textAlignment w:val="baseline"/>
        <w:rPr>
          <w:rFonts w:hint="eastAsia" w:ascii="宋体" w:hAnsi="宋体" w:eastAsia="宋体" w:cs="宋体"/>
          <w:color w:val="auto"/>
          <w:spacing w:val="12"/>
          <w:sz w:val="24"/>
          <w:szCs w:val="24"/>
          <w:highlight w:val="none"/>
        </w:rPr>
      </w:pPr>
      <w:r>
        <w:rPr>
          <w:rFonts w:hint="eastAsia" w:ascii="宋体" w:hAnsi="宋体" w:eastAsia="宋体" w:cs="宋体"/>
          <w:color w:val="auto"/>
          <w:spacing w:val="5"/>
          <w:sz w:val="24"/>
          <w:szCs w:val="24"/>
          <w:highlight w:val="none"/>
        </w:rPr>
        <w:t>1.4.2 发包人提供国外标准、规范的名称：</w:t>
      </w:r>
      <w:r>
        <w:rPr>
          <w:rFonts w:hint="eastAsia" w:ascii="宋体" w:hAnsi="宋体" w:eastAsia="宋体" w:cs="宋体"/>
          <w:color w:val="auto"/>
          <w:spacing w:val="5"/>
          <w:sz w:val="24"/>
          <w:szCs w:val="24"/>
          <w:highlight w:val="none"/>
          <w:u w:val="single" w:color="auto"/>
        </w:rPr>
        <w:t xml:space="preserve"> 无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12"/>
          <w:sz w:val="24"/>
          <w:szCs w:val="24"/>
          <w:highlight w:val="none"/>
        </w:rPr>
        <w:t xml:space="preserve"> </w:t>
      </w:r>
    </w:p>
    <w:p w14:paraId="0FAC5CAF">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right="678" w:rightChars="0" w:firstLine="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发包人提供国外标准、规范的份数：</w:t>
      </w:r>
      <w:r>
        <w:rPr>
          <w:rFonts w:hint="eastAsia" w:ascii="宋体" w:hAnsi="宋体" w:eastAsia="宋体" w:cs="宋体"/>
          <w:color w:val="auto"/>
          <w:spacing w:val="8"/>
          <w:sz w:val="24"/>
          <w:szCs w:val="24"/>
          <w:highlight w:val="none"/>
          <w:u w:val="single" w:color="auto"/>
        </w:rPr>
        <w:t xml:space="preserve">  无 </w:t>
      </w:r>
      <w:r>
        <w:rPr>
          <w:rFonts w:hint="eastAsia" w:ascii="宋体" w:hAnsi="宋体" w:eastAsia="宋体" w:cs="宋体"/>
          <w:color w:val="auto"/>
          <w:spacing w:val="8"/>
          <w:sz w:val="24"/>
          <w:szCs w:val="24"/>
          <w:highlight w:val="none"/>
        </w:rPr>
        <w:t>；</w:t>
      </w:r>
    </w:p>
    <w:p w14:paraId="6F3B287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发包人提供国外标准、规范的名称：</w:t>
      </w:r>
      <w:r>
        <w:rPr>
          <w:rFonts w:hint="eastAsia" w:ascii="宋体" w:hAnsi="宋体" w:eastAsia="宋体" w:cs="宋体"/>
          <w:color w:val="auto"/>
          <w:spacing w:val="8"/>
          <w:sz w:val="24"/>
          <w:szCs w:val="24"/>
          <w:highlight w:val="none"/>
          <w:u w:val="single" w:color="auto"/>
        </w:rPr>
        <w:t xml:space="preserve"> 无 </w:t>
      </w:r>
      <w:r>
        <w:rPr>
          <w:rFonts w:hint="eastAsia" w:ascii="宋体" w:hAnsi="宋体" w:eastAsia="宋体" w:cs="宋体"/>
          <w:color w:val="auto"/>
          <w:spacing w:val="8"/>
          <w:sz w:val="24"/>
          <w:szCs w:val="24"/>
          <w:highlight w:val="none"/>
        </w:rPr>
        <w:t>。</w:t>
      </w:r>
    </w:p>
    <w:p w14:paraId="0535463E">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1.4.3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发包人对工程的技术标准和功能要求的特殊要求：</w:t>
      </w:r>
      <w:r>
        <w:rPr>
          <w:rFonts w:hint="eastAsia" w:ascii="宋体" w:hAnsi="宋体" w:eastAsia="宋体" w:cs="宋体"/>
          <w:color w:val="auto"/>
          <w:spacing w:val="7"/>
          <w:sz w:val="24"/>
          <w:szCs w:val="24"/>
          <w:highlight w:val="none"/>
          <w:u w:val="single"/>
          <w:lang w:val="en-US" w:eastAsia="zh-CN"/>
        </w:rPr>
        <w:t>双方另行确定</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54247FEC">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1.5</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合同文件的优先顺序</w:t>
      </w:r>
    </w:p>
    <w:p w14:paraId="3BFE57A1">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position w:val="13"/>
          <w:sz w:val="24"/>
          <w:szCs w:val="24"/>
          <w:highlight w:val="none"/>
        </w:rPr>
        <w:t>合同文件组成及优先顺序为：</w:t>
      </w:r>
    </w:p>
    <w:p w14:paraId="5E49266B">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（1）合同协议书；</w:t>
      </w:r>
    </w:p>
    <w:p w14:paraId="383B7CCD">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（2）中标通知书</w:t>
      </w:r>
      <w:r>
        <w:rPr>
          <w:rFonts w:hint="eastAsia" w:ascii="宋体" w:hAnsi="宋体" w:eastAsia="宋体" w:cs="宋体"/>
          <w:color w:val="auto"/>
          <w:spacing w:val="4"/>
          <w:sz w:val="24"/>
          <w:szCs w:val="24"/>
          <w:highlight w:val="none"/>
        </w:rPr>
        <w:t>；</w:t>
      </w:r>
    </w:p>
    <w:p w14:paraId="3A6E0519">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position w:val="13"/>
          <w:sz w:val="24"/>
          <w:szCs w:val="24"/>
          <w:highlight w:val="none"/>
        </w:rPr>
        <w:t>（3）投标函及其附录</w:t>
      </w:r>
      <w:r>
        <w:rPr>
          <w:rFonts w:hint="eastAsia" w:ascii="宋体" w:hAnsi="宋体" w:eastAsia="宋体" w:cs="宋体"/>
          <w:color w:val="auto"/>
          <w:position w:val="13"/>
          <w:sz w:val="24"/>
          <w:szCs w:val="24"/>
          <w:highlight w:val="none"/>
        </w:rPr>
        <w:t>；</w:t>
      </w:r>
    </w:p>
    <w:p w14:paraId="6B582F87">
      <w:pPr>
        <w:keepNext w:val="0"/>
        <w:keepLines w:val="0"/>
        <w:pageBreakBefore w:val="0"/>
        <w:widowControl/>
        <w:kinsoku w:val="0"/>
        <w:wordWrap/>
        <w:overflowPunct/>
        <w:topLinePunct w:val="0"/>
        <w:autoSpaceDE w:val="0"/>
        <w:autoSpaceDN w:val="0"/>
        <w:bidi w:val="0"/>
        <w:adjustRightInd w:val="0"/>
        <w:snapToGrid w:val="0"/>
        <w:spacing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（4）专用合同条款及其附件；</w:t>
      </w:r>
    </w:p>
    <w:p w14:paraId="2C75BDF6">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（5）通用合同条款；</w:t>
      </w:r>
    </w:p>
    <w:p w14:paraId="47B0AD8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（6）技术标准和要求 ；</w:t>
      </w:r>
    </w:p>
    <w:p w14:paraId="507A2AEA">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（7）图纸</w:t>
      </w:r>
      <w:r>
        <w:rPr>
          <w:rFonts w:hint="eastAsia" w:ascii="宋体" w:hAnsi="宋体" w:eastAsia="宋体" w:cs="宋体"/>
          <w:color w:val="auto"/>
          <w:sz w:val="24"/>
          <w:szCs w:val="24"/>
          <w:highlight w:val="none"/>
        </w:rPr>
        <w:t>；</w:t>
      </w:r>
    </w:p>
    <w:p w14:paraId="01F531C7">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（8）已标价工程量清单 ；</w:t>
      </w:r>
    </w:p>
    <w:p w14:paraId="4ABCB60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1"/>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9"/>
          <w:sz w:val="24"/>
          <w:szCs w:val="24"/>
          <w:highlight w:val="none"/>
        </w:rPr>
        <w:t>（9）其他合同文件</w:t>
      </w:r>
      <w:r>
        <w:rPr>
          <w:rFonts w:hint="eastAsia" w:ascii="宋体" w:hAnsi="宋体" w:eastAsia="宋体" w:cs="宋体"/>
          <w:color w:val="auto"/>
          <w:spacing w:val="3"/>
          <w:sz w:val="24"/>
          <w:szCs w:val="24"/>
          <w:highlight w:val="none"/>
        </w:rPr>
        <w:t>；</w:t>
      </w:r>
    </w:p>
    <w:p w14:paraId="7D87595B">
      <w:pPr>
        <w:pStyle w:val="4"/>
        <w:keepNext w:val="0"/>
        <w:keepLines w:val="0"/>
        <w:pageBreakBefore w:val="0"/>
        <w:widowControl/>
        <w:kinsoku w:val="0"/>
        <w:wordWrap/>
        <w:overflowPunct/>
        <w:topLinePunct w:val="0"/>
        <w:autoSpaceDE w:val="0"/>
        <w:autoSpaceDN w:val="0"/>
        <w:bidi w:val="0"/>
        <w:adjustRightInd w:val="0"/>
        <w:snapToGrid w:val="0"/>
        <w:spacing w:before="158" w:line="480" w:lineRule="exact"/>
        <w:ind w:left="57" w:right="11" w:firstLine="408"/>
        <w:jc w:val="both"/>
        <w:textAlignment w:val="baseline"/>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pPr>
      <w:r>
        <w:rPr>
          <w:rFonts w:hint="eastAsia" w:asciiTheme="minorEastAsia" w:hAnsiTheme="minorEastAsia" w:eastAsiaTheme="minorEastAsia" w:cstheme="minorEastAsia"/>
          <w:color w:val="auto"/>
          <w:spacing w:val="1"/>
          <w:sz w:val="24"/>
          <w:szCs w:val="24"/>
          <w:highlight w:val="none"/>
        </w:rPr>
        <w:t>上述各项合同文件包括合同当事人就该项合同文件所作</w:t>
      </w:r>
      <w:r>
        <w:rPr>
          <w:rFonts w:hint="eastAsia" w:asciiTheme="minorEastAsia" w:hAnsiTheme="minorEastAsia" w:eastAsiaTheme="minorEastAsia" w:cstheme="minorEastAsia"/>
          <w:color w:val="auto"/>
          <w:sz w:val="24"/>
          <w:szCs w:val="24"/>
          <w:highlight w:val="none"/>
        </w:rPr>
        <w:t xml:space="preserve">出的补充和修改，属于同一类内容 </w:t>
      </w:r>
      <w:r>
        <w:rPr>
          <w:rFonts w:hint="eastAsia" w:asciiTheme="minorEastAsia" w:hAnsiTheme="minorEastAsia" w:eastAsiaTheme="minorEastAsia" w:cstheme="minorEastAsia"/>
          <w:color w:val="auto"/>
          <w:spacing w:val="9"/>
          <w:sz w:val="24"/>
          <w:szCs w:val="24"/>
          <w:highlight w:val="none"/>
        </w:rPr>
        <w:t>的文件</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，应以最新签署的为准(违反招标文件实质性内容的约定除外)。专用合同条款及其</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附 件须经合同当事人签字或盖章。</w:t>
      </w:r>
    </w:p>
    <w:p w14:paraId="002ECED4">
      <w:pPr>
        <w:pStyle w:val="4"/>
        <w:ind w:firstLine="496" w:firstLineChars="200"/>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pPr>
    </w:p>
    <w:p w14:paraId="36E3F836">
      <w:pPr>
        <w:pStyle w:val="4"/>
        <w:ind w:firstLine="496" w:firstLineChars="200"/>
        <w:rPr>
          <w:rFonts w:hint="eastAsia"/>
          <w:color w:val="auto"/>
          <w:highlight w:val="none"/>
        </w:rPr>
      </w:pP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1.6</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图纸和承包人文件</w:t>
      </w:r>
    </w:p>
    <w:p w14:paraId="2F334F2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2"/>
          <w:sz w:val="24"/>
          <w:szCs w:val="24"/>
          <w:highlight w:val="none"/>
        </w:rPr>
        <w:t>图纸的提供</w:t>
      </w:r>
    </w:p>
    <w:p w14:paraId="0B6F8EE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pacing w:val="7"/>
          <w:sz w:val="24"/>
          <w:szCs w:val="24"/>
          <w:highlight w:val="none"/>
        </w:rPr>
      </w:pPr>
      <w:r>
        <w:rPr>
          <w:rFonts w:hint="eastAsia" w:ascii="宋体" w:hAnsi="宋体" w:eastAsia="宋体" w:cs="宋体"/>
          <w:color w:val="auto"/>
          <w:spacing w:val="8"/>
          <w:sz w:val="24"/>
          <w:szCs w:val="24"/>
          <w:highlight w:val="none"/>
        </w:rPr>
        <w:t>发包人向承包人提供图纸的期限：</w:t>
      </w:r>
      <w:r>
        <w:rPr>
          <w:rFonts w:hint="eastAsia" w:ascii="宋体" w:hAnsi="宋体" w:eastAsia="宋体" w:cs="宋体"/>
          <w:color w:val="auto"/>
          <w:spacing w:val="8"/>
          <w:sz w:val="24"/>
          <w:szCs w:val="24"/>
          <w:highlight w:val="none"/>
          <w:u w:val="single" w:color="auto"/>
        </w:rPr>
        <w:t>合同签订生效后</w:t>
      </w:r>
      <w:r>
        <w:rPr>
          <w:rFonts w:hint="eastAsia" w:ascii="宋体" w:hAnsi="宋体" w:eastAsia="宋体" w:cs="宋体"/>
          <w:color w:val="auto"/>
          <w:spacing w:val="-34"/>
          <w:sz w:val="24"/>
          <w:szCs w:val="24"/>
          <w:highlight w:val="none"/>
          <w:u w:val="single" w:color="auto"/>
          <w:lang w:val="en-US" w:eastAsia="zh-CN"/>
        </w:rPr>
        <w:t>5</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天内</w:t>
      </w:r>
      <w:r>
        <w:rPr>
          <w:rFonts w:hint="eastAsia" w:ascii="宋体" w:hAnsi="宋体" w:eastAsia="宋体" w:cs="宋体"/>
          <w:color w:val="auto"/>
          <w:spacing w:val="7"/>
          <w:sz w:val="24"/>
          <w:szCs w:val="24"/>
          <w:highlight w:val="none"/>
        </w:rPr>
        <w:t>；</w:t>
      </w:r>
    </w:p>
    <w:p w14:paraId="32697D4A">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发包人向承包人提供图纸的数量：</w:t>
      </w:r>
      <w:r>
        <w:rPr>
          <w:color w:val="auto"/>
          <w:spacing w:val="-2"/>
          <w:sz w:val="24"/>
          <w:szCs w:val="24"/>
          <w:highlight w:val="none"/>
          <w:u w:val="single" w:color="auto"/>
        </w:rPr>
        <w:t>在合同签订生效后</w:t>
      </w:r>
      <w:r>
        <w:rPr>
          <w:color w:val="auto"/>
          <w:spacing w:val="-23"/>
          <w:sz w:val="24"/>
          <w:szCs w:val="24"/>
          <w:highlight w:val="none"/>
          <w:u w:val="single" w:color="auto"/>
        </w:rPr>
        <w:t xml:space="preserve"> </w:t>
      </w:r>
      <w:r>
        <w:rPr>
          <w:color w:val="auto"/>
          <w:spacing w:val="-2"/>
          <w:sz w:val="24"/>
          <w:szCs w:val="24"/>
          <w:highlight w:val="none"/>
          <w:u w:val="single" w:color="auto"/>
        </w:rPr>
        <w:t>5</w:t>
      </w:r>
      <w:r>
        <w:rPr>
          <w:color w:val="auto"/>
          <w:spacing w:val="-42"/>
          <w:sz w:val="24"/>
          <w:szCs w:val="24"/>
          <w:highlight w:val="none"/>
          <w:u w:val="single" w:color="auto"/>
        </w:rPr>
        <w:t xml:space="preserve"> </w:t>
      </w:r>
      <w:r>
        <w:rPr>
          <w:color w:val="auto"/>
          <w:spacing w:val="-2"/>
          <w:sz w:val="24"/>
          <w:szCs w:val="24"/>
          <w:highlight w:val="none"/>
          <w:u w:val="single" w:color="auto"/>
        </w:rPr>
        <w:t>天内向承包人免费提供施工图</w:t>
      </w:r>
      <w:r>
        <w:rPr>
          <w:color w:val="auto"/>
          <w:sz w:val="24"/>
          <w:szCs w:val="24"/>
          <w:highlight w:val="none"/>
        </w:rPr>
        <w:t xml:space="preserve"> </w:t>
      </w:r>
      <w:r>
        <w:rPr>
          <w:color w:val="auto"/>
          <w:spacing w:val="-1"/>
          <w:sz w:val="24"/>
          <w:szCs w:val="24"/>
          <w:highlight w:val="none"/>
          <w:u w:val="single" w:color="auto"/>
        </w:rPr>
        <w:t>和其他技术资料 3 套，承包人需要增加图纸套数的，发包人应代为复印，复印费用承包人</w:t>
      </w:r>
      <w:r>
        <w:rPr>
          <w:rFonts w:hint="eastAsia" w:eastAsia="宋体"/>
          <w:color w:val="auto"/>
          <w:spacing w:val="12"/>
          <w:sz w:val="24"/>
          <w:szCs w:val="24"/>
          <w:highlight w:val="none"/>
          <w:u w:val="single"/>
          <w:lang w:val="en-US" w:eastAsia="zh-CN"/>
        </w:rPr>
        <w:t>承担</w:t>
      </w:r>
      <w:r>
        <w:rPr>
          <w:rFonts w:hint="eastAsia" w:ascii="宋体" w:hAnsi="宋体" w:eastAsia="宋体" w:cs="宋体"/>
          <w:color w:val="auto"/>
          <w:spacing w:val="13"/>
          <w:sz w:val="24"/>
          <w:szCs w:val="24"/>
          <w:highlight w:val="none"/>
          <w:u w:val="single" w:color="auto"/>
        </w:rPr>
        <w:t>。</w:t>
      </w:r>
    </w:p>
    <w:p w14:paraId="42026C4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发包人向承包人提供图纸的内容：</w:t>
      </w:r>
      <w:r>
        <w:rPr>
          <w:color w:val="auto"/>
          <w:sz w:val="24"/>
          <w:szCs w:val="24"/>
          <w:highlight w:val="none"/>
          <w:u w:val="single" w:color="auto"/>
        </w:rPr>
        <w:t>施工图以外的</w:t>
      </w:r>
      <w:r>
        <w:rPr>
          <w:color w:val="auto"/>
          <w:spacing w:val="-1"/>
          <w:sz w:val="24"/>
          <w:szCs w:val="24"/>
          <w:highlight w:val="none"/>
          <w:u w:val="single" w:color="auto"/>
        </w:rPr>
        <w:t>大样图、加工图、标准图等</w:t>
      </w:r>
      <w:r>
        <w:rPr>
          <w:rFonts w:hint="eastAsia" w:ascii="宋体" w:hAnsi="宋体" w:eastAsia="宋体" w:cs="宋体"/>
          <w:color w:val="auto"/>
          <w:spacing w:val="9"/>
          <w:sz w:val="24"/>
          <w:szCs w:val="24"/>
          <w:highlight w:val="none"/>
        </w:rPr>
        <w:t>。</w:t>
      </w:r>
    </w:p>
    <w:p w14:paraId="2D28224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1.6.4 承包人文件</w:t>
      </w:r>
    </w:p>
    <w:p w14:paraId="63FAC55E">
      <w:pPr>
        <w:keepNext w:val="0"/>
        <w:keepLines w:val="0"/>
        <w:pageBreakBefore w:val="0"/>
        <w:widowControl/>
        <w:kinsoku w:val="0"/>
        <w:wordWrap/>
        <w:overflowPunct/>
        <w:topLinePunct w:val="0"/>
        <w:autoSpaceDE w:val="0"/>
        <w:autoSpaceDN w:val="0"/>
        <w:bidi w:val="0"/>
        <w:adjustRightInd w:val="0"/>
        <w:snapToGrid w:val="0"/>
        <w:spacing w:before="135" w:line="480" w:lineRule="exact"/>
        <w:ind w:right="64" w:firstLine="508"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需要由承包人提供的文件，包括：</w:t>
      </w:r>
      <w:r>
        <w:rPr>
          <w:rFonts w:hint="eastAsia" w:ascii="宋体" w:hAnsi="宋体" w:eastAsia="宋体" w:cs="宋体"/>
          <w:color w:val="auto"/>
          <w:spacing w:val="7"/>
          <w:sz w:val="24"/>
          <w:szCs w:val="24"/>
          <w:highlight w:val="none"/>
          <w:u w:val="single" w:color="auto"/>
          <w:lang w:val="en-US" w:eastAsia="zh-CN"/>
        </w:rPr>
        <w:t xml:space="preserve">   /    </w:t>
      </w:r>
      <w:r>
        <w:rPr>
          <w:rFonts w:hint="eastAsia" w:ascii="宋体" w:hAnsi="宋体" w:eastAsia="宋体" w:cs="宋体"/>
          <w:color w:val="auto"/>
          <w:spacing w:val="10"/>
          <w:sz w:val="24"/>
          <w:szCs w:val="24"/>
          <w:highlight w:val="none"/>
          <w:u w:val="single" w:color="auto"/>
          <w:lang w:eastAsia="zh-CN"/>
        </w:rPr>
        <w:t>。</w:t>
      </w:r>
    </w:p>
    <w:p w14:paraId="6014C42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承包人提供的文件的期限为：</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1D59374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承包人提供的文件的数量为：</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29DE32B5">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承包人提供的文件的形式为：</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3577C48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发包人审批承包人文件的期限：</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w:t>
      </w:r>
    </w:p>
    <w:p w14:paraId="7B5E5240">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1.6.5 现场图纸准备</w:t>
      </w:r>
    </w:p>
    <w:p w14:paraId="1FFD2B69">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关于现场图纸准备的约定：</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rPr>
        <w:t>。</w:t>
      </w:r>
    </w:p>
    <w:p w14:paraId="04AE34AC">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1.7</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联络</w:t>
      </w:r>
    </w:p>
    <w:p w14:paraId="1966796D">
      <w:pPr>
        <w:keepNext w:val="0"/>
        <w:keepLines w:val="0"/>
        <w:pageBreakBefore w:val="0"/>
        <w:widowControl/>
        <w:kinsoku w:val="0"/>
        <w:wordWrap/>
        <w:overflowPunct/>
        <w:topLinePunct w:val="0"/>
        <w:autoSpaceDE w:val="0"/>
        <w:autoSpaceDN w:val="0"/>
        <w:bidi w:val="0"/>
        <w:adjustRightInd w:val="0"/>
        <w:snapToGrid w:val="0"/>
        <w:spacing w:before="130" w:line="480" w:lineRule="exact"/>
        <w:ind w:firstLine="50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7"/>
          <w:sz w:val="24"/>
          <w:szCs w:val="24"/>
          <w:highlight w:val="none"/>
        </w:rPr>
        <w:t>发包人和承包人应当在</w:t>
      </w:r>
      <w:r>
        <w:rPr>
          <w:rFonts w:hint="eastAsia" w:ascii="宋体" w:hAnsi="宋体" w:eastAsia="宋体" w:cs="宋体"/>
          <w:color w:val="auto"/>
          <w:spacing w:val="7"/>
          <w:sz w:val="24"/>
          <w:szCs w:val="24"/>
          <w:highlight w:val="none"/>
          <w:u w:val="single" w:color="auto"/>
        </w:rPr>
        <w:t xml:space="preserve"> 7 </w:t>
      </w:r>
      <w:r>
        <w:rPr>
          <w:rFonts w:hint="eastAsia" w:ascii="宋体" w:hAnsi="宋体" w:eastAsia="宋体" w:cs="宋体"/>
          <w:color w:val="auto"/>
          <w:spacing w:val="7"/>
          <w:sz w:val="24"/>
          <w:szCs w:val="24"/>
          <w:highlight w:val="none"/>
        </w:rPr>
        <w:t>天内将与合</w:t>
      </w:r>
      <w:r>
        <w:rPr>
          <w:rFonts w:hint="eastAsia" w:ascii="宋体" w:hAnsi="宋体" w:eastAsia="宋体" w:cs="宋体"/>
          <w:color w:val="auto"/>
          <w:spacing w:val="6"/>
          <w:sz w:val="24"/>
          <w:szCs w:val="24"/>
          <w:highlight w:val="none"/>
        </w:rPr>
        <w:t>同有关的通知、批准、证明、证书、指示、指令、要求、</w:t>
      </w:r>
      <w:r>
        <w:rPr>
          <w:rFonts w:hint="eastAsia" w:ascii="宋体" w:hAnsi="宋体" w:eastAsia="宋体" w:cs="宋体"/>
          <w:color w:val="auto"/>
          <w:spacing w:val="9"/>
          <w:sz w:val="24"/>
          <w:szCs w:val="24"/>
          <w:highlight w:val="none"/>
        </w:rPr>
        <w:t>请求、同意、意见、确定和决定等书面函件送达对方当事人。</w:t>
      </w:r>
    </w:p>
    <w:p w14:paraId="755C3B7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1.7.2</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发包人接收文件的地点</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施工现场项目部</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10"/>
          <w:sz w:val="24"/>
          <w:szCs w:val="24"/>
          <w:highlight w:val="none"/>
        </w:rPr>
        <w:t>；</w:t>
      </w:r>
    </w:p>
    <w:p w14:paraId="0ECE827F">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发包人指定的接收人为：</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rPr>
        <w:t>。</w:t>
      </w:r>
    </w:p>
    <w:p w14:paraId="26AC8AC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承包人接收文件的地点：</w:t>
      </w:r>
      <w:r>
        <w:rPr>
          <w:rFonts w:hint="eastAsia" w:ascii="宋体" w:hAnsi="宋体" w:eastAsia="宋体" w:cs="宋体"/>
          <w:color w:val="auto"/>
          <w:spacing w:val="8"/>
          <w:sz w:val="24"/>
          <w:szCs w:val="24"/>
          <w:highlight w:val="none"/>
          <w:u w:val="single" w:color="auto"/>
        </w:rPr>
        <w:t xml:space="preserve"> 施工现场项目部 </w:t>
      </w:r>
      <w:r>
        <w:rPr>
          <w:rFonts w:hint="eastAsia" w:ascii="宋体" w:hAnsi="宋体" w:eastAsia="宋体" w:cs="宋体"/>
          <w:color w:val="auto"/>
          <w:spacing w:val="8"/>
          <w:sz w:val="24"/>
          <w:szCs w:val="24"/>
          <w:highlight w:val="none"/>
        </w:rPr>
        <w:t>；</w:t>
      </w:r>
    </w:p>
    <w:p w14:paraId="48029A81">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承包人指定的接收人为：</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rPr>
        <w:t>。</w:t>
      </w:r>
    </w:p>
    <w:p w14:paraId="24018D2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监理人接收文件的地点</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施工现场</w:t>
      </w:r>
      <w:r>
        <w:rPr>
          <w:rFonts w:hint="eastAsia" w:ascii="宋体" w:hAnsi="宋体" w:eastAsia="宋体" w:cs="宋体"/>
          <w:color w:val="auto"/>
          <w:spacing w:val="8"/>
          <w:sz w:val="24"/>
          <w:szCs w:val="24"/>
          <w:highlight w:val="none"/>
          <w:u w:val="single" w:color="auto"/>
          <w:lang w:val="en-US" w:eastAsia="zh-CN"/>
        </w:rPr>
        <w:t>监理</w:t>
      </w:r>
      <w:r>
        <w:rPr>
          <w:rFonts w:hint="eastAsia" w:ascii="宋体" w:hAnsi="宋体" w:eastAsia="宋体" w:cs="宋体"/>
          <w:color w:val="auto"/>
          <w:spacing w:val="8"/>
          <w:sz w:val="24"/>
          <w:szCs w:val="24"/>
          <w:highlight w:val="none"/>
          <w:u w:val="single" w:color="auto"/>
        </w:rPr>
        <w:t>部</w:t>
      </w:r>
      <w:r>
        <w:rPr>
          <w:rFonts w:hint="eastAsia" w:ascii="宋体" w:hAnsi="宋体" w:eastAsia="宋体"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10"/>
          <w:sz w:val="24"/>
          <w:szCs w:val="24"/>
          <w:highlight w:val="none"/>
        </w:rPr>
        <w:t>；</w:t>
      </w:r>
    </w:p>
    <w:p w14:paraId="3E7CA150">
      <w:pPr>
        <w:keepNext w:val="0"/>
        <w:keepLines w:val="0"/>
        <w:pageBreakBefore w:val="0"/>
        <w:widowControl/>
        <w:kinsoku w:val="0"/>
        <w:wordWrap/>
        <w:overflowPunct/>
        <w:topLinePunct w:val="0"/>
        <w:autoSpaceDE w:val="0"/>
        <w:autoSpaceDN w:val="0"/>
        <w:bidi w:val="0"/>
        <w:adjustRightInd w:val="0"/>
        <w:snapToGrid w:val="0"/>
        <w:spacing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监理人指定的接收人为：</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4CBF6AE1">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1.10</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交通运输</w:t>
      </w:r>
    </w:p>
    <w:p w14:paraId="517C93DB">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1.10.1</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
          <w:sz w:val="24"/>
          <w:szCs w:val="24"/>
          <w:highlight w:val="none"/>
        </w:rPr>
        <w:t>出入现场的权利</w:t>
      </w:r>
    </w:p>
    <w:p w14:paraId="74F4A8C2">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关于出入现场的权利的约定：</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5EFA357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1.10.3 场内交通</w:t>
      </w:r>
    </w:p>
    <w:p w14:paraId="76125508">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关于场外交通和场内交通的边界的约定：</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snapToGrid w:val="0"/>
          <w:color w:val="auto"/>
          <w:spacing w:val="9"/>
          <w:kern w:val="0"/>
          <w:sz w:val="24"/>
          <w:szCs w:val="24"/>
          <w:highlight w:val="none"/>
          <w:u w:val="single" w:color="auto"/>
          <w:lang w:val="en-US" w:eastAsia="en-US" w:bidi="ar-SA"/>
        </w:rPr>
        <w:t>场外交通和场内交通的边界以发包人用地 界址边界为准</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161667CB">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关于发包人向承包人免费提供满足工程施工需要的场内道路和交通设施</w:t>
      </w:r>
      <w:r>
        <w:rPr>
          <w:rFonts w:hint="eastAsia" w:ascii="宋体" w:hAnsi="宋体" w:eastAsia="宋体" w:cs="宋体"/>
          <w:color w:val="auto"/>
          <w:spacing w:val="9"/>
          <w:sz w:val="24"/>
          <w:szCs w:val="24"/>
          <w:highlight w:val="none"/>
        </w:rPr>
        <w:t>的约定：</w:t>
      </w:r>
      <w:r>
        <w:rPr>
          <w:rFonts w:hint="eastAsia" w:ascii="宋体" w:hAnsi="宋体" w:eastAsia="宋体" w:cs="宋体"/>
          <w:color w:val="auto"/>
          <w:spacing w:val="9"/>
          <w:sz w:val="24"/>
          <w:szCs w:val="24"/>
          <w:highlight w:val="none"/>
          <w:u w:val="single" w:color="auto"/>
          <w:lang w:val="en-US" w:eastAsia="zh-CN"/>
        </w:rPr>
        <w:t>/</w:t>
      </w:r>
      <w:r>
        <w:rPr>
          <w:rFonts w:hint="eastAsia" w:ascii="宋体" w:hAnsi="宋体" w:eastAsia="宋体" w:cs="宋体"/>
          <w:color w:val="auto"/>
          <w:spacing w:val="8"/>
          <w:sz w:val="24"/>
          <w:szCs w:val="24"/>
          <w:highlight w:val="none"/>
        </w:rPr>
        <w:t>。</w:t>
      </w:r>
    </w:p>
    <w:p w14:paraId="7A6E370D">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7"/>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1.10.4</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6"/>
          <w:sz w:val="24"/>
          <w:szCs w:val="24"/>
          <w:highlight w:val="none"/>
        </w:rPr>
        <w:t>超大件和超重件的运输</w:t>
      </w:r>
    </w:p>
    <w:p w14:paraId="0160560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运输超大件或超重件所需的道路和桥梁临时加固改造费用和其他有关费用由</w:t>
      </w:r>
      <w:r>
        <w:rPr>
          <w:rFonts w:hint="eastAsia" w:ascii="宋体" w:hAnsi="宋体" w:eastAsia="宋体" w:cs="宋体"/>
          <w:color w:val="auto"/>
          <w:spacing w:val="9"/>
          <w:sz w:val="24"/>
          <w:szCs w:val="24"/>
          <w:highlight w:val="none"/>
          <w:u w:val="single" w:color="auto"/>
        </w:rPr>
        <w:t>承包人</w:t>
      </w:r>
      <w:r>
        <w:rPr>
          <w:rFonts w:hint="eastAsia" w:ascii="宋体" w:hAnsi="宋体" w:eastAsia="宋体" w:cs="宋体"/>
          <w:color w:val="auto"/>
          <w:spacing w:val="9"/>
          <w:sz w:val="24"/>
          <w:szCs w:val="24"/>
          <w:highlight w:val="none"/>
        </w:rPr>
        <w:t>承担。</w:t>
      </w:r>
    </w:p>
    <w:p w14:paraId="0C639C30">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7"/>
        <w:textAlignment w:val="baseline"/>
        <w:outlineLvl w:val="0"/>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1.11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知识产权</w:t>
      </w:r>
    </w:p>
    <w:p w14:paraId="021A4B5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7"/>
        <w:textAlignment w:val="baseline"/>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76D4CD47">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关于发包人提供的上述文件的使用限制的要求：</w:t>
      </w:r>
      <w:r>
        <w:rPr>
          <w:rFonts w:hint="eastAsia" w:ascii="宋体" w:hAnsi="宋体" w:eastAsia="宋体" w:cs="宋体"/>
          <w:color w:val="auto"/>
          <w:spacing w:val="10"/>
          <w:sz w:val="24"/>
          <w:szCs w:val="24"/>
          <w:highlight w:val="none"/>
          <w:u w:val="single"/>
          <w:lang w:val="en-US" w:eastAsia="zh-CN"/>
        </w:rPr>
        <w:t xml:space="preserve">  </w:t>
      </w:r>
      <w:r>
        <w:rPr>
          <w:rFonts w:hint="eastAsia" w:ascii="宋体" w:hAnsi="宋体" w:eastAsia="宋体" w:cs="宋体"/>
          <w:color w:val="auto"/>
          <w:spacing w:val="10"/>
          <w:sz w:val="24"/>
          <w:szCs w:val="24"/>
          <w:highlight w:val="none"/>
          <w:u w:val="single" w:color="auto"/>
          <w:lang w:val="en-US" w:eastAsia="zh-CN"/>
        </w:rPr>
        <w:t>/</w:t>
      </w:r>
      <w:r>
        <w:rPr>
          <w:rFonts w:hint="eastAsia" w:ascii="宋体" w:hAnsi="宋体" w:eastAsia="宋体" w:cs="宋体"/>
          <w:color w:val="auto"/>
          <w:spacing w:val="8"/>
          <w:sz w:val="24"/>
          <w:szCs w:val="24"/>
          <w:highlight w:val="none"/>
          <w:u w:val="single" w:color="auto"/>
        </w:rPr>
        <w:t>。</w:t>
      </w:r>
    </w:p>
    <w:p w14:paraId="77C8087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rPr>
        <w:t>1.11.2 关于承包人为实施工程所编制文件的著作权的归属：</w:t>
      </w:r>
      <w:r>
        <w:rPr>
          <w:rFonts w:hint="eastAsia" w:ascii="宋体" w:hAnsi="宋体" w:eastAsia="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u w:val="single" w:color="auto"/>
          <w:lang w:val="en-US" w:eastAsia="zh-CN"/>
        </w:rPr>
        <w:t>/。</w:t>
      </w:r>
    </w:p>
    <w:p w14:paraId="1FDF42FF">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10"/>
          <w:sz w:val="24"/>
          <w:szCs w:val="24"/>
          <w:highlight w:val="none"/>
        </w:rPr>
        <w:t>关于承包人提供的上述文件的使用限制的要求：</w:t>
      </w:r>
      <w:r>
        <w:rPr>
          <w:rFonts w:hint="eastAsia" w:ascii="宋体" w:hAnsi="宋体" w:eastAsia="宋体" w:cs="宋体"/>
          <w:color w:val="auto"/>
          <w:spacing w:val="10"/>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rPr>
        <w:t>。</w:t>
      </w:r>
    </w:p>
    <w:p w14:paraId="2FCD225B">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1.11.4 承包人在施工过程中所采用的专利、专有技术、技术秘密的使用费</w:t>
      </w:r>
      <w:r>
        <w:rPr>
          <w:rFonts w:hint="eastAsia" w:ascii="宋体" w:hAnsi="宋体" w:eastAsia="宋体" w:cs="宋体"/>
          <w:color w:val="auto"/>
          <w:spacing w:val="3"/>
          <w:sz w:val="24"/>
          <w:szCs w:val="24"/>
          <w:highlight w:val="none"/>
        </w:rPr>
        <w:t>的承担方式：</w:t>
      </w:r>
      <w:r>
        <w:rPr>
          <w:rFonts w:hint="eastAsia" w:ascii="宋体" w:hAnsi="宋体" w:eastAsia="宋体" w:cs="宋体"/>
          <w:color w:val="auto"/>
          <w:spacing w:val="3"/>
          <w:sz w:val="24"/>
          <w:szCs w:val="24"/>
          <w:highlight w:val="none"/>
          <w:u w:val="single" w:color="auto"/>
          <w:lang w:val="en-US" w:eastAsia="zh-CN"/>
        </w:rPr>
        <w:t xml:space="preserve">  /  </w:t>
      </w:r>
      <w:r>
        <w:rPr>
          <w:rFonts w:hint="eastAsia" w:ascii="宋体" w:hAnsi="宋体" w:eastAsia="宋体" w:cs="宋体"/>
          <w:color w:val="auto"/>
          <w:spacing w:val="3"/>
          <w:sz w:val="24"/>
          <w:szCs w:val="24"/>
          <w:highlight w:val="none"/>
        </w:rPr>
        <w:t>。</w:t>
      </w:r>
    </w:p>
    <w:p w14:paraId="471E5BD2">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1.13</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6"/>
          <w:sz w:val="24"/>
          <w:szCs w:val="24"/>
          <w:highlight w:val="none"/>
        </w:rPr>
        <w:t>工程量清单错误的修正</w:t>
      </w:r>
    </w:p>
    <w:p w14:paraId="55BC041F">
      <w:pPr>
        <w:pStyle w:val="4"/>
        <w:keepNext w:val="0"/>
        <w:keepLines w:val="0"/>
        <w:pageBreakBefore w:val="0"/>
        <w:widowControl/>
        <w:kinsoku w:val="0"/>
        <w:wordWrap/>
        <w:overflowPunct/>
        <w:topLinePunct w:val="0"/>
        <w:autoSpaceDE w:val="0"/>
        <w:autoSpaceDN w:val="0"/>
        <w:bidi w:val="0"/>
        <w:adjustRightInd w:val="0"/>
        <w:snapToGrid w:val="0"/>
        <w:spacing w:before="97" w:line="480" w:lineRule="exact"/>
        <w:ind w:left="39" w:firstLine="476" w:firstLineChars="200"/>
        <w:textAlignment w:val="baseline"/>
        <w:outlineLvl w:val="1"/>
        <w:rPr>
          <w:color w:val="auto"/>
          <w:sz w:val="24"/>
          <w:szCs w:val="24"/>
          <w:highlight w:val="none"/>
        </w:rPr>
      </w:pPr>
      <w:r>
        <w:rPr>
          <w:color w:val="auto"/>
          <w:spacing w:val="-1"/>
          <w:sz w:val="24"/>
          <w:szCs w:val="24"/>
          <w:highlight w:val="none"/>
        </w:rPr>
        <w:t>出现工程量清单缺页或偏差时，是否调整合同价格：</w:t>
      </w:r>
      <w:r>
        <w:rPr>
          <w:color w:val="auto"/>
          <w:spacing w:val="-1"/>
          <w:sz w:val="24"/>
          <w:szCs w:val="24"/>
          <w:highlight w:val="none"/>
          <w:u w:val="single" w:color="auto"/>
        </w:rPr>
        <w:t xml:space="preserve">  是  </w:t>
      </w:r>
      <w:r>
        <w:rPr>
          <w:color w:val="auto"/>
          <w:spacing w:val="-1"/>
          <w:sz w:val="24"/>
          <w:szCs w:val="24"/>
          <w:highlight w:val="none"/>
        </w:rPr>
        <w:t xml:space="preserve">  。</w:t>
      </w:r>
    </w:p>
    <w:p w14:paraId="1894489D">
      <w:pPr>
        <w:pStyle w:val="4"/>
        <w:keepNext w:val="0"/>
        <w:keepLines w:val="0"/>
        <w:pageBreakBefore w:val="0"/>
        <w:widowControl/>
        <w:kinsoku w:val="0"/>
        <w:wordWrap/>
        <w:overflowPunct/>
        <w:topLinePunct w:val="0"/>
        <w:autoSpaceDE w:val="0"/>
        <w:autoSpaceDN w:val="0"/>
        <w:bidi w:val="0"/>
        <w:adjustRightInd w:val="0"/>
        <w:snapToGrid w:val="0"/>
        <w:spacing w:before="69" w:line="480" w:lineRule="exact"/>
        <w:ind w:left="474"/>
        <w:textAlignment w:val="baseline"/>
        <w:rPr>
          <w:color w:val="auto"/>
          <w:sz w:val="24"/>
          <w:szCs w:val="24"/>
          <w:highlight w:val="none"/>
        </w:rPr>
      </w:pPr>
      <w:r>
        <w:rPr>
          <w:color w:val="auto"/>
          <w:spacing w:val="-2"/>
          <w:sz w:val="24"/>
          <w:szCs w:val="24"/>
          <w:highlight w:val="none"/>
        </w:rPr>
        <w:t>允许调整合同价格的工程量偏差范围及其调整办法：</w:t>
      </w:r>
    </w:p>
    <w:p w14:paraId="5F466C0B">
      <w:pPr>
        <w:pStyle w:val="4"/>
        <w:keepNext w:val="0"/>
        <w:keepLines w:val="0"/>
        <w:pageBreakBefore w:val="0"/>
        <w:widowControl/>
        <w:kinsoku w:val="0"/>
        <w:wordWrap/>
        <w:overflowPunct/>
        <w:topLinePunct w:val="0"/>
        <w:autoSpaceDE w:val="0"/>
        <w:autoSpaceDN w:val="0"/>
        <w:bidi w:val="0"/>
        <w:adjustRightInd w:val="0"/>
        <w:snapToGrid w:val="0"/>
        <w:spacing w:before="156" w:line="480" w:lineRule="exact"/>
        <w:ind w:left="502" w:right="-162" w:rightChars="-77"/>
        <w:textAlignment w:val="baseline"/>
        <w:rPr>
          <w:rFonts w:hint="eastAsia" w:eastAsia="宋体"/>
          <w:color w:val="auto"/>
          <w:sz w:val="24"/>
          <w:szCs w:val="24"/>
          <w:highlight w:val="none"/>
          <w:lang w:eastAsia="zh-CN"/>
        </w:rPr>
      </w:pPr>
      <w:r>
        <w:rPr>
          <w:color w:val="auto"/>
          <w:spacing w:val="-2"/>
          <w:sz w:val="24"/>
          <w:szCs w:val="24"/>
          <w:highlight w:val="none"/>
        </w:rPr>
        <w:t>□</w:t>
      </w:r>
      <w:r>
        <w:rPr>
          <w:color w:val="auto"/>
          <w:spacing w:val="-2"/>
          <w:sz w:val="24"/>
          <w:szCs w:val="24"/>
          <w:highlight w:val="none"/>
          <w:u w:val="single" w:color="auto"/>
        </w:rPr>
        <w:t xml:space="preserve"> 除严重不平衡报价外，无论分部分项工程量清单项目中的工程量变化多少均不调整</w:t>
      </w:r>
      <w:r>
        <w:rPr>
          <w:color w:val="auto"/>
          <w:spacing w:val="-3"/>
          <w:sz w:val="24"/>
          <w:szCs w:val="24"/>
          <w:highlight w:val="none"/>
          <w:u w:val="single" w:color="auto"/>
        </w:rPr>
        <w:t xml:space="preserve"> </w:t>
      </w:r>
      <w:r>
        <w:rPr>
          <w:rFonts w:hint="eastAsia" w:eastAsia="宋体"/>
          <w:color w:val="auto"/>
          <w:spacing w:val="-3"/>
          <w:sz w:val="24"/>
          <w:szCs w:val="24"/>
          <w:highlight w:val="none"/>
          <w:u w:val="single" w:color="auto"/>
          <w:lang w:eastAsia="zh-CN"/>
        </w:rPr>
        <w:t>。</w:t>
      </w:r>
    </w:p>
    <w:p w14:paraId="37133AFE">
      <w:pPr>
        <w:pStyle w:val="4"/>
        <w:keepNext w:val="0"/>
        <w:keepLines w:val="0"/>
        <w:pageBreakBefore w:val="0"/>
        <w:widowControl/>
        <w:kinsoku w:val="0"/>
        <w:wordWrap/>
        <w:overflowPunct/>
        <w:topLinePunct w:val="0"/>
        <w:autoSpaceDE w:val="0"/>
        <w:autoSpaceDN w:val="0"/>
        <w:bidi w:val="0"/>
        <w:adjustRightInd w:val="0"/>
        <w:snapToGrid w:val="0"/>
        <w:spacing w:before="253" w:line="480" w:lineRule="exact"/>
        <w:ind w:left="39" w:right="71" w:firstLine="450"/>
        <w:jc w:val="both"/>
        <w:textAlignment w:val="baseline"/>
        <w:rPr>
          <w:color w:val="auto"/>
          <w:sz w:val="24"/>
          <w:szCs w:val="24"/>
          <w:highlight w:val="none"/>
        </w:rPr>
      </w:pPr>
      <w:r>
        <w:rPr>
          <w:rFonts w:ascii="Segoe UI Symbol" w:hAnsi="Segoe UI Symbol" w:eastAsia="Segoe UI Symbol" w:cs="Segoe UI Symbol"/>
          <w:color w:val="auto"/>
          <w:spacing w:val="8"/>
          <w:sz w:val="24"/>
          <w:szCs w:val="24"/>
          <w:highlight w:val="none"/>
        </w:rPr>
        <w:t>☑</w:t>
      </w:r>
      <w:r>
        <w:rPr>
          <w:rFonts w:ascii="Segoe UI Symbol" w:hAnsi="Segoe UI Symbol" w:eastAsia="Segoe UI Symbol" w:cs="Segoe UI Symbol"/>
          <w:color w:val="auto"/>
          <w:spacing w:val="28"/>
          <w:w w:val="101"/>
          <w:sz w:val="24"/>
          <w:szCs w:val="24"/>
          <w:highlight w:val="none"/>
        </w:rPr>
        <w:t xml:space="preserve">  </w:t>
      </w:r>
      <w:r>
        <w:rPr>
          <w:color w:val="auto"/>
          <w:spacing w:val="8"/>
          <w:sz w:val="24"/>
          <w:szCs w:val="24"/>
          <w:highlight w:val="none"/>
          <w:u w:val="single" w:color="auto"/>
        </w:rPr>
        <w:t>承包人实际完成的某单项清单项目工程量与招标</w:t>
      </w:r>
      <w:r>
        <w:rPr>
          <w:color w:val="auto"/>
          <w:spacing w:val="7"/>
          <w:sz w:val="24"/>
          <w:szCs w:val="24"/>
          <w:highlight w:val="none"/>
          <w:u w:val="single" w:color="auto"/>
        </w:rPr>
        <w:t>工程量清单工程量偏差超过±10%</w:t>
      </w:r>
      <w:r>
        <w:rPr>
          <w:color w:val="auto"/>
          <w:spacing w:val="-4"/>
          <w:sz w:val="24"/>
          <w:szCs w:val="24"/>
          <w:highlight w:val="none"/>
          <w:u w:val="single" w:color="auto"/>
        </w:rPr>
        <w:t>且该单项清单造价超过合同总价±10%以上的，超过后增加部分工程量或减少后剩余部分工程量</w:t>
      </w:r>
      <w:r>
        <w:rPr>
          <w:color w:val="auto"/>
          <w:spacing w:val="-2"/>
          <w:sz w:val="24"/>
          <w:szCs w:val="24"/>
          <w:highlight w:val="none"/>
          <w:u w:val="single" w:color="auto"/>
        </w:rPr>
        <w:t>的综合单价按以下方法调整：工程量清单中有相同细目的按投</w:t>
      </w:r>
      <w:r>
        <w:rPr>
          <w:color w:val="auto"/>
          <w:spacing w:val="-3"/>
          <w:sz w:val="24"/>
          <w:szCs w:val="24"/>
          <w:highlight w:val="none"/>
          <w:u w:val="single" w:color="auto"/>
        </w:rPr>
        <w:t>标人投标时的中标单价进行结</w:t>
      </w:r>
      <w:r>
        <w:rPr>
          <w:color w:val="auto"/>
          <w:spacing w:val="5"/>
          <w:sz w:val="24"/>
          <w:szCs w:val="24"/>
          <w:highlight w:val="none"/>
          <w:u w:val="single" w:color="auto"/>
        </w:rPr>
        <w:t>算，工程量清单中有类似细目的参考类似中标单价结算</w:t>
      </w:r>
      <w:r>
        <w:rPr>
          <w:rFonts w:hint="eastAsia" w:eastAsia="宋体"/>
          <w:color w:val="auto"/>
          <w:spacing w:val="5"/>
          <w:sz w:val="24"/>
          <w:szCs w:val="24"/>
          <w:highlight w:val="none"/>
          <w:u w:val="single" w:color="auto"/>
          <w:lang w:val="en-US" w:eastAsia="zh-CN"/>
        </w:rPr>
        <w:t>；</w:t>
      </w:r>
      <w:r>
        <w:rPr>
          <w:color w:val="auto"/>
          <w:spacing w:val="5"/>
          <w:sz w:val="24"/>
          <w:szCs w:val="24"/>
          <w:highlight w:val="none"/>
          <w:u w:val="single" w:color="auto"/>
        </w:rPr>
        <w:t>没有适用或类似于变更工程的</w:t>
      </w:r>
      <w:r>
        <w:rPr>
          <w:color w:val="auto"/>
          <w:sz w:val="24"/>
          <w:szCs w:val="24"/>
          <w:highlight w:val="none"/>
          <w:u w:val="single" w:color="auto"/>
        </w:rPr>
        <w:t>价格则有定额的套定额计算，执行相关工程计价参考依据结</w:t>
      </w:r>
      <w:r>
        <w:rPr>
          <w:color w:val="auto"/>
          <w:spacing w:val="-1"/>
          <w:sz w:val="24"/>
          <w:szCs w:val="24"/>
          <w:highlight w:val="none"/>
          <w:u w:val="single" w:color="auto"/>
        </w:rPr>
        <w:t>算。</w:t>
      </w:r>
    </w:p>
    <w:p w14:paraId="2F7CF510">
      <w:pPr>
        <w:keepNext w:val="0"/>
        <w:keepLines w:val="0"/>
        <w:pageBreakBefore w:val="0"/>
        <w:widowControl/>
        <w:kinsoku w:val="0"/>
        <w:wordWrap/>
        <w:overflowPunct/>
        <w:topLinePunct w:val="0"/>
        <w:autoSpaceDE w:val="0"/>
        <w:autoSpaceDN w:val="0"/>
        <w:bidi w:val="0"/>
        <w:adjustRightInd w:val="0"/>
        <w:snapToGrid w:val="0"/>
        <w:spacing w:before="111" w:line="480" w:lineRule="exact"/>
        <w:ind w:left="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发包人</w:t>
      </w:r>
    </w:p>
    <w:p w14:paraId="37C0F9C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2.2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发包人代表</w:t>
      </w:r>
    </w:p>
    <w:p w14:paraId="5B7CB14A">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发包人代表：</w:t>
      </w:r>
    </w:p>
    <w:p w14:paraId="710F966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名</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w:t>
      </w:r>
    </w:p>
    <w:p w14:paraId="35B38714">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务</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5"/>
          <w:sz w:val="24"/>
          <w:szCs w:val="24"/>
          <w:highlight w:val="none"/>
        </w:rPr>
        <w:t>；</w:t>
      </w:r>
    </w:p>
    <w:p w14:paraId="55E1EA4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联系电话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3E317260">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26861962">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通信地址：</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w:t>
      </w:r>
    </w:p>
    <w:p w14:paraId="465F3FCF">
      <w:pPr>
        <w:keepNext w:val="0"/>
        <w:keepLines w:val="0"/>
        <w:pageBreakBefore w:val="0"/>
        <w:widowControl/>
        <w:kinsoku w:val="0"/>
        <w:wordWrap/>
        <w:overflowPunct/>
        <w:topLinePunct w:val="0"/>
        <w:autoSpaceDE w:val="0"/>
        <w:autoSpaceDN w:val="0"/>
        <w:bidi w:val="0"/>
        <w:adjustRightInd w:val="0"/>
        <w:snapToGrid w:val="0"/>
        <w:spacing w:before="135" w:line="480" w:lineRule="exact"/>
        <w:ind w:firstLine="520" w:firstLineChars="200"/>
        <w:textAlignment w:val="baseline"/>
        <w:rPr>
          <w:rFonts w:hint="eastAsia" w:ascii="宋体" w:hAnsi="宋体" w:eastAsia="宋体" w:cs="宋体"/>
          <w:color w:val="auto"/>
          <w:sz w:val="24"/>
          <w:szCs w:val="24"/>
          <w:highlight w:val="none"/>
          <w:u w:val="none" w:color="auto"/>
        </w:rPr>
      </w:pPr>
      <w:r>
        <w:rPr>
          <w:rFonts w:hint="eastAsia" w:ascii="宋体" w:hAnsi="宋体" w:eastAsia="宋体" w:cs="宋体"/>
          <w:color w:val="auto"/>
          <w:spacing w:val="10"/>
          <w:sz w:val="24"/>
          <w:szCs w:val="24"/>
          <w:highlight w:val="none"/>
        </w:rPr>
        <w:t>发包人对发包人代表的授权范围如下：</w:t>
      </w:r>
      <w:r>
        <w:rPr>
          <w:color w:val="auto"/>
          <w:spacing w:val="-2"/>
          <w:sz w:val="24"/>
          <w:szCs w:val="24"/>
          <w:highlight w:val="none"/>
          <w:u w:val="single" w:color="auto"/>
        </w:rPr>
        <w:t>享有委托给监理工程师的一切职权且其发出</w:t>
      </w:r>
      <w:r>
        <w:rPr>
          <w:color w:val="auto"/>
          <w:spacing w:val="-3"/>
          <w:sz w:val="24"/>
          <w:szCs w:val="24"/>
          <w:highlight w:val="none"/>
          <w:u w:val="single" w:color="auto"/>
        </w:rPr>
        <w:t>的指</w:t>
      </w:r>
      <w:r>
        <w:rPr>
          <w:color w:val="auto"/>
          <w:spacing w:val="-4"/>
          <w:sz w:val="24"/>
          <w:szCs w:val="24"/>
          <w:highlight w:val="none"/>
          <w:u w:val="single" w:color="auto"/>
        </w:rPr>
        <w:t>令优先于监理工程师，代表发包人参加与工程相关的会议及验收，签发设计变更。取得</w:t>
      </w:r>
      <w:r>
        <w:rPr>
          <w:color w:val="auto"/>
          <w:spacing w:val="-1"/>
          <w:sz w:val="24"/>
          <w:szCs w:val="24"/>
          <w:highlight w:val="none"/>
          <w:u w:val="single" w:color="auto"/>
        </w:rPr>
        <w:t>发包人批准后对增加工程费用或增加工期的签认</w:t>
      </w:r>
      <w:r>
        <w:rPr>
          <w:rFonts w:hint="eastAsia" w:ascii="宋体" w:hAnsi="宋体" w:eastAsia="宋体" w:cs="宋体"/>
          <w:color w:val="auto"/>
          <w:spacing w:val="8"/>
          <w:sz w:val="24"/>
          <w:szCs w:val="24"/>
          <w:highlight w:val="none"/>
          <w:u w:val="none" w:color="auto"/>
        </w:rPr>
        <w:t>。</w:t>
      </w:r>
    </w:p>
    <w:p w14:paraId="1BA1277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14:textOutline w14:w="3795" w14:cap="sq" w14:cmpd="sng">
            <w14:solidFill>
              <w14:srgbClr w14:val="000000"/>
            </w14:solidFill>
            <w14:prstDash w14:val="solid"/>
            <w14:bevel/>
          </w14:textOutline>
        </w:rPr>
        <w:t>2.4</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9"/>
          <w:sz w:val="24"/>
          <w:szCs w:val="24"/>
          <w:highlight w:val="none"/>
          <w14:textOutline w14:w="3795" w14:cap="sq" w14:cmpd="sng">
            <w14:solidFill>
              <w14:srgbClr w14:val="000000"/>
            </w14:solidFill>
            <w14:prstDash w14:val="solid"/>
            <w14:bevel/>
          </w14:textOutline>
        </w:rPr>
        <w:t>施工现场、施工条件和基础资料的提供</w:t>
      </w:r>
    </w:p>
    <w:p w14:paraId="329D7A4A">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2.4.1 提供施工现场</w:t>
      </w:r>
    </w:p>
    <w:p w14:paraId="704222B0">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 w:right="68" w:firstLine="419"/>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关于发包人移交施工现场的期限要求：</w:t>
      </w:r>
      <w:r>
        <w:rPr>
          <w:rFonts w:hint="eastAsia" w:ascii="宋体" w:hAnsi="宋体" w:eastAsia="宋体" w:cs="宋体"/>
          <w:color w:val="auto"/>
          <w:spacing w:val="7"/>
          <w:sz w:val="24"/>
          <w:szCs w:val="24"/>
          <w:highlight w:val="none"/>
          <w:u w:val="single" w:color="auto"/>
          <w:lang w:val="en-US" w:eastAsia="zh-CN"/>
        </w:rPr>
        <w:t>开工前3天。</w:t>
      </w:r>
    </w:p>
    <w:p w14:paraId="1A9D896D">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2.4.2 提供施工条件</w:t>
      </w:r>
    </w:p>
    <w:p w14:paraId="52B42B47">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04"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关于发包人应负责提供施工所需要的条件，包括</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u w:val="single" w:color="auto"/>
          <w:lang w:val="en-US" w:eastAsia="zh-CN"/>
        </w:rPr>
        <w:t>按通用条款执行</w:t>
      </w:r>
      <w:r>
        <w:rPr>
          <w:rFonts w:hint="eastAsia" w:ascii="宋体" w:hAnsi="宋体" w:eastAsia="宋体" w:cs="宋体"/>
          <w:color w:val="auto"/>
          <w:spacing w:val="8"/>
          <w:sz w:val="24"/>
          <w:szCs w:val="24"/>
          <w:highlight w:val="none"/>
        </w:rPr>
        <w:t>。</w:t>
      </w:r>
    </w:p>
    <w:p w14:paraId="0B274223">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2.5</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资金来源证明及支付担保</w:t>
      </w:r>
    </w:p>
    <w:p w14:paraId="7447AD07">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发包人提供资金来源证明的期限要求：</w:t>
      </w:r>
      <w:r>
        <w:rPr>
          <w:rFonts w:hint="eastAsia" w:ascii="宋体" w:hAnsi="宋体" w:eastAsia="宋体" w:cs="宋体"/>
          <w:color w:val="auto"/>
          <w:spacing w:val="8"/>
          <w:sz w:val="24"/>
          <w:szCs w:val="24"/>
          <w:highlight w:val="none"/>
          <w:u w:val="single" w:color="auto"/>
        </w:rPr>
        <w:t xml:space="preserve"> 无 </w:t>
      </w:r>
      <w:r>
        <w:rPr>
          <w:rFonts w:hint="eastAsia" w:ascii="宋体" w:hAnsi="宋体" w:eastAsia="宋体" w:cs="宋体"/>
          <w:color w:val="auto"/>
          <w:spacing w:val="8"/>
          <w:sz w:val="24"/>
          <w:szCs w:val="24"/>
          <w:highlight w:val="none"/>
        </w:rPr>
        <w:t>。</w:t>
      </w:r>
    </w:p>
    <w:p w14:paraId="75878824">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发包人是否提供支付担保：</w:t>
      </w:r>
      <w:r>
        <w:rPr>
          <w:rFonts w:hint="eastAsia" w:ascii="宋体" w:hAnsi="宋体" w:eastAsia="宋体" w:cs="宋体"/>
          <w:color w:val="auto"/>
          <w:spacing w:val="7"/>
          <w:sz w:val="24"/>
          <w:szCs w:val="24"/>
          <w:highlight w:val="none"/>
          <w:u w:val="single" w:color="auto"/>
        </w:rPr>
        <w:t xml:space="preserve">    否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w:t>
      </w:r>
    </w:p>
    <w:p w14:paraId="0E7430F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发包人提供支付担保的形式：</w:t>
      </w:r>
      <w:r>
        <w:rPr>
          <w:rFonts w:hint="eastAsia" w:ascii="宋体" w:hAnsi="宋体" w:eastAsia="宋体" w:cs="宋体"/>
          <w:color w:val="auto"/>
          <w:spacing w:val="7"/>
          <w:sz w:val="24"/>
          <w:szCs w:val="24"/>
          <w:highlight w:val="none"/>
          <w:u w:val="single" w:color="auto"/>
        </w:rPr>
        <w:t xml:space="preserve">   /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rPr>
        <w:t>。</w:t>
      </w:r>
    </w:p>
    <w:p w14:paraId="0B7EDA8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 w:firstLine="496"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3.</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承包人</w:t>
      </w:r>
    </w:p>
    <w:p w14:paraId="78E5D31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4"/>
        <w:textAlignment w:val="baseline"/>
        <w:outlineLvl w:val="0"/>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3.1</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承包人的一般义务</w:t>
      </w:r>
    </w:p>
    <w:p w14:paraId="00AD5E2E">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承包人提交的竣工资料的内容：</w:t>
      </w:r>
      <w:r>
        <w:rPr>
          <w:rFonts w:hint="eastAsia" w:ascii="宋体" w:hAnsi="宋体" w:eastAsia="宋体" w:cs="宋体"/>
          <w:color w:val="auto"/>
          <w:spacing w:val="7"/>
          <w:sz w:val="24"/>
          <w:szCs w:val="24"/>
          <w:highlight w:val="none"/>
          <w:u w:val="single" w:color="auto"/>
          <w:lang w:val="en-US" w:eastAsia="zh-CN"/>
        </w:rPr>
        <w:t>按业主和部门规定</w:t>
      </w:r>
      <w:r>
        <w:rPr>
          <w:rFonts w:hint="eastAsia" w:ascii="宋体" w:hAnsi="宋体" w:eastAsia="宋体" w:cs="宋体"/>
          <w:color w:val="auto"/>
          <w:spacing w:val="6"/>
          <w:sz w:val="24"/>
          <w:szCs w:val="24"/>
          <w:highlight w:val="none"/>
        </w:rPr>
        <w:t>。</w:t>
      </w:r>
    </w:p>
    <w:p w14:paraId="2FC2C5FD">
      <w:pPr>
        <w:keepNext w:val="0"/>
        <w:keepLines w:val="0"/>
        <w:pageBreakBefore w:val="0"/>
        <w:widowControl/>
        <w:kinsoku w:val="0"/>
        <w:wordWrap/>
        <w:overflowPunct/>
        <w:topLinePunct w:val="0"/>
        <w:autoSpaceDE w:val="0"/>
        <w:autoSpaceDN w:val="0"/>
        <w:bidi w:val="0"/>
        <w:adjustRightInd w:val="0"/>
        <w:snapToGrid w:val="0"/>
        <w:spacing w:before="137" w:line="480" w:lineRule="exact"/>
        <w:ind w:firstLine="52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承包人需要提交的竣工资料套数：</w:t>
      </w:r>
      <w:r>
        <w:rPr>
          <w:rFonts w:hint="eastAsia" w:ascii="宋体" w:hAnsi="宋体" w:eastAsia="宋体" w:cs="宋体"/>
          <w:color w:val="auto"/>
          <w:spacing w:val="10"/>
          <w:sz w:val="24"/>
          <w:szCs w:val="24"/>
          <w:highlight w:val="none"/>
          <w:u w:val="single" w:color="auto"/>
        </w:rPr>
        <w:t>承包人向发包</w:t>
      </w:r>
      <w:r>
        <w:rPr>
          <w:rFonts w:hint="eastAsia" w:ascii="宋体" w:hAnsi="宋体" w:eastAsia="宋体" w:cs="宋体"/>
          <w:color w:val="auto"/>
          <w:spacing w:val="9"/>
          <w:sz w:val="24"/>
          <w:szCs w:val="24"/>
          <w:highlight w:val="none"/>
          <w:u w:val="single" w:color="auto"/>
        </w:rPr>
        <w:t>人提交竣工档案份数为一式</w:t>
      </w:r>
      <w:r>
        <w:rPr>
          <w:rFonts w:hint="eastAsia" w:ascii="宋体" w:hAnsi="宋体" w:eastAsia="宋体" w:cs="宋体"/>
          <w:color w:val="auto"/>
          <w:spacing w:val="9"/>
          <w:sz w:val="24"/>
          <w:szCs w:val="24"/>
          <w:highlight w:val="none"/>
          <w:u w:val="single" w:color="auto"/>
          <w:lang w:val="en-US" w:eastAsia="zh-CN"/>
        </w:rPr>
        <w:t>三</w:t>
      </w:r>
      <w:r>
        <w:rPr>
          <w:rFonts w:hint="eastAsia" w:ascii="宋体" w:hAnsi="宋体" w:eastAsia="宋体" w:cs="宋体"/>
          <w:color w:val="auto"/>
          <w:spacing w:val="9"/>
          <w:sz w:val="24"/>
          <w:szCs w:val="24"/>
          <w:highlight w:val="none"/>
          <w:u w:val="single" w:color="auto"/>
        </w:rPr>
        <w:t>份</w:t>
      </w:r>
      <w:r>
        <w:rPr>
          <w:rFonts w:hint="eastAsia" w:ascii="宋体" w:hAnsi="宋体" w:eastAsia="宋体" w:cs="宋体"/>
          <w:color w:val="auto"/>
          <w:spacing w:val="9"/>
          <w:sz w:val="24"/>
          <w:szCs w:val="24"/>
          <w:highlight w:val="none"/>
          <w:u w:val="single" w:color="auto"/>
          <w:lang w:eastAsia="zh-CN"/>
        </w:rPr>
        <w:t>。</w:t>
      </w:r>
    </w:p>
    <w:p w14:paraId="42CF7BD6">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承包人提交的竣工资料的费用承担：</w:t>
      </w:r>
      <w:r>
        <w:rPr>
          <w:rFonts w:hint="eastAsia" w:ascii="宋体" w:hAnsi="宋体" w:eastAsia="宋体" w:cs="宋体"/>
          <w:color w:val="auto"/>
          <w:spacing w:val="9"/>
          <w:sz w:val="24"/>
          <w:szCs w:val="24"/>
          <w:highlight w:val="none"/>
          <w:u w:val="single" w:color="auto"/>
        </w:rPr>
        <w:t>由承包人承担相关</w:t>
      </w:r>
      <w:r>
        <w:rPr>
          <w:rFonts w:hint="eastAsia" w:ascii="宋体" w:hAnsi="宋体" w:eastAsia="宋体" w:cs="宋体"/>
          <w:color w:val="auto"/>
          <w:spacing w:val="8"/>
          <w:sz w:val="24"/>
          <w:szCs w:val="24"/>
          <w:highlight w:val="none"/>
          <w:u w:val="single" w:color="auto"/>
        </w:rPr>
        <w:t xml:space="preserve">费用 </w:t>
      </w:r>
      <w:r>
        <w:rPr>
          <w:rFonts w:hint="eastAsia" w:ascii="宋体" w:hAnsi="宋体" w:eastAsia="宋体" w:cs="宋体"/>
          <w:color w:val="auto"/>
          <w:spacing w:val="8"/>
          <w:sz w:val="24"/>
          <w:szCs w:val="24"/>
          <w:highlight w:val="none"/>
        </w:rPr>
        <w:t>。</w:t>
      </w:r>
    </w:p>
    <w:p w14:paraId="4FC66C2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承包人提交的竣工资料移交时间</w:t>
      </w:r>
      <w:r>
        <w:rPr>
          <w:rFonts w:hint="eastAsia" w:ascii="宋体" w:hAnsi="宋体" w:eastAsia="宋体" w:cs="宋体"/>
          <w:color w:val="auto"/>
          <w:spacing w:val="8"/>
          <w:sz w:val="24"/>
          <w:szCs w:val="24"/>
          <w:highlight w:val="none"/>
          <w:lang w:eastAsia="zh-CN"/>
        </w:rPr>
        <w:t>：</w:t>
      </w:r>
      <w:r>
        <w:rPr>
          <w:color w:val="auto"/>
          <w:sz w:val="24"/>
          <w:szCs w:val="24"/>
          <w:highlight w:val="none"/>
          <w:u w:val="single" w:color="auto"/>
        </w:rPr>
        <w:t>工程竣工档案应在工程项目竣工</w:t>
      </w:r>
      <w:r>
        <w:rPr>
          <w:color w:val="auto"/>
          <w:spacing w:val="-1"/>
          <w:sz w:val="24"/>
          <w:szCs w:val="24"/>
          <w:highlight w:val="none"/>
          <w:u w:val="single" w:color="auto"/>
        </w:rPr>
        <w:t>项目竣工验收前</w:t>
      </w:r>
      <w:r>
        <w:rPr>
          <w:color w:val="auto"/>
          <w:sz w:val="24"/>
          <w:szCs w:val="24"/>
          <w:highlight w:val="none"/>
        </w:rPr>
        <w:t xml:space="preserve"> </w:t>
      </w:r>
      <w:r>
        <w:rPr>
          <w:color w:val="auto"/>
          <w:spacing w:val="-1"/>
          <w:sz w:val="24"/>
          <w:szCs w:val="24"/>
          <w:highlight w:val="none"/>
          <w:u w:val="single" w:color="auto"/>
        </w:rPr>
        <w:t>先行组织验收。竣工档案可在工程竣工验收后</w:t>
      </w:r>
      <w:r>
        <w:rPr>
          <w:color w:val="auto"/>
          <w:spacing w:val="-42"/>
          <w:sz w:val="24"/>
          <w:szCs w:val="24"/>
          <w:highlight w:val="none"/>
          <w:u w:val="single" w:color="auto"/>
        </w:rPr>
        <w:t xml:space="preserve"> </w:t>
      </w:r>
      <w:r>
        <w:rPr>
          <w:color w:val="auto"/>
          <w:spacing w:val="-1"/>
          <w:sz w:val="24"/>
          <w:szCs w:val="24"/>
          <w:highlight w:val="none"/>
          <w:u w:val="single" w:color="auto"/>
        </w:rPr>
        <w:t>2</w:t>
      </w:r>
      <w:r>
        <w:rPr>
          <w:color w:val="auto"/>
          <w:spacing w:val="-49"/>
          <w:sz w:val="24"/>
          <w:szCs w:val="24"/>
          <w:highlight w:val="none"/>
          <w:u w:val="single" w:color="auto"/>
        </w:rPr>
        <w:t xml:space="preserve"> </w:t>
      </w:r>
      <w:r>
        <w:rPr>
          <w:color w:val="auto"/>
          <w:spacing w:val="-1"/>
          <w:sz w:val="24"/>
          <w:szCs w:val="24"/>
          <w:highlight w:val="none"/>
          <w:u w:val="single" w:color="auto"/>
        </w:rPr>
        <w:t>个月</w:t>
      </w:r>
      <w:r>
        <w:rPr>
          <w:color w:val="auto"/>
          <w:spacing w:val="-2"/>
          <w:sz w:val="24"/>
          <w:szCs w:val="24"/>
          <w:highlight w:val="none"/>
          <w:u w:val="single" w:color="auto"/>
        </w:rPr>
        <w:t>内移交</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7A6FCDB3">
      <w:pPr>
        <w:keepNext w:val="0"/>
        <w:keepLines w:val="0"/>
        <w:pageBreakBefore w:val="0"/>
        <w:widowControl/>
        <w:kinsoku w:val="0"/>
        <w:wordWrap/>
        <w:overflowPunct/>
        <w:topLinePunct w:val="0"/>
        <w:autoSpaceDE w:val="0"/>
        <w:autoSpaceDN w:val="0"/>
        <w:bidi w:val="0"/>
        <w:adjustRightInd w:val="0"/>
        <w:snapToGrid w:val="0"/>
        <w:spacing w:before="131" w:line="480" w:lineRule="exact"/>
        <w:ind w:right="68" w:firstLine="419"/>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承包人提交的竣工资料形式要求：</w:t>
      </w:r>
      <w:r>
        <w:rPr>
          <w:rFonts w:hint="eastAsia" w:ascii="宋体" w:hAnsi="宋体" w:eastAsia="宋体" w:cs="宋体"/>
          <w:color w:val="auto"/>
          <w:spacing w:val="10"/>
          <w:sz w:val="24"/>
          <w:szCs w:val="24"/>
          <w:highlight w:val="none"/>
          <w:u w:val="single" w:color="auto"/>
          <w:lang w:val="en-US" w:eastAsia="zh-CN"/>
        </w:rPr>
        <w:t>书面文件</w:t>
      </w:r>
      <w:r>
        <w:rPr>
          <w:rFonts w:hint="eastAsia" w:ascii="宋体" w:hAnsi="宋体" w:eastAsia="宋体" w:cs="宋体"/>
          <w:color w:val="auto"/>
          <w:spacing w:val="5"/>
          <w:sz w:val="24"/>
          <w:szCs w:val="24"/>
          <w:highlight w:val="none"/>
          <w:u w:val="single" w:color="auto"/>
          <w:lang w:eastAsia="zh-CN"/>
        </w:rPr>
        <w:t>。</w:t>
      </w:r>
    </w:p>
    <w:p w14:paraId="1707164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239" w:leftChars="114" w:firstLine="258" w:firstLineChars="1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承包人应履行的其他义务：</w:t>
      </w:r>
      <w:r>
        <w:rPr>
          <w:color w:val="auto"/>
          <w:sz w:val="24"/>
          <w:szCs w:val="24"/>
          <w:highlight w:val="none"/>
          <w:u w:val="single" w:color="auto"/>
        </w:rPr>
        <w:t>接受发包人委派</w:t>
      </w:r>
      <w:r>
        <w:rPr>
          <w:color w:val="auto"/>
          <w:spacing w:val="-1"/>
          <w:sz w:val="24"/>
          <w:szCs w:val="24"/>
          <w:highlight w:val="none"/>
          <w:u w:val="single" w:color="auto"/>
        </w:rPr>
        <w:t>的项目管理人员的管理，配合发包人</w:t>
      </w:r>
      <w:r>
        <w:rPr>
          <w:color w:val="auto"/>
          <w:sz w:val="24"/>
          <w:szCs w:val="24"/>
          <w:highlight w:val="none"/>
          <w:u w:val="single" w:color="auto"/>
        </w:rPr>
        <w:t>委派项目管理人员的现场管理工作</w:t>
      </w:r>
      <w:r>
        <w:rPr>
          <w:rFonts w:hint="eastAsia" w:eastAsia="宋体"/>
          <w:color w:val="auto"/>
          <w:sz w:val="24"/>
          <w:szCs w:val="24"/>
          <w:highlight w:val="none"/>
          <w:u w:val="single" w:color="auto"/>
          <w:lang w:eastAsia="zh-CN"/>
        </w:rPr>
        <w:t>。</w:t>
      </w:r>
    </w:p>
    <w:p w14:paraId="61898377">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3.2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项目经理</w:t>
      </w:r>
    </w:p>
    <w:p w14:paraId="70B9709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8B6C8CE">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B2628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z w:val="24"/>
          <w:szCs w:val="24"/>
          <w:highlight w:val="none"/>
        </w:rPr>
        <w:t>；</w:t>
      </w:r>
    </w:p>
    <w:p w14:paraId="232FFAA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z w:val="24"/>
          <w:szCs w:val="24"/>
          <w:highlight w:val="none"/>
        </w:rPr>
        <w:t>；</w:t>
      </w:r>
    </w:p>
    <w:p w14:paraId="3DC4A32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2E1430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lang w:val="en-US" w:eastAsia="zh-CN"/>
        </w:rPr>
        <w:t xml:space="preserve"> </w:t>
      </w:r>
      <w:r>
        <w:rPr>
          <w:color w:val="auto"/>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color w:val="auto"/>
          <w:spacing w:val="-1"/>
          <w:sz w:val="24"/>
          <w:szCs w:val="24"/>
          <w:highlight w:val="none"/>
          <w:u w:val="single" w:color="auto"/>
        </w:rPr>
        <w:t xml:space="preserve">  </w:t>
      </w:r>
      <w:r>
        <w:rPr>
          <w:rFonts w:hint="eastAsia" w:ascii="宋体" w:hAnsi="宋体" w:eastAsia="宋体" w:cs="宋体"/>
          <w:color w:val="auto"/>
          <w:sz w:val="24"/>
          <w:szCs w:val="24"/>
          <w:highlight w:val="none"/>
        </w:rPr>
        <w:t>；</w:t>
      </w:r>
    </w:p>
    <w:p w14:paraId="21C49CC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color="auto"/>
          <w:lang w:val="en-US" w:eastAsia="zh-CN"/>
        </w:rPr>
        <w:t xml:space="preserve">                   </w:t>
      </w:r>
      <w:r>
        <w:rPr>
          <w:rFonts w:hint="eastAsia" w:ascii="宋体" w:hAnsi="宋体" w:eastAsia="宋体" w:cs="宋体"/>
          <w:color w:val="auto"/>
          <w:sz w:val="24"/>
          <w:szCs w:val="24"/>
          <w:highlight w:val="none"/>
        </w:rPr>
        <w:t>；</w:t>
      </w:r>
    </w:p>
    <w:p w14:paraId="141E2ADC">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E716C54">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pacing w:val="3"/>
          <w:sz w:val="24"/>
          <w:szCs w:val="24"/>
          <w:highlight w:val="none"/>
          <w:u w:val="single" w:color="auto"/>
          <w:lang w:val="en-US" w:eastAsia="zh-CN"/>
        </w:rPr>
        <w:t xml:space="preserve">                    </w:t>
      </w:r>
      <w:r>
        <w:rPr>
          <w:rFonts w:hint="eastAsia" w:ascii="宋体" w:hAnsi="宋体" w:eastAsia="宋体" w:cs="宋体"/>
          <w:color w:val="auto"/>
          <w:sz w:val="24"/>
          <w:szCs w:val="24"/>
          <w:highlight w:val="none"/>
        </w:rPr>
        <w:t>；</w:t>
      </w:r>
    </w:p>
    <w:p w14:paraId="0DEAD17A">
      <w:pPr>
        <w:keepNext w:val="0"/>
        <w:keepLines w:val="0"/>
        <w:pageBreakBefore w:val="0"/>
        <w:widowControl/>
        <w:kinsoku w:val="0"/>
        <w:wordWrap/>
        <w:overflowPunct/>
        <w:topLinePunct w:val="0"/>
        <w:autoSpaceDE w:val="0"/>
        <w:autoSpaceDN w:val="0"/>
        <w:bidi w:val="0"/>
        <w:adjustRightInd w:val="0"/>
        <w:snapToGrid w:val="0"/>
        <w:spacing w:line="48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承包人对项目经理的授权范围如下</w:t>
      </w:r>
      <w:r>
        <w:rPr>
          <w:rFonts w:hint="eastAsia" w:ascii="宋体" w:hAnsi="宋体" w:eastAsia="宋体" w:cs="宋体"/>
          <w:color w:val="auto"/>
          <w:spacing w:val="-3"/>
          <w:sz w:val="24"/>
          <w:szCs w:val="24"/>
          <w:highlight w:val="none"/>
        </w:rPr>
        <w:t>：</w:t>
      </w:r>
      <w:r>
        <w:rPr>
          <w:color w:val="auto"/>
          <w:spacing w:val="-1"/>
          <w:sz w:val="24"/>
          <w:szCs w:val="24"/>
          <w:highlight w:val="none"/>
          <w:u w:val="single" w:color="auto"/>
        </w:rPr>
        <w:t>作为承包人在项目的授权代表，全面履行工程项</w:t>
      </w:r>
      <w:r>
        <w:rPr>
          <w:color w:val="auto"/>
          <w:spacing w:val="-2"/>
          <w:sz w:val="24"/>
          <w:szCs w:val="24"/>
          <w:highlight w:val="none"/>
          <w:u w:val="single" w:color="auto"/>
        </w:rPr>
        <w:t>目的总承包管理职责，为工程参与各方做好协调和服务，在资金、质量、安全、环境保护、</w:t>
      </w:r>
      <w:r>
        <w:rPr>
          <w:color w:val="auto"/>
          <w:spacing w:val="-1"/>
          <w:sz w:val="24"/>
          <w:szCs w:val="24"/>
          <w:highlight w:val="none"/>
          <w:u w:val="single" w:color="auto"/>
        </w:rPr>
        <w:t xml:space="preserve">文明施工等合约目标范围向业主直接负责 </w:t>
      </w:r>
      <w:r>
        <w:rPr>
          <w:rFonts w:hint="eastAsia" w:ascii="宋体" w:hAnsi="宋体" w:eastAsia="宋体" w:cs="宋体"/>
          <w:color w:val="auto"/>
          <w:spacing w:val="9"/>
          <w:sz w:val="24"/>
          <w:szCs w:val="24"/>
          <w:highlight w:val="none"/>
        </w:rPr>
        <w:t>。</w:t>
      </w:r>
    </w:p>
    <w:p w14:paraId="4FAB21D6">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77" w:right="138" w:firstLine="388"/>
        <w:textAlignment w:val="baseline"/>
        <w:rPr>
          <w:color w:val="auto"/>
          <w:sz w:val="24"/>
          <w:szCs w:val="24"/>
          <w:highlight w:val="none"/>
        </w:rPr>
      </w:pPr>
      <w:r>
        <w:rPr>
          <w:color w:val="auto"/>
          <w:spacing w:val="-4"/>
          <w:sz w:val="24"/>
          <w:szCs w:val="24"/>
          <w:highlight w:val="none"/>
        </w:rPr>
        <w:t>关于项目经理每月在施工现场的时间要求：</w:t>
      </w:r>
      <w:r>
        <w:rPr>
          <w:color w:val="auto"/>
          <w:spacing w:val="-4"/>
          <w:sz w:val="24"/>
          <w:szCs w:val="24"/>
          <w:highlight w:val="none"/>
          <w:u w:val="single" w:color="auto"/>
        </w:rPr>
        <w:t xml:space="preserve"> 从工程开工到竣工验收期间每月在施工现场</w:t>
      </w:r>
      <w:r>
        <w:rPr>
          <w:color w:val="auto"/>
          <w:spacing w:val="-21"/>
          <w:sz w:val="24"/>
          <w:szCs w:val="24"/>
          <w:highlight w:val="none"/>
          <w:u w:val="single" w:color="auto"/>
        </w:rPr>
        <w:t>的有效工作天数不能少于</w:t>
      </w:r>
      <w:r>
        <w:rPr>
          <w:color w:val="auto"/>
          <w:spacing w:val="-23"/>
          <w:sz w:val="24"/>
          <w:szCs w:val="24"/>
          <w:highlight w:val="none"/>
          <w:u w:val="single" w:color="auto"/>
        </w:rPr>
        <w:t xml:space="preserve"> </w:t>
      </w:r>
      <w:r>
        <w:rPr>
          <w:color w:val="auto"/>
          <w:spacing w:val="-21"/>
          <w:sz w:val="24"/>
          <w:szCs w:val="24"/>
          <w:highlight w:val="none"/>
          <w:u w:val="single" w:color="auto"/>
        </w:rPr>
        <w:t>22 天，</w:t>
      </w:r>
      <w:r>
        <w:rPr>
          <w:color w:val="auto"/>
          <w:spacing w:val="-38"/>
          <w:sz w:val="24"/>
          <w:szCs w:val="24"/>
          <w:highlight w:val="none"/>
          <w:u w:val="single" w:color="auto"/>
        </w:rPr>
        <w:t xml:space="preserve"> </w:t>
      </w:r>
      <w:r>
        <w:rPr>
          <w:color w:val="auto"/>
          <w:spacing w:val="-21"/>
          <w:sz w:val="24"/>
          <w:szCs w:val="24"/>
          <w:highlight w:val="none"/>
          <w:u w:val="single" w:color="auto"/>
        </w:rPr>
        <w:t>每天不少于</w:t>
      </w:r>
      <w:r>
        <w:rPr>
          <w:color w:val="auto"/>
          <w:spacing w:val="-40"/>
          <w:sz w:val="24"/>
          <w:szCs w:val="24"/>
          <w:highlight w:val="none"/>
          <w:u w:val="single" w:color="auto"/>
        </w:rPr>
        <w:t xml:space="preserve"> </w:t>
      </w:r>
      <w:r>
        <w:rPr>
          <w:color w:val="auto"/>
          <w:spacing w:val="-21"/>
          <w:sz w:val="24"/>
          <w:szCs w:val="24"/>
          <w:highlight w:val="none"/>
          <w:u w:val="single" w:color="auto"/>
        </w:rPr>
        <w:t>4 小时</w:t>
      </w:r>
      <w:r>
        <w:rPr>
          <w:color w:val="auto"/>
          <w:spacing w:val="-21"/>
          <w:sz w:val="24"/>
          <w:szCs w:val="24"/>
          <w:highlight w:val="none"/>
        </w:rPr>
        <w:t>。</w:t>
      </w:r>
    </w:p>
    <w:p w14:paraId="05F31409">
      <w:pPr>
        <w:pStyle w:val="4"/>
        <w:keepNext w:val="0"/>
        <w:keepLines w:val="0"/>
        <w:pageBreakBefore w:val="0"/>
        <w:widowControl/>
        <w:kinsoku w:val="0"/>
        <w:wordWrap/>
        <w:overflowPunct/>
        <w:topLinePunct w:val="0"/>
        <w:autoSpaceDE w:val="0"/>
        <w:autoSpaceDN w:val="0"/>
        <w:bidi w:val="0"/>
        <w:adjustRightInd w:val="0"/>
        <w:snapToGrid w:val="0"/>
        <w:spacing w:before="2" w:line="480" w:lineRule="exact"/>
        <w:ind w:left="44" w:right="134" w:firstLine="415"/>
        <w:textAlignment w:val="baseline"/>
        <w:rPr>
          <w:color w:val="auto"/>
          <w:sz w:val="24"/>
          <w:szCs w:val="24"/>
          <w:highlight w:val="none"/>
        </w:rPr>
      </w:pPr>
      <w:r>
        <w:rPr>
          <w:color w:val="auto"/>
          <w:spacing w:val="-2"/>
          <w:sz w:val="24"/>
          <w:szCs w:val="24"/>
          <w:highlight w:val="none"/>
        </w:rPr>
        <w:t>承包人未提交劳动合同， 以及没有为项目经理缴纳社会保险证明的违约责任：</w:t>
      </w:r>
      <w:r>
        <w:rPr>
          <w:color w:val="auto"/>
          <w:spacing w:val="-2"/>
          <w:sz w:val="24"/>
          <w:szCs w:val="24"/>
          <w:highlight w:val="none"/>
          <w:u w:val="single" w:color="auto"/>
        </w:rPr>
        <w:t xml:space="preserve"> 处以 200</w:t>
      </w:r>
      <w:r>
        <w:rPr>
          <w:color w:val="auto"/>
          <w:spacing w:val="-13"/>
          <w:sz w:val="24"/>
          <w:szCs w:val="24"/>
          <w:highlight w:val="none"/>
          <w:u w:val="single" w:color="auto"/>
        </w:rPr>
        <w:t>元罚款， 并在接业主通知 1 个月内提交劳动合同及缴纳社会保险证明</w:t>
      </w:r>
      <w:r>
        <w:rPr>
          <w:color w:val="auto"/>
          <w:spacing w:val="-13"/>
          <w:sz w:val="24"/>
          <w:szCs w:val="24"/>
          <w:highlight w:val="none"/>
        </w:rPr>
        <w:t>。</w:t>
      </w:r>
    </w:p>
    <w:p w14:paraId="2799B3E2">
      <w:pPr>
        <w:pStyle w:val="4"/>
        <w:keepNext w:val="0"/>
        <w:keepLines w:val="0"/>
        <w:pageBreakBefore w:val="0"/>
        <w:widowControl/>
        <w:kinsoku w:val="0"/>
        <w:wordWrap/>
        <w:overflowPunct/>
        <w:topLinePunct w:val="0"/>
        <w:autoSpaceDE w:val="0"/>
        <w:autoSpaceDN w:val="0"/>
        <w:bidi w:val="0"/>
        <w:adjustRightInd w:val="0"/>
        <w:snapToGrid w:val="0"/>
        <w:spacing w:before="3" w:line="480" w:lineRule="exact"/>
        <w:ind w:right="132" w:firstLine="456" w:firstLineChars="200"/>
        <w:jc w:val="both"/>
        <w:textAlignment w:val="baseline"/>
        <w:rPr>
          <w:rFonts w:hint="eastAsia" w:eastAsia="宋体"/>
          <w:color w:val="auto"/>
          <w:sz w:val="24"/>
          <w:szCs w:val="24"/>
          <w:highlight w:val="none"/>
          <w:lang w:eastAsia="zh-CN"/>
        </w:rPr>
      </w:pPr>
      <w:r>
        <w:rPr>
          <w:color w:val="auto"/>
          <w:spacing w:val="-6"/>
          <w:sz w:val="24"/>
          <w:szCs w:val="24"/>
          <w:highlight w:val="none"/>
        </w:rPr>
        <w:t>项目经理未经批准， 擅自离开施工现场的违约</w:t>
      </w:r>
      <w:r>
        <w:rPr>
          <w:color w:val="auto"/>
          <w:spacing w:val="-7"/>
          <w:sz w:val="24"/>
          <w:szCs w:val="24"/>
          <w:highlight w:val="none"/>
        </w:rPr>
        <w:t xml:space="preserve">责任： </w:t>
      </w:r>
      <w:r>
        <w:rPr>
          <w:color w:val="auto"/>
          <w:spacing w:val="-93"/>
          <w:sz w:val="24"/>
          <w:szCs w:val="24"/>
          <w:highlight w:val="none"/>
          <w:u w:val="single" w:color="auto"/>
        </w:rPr>
        <w:t xml:space="preserve"> </w:t>
      </w:r>
      <w:r>
        <w:rPr>
          <w:color w:val="auto"/>
          <w:spacing w:val="-7"/>
          <w:sz w:val="24"/>
          <w:szCs w:val="24"/>
          <w:highlight w:val="none"/>
          <w:u w:val="single" w:color="auto"/>
        </w:rPr>
        <w:t>项目经理每月在岗带班时间不得少于</w:t>
      </w:r>
      <w:r>
        <w:rPr>
          <w:color w:val="auto"/>
          <w:sz w:val="24"/>
          <w:szCs w:val="24"/>
          <w:highlight w:val="none"/>
        </w:rPr>
        <w:t xml:space="preserve"> </w:t>
      </w:r>
      <w:r>
        <w:rPr>
          <w:color w:val="auto"/>
          <w:spacing w:val="-4"/>
          <w:sz w:val="24"/>
          <w:szCs w:val="24"/>
          <w:highlight w:val="none"/>
          <w:u w:val="single" w:color="auto"/>
        </w:rPr>
        <w:t xml:space="preserve">当月施工时间的 </w:t>
      </w:r>
      <w:r>
        <w:rPr>
          <w:rFonts w:ascii="Calibri" w:hAnsi="Calibri" w:eastAsia="Calibri" w:cs="Calibri"/>
          <w:color w:val="auto"/>
          <w:spacing w:val="-4"/>
          <w:sz w:val="24"/>
          <w:szCs w:val="24"/>
          <w:highlight w:val="none"/>
          <w:u w:val="single" w:color="auto"/>
        </w:rPr>
        <w:t xml:space="preserve">80%  </w:t>
      </w:r>
      <w:r>
        <w:rPr>
          <w:color w:val="auto"/>
          <w:spacing w:val="-4"/>
          <w:sz w:val="24"/>
          <w:szCs w:val="24"/>
          <w:highlight w:val="none"/>
          <w:u w:val="single" w:color="auto"/>
        </w:rPr>
        <w:t>。未经发包人同意或正当</w:t>
      </w:r>
      <w:r>
        <w:rPr>
          <w:color w:val="auto"/>
          <w:spacing w:val="-5"/>
          <w:sz w:val="24"/>
          <w:szCs w:val="24"/>
          <w:highlight w:val="none"/>
          <w:u w:val="single" w:color="auto"/>
        </w:rPr>
        <w:t xml:space="preserve">理由，项目经理每月在岗带班时间少于当月施工时间 </w:t>
      </w:r>
      <w:r>
        <w:rPr>
          <w:rFonts w:ascii="Calibri" w:hAnsi="Calibri" w:eastAsia="Calibri" w:cs="Calibri"/>
          <w:color w:val="auto"/>
          <w:spacing w:val="-5"/>
          <w:sz w:val="24"/>
          <w:szCs w:val="24"/>
          <w:highlight w:val="none"/>
          <w:u w:val="single" w:color="auto"/>
        </w:rPr>
        <w:t>80%</w:t>
      </w:r>
      <w:r>
        <w:rPr>
          <w:color w:val="auto"/>
          <w:spacing w:val="-5"/>
          <w:sz w:val="24"/>
          <w:szCs w:val="24"/>
          <w:highlight w:val="none"/>
          <w:u w:val="single" w:color="auto"/>
        </w:rPr>
        <w:t xml:space="preserve">的，少在岗带班一天， 发包人有权处违约金 </w:t>
      </w:r>
      <w:r>
        <w:rPr>
          <w:rFonts w:ascii="Calibri" w:hAnsi="Calibri" w:eastAsia="Calibri" w:cs="Calibri"/>
          <w:color w:val="auto"/>
          <w:spacing w:val="-5"/>
          <w:sz w:val="24"/>
          <w:szCs w:val="24"/>
          <w:highlight w:val="none"/>
          <w:u w:val="single" w:color="auto"/>
        </w:rPr>
        <w:t xml:space="preserve">200  </w:t>
      </w:r>
      <w:r>
        <w:rPr>
          <w:color w:val="auto"/>
          <w:spacing w:val="-5"/>
          <w:sz w:val="24"/>
          <w:szCs w:val="24"/>
          <w:highlight w:val="none"/>
          <w:u w:val="single" w:color="auto"/>
        </w:rPr>
        <w:t>元</w:t>
      </w:r>
      <w:r>
        <w:rPr>
          <w:rFonts w:ascii="Calibri" w:hAnsi="Calibri" w:eastAsia="Calibri" w:cs="Calibri"/>
          <w:color w:val="auto"/>
          <w:spacing w:val="-5"/>
          <w:sz w:val="24"/>
          <w:szCs w:val="24"/>
          <w:highlight w:val="none"/>
          <w:u w:val="single" w:color="auto"/>
        </w:rPr>
        <w:t>/</w:t>
      </w:r>
      <w:r>
        <w:rPr>
          <w:color w:val="auto"/>
          <w:spacing w:val="-5"/>
          <w:sz w:val="24"/>
          <w:szCs w:val="24"/>
          <w:highlight w:val="none"/>
          <w:u w:val="single" w:color="auto"/>
        </w:rPr>
        <w:t xml:space="preserve">日(人民币)   </w:t>
      </w:r>
      <w:r>
        <w:rPr>
          <w:rFonts w:hint="eastAsia" w:eastAsia="宋体"/>
          <w:color w:val="auto"/>
          <w:spacing w:val="-5"/>
          <w:sz w:val="24"/>
          <w:szCs w:val="24"/>
          <w:highlight w:val="none"/>
          <w:u w:val="single" w:color="auto"/>
          <w:lang w:eastAsia="zh-CN"/>
        </w:rPr>
        <w:t>。</w:t>
      </w:r>
    </w:p>
    <w:p w14:paraId="3CE09EA6">
      <w:pPr>
        <w:pStyle w:val="4"/>
        <w:keepNext w:val="0"/>
        <w:keepLines w:val="0"/>
        <w:pageBreakBefore w:val="0"/>
        <w:widowControl/>
        <w:kinsoku w:val="0"/>
        <w:wordWrap/>
        <w:overflowPunct/>
        <w:topLinePunct w:val="0"/>
        <w:autoSpaceDE w:val="0"/>
        <w:autoSpaceDN w:val="0"/>
        <w:bidi w:val="0"/>
        <w:adjustRightInd w:val="0"/>
        <w:snapToGrid w:val="0"/>
        <w:spacing w:before="120" w:line="480" w:lineRule="exact"/>
        <w:ind w:right="128" w:firstLine="496" w:firstLineChars="200"/>
        <w:jc w:val="both"/>
        <w:textAlignment w:val="baseline"/>
        <w:rPr>
          <w:color w:val="auto"/>
          <w:sz w:val="24"/>
          <w:szCs w:val="24"/>
          <w:highlight w:val="none"/>
        </w:rPr>
      </w:pPr>
      <w:r>
        <w:rPr>
          <w:rFonts w:ascii="Calibri" w:hAnsi="Calibri" w:eastAsia="Calibri" w:cs="Calibri"/>
          <w:color w:val="auto"/>
          <w:spacing w:val="4"/>
          <w:sz w:val="24"/>
          <w:szCs w:val="24"/>
          <w:highlight w:val="none"/>
        </w:rPr>
        <w:t xml:space="preserve">3.2.3    </w:t>
      </w:r>
      <w:r>
        <w:rPr>
          <w:color w:val="auto"/>
          <w:spacing w:val="4"/>
          <w:sz w:val="24"/>
          <w:szCs w:val="24"/>
          <w:highlight w:val="none"/>
        </w:rPr>
        <w:t>承包人擅自更换项目经理的违约责任</w:t>
      </w:r>
      <w:r>
        <w:rPr>
          <w:color w:val="auto"/>
          <w:spacing w:val="4"/>
          <w:sz w:val="24"/>
          <w:szCs w:val="24"/>
          <w:highlight w:val="none"/>
          <w:u w:val="single" w:color="auto"/>
        </w:rPr>
        <w:t>承包人项目经理必须与承包人</w:t>
      </w:r>
      <w:r>
        <w:rPr>
          <w:color w:val="auto"/>
          <w:spacing w:val="3"/>
          <w:sz w:val="24"/>
          <w:szCs w:val="24"/>
          <w:highlight w:val="none"/>
          <w:u w:val="single" w:color="auto"/>
        </w:rPr>
        <w:t>投标时所承诺的人</w:t>
      </w:r>
      <w:r>
        <w:rPr>
          <w:color w:val="auto"/>
          <w:spacing w:val="5"/>
          <w:sz w:val="24"/>
          <w:szCs w:val="24"/>
          <w:highlight w:val="none"/>
          <w:u w:val="single" w:color="auto"/>
        </w:rPr>
        <w:t>员 一致，</w:t>
      </w:r>
      <w:r>
        <w:rPr>
          <w:color w:val="auto"/>
          <w:spacing w:val="53"/>
          <w:sz w:val="24"/>
          <w:szCs w:val="24"/>
          <w:highlight w:val="none"/>
          <w:u w:val="single" w:color="auto"/>
        </w:rPr>
        <w:t xml:space="preserve"> </w:t>
      </w:r>
      <w:r>
        <w:rPr>
          <w:color w:val="auto"/>
          <w:spacing w:val="5"/>
          <w:sz w:val="24"/>
          <w:szCs w:val="24"/>
          <w:highlight w:val="none"/>
          <w:u w:val="single" w:color="auto"/>
        </w:rPr>
        <w:t>并在(开工日期) 前到任。在监理人向承包人颁发(竣工证明材料名称)前，项目</w:t>
      </w:r>
      <w:r>
        <w:rPr>
          <w:color w:val="auto"/>
          <w:spacing w:val="-10"/>
          <w:sz w:val="24"/>
          <w:szCs w:val="24"/>
          <w:highlight w:val="none"/>
          <w:u w:val="single" w:color="auto"/>
        </w:rPr>
        <w:t>经理</w:t>
      </w:r>
      <w:r>
        <w:rPr>
          <w:color w:val="auto"/>
          <w:spacing w:val="26"/>
          <w:sz w:val="24"/>
          <w:szCs w:val="24"/>
          <w:highlight w:val="none"/>
          <w:u w:val="single" w:color="auto"/>
        </w:rPr>
        <w:t xml:space="preserve"> </w:t>
      </w:r>
      <w:r>
        <w:rPr>
          <w:color w:val="auto"/>
          <w:spacing w:val="-10"/>
          <w:sz w:val="24"/>
          <w:szCs w:val="24"/>
          <w:highlight w:val="none"/>
          <w:u w:val="single" w:color="auto"/>
        </w:rPr>
        <w:t xml:space="preserve">不得同时兼任其他任何项目的项目经理(符合桂建管﹝ </w:t>
      </w:r>
      <w:r>
        <w:rPr>
          <w:rFonts w:ascii="Calibri" w:hAnsi="Calibri" w:eastAsia="Calibri" w:cs="Calibri"/>
          <w:color w:val="auto"/>
          <w:spacing w:val="-10"/>
          <w:sz w:val="24"/>
          <w:szCs w:val="24"/>
          <w:highlight w:val="none"/>
          <w:u w:val="single" w:color="auto"/>
        </w:rPr>
        <w:t xml:space="preserve">2013  </w:t>
      </w:r>
      <w:r>
        <w:rPr>
          <w:color w:val="auto"/>
          <w:spacing w:val="-10"/>
          <w:sz w:val="24"/>
          <w:szCs w:val="24"/>
          <w:highlight w:val="none"/>
          <w:u w:val="single" w:color="auto"/>
        </w:rPr>
        <w:t xml:space="preserve">﹞ </w:t>
      </w:r>
      <w:r>
        <w:rPr>
          <w:rFonts w:ascii="Calibri" w:hAnsi="Calibri" w:eastAsia="Calibri" w:cs="Calibri"/>
          <w:color w:val="auto"/>
          <w:spacing w:val="-10"/>
          <w:sz w:val="24"/>
          <w:szCs w:val="24"/>
          <w:highlight w:val="none"/>
          <w:u w:val="single" w:color="auto"/>
        </w:rPr>
        <w:t xml:space="preserve">17  </w:t>
      </w:r>
      <w:r>
        <w:rPr>
          <w:color w:val="auto"/>
          <w:spacing w:val="-11"/>
          <w:sz w:val="24"/>
          <w:szCs w:val="24"/>
          <w:highlight w:val="none"/>
          <w:u w:val="single" w:color="auto"/>
        </w:rPr>
        <w:t xml:space="preserve">号和桂建管﹝ </w:t>
      </w:r>
      <w:r>
        <w:rPr>
          <w:rFonts w:ascii="Calibri" w:hAnsi="Calibri" w:eastAsia="Calibri" w:cs="Calibri"/>
          <w:color w:val="auto"/>
          <w:spacing w:val="-11"/>
          <w:sz w:val="24"/>
          <w:szCs w:val="24"/>
          <w:highlight w:val="none"/>
          <w:u w:val="single" w:color="auto"/>
        </w:rPr>
        <w:t xml:space="preserve">2014  </w:t>
      </w:r>
      <w:r>
        <w:rPr>
          <w:color w:val="auto"/>
          <w:spacing w:val="-11"/>
          <w:sz w:val="24"/>
          <w:szCs w:val="24"/>
          <w:highlight w:val="none"/>
          <w:u w:val="single" w:color="auto"/>
        </w:rPr>
        <w:t xml:space="preserve">﹞ </w:t>
      </w:r>
      <w:r>
        <w:rPr>
          <w:rFonts w:ascii="Calibri" w:hAnsi="Calibri" w:eastAsia="Calibri" w:cs="Calibri"/>
          <w:color w:val="auto"/>
          <w:spacing w:val="-11"/>
          <w:sz w:val="24"/>
          <w:szCs w:val="24"/>
          <w:highlight w:val="none"/>
          <w:u w:val="single" w:color="auto"/>
        </w:rPr>
        <w:t>25</w:t>
      </w:r>
      <w:r>
        <w:rPr>
          <w:color w:val="auto"/>
          <w:spacing w:val="-5"/>
          <w:sz w:val="24"/>
          <w:szCs w:val="24"/>
          <w:highlight w:val="none"/>
          <w:u w:val="single" w:color="auto"/>
        </w:rPr>
        <w:t xml:space="preserve">号文除外)。未经发包人书面同意，承包人擅自更换项目经理的视为违约，违约金处 </w:t>
      </w:r>
      <w:r>
        <w:rPr>
          <w:rFonts w:ascii="Calibri" w:hAnsi="Calibri" w:eastAsia="Calibri" w:cs="Calibri"/>
          <w:color w:val="auto"/>
          <w:spacing w:val="-5"/>
          <w:sz w:val="24"/>
          <w:szCs w:val="24"/>
          <w:highlight w:val="none"/>
          <w:u w:val="single" w:color="auto"/>
        </w:rPr>
        <w:t xml:space="preserve">200  </w:t>
      </w:r>
      <w:r>
        <w:rPr>
          <w:color w:val="auto"/>
          <w:spacing w:val="-5"/>
          <w:sz w:val="24"/>
          <w:szCs w:val="24"/>
          <w:highlight w:val="none"/>
          <w:u w:val="single" w:color="auto"/>
        </w:rPr>
        <w:t>元</w:t>
      </w:r>
      <w:r>
        <w:rPr>
          <w:rFonts w:ascii="Calibri" w:hAnsi="Calibri" w:eastAsia="Calibri" w:cs="Calibri"/>
          <w:color w:val="auto"/>
          <w:spacing w:val="-5"/>
          <w:sz w:val="24"/>
          <w:szCs w:val="24"/>
          <w:highlight w:val="none"/>
          <w:u w:val="single" w:color="auto"/>
        </w:rPr>
        <w:t>/</w:t>
      </w:r>
      <w:r>
        <w:rPr>
          <w:color w:val="auto"/>
          <w:spacing w:val="-5"/>
          <w:sz w:val="24"/>
          <w:szCs w:val="24"/>
          <w:highlight w:val="none"/>
          <w:u w:val="single" w:color="auto"/>
        </w:rPr>
        <w:t>人</w:t>
      </w:r>
      <w:r>
        <w:rPr>
          <w:rFonts w:ascii="Calibri" w:hAnsi="Calibri" w:eastAsia="Calibri" w:cs="Calibri"/>
          <w:color w:val="auto"/>
          <w:spacing w:val="-6"/>
          <w:sz w:val="24"/>
          <w:szCs w:val="24"/>
          <w:highlight w:val="none"/>
          <w:u w:val="single" w:color="auto"/>
        </w:rPr>
        <w:t>•</w:t>
      </w:r>
      <w:r>
        <w:rPr>
          <w:color w:val="auto"/>
          <w:spacing w:val="-6"/>
          <w:sz w:val="24"/>
          <w:szCs w:val="24"/>
          <w:highlight w:val="none"/>
          <w:u w:val="single" w:color="auto"/>
        </w:rPr>
        <w:t>次(人</w:t>
      </w:r>
      <w:r>
        <w:rPr>
          <w:color w:val="auto"/>
          <w:spacing w:val="-8"/>
          <w:sz w:val="24"/>
          <w:szCs w:val="24"/>
          <w:highlight w:val="none"/>
          <w:u w:val="single" w:color="auto"/>
        </w:rPr>
        <w:t xml:space="preserve">民币)   </w:t>
      </w:r>
      <w:r>
        <w:rPr>
          <w:color w:val="auto"/>
          <w:spacing w:val="-8"/>
          <w:sz w:val="24"/>
          <w:szCs w:val="24"/>
          <w:highlight w:val="none"/>
        </w:rPr>
        <w:t>。</w:t>
      </w:r>
    </w:p>
    <w:p w14:paraId="4C0E8D5C">
      <w:pPr>
        <w:pStyle w:val="4"/>
        <w:keepNext w:val="0"/>
        <w:keepLines w:val="0"/>
        <w:pageBreakBefore w:val="0"/>
        <w:widowControl/>
        <w:kinsoku w:val="0"/>
        <w:wordWrap/>
        <w:overflowPunct/>
        <w:topLinePunct w:val="0"/>
        <w:autoSpaceDE w:val="0"/>
        <w:autoSpaceDN w:val="0"/>
        <w:bidi w:val="0"/>
        <w:adjustRightInd w:val="0"/>
        <w:snapToGrid w:val="0"/>
        <w:spacing w:before="75" w:line="480" w:lineRule="exact"/>
        <w:ind w:left="42" w:right="55" w:firstLine="421"/>
        <w:textAlignment w:val="baseline"/>
        <w:rPr>
          <w:rFonts w:hint="eastAsia" w:eastAsia="宋体"/>
          <w:color w:val="auto"/>
          <w:sz w:val="24"/>
          <w:szCs w:val="24"/>
          <w:highlight w:val="none"/>
          <w:lang w:eastAsia="zh-CN"/>
        </w:rPr>
      </w:pPr>
      <w:r>
        <w:rPr>
          <w:rFonts w:ascii="Calibri" w:hAnsi="Calibri" w:eastAsia="Calibri" w:cs="Calibri"/>
          <w:color w:val="auto"/>
          <w:spacing w:val="-6"/>
          <w:sz w:val="24"/>
          <w:szCs w:val="24"/>
          <w:highlight w:val="none"/>
        </w:rPr>
        <w:t xml:space="preserve">3.2.4    </w:t>
      </w:r>
      <w:r>
        <w:rPr>
          <w:color w:val="auto"/>
          <w:spacing w:val="-6"/>
          <w:sz w:val="24"/>
          <w:szCs w:val="24"/>
          <w:highlight w:val="none"/>
        </w:rPr>
        <w:t xml:space="preserve">承包人无正当理由拒绝更换项目经理的违约责任： </w:t>
      </w:r>
      <w:r>
        <w:rPr>
          <w:color w:val="auto"/>
          <w:spacing w:val="-80"/>
          <w:sz w:val="24"/>
          <w:szCs w:val="24"/>
          <w:highlight w:val="none"/>
          <w:u w:val="single" w:color="auto"/>
        </w:rPr>
        <w:t xml:space="preserve"> </w:t>
      </w:r>
      <w:r>
        <w:rPr>
          <w:color w:val="auto"/>
          <w:spacing w:val="-6"/>
          <w:sz w:val="24"/>
          <w:szCs w:val="24"/>
          <w:highlight w:val="none"/>
          <w:u w:val="single" w:color="auto"/>
        </w:rPr>
        <w:t>因承包人项目经理</w:t>
      </w:r>
      <w:r>
        <w:rPr>
          <w:color w:val="auto"/>
          <w:spacing w:val="-7"/>
          <w:sz w:val="24"/>
          <w:szCs w:val="24"/>
          <w:highlight w:val="none"/>
          <w:u w:val="single" w:color="auto"/>
        </w:rPr>
        <w:t>不称职，发包人</w:t>
      </w:r>
      <w:r>
        <w:rPr>
          <w:color w:val="auto"/>
          <w:spacing w:val="-12"/>
          <w:sz w:val="24"/>
          <w:szCs w:val="24"/>
          <w:highlight w:val="none"/>
          <w:u w:val="single" w:color="auto"/>
        </w:rPr>
        <w:t xml:space="preserve">要求调换而未及时调换的，视为承包人违约， 必须向发包人交纳处罚金 </w:t>
      </w:r>
      <w:r>
        <w:rPr>
          <w:rFonts w:ascii="Calibri" w:hAnsi="Calibri" w:eastAsia="Calibri" w:cs="Calibri"/>
          <w:color w:val="auto"/>
          <w:spacing w:val="-12"/>
          <w:sz w:val="24"/>
          <w:szCs w:val="24"/>
          <w:highlight w:val="none"/>
          <w:u w:val="single" w:color="auto"/>
        </w:rPr>
        <w:t xml:space="preserve">200  </w:t>
      </w:r>
      <w:r>
        <w:rPr>
          <w:color w:val="auto"/>
          <w:spacing w:val="-12"/>
          <w:sz w:val="24"/>
          <w:szCs w:val="24"/>
          <w:highlight w:val="none"/>
          <w:u w:val="single" w:color="auto"/>
        </w:rPr>
        <w:t>元</w:t>
      </w:r>
      <w:r>
        <w:rPr>
          <w:rFonts w:ascii="Calibri" w:hAnsi="Calibri" w:eastAsia="Calibri" w:cs="Calibri"/>
          <w:color w:val="auto"/>
          <w:spacing w:val="-12"/>
          <w:sz w:val="24"/>
          <w:szCs w:val="24"/>
          <w:highlight w:val="none"/>
          <w:u w:val="single" w:color="auto"/>
        </w:rPr>
        <w:t>/</w:t>
      </w:r>
      <w:r>
        <w:rPr>
          <w:color w:val="auto"/>
          <w:spacing w:val="-12"/>
          <w:sz w:val="24"/>
          <w:szCs w:val="24"/>
          <w:highlight w:val="none"/>
          <w:u w:val="single" w:color="auto"/>
        </w:rPr>
        <w:t>人</w:t>
      </w:r>
      <w:r>
        <w:rPr>
          <w:rFonts w:ascii="Calibri" w:hAnsi="Calibri" w:eastAsia="Calibri" w:cs="Calibri"/>
          <w:color w:val="auto"/>
          <w:spacing w:val="-13"/>
          <w:sz w:val="24"/>
          <w:szCs w:val="24"/>
          <w:highlight w:val="none"/>
          <w:u w:val="single" w:color="auto"/>
        </w:rPr>
        <w:t>•</w:t>
      </w:r>
      <w:r>
        <w:rPr>
          <w:color w:val="auto"/>
          <w:spacing w:val="-13"/>
          <w:sz w:val="24"/>
          <w:szCs w:val="24"/>
          <w:highlight w:val="none"/>
          <w:u w:val="single" w:color="auto"/>
        </w:rPr>
        <w:t>次</w:t>
      </w:r>
      <w:r>
        <w:rPr>
          <w:color w:val="auto"/>
          <w:spacing w:val="20"/>
          <w:sz w:val="24"/>
          <w:szCs w:val="24"/>
          <w:highlight w:val="none"/>
          <w:u w:val="single" w:color="auto"/>
        </w:rPr>
        <w:t xml:space="preserve"> </w:t>
      </w:r>
      <w:r>
        <w:rPr>
          <w:color w:val="auto"/>
          <w:spacing w:val="-13"/>
          <w:sz w:val="24"/>
          <w:szCs w:val="24"/>
          <w:highlight w:val="none"/>
          <w:u w:val="single" w:color="auto"/>
        </w:rPr>
        <w:t>(人民币)</w:t>
      </w:r>
      <w:r>
        <w:rPr>
          <w:rFonts w:hint="eastAsia" w:eastAsia="宋体"/>
          <w:color w:val="auto"/>
          <w:sz w:val="24"/>
          <w:szCs w:val="24"/>
          <w:highlight w:val="none"/>
          <w:lang w:eastAsia="zh-CN"/>
        </w:rPr>
        <w:t>。</w:t>
      </w:r>
    </w:p>
    <w:p w14:paraId="5F0B413D">
      <w:pPr>
        <w:pStyle w:val="4"/>
        <w:keepNext w:val="0"/>
        <w:keepLines w:val="0"/>
        <w:pageBreakBefore w:val="0"/>
        <w:widowControl/>
        <w:kinsoku w:val="0"/>
        <w:wordWrap/>
        <w:overflowPunct/>
        <w:topLinePunct w:val="0"/>
        <w:autoSpaceDE w:val="0"/>
        <w:autoSpaceDN w:val="0"/>
        <w:bidi w:val="0"/>
        <w:adjustRightInd w:val="0"/>
        <w:snapToGrid w:val="0"/>
        <w:spacing w:before="75" w:line="480" w:lineRule="exact"/>
        <w:ind w:left="42" w:right="55"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3.3</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承包人人员</w:t>
      </w:r>
    </w:p>
    <w:p w14:paraId="10876BA9">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0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3.3.1 承包人提交项目管理机构及施工现场管理人员安排报告（格式见合同附件</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6"/>
          <w:sz w:val="24"/>
          <w:szCs w:val="24"/>
          <w:highlight w:val="none"/>
        </w:rPr>
        <w:t>的期限：</w:t>
      </w:r>
      <w:r>
        <w:rPr>
          <w:rFonts w:hint="eastAsia" w:ascii="宋体" w:hAnsi="宋体" w:eastAsia="宋体" w:cs="宋体"/>
          <w:color w:val="auto"/>
          <w:spacing w:val="6"/>
          <w:sz w:val="24"/>
          <w:szCs w:val="24"/>
          <w:highlight w:val="none"/>
          <w:u w:val="single" w:color="auto"/>
        </w:rPr>
        <w:t>开工前</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7</w:t>
      </w:r>
      <w:r>
        <w:rPr>
          <w:rFonts w:hint="eastAsia" w:ascii="宋体" w:hAnsi="宋体" w:eastAsia="宋体" w:cs="宋体"/>
          <w:color w:val="auto"/>
          <w:spacing w:val="-9"/>
          <w:sz w:val="24"/>
          <w:szCs w:val="24"/>
          <w:highlight w:val="none"/>
          <w:u w:val="single" w:color="auto"/>
        </w:rPr>
        <w:t>日内</w:t>
      </w:r>
      <w:r>
        <w:rPr>
          <w:rFonts w:hint="eastAsia" w:ascii="宋体" w:hAnsi="宋体" w:eastAsia="宋体" w:cs="宋体"/>
          <w:color w:val="auto"/>
          <w:spacing w:val="-9"/>
          <w:sz w:val="24"/>
          <w:szCs w:val="24"/>
          <w:highlight w:val="none"/>
        </w:rPr>
        <w:t>。</w:t>
      </w:r>
    </w:p>
    <w:p w14:paraId="3EEC814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11" w:right="16"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3.3.3 承包人无正当理由拒绝撤换主要施工管理人员的违约责任：</w:t>
      </w:r>
      <w:r>
        <w:rPr>
          <w:rFonts w:hint="eastAsia" w:ascii="宋体" w:hAnsi="宋体" w:eastAsia="宋体" w:cs="宋体"/>
          <w:color w:val="auto"/>
          <w:spacing w:val="6"/>
          <w:sz w:val="24"/>
          <w:szCs w:val="24"/>
          <w:highlight w:val="none"/>
          <w:u w:val="single" w:color="auto"/>
        </w:rPr>
        <w:t>因承包人主要</w:t>
      </w:r>
      <w:r>
        <w:rPr>
          <w:rFonts w:hint="eastAsia" w:ascii="宋体" w:hAnsi="宋体" w:eastAsia="宋体" w:cs="宋体"/>
          <w:color w:val="auto"/>
          <w:spacing w:val="5"/>
          <w:sz w:val="24"/>
          <w:szCs w:val="24"/>
          <w:highlight w:val="none"/>
          <w:u w:val="single" w:color="auto"/>
        </w:rPr>
        <w:t>施工管理人员不称职，</w:t>
      </w:r>
      <w:r>
        <w:rPr>
          <w:rFonts w:hint="eastAsia" w:ascii="宋体" w:hAnsi="宋体" w:eastAsia="宋体" w:cs="宋体"/>
          <w:color w:val="auto"/>
          <w:spacing w:val="10"/>
          <w:sz w:val="24"/>
          <w:szCs w:val="24"/>
          <w:highlight w:val="none"/>
          <w:u w:val="single" w:color="auto"/>
        </w:rPr>
        <w:t>发包人要求调换而无正当理由拒绝撤换或未及时调换的，视为承包人违约，必</w:t>
      </w:r>
      <w:r>
        <w:rPr>
          <w:rFonts w:hint="eastAsia" w:ascii="宋体" w:hAnsi="宋体" w:eastAsia="宋体" w:cs="宋体"/>
          <w:color w:val="auto"/>
          <w:spacing w:val="9"/>
          <w:sz w:val="24"/>
          <w:szCs w:val="24"/>
          <w:highlight w:val="none"/>
          <w:u w:val="single" w:color="auto"/>
        </w:rPr>
        <w:t>须向发包人交纳处罚金，处</w:t>
      </w:r>
      <w:r>
        <w:rPr>
          <w:rFonts w:hint="eastAsia" w:ascii="宋体" w:hAnsi="宋体" w:eastAsia="宋体" w:cs="宋体"/>
          <w:color w:val="auto"/>
          <w:spacing w:val="6"/>
          <w:sz w:val="24"/>
          <w:szCs w:val="24"/>
          <w:highlight w:val="none"/>
          <w:u w:val="single" w:color="auto"/>
        </w:rPr>
        <w:t>罚标准：技术负责人</w:t>
      </w:r>
      <w:r>
        <w:rPr>
          <w:rFonts w:hint="eastAsia" w:ascii="宋体" w:hAnsi="宋体" w:eastAsia="宋体" w:cs="宋体"/>
          <w:color w:val="auto"/>
          <w:spacing w:val="-35"/>
          <w:sz w:val="24"/>
          <w:szCs w:val="24"/>
          <w:highlight w:val="none"/>
          <w:u w:val="single" w:color="auto"/>
          <w:lang w:val="en-US" w:eastAsia="zh-CN"/>
        </w:rPr>
        <w:t>2</w:t>
      </w:r>
      <w:r>
        <w:rPr>
          <w:rFonts w:hint="eastAsia" w:ascii="宋体" w:hAnsi="宋体" w:eastAsia="宋体" w:cs="宋体"/>
          <w:color w:val="auto"/>
          <w:spacing w:val="6"/>
          <w:sz w:val="24"/>
          <w:szCs w:val="24"/>
          <w:highlight w:val="none"/>
          <w:u w:val="single" w:color="auto"/>
        </w:rPr>
        <w:t>00</w:t>
      </w:r>
      <w:r>
        <w:rPr>
          <w:rFonts w:hint="eastAsia" w:ascii="宋体" w:hAnsi="宋体" w:eastAsia="宋体" w:cs="宋体"/>
          <w:color w:val="auto"/>
          <w:spacing w:val="-39"/>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元/人•次（人民币</w:t>
      </w:r>
      <w:r>
        <w:rPr>
          <w:rFonts w:hint="eastAsia" w:ascii="宋体" w:hAnsi="宋体" w:eastAsia="宋体" w:cs="宋体"/>
          <w:color w:val="auto"/>
          <w:spacing w:val="15"/>
          <w:sz w:val="24"/>
          <w:szCs w:val="24"/>
          <w:highlight w:val="none"/>
          <w:u w:val="single" w:color="auto"/>
        </w:rPr>
        <w:t>）；</w:t>
      </w:r>
      <w:r>
        <w:rPr>
          <w:rFonts w:hint="eastAsia" w:ascii="宋体" w:hAnsi="宋体" w:eastAsia="宋体" w:cs="宋体"/>
          <w:color w:val="auto"/>
          <w:spacing w:val="6"/>
          <w:sz w:val="24"/>
          <w:szCs w:val="24"/>
          <w:highlight w:val="none"/>
          <w:u w:val="single" w:color="auto"/>
        </w:rPr>
        <w:t>专业工程师</w:t>
      </w:r>
      <w:r>
        <w:rPr>
          <w:rFonts w:hint="eastAsia" w:ascii="宋体" w:hAnsi="宋体" w:eastAsia="宋体" w:cs="宋体"/>
          <w:color w:val="auto"/>
          <w:spacing w:val="-21"/>
          <w:sz w:val="24"/>
          <w:szCs w:val="24"/>
          <w:highlight w:val="none"/>
          <w:u w:val="single" w:color="auto"/>
          <w:lang w:val="en-US" w:eastAsia="zh-CN"/>
        </w:rPr>
        <w:t>2</w:t>
      </w:r>
      <w:r>
        <w:rPr>
          <w:rFonts w:hint="eastAsia" w:ascii="宋体" w:hAnsi="宋体" w:eastAsia="宋体" w:cs="宋体"/>
          <w:color w:val="auto"/>
          <w:spacing w:val="6"/>
          <w:sz w:val="24"/>
          <w:szCs w:val="24"/>
          <w:highlight w:val="none"/>
          <w:u w:val="single" w:color="auto"/>
        </w:rPr>
        <w:t>00</w:t>
      </w:r>
      <w:r>
        <w:rPr>
          <w:rFonts w:hint="eastAsia" w:ascii="宋体" w:hAnsi="宋体" w:eastAsia="宋体" w:cs="宋体"/>
          <w:color w:val="auto"/>
          <w:spacing w:val="-37"/>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元/人•次（人民币）</w:t>
      </w:r>
      <w:r>
        <w:rPr>
          <w:rFonts w:hint="eastAsia" w:ascii="宋体" w:hAnsi="宋体" w:eastAsia="宋体" w:cs="宋体"/>
          <w:color w:val="auto"/>
          <w:spacing w:val="6"/>
          <w:sz w:val="24"/>
          <w:szCs w:val="24"/>
          <w:highlight w:val="none"/>
        </w:rPr>
        <w:t>。</w:t>
      </w:r>
    </w:p>
    <w:p w14:paraId="0113A77A">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3.3.4 承包人主要施工管理人员离开施工现场的批准要求：</w:t>
      </w:r>
      <w:r>
        <w:rPr>
          <w:rFonts w:hint="eastAsia" w:ascii="宋体" w:hAnsi="宋体" w:eastAsia="宋体" w:cs="宋体"/>
          <w:color w:val="auto"/>
          <w:spacing w:val="9"/>
          <w:sz w:val="24"/>
          <w:szCs w:val="24"/>
          <w:highlight w:val="none"/>
          <w:u w:val="single" w:color="auto"/>
        </w:rPr>
        <w:t>经建设单位及</w:t>
      </w:r>
      <w:r>
        <w:rPr>
          <w:rFonts w:hint="eastAsia" w:ascii="宋体" w:hAnsi="宋体" w:eastAsia="宋体" w:cs="宋体"/>
          <w:color w:val="auto"/>
          <w:spacing w:val="8"/>
          <w:sz w:val="24"/>
          <w:szCs w:val="24"/>
          <w:highlight w:val="none"/>
          <w:u w:val="single" w:color="auto"/>
        </w:rPr>
        <w:t>监理单位批准同意后</w:t>
      </w:r>
      <w:r>
        <w:rPr>
          <w:rFonts w:hint="eastAsia" w:ascii="宋体" w:hAnsi="宋体" w:eastAsia="宋体" w:cs="宋体"/>
          <w:color w:val="auto"/>
          <w:spacing w:val="8"/>
          <w:sz w:val="24"/>
          <w:szCs w:val="24"/>
          <w:highlight w:val="none"/>
        </w:rPr>
        <w:t>。</w:t>
      </w:r>
    </w:p>
    <w:p w14:paraId="4105B31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7" w:right="68" w:firstLine="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3.3.5 承包人擅自更换主要施工管理人员的违约责任：</w:t>
      </w:r>
      <w:r>
        <w:rPr>
          <w:rFonts w:hint="eastAsia" w:ascii="宋体" w:hAnsi="宋体" w:eastAsia="宋体" w:cs="宋体"/>
          <w:color w:val="auto"/>
          <w:spacing w:val="9"/>
          <w:sz w:val="24"/>
          <w:szCs w:val="24"/>
          <w:highlight w:val="none"/>
          <w:u w:val="single" w:color="auto"/>
        </w:rPr>
        <w:t>项目技术负责人、专职安全员及其承诺的其它</w:t>
      </w:r>
      <w:r>
        <w:rPr>
          <w:rFonts w:hint="eastAsia" w:ascii="宋体" w:hAnsi="宋体" w:eastAsia="宋体" w:cs="宋体"/>
          <w:color w:val="auto"/>
          <w:spacing w:val="10"/>
          <w:sz w:val="24"/>
          <w:szCs w:val="24"/>
          <w:highlight w:val="none"/>
          <w:u w:val="single" w:color="auto"/>
        </w:rPr>
        <w:t>在场管理人员未经发包人书面同意不准擅自更换，擅自更换项目技术负责人处</w:t>
      </w:r>
      <w:r>
        <w:rPr>
          <w:rFonts w:hint="eastAsia" w:ascii="宋体" w:hAnsi="宋体" w:eastAsia="宋体" w:cs="宋体"/>
          <w:color w:val="auto"/>
          <w:spacing w:val="10"/>
          <w:sz w:val="24"/>
          <w:szCs w:val="24"/>
          <w:highlight w:val="none"/>
          <w:u w:val="single" w:color="auto"/>
          <w:lang w:val="en-US" w:eastAsia="zh-CN"/>
        </w:rPr>
        <w:t>200</w:t>
      </w:r>
      <w:r>
        <w:rPr>
          <w:rFonts w:hint="eastAsia" w:ascii="宋体" w:hAnsi="宋体" w:eastAsia="宋体" w:cs="宋体"/>
          <w:color w:val="auto"/>
          <w:spacing w:val="10"/>
          <w:sz w:val="24"/>
          <w:szCs w:val="24"/>
          <w:highlight w:val="none"/>
          <w:u w:val="single" w:color="auto"/>
        </w:rPr>
        <w:t>元/人•次（人</w:t>
      </w:r>
      <w:r>
        <w:rPr>
          <w:rFonts w:hint="eastAsia" w:ascii="宋体" w:hAnsi="宋体" w:eastAsia="宋体" w:cs="宋体"/>
          <w:color w:val="auto"/>
          <w:spacing w:val="9"/>
          <w:sz w:val="24"/>
          <w:szCs w:val="24"/>
          <w:highlight w:val="none"/>
          <w:u w:val="single" w:color="auto"/>
        </w:rPr>
        <w:t>民币）</w:t>
      </w:r>
      <w:r>
        <w:rPr>
          <w:rFonts w:hint="eastAsia" w:ascii="宋体" w:hAnsi="宋体" w:eastAsia="宋体" w:cs="宋体"/>
          <w:color w:val="auto"/>
          <w:spacing w:val="8"/>
          <w:sz w:val="24"/>
          <w:szCs w:val="24"/>
          <w:highlight w:val="none"/>
          <w:u w:val="single" w:color="auto"/>
        </w:rPr>
        <w:t>违约金；擅自更换专职安全员处</w:t>
      </w:r>
      <w:r>
        <w:rPr>
          <w:rFonts w:hint="eastAsia" w:ascii="宋体" w:hAnsi="宋体" w:eastAsia="宋体" w:cs="宋体"/>
          <w:color w:val="auto"/>
          <w:spacing w:val="-21"/>
          <w:sz w:val="24"/>
          <w:szCs w:val="24"/>
          <w:highlight w:val="none"/>
          <w:u w:val="single" w:color="auto"/>
          <w:lang w:val="en-US" w:eastAsia="zh-CN"/>
        </w:rPr>
        <w:t>200</w:t>
      </w:r>
      <w:r>
        <w:rPr>
          <w:rFonts w:hint="eastAsia" w:ascii="宋体" w:hAnsi="宋体" w:eastAsia="宋体" w:cs="宋体"/>
          <w:color w:val="auto"/>
          <w:spacing w:val="8"/>
          <w:sz w:val="24"/>
          <w:szCs w:val="24"/>
          <w:highlight w:val="none"/>
          <w:u w:val="single" w:color="auto"/>
        </w:rPr>
        <w:t>元/人•次（人民币）违约金</w:t>
      </w:r>
      <w:r>
        <w:rPr>
          <w:rFonts w:hint="eastAsia" w:ascii="宋体" w:hAnsi="宋体" w:eastAsia="宋体" w:cs="宋体"/>
          <w:color w:val="auto"/>
          <w:spacing w:val="7"/>
          <w:sz w:val="24"/>
          <w:szCs w:val="24"/>
          <w:highlight w:val="none"/>
          <w:u w:val="single" w:color="auto"/>
        </w:rPr>
        <w:t>；擅自更换其它在场管理人员处</w:t>
      </w:r>
      <w:r>
        <w:rPr>
          <w:rFonts w:hint="eastAsia" w:ascii="宋体" w:hAnsi="宋体" w:eastAsia="宋体" w:cs="宋体"/>
          <w:color w:val="auto"/>
          <w:spacing w:val="-32"/>
          <w:sz w:val="24"/>
          <w:szCs w:val="24"/>
          <w:highlight w:val="none"/>
          <w:u w:val="single" w:color="auto"/>
          <w:lang w:val="en-US" w:eastAsia="zh-CN"/>
        </w:rPr>
        <w:t>200</w:t>
      </w:r>
      <w:r>
        <w:rPr>
          <w:rFonts w:hint="eastAsia" w:ascii="宋体" w:hAnsi="宋体" w:eastAsia="宋体" w:cs="宋体"/>
          <w:color w:val="auto"/>
          <w:spacing w:val="7"/>
          <w:sz w:val="24"/>
          <w:szCs w:val="24"/>
          <w:highlight w:val="none"/>
          <w:u w:val="single" w:color="auto"/>
        </w:rPr>
        <w:t>元/人•次（人民币）违约金</w:t>
      </w:r>
      <w:r>
        <w:rPr>
          <w:rFonts w:hint="eastAsia" w:ascii="宋体" w:hAnsi="宋体" w:eastAsia="宋体" w:cs="宋体"/>
          <w:color w:val="auto"/>
          <w:spacing w:val="7"/>
          <w:sz w:val="24"/>
          <w:szCs w:val="24"/>
          <w:highlight w:val="none"/>
        </w:rPr>
        <w:t>。</w:t>
      </w:r>
    </w:p>
    <w:p w14:paraId="6FD3DC4E">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1" w:right="16" w:firstLine="41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承包人主要施工管理人员擅自离开施工现场的违约责任：</w:t>
      </w:r>
      <w:r>
        <w:rPr>
          <w:rFonts w:hint="eastAsia" w:ascii="宋体" w:hAnsi="宋体" w:eastAsia="宋体" w:cs="宋体"/>
          <w:color w:val="auto"/>
          <w:spacing w:val="10"/>
          <w:sz w:val="24"/>
          <w:szCs w:val="24"/>
          <w:highlight w:val="none"/>
          <w:u w:val="single" w:color="auto"/>
        </w:rPr>
        <w:t>未经发包人同意，项</w:t>
      </w:r>
      <w:r>
        <w:rPr>
          <w:rFonts w:hint="eastAsia" w:ascii="宋体" w:hAnsi="宋体" w:eastAsia="宋体" w:cs="宋体"/>
          <w:color w:val="auto"/>
          <w:spacing w:val="9"/>
          <w:sz w:val="24"/>
          <w:szCs w:val="24"/>
          <w:highlight w:val="none"/>
          <w:u w:val="single" w:color="auto"/>
        </w:rPr>
        <w:t>目技术负责人擅自离岗</w:t>
      </w:r>
      <w:r>
        <w:rPr>
          <w:rFonts w:hint="eastAsia" w:ascii="宋体" w:hAnsi="宋体" w:eastAsia="宋体" w:cs="宋体"/>
          <w:color w:val="auto"/>
          <w:spacing w:val="8"/>
          <w:sz w:val="24"/>
          <w:szCs w:val="24"/>
          <w:highlight w:val="none"/>
          <w:u w:val="single" w:color="auto"/>
        </w:rPr>
        <w:t>的，视为承包人违约，发包人有权处违约金</w:t>
      </w:r>
      <w:r>
        <w:rPr>
          <w:rFonts w:hint="eastAsia" w:ascii="宋体" w:hAnsi="宋体" w:eastAsia="宋体" w:cs="宋体"/>
          <w:color w:val="auto"/>
          <w:spacing w:val="-35"/>
          <w:sz w:val="24"/>
          <w:szCs w:val="24"/>
          <w:highlight w:val="none"/>
          <w:u w:val="single" w:color="auto"/>
          <w:lang w:val="en-US" w:eastAsia="zh-CN"/>
        </w:rPr>
        <w:t>200</w:t>
      </w:r>
      <w:r>
        <w:rPr>
          <w:rFonts w:hint="eastAsia" w:ascii="宋体" w:hAnsi="宋体" w:eastAsia="宋体" w:cs="宋体"/>
          <w:color w:val="auto"/>
          <w:spacing w:val="8"/>
          <w:sz w:val="24"/>
          <w:szCs w:val="24"/>
          <w:highlight w:val="none"/>
          <w:u w:val="single" w:color="auto"/>
        </w:rPr>
        <w:t>元/人•次（人民币</w:t>
      </w:r>
      <w:r>
        <w:rPr>
          <w:rFonts w:hint="eastAsia" w:ascii="宋体" w:hAnsi="宋体" w:eastAsia="宋体" w:cs="宋体"/>
          <w:color w:val="auto"/>
          <w:spacing w:val="24"/>
          <w:sz w:val="24"/>
          <w:szCs w:val="24"/>
          <w:highlight w:val="none"/>
          <w:u w:val="single" w:color="auto"/>
        </w:rPr>
        <w:t>）；</w:t>
      </w:r>
      <w:r>
        <w:rPr>
          <w:rFonts w:hint="eastAsia" w:ascii="宋体" w:hAnsi="宋体" w:eastAsia="宋体" w:cs="宋体"/>
          <w:color w:val="auto"/>
          <w:spacing w:val="8"/>
          <w:sz w:val="24"/>
          <w:szCs w:val="24"/>
          <w:highlight w:val="none"/>
          <w:u w:val="single" w:color="auto"/>
        </w:rPr>
        <w:t>未经发包人同意，专职安全员擅自</w:t>
      </w:r>
      <w:r>
        <w:rPr>
          <w:rFonts w:hint="eastAsia" w:ascii="宋体" w:hAnsi="宋体" w:eastAsia="宋体" w:cs="宋体"/>
          <w:color w:val="auto"/>
          <w:spacing w:val="6"/>
          <w:sz w:val="24"/>
          <w:szCs w:val="24"/>
          <w:highlight w:val="none"/>
          <w:u w:val="single" w:color="auto"/>
        </w:rPr>
        <w:t>离岗的，视为承包人违约，发包人有权处违约金</w:t>
      </w:r>
      <w:r>
        <w:rPr>
          <w:rFonts w:hint="eastAsia" w:ascii="宋体" w:hAnsi="宋体" w:eastAsia="宋体" w:cs="宋体"/>
          <w:color w:val="auto"/>
          <w:spacing w:val="-34"/>
          <w:sz w:val="24"/>
          <w:szCs w:val="24"/>
          <w:highlight w:val="none"/>
          <w:u w:val="single" w:color="auto"/>
          <w:lang w:val="en-US" w:eastAsia="zh-CN"/>
        </w:rPr>
        <w:t>200</w:t>
      </w:r>
      <w:r>
        <w:rPr>
          <w:rFonts w:hint="eastAsia" w:ascii="宋体" w:hAnsi="宋体" w:eastAsia="宋体" w:cs="宋体"/>
          <w:color w:val="auto"/>
          <w:spacing w:val="-39"/>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元/人•次（人民币</w:t>
      </w:r>
      <w:r>
        <w:rPr>
          <w:rFonts w:hint="eastAsia" w:ascii="宋体" w:hAnsi="宋体" w:eastAsia="宋体" w:cs="宋体"/>
          <w:color w:val="auto"/>
          <w:spacing w:val="-5"/>
          <w:sz w:val="24"/>
          <w:szCs w:val="24"/>
          <w:highlight w:val="none"/>
          <w:u w:val="single" w:color="auto"/>
        </w:rPr>
        <w:t>）；</w:t>
      </w:r>
      <w:r>
        <w:rPr>
          <w:rFonts w:hint="eastAsia" w:ascii="宋体" w:hAnsi="宋体" w:eastAsia="宋体" w:cs="宋体"/>
          <w:color w:val="auto"/>
          <w:spacing w:val="6"/>
          <w:sz w:val="24"/>
          <w:szCs w:val="24"/>
          <w:highlight w:val="none"/>
          <w:u w:val="single" w:color="auto"/>
        </w:rPr>
        <w:t>其它在场管理人员擅自离岗的，</w:t>
      </w:r>
      <w:r>
        <w:rPr>
          <w:rFonts w:hint="eastAsia" w:ascii="宋体" w:hAnsi="宋体" w:eastAsia="宋体" w:cs="宋体"/>
          <w:color w:val="auto"/>
          <w:spacing w:val="7"/>
          <w:sz w:val="24"/>
          <w:szCs w:val="24"/>
          <w:highlight w:val="none"/>
          <w:u w:val="single" w:color="auto"/>
        </w:rPr>
        <w:t>视为承包人违约，发包人有权处违约金</w:t>
      </w:r>
      <w:r>
        <w:rPr>
          <w:rFonts w:hint="eastAsia" w:ascii="宋体" w:hAnsi="宋体" w:eastAsia="宋体" w:cs="宋体"/>
          <w:color w:val="auto"/>
          <w:spacing w:val="-21"/>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2</w:t>
      </w:r>
      <w:r>
        <w:rPr>
          <w:rFonts w:hint="eastAsia" w:ascii="宋体" w:hAnsi="宋体" w:eastAsia="宋体" w:cs="宋体"/>
          <w:color w:val="auto"/>
          <w:spacing w:val="7"/>
          <w:sz w:val="24"/>
          <w:szCs w:val="24"/>
          <w:highlight w:val="none"/>
          <w:u w:val="single" w:color="auto"/>
        </w:rPr>
        <w:t>00</w:t>
      </w:r>
      <w:r>
        <w:rPr>
          <w:rFonts w:hint="eastAsia" w:ascii="宋体" w:hAnsi="宋体" w:eastAsia="宋体" w:cs="宋体"/>
          <w:color w:val="auto"/>
          <w:spacing w:val="-36"/>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元/人•次（人民币）</w:t>
      </w:r>
      <w:r>
        <w:rPr>
          <w:rFonts w:hint="eastAsia" w:ascii="宋体" w:hAnsi="宋体" w:eastAsia="宋体" w:cs="宋体"/>
          <w:color w:val="auto"/>
          <w:spacing w:val="7"/>
          <w:sz w:val="24"/>
          <w:szCs w:val="24"/>
          <w:highlight w:val="none"/>
        </w:rPr>
        <w:t>。</w:t>
      </w:r>
    </w:p>
    <w:p w14:paraId="541BF12A">
      <w:pPr>
        <w:keepNext w:val="0"/>
        <w:keepLines w:val="0"/>
        <w:pageBreakBefore w:val="0"/>
        <w:widowControl/>
        <w:kinsoku w:val="0"/>
        <w:wordWrap/>
        <w:overflowPunct/>
        <w:topLinePunct w:val="0"/>
        <w:autoSpaceDE w:val="0"/>
        <w:autoSpaceDN w:val="0"/>
        <w:bidi w:val="0"/>
        <w:adjustRightInd w:val="0"/>
        <w:snapToGrid w:val="0"/>
        <w:spacing w:before="111" w:line="480" w:lineRule="exact"/>
        <w:ind w:left="42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3.5</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分包</w:t>
      </w:r>
    </w:p>
    <w:p w14:paraId="4ED164A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3.5.1 分包的一般约定</w:t>
      </w:r>
    </w:p>
    <w:p w14:paraId="5721C3B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禁止分包的工程包括：</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本工程不允许分包</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43FC2E02">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主体结构、关键性工作的范围：</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不允许</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497A28E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3.5.2 分包的确定</w:t>
      </w:r>
    </w:p>
    <w:p w14:paraId="214B354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允许分包的专业工程包括：</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615B147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其他关于分包的约定：</w:t>
      </w:r>
    </w:p>
    <w:p w14:paraId="6F1BDB6D">
      <w:pPr>
        <w:pStyle w:val="4"/>
        <w:spacing w:before="137" w:line="360" w:lineRule="auto"/>
        <w:ind w:left="50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u w:val="none" w:color="auto"/>
        </w:rPr>
        <w:t>（1）除前款约定的分包内容外，经过发包人和监理人同意，承包人可以将其他非主体、</w:t>
      </w:r>
      <w:r>
        <w:rPr>
          <w:rFonts w:hint="eastAsia" w:ascii="宋体" w:hAnsi="宋体" w:eastAsia="宋体" w:cs="宋体"/>
          <w:color w:val="auto"/>
          <w:spacing w:val="4"/>
          <w:sz w:val="24"/>
          <w:szCs w:val="24"/>
          <w:highlight w:val="none"/>
          <w:u w:val="none" w:color="auto"/>
        </w:rPr>
        <w:t>非关键性工作</w:t>
      </w:r>
      <w:r>
        <w:rPr>
          <w:rFonts w:hint="eastAsia" w:ascii="宋体" w:hAnsi="宋体" w:eastAsia="宋体" w:cs="宋体"/>
          <w:color w:val="auto"/>
          <w:spacing w:val="10"/>
          <w:sz w:val="24"/>
          <w:szCs w:val="24"/>
          <w:highlight w:val="none"/>
          <w:u w:val="none" w:color="auto"/>
        </w:rPr>
        <w:t>分包给第三人，但分包人应当经过发包人和监理人审批。发包人和监理</w:t>
      </w:r>
      <w:r>
        <w:rPr>
          <w:rFonts w:hint="eastAsia" w:ascii="宋体" w:hAnsi="宋体" w:eastAsia="宋体" w:cs="宋体"/>
          <w:color w:val="auto"/>
          <w:spacing w:val="9"/>
          <w:sz w:val="24"/>
          <w:szCs w:val="24"/>
          <w:highlight w:val="none"/>
          <w:u w:val="none" w:color="auto"/>
        </w:rPr>
        <w:t>人有权拒绝承包人的分包请求和承</w:t>
      </w:r>
      <w:r>
        <w:rPr>
          <w:rFonts w:hint="eastAsia" w:ascii="宋体" w:hAnsi="宋体" w:eastAsia="宋体" w:cs="宋体"/>
          <w:color w:val="auto"/>
          <w:spacing w:val="10"/>
          <w:sz w:val="24"/>
          <w:szCs w:val="24"/>
          <w:highlight w:val="none"/>
          <w:u w:val="none" w:color="auto"/>
        </w:rPr>
        <w:t>包人选择的分包人。本项目分包人主要施工管理人员</w:t>
      </w:r>
      <w:r>
        <w:rPr>
          <w:rFonts w:hint="eastAsia" w:ascii="宋体" w:hAnsi="宋体" w:eastAsia="宋体" w:cs="宋体"/>
          <w:color w:val="auto"/>
          <w:spacing w:val="9"/>
          <w:sz w:val="24"/>
          <w:szCs w:val="24"/>
          <w:highlight w:val="none"/>
          <w:u w:val="none" w:color="auto"/>
        </w:rPr>
        <w:t>名单详见合同附件</w:t>
      </w:r>
      <w:r>
        <w:rPr>
          <w:rFonts w:hint="eastAsia" w:ascii="宋体" w:hAnsi="宋体" w:eastAsia="宋体" w:cs="宋体"/>
          <w:color w:val="auto"/>
          <w:spacing w:val="-34"/>
          <w:sz w:val="24"/>
          <w:szCs w:val="24"/>
          <w:highlight w:val="none"/>
          <w:u w:val="none" w:color="auto"/>
        </w:rPr>
        <w:t xml:space="preserve"> </w:t>
      </w:r>
      <w:r>
        <w:rPr>
          <w:rFonts w:hint="eastAsia" w:ascii="宋体" w:hAnsi="宋体" w:eastAsia="宋体" w:cs="宋体"/>
          <w:color w:val="auto"/>
          <w:spacing w:val="9"/>
          <w:sz w:val="24"/>
          <w:szCs w:val="24"/>
          <w:highlight w:val="none"/>
          <w:u w:val="none" w:color="auto"/>
        </w:rPr>
        <w:t>7。</w:t>
      </w:r>
      <w:r>
        <w:rPr>
          <w:rFonts w:hint="eastAsia" w:ascii="宋体" w:hAnsi="宋体" w:eastAsia="宋体" w:cs="宋体"/>
          <w:color w:val="auto"/>
          <w:spacing w:val="4"/>
          <w:sz w:val="24"/>
          <w:szCs w:val="24"/>
          <w:highlight w:val="none"/>
          <w:u w:val="none" w:color="auto"/>
        </w:rPr>
        <w:t>（2）在相关分包合同签订并报送有关建设行政主管部门备案后</w:t>
      </w:r>
      <w:r>
        <w:rPr>
          <w:rFonts w:hint="eastAsia" w:ascii="宋体" w:hAnsi="宋体" w:eastAsia="宋体" w:cs="宋体"/>
          <w:color w:val="auto"/>
          <w:spacing w:val="-25"/>
          <w:sz w:val="24"/>
          <w:szCs w:val="24"/>
          <w:highlight w:val="none"/>
          <w:u w:val="none" w:color="auto"/>
        </w:rPr>
        <w:t xml:space="preserve"> </w:t>
      </w:r>
      <w:r>
        <w:rPr>
          <w:rFonts w:hint="eastAsia" w:ascii="宋体" w:hAnsi="宋体" w:eastAsia="宋体" w:cs="宋体"/>
          <w:color w:val="auto"/>
          <w:spacing w:val="4"/>
          <w:sz w:val="24"/>
          <w:szCs w:val="24"/>
          <w:highlight w:val="none"/>
          <w:u w:val="none" w:color="auto"/>
        </w:rPr>
        <w:t>7</w:t>
      </w:r>
      <w:r>
        <w:rPr>
          <w:rFonts w:hint="eastAsia" w:ascii="宋体" w:hAnsi="宋体" w:eastAsia="宋体" w:cs="宋体"/>
          <w:color w:val="auto"/>
          <w:spacing w:val="-34"/>
          <w:sz w:val="24"/>
          <w:szCs w:val="24"/>
          <w:highlight w:val="none"/>
          <w:u w:val="none" w:color="auto"/>
        </w:rPr>
        <w:t xml:space="preserve"> </w:t>
      </w:r>
      <w:r>
        <w:rPr>
          <w:rFonts w:hint="eastAsia" w:ascii="宋体" w:hAnsi="宋体" w:eastAsia="宋体" w:cs="宋体"/>
          <w:color w:val="auto"/>
          <w:spacing w:val="4"/>
          <w:sz w:val="24"/>
          <w:szCs w:val="24"/>
          <w:highlight w:val="none"/>
          <w:u w:val="none" w:color="auto"/>
        </w:rPr>
        <w:t>天内，承包人应当将一份副本提交给</w:t>
      </w:r>
      <w:r>
        <w:rPr>
          <w:rFonts w:hint="eastAsia" w:ascii="宋体" w:hAnsi="宋体" w:eastAsia="宋体" w:cs="宋体"/>
          <w:color w:val="auto"/>
          <w:spacing w:val="10"/>
          <w:sz w:val="24"/>
          <w:szCs w:val="24"/>
          <w:highlight w:val="none"/>
          <w:u w:val="none" w:color="auto"/>
        </w:rPr>
        <w:t>监理人，承包人应保障分包工作不得再次分包。</w:t>
      </w:r>
      <w:r>
        <w:rPr>
          <w:rFonts w:hint="eastAsia" w:ascii="宋体" w:hAnsi="宋体" w:eastAsia="宋体" w:cs="宋体"/>
          <w:color w:val="auto"/>
          <w:spacing w:val="5"/>
          <w:sz w:val="24"/>
          <w:szCs w:val="24"/>
          <w:highlight w:val="none"/>
          <w:u w:val="none" w:color="auto"/>
        </w:rPr>
        <w:t>（3）未经承包人和监理人审批同意的分包工程和分包人，承包人有权拒绝验收分包工程和支</w:t>
      </w:r>
      <w:r>
        <w:rPr>
          <w:rFonts w:hint="eastAsia" w:ascii="宋体" w:hAnsi="宋体" w:eastAsia="宋体" w:cs="宋体"/>
          <w:color w:val="auto"/>
          <w:spacing w:val="4"/>
          <w:sz w:val="24"/>
          <w:szCs w:val="24"/>
          <w:highlight w:val="none"/>
          <w:u w:val="none" w:color="auto"/>
        </w:rPr>
        <w:t>付相应款</w:t>
      </w:r>
      <w:r>
        <w:rPr>
          <w:rFonts w:hint="eastAsia" w:ascii="宋体" w:hAnsi="宋体" w:eastAsia="宋体" w:cs="宋体"/>
          <w:color w:val="auto"/>
          <w:spacing w:val="8"/>
          <w:sz w:val="24"/>
          <w:szCs w:val="24"/>
          <w:highlight w:val="none"/>
          <w:u w:val="none" w:color="auto"/>
        </w:rPr>
        <w:t>项，</w:t>
      </w:r>
      <w:r>
        <w:rPr>
          <w:rFonts w:hint="eastAsia" w:ascii="宋体" w:hAnsi="宋体" w:eastAsia="宋体" w:cs="宋体"/>
          <w:color w:val="auto"/>
          <w:spacing w:val="-44"/>
          <w:sz w:val="24"/>
          <w:szCs w:val="24"/>
          <w:highlight w:val="none"/>
          <w:u w:val="none" w:color="auto"/>
        </w:rPr>
        <w:t xml:space="preserve"> </w:t>
      </w:r>
      <w:r>
        <w:rPr>
          <w:rFonts w:hint="eastAsia" w:ascii="宋体" w:hAnsi="宋体" w:eastAsia="宋体" w:cs="宋体"/>
          <w:color w:val="auto"/>
          <w:spacing w:val="8"/>
          <w:sz w:val="24"/>
          <w:szCs w:val="24"/>
          <w:highlight w:val="none"/>
          <w:u w:val="none" w:color="auto"/>
        </w:rPr>
        <w:t>由此引起的发包人费用增加和(或)延误的工期由发包人承担。</w:t>
      </w:r>
      <w:r>
        <w:rPr>
          <w:color w:val="auto"/>
          <w:spacing w:val="-1"/>
          <w:sz w:val="24"/>
          <w:szCs w:val="24"/>
          <w:highlight w:val="none"/>
          <w:u w:val="none" w:color="auto"/>
        </w:rPr>
        <w:t>(</w:t>
      </w:r>
      <w:r>
        <w:rPr>
          <w:rFonts w:ascii="Times New Roman" w:hAnsi="Times New Roman" w:eastAsia="Times New Roman" w:cs="Times New Roman"/>
          <w:color w:val="auto"/>
          <w:spacing w:val="-1"/>
          <w:sz w:val="24"/>
          <w:szCs w:val="24"/>
          <w:highlight w:val="none"/>
          <w:u w:val="none" w:color="auto"/>
        </w:rPr>
        <w:t>4</w:t>
      </w:r>
      <w:r>
        <w:rPr>
          <w:color w:val="auto"/>
          <w:spacing w:val="-1"/>
          <w:sz w:val="24"/>
          <w:szCs w:val="24"/>
          <w:highlight w:val="none"/>
          <w:u w:val="none" w:color="auto"/>
        </w:rPr>
        <w:t>) 承包人有以下情况之一者， 发包人有权解除合</w:t>
      </w:r>
      <w:r>
        <w:rPr>
          <w:color w:val="auto"/>
          <w:spacing w:val="-2"/>
          <w:sz w:val="24"/>
          <w:szCs w:val="24"/>
          <w:highlight w:val="none"/>
          <w:u w:val="none" w:color="auto"/>
        </w:rPr>
        <w:t>同，并视情况扣除其履约保证金：</w:t>
      </w:r>
      <w:r>
        <w:rPr>
          <w:color w:val="auto"/>
          <w:sz w:val="24"/>
          <w:szCs w:val="24"/>
          <w:highlight w:val="none"/>
          <w:u w:val="none" w:color="auto"/>
        </w:rPr>
        <w:t>①个人承包工程，包括本人单位及外单位人员承包，发包人不承认其个人拥有任何资质等</w:t>
      </w:r>
      <w:r>
        <w:rPr>
          <w:color w:val="auto"/>
          <w:spacing w:val="15"/>
          <w:sz w:val="24"/>
          <w:szCs w:val="24"/>
          <w:highlight w:val="none"/>
          <w:u w:val="none" w:color="auto"/>
        </w:rPr>
        <w:t xml:space="preserve"> </w:t>
      </w:r>
      <w:r>
        <w:rPr>
          <w:color w:val="auto"/>
          <w:spacing w:val="-3"/>
          <w:sz w:val="24"/>
          <w:szCs w:val="24"/>
          <w:highlight w:val="none"/>
          <w:u w:val="none" w:color="auto"/>
        </w:rPr>
        <w:t>级及营业许可资格。没收全部履约保证金。</w:t>
      </w:r>
      <w:r>
        <w:rPr>
          <w:color w:val="auto"/>
          <w:spacing w:val="-1"/>
          <w:sz w:val="24"/>
          <w:szCs w:val="24"/>
          <w:highlight w:val="none"/>
          <w:u w:val="none" w:color="auto"/>
        </w:rPr>
        <w:t>②几个人联合承包工程，就地组织暗分包队伍</w:t>
      </w:r>
      <w:r>
        <w:rPr>
          <w:color w:val="auto"/>
          <w:spacing w:val="-2"/>
          <w:sz w:val="24"/>
          <w:szCs w:val="24"/>
          <w:highlight w:val="none"/>
          <w:u w:val="none" w:color="auto"/>
        </w:rPr>
        <w:t>，不具备完成本工程的技术、机械能力，被</w:t>
      </w:r>
      <w:r>
        <w:rPr>
          <w:color w:val="auto"/>
          <w:sz w:val="24"/>
          <w:szCs w:val="24"/>
          <w:highlight w:val="none"/>
          <w:u w:val="none" w:color="auto"/>
        </w:rPr>
        <w:t xml:space="preserve"> </w:t>
      </w:r>
      <w:r>
        <w:rPr>
          <w:color w:val="auto"/>
          <w:spacing w:val="-3"/>
          <w:sz w:val="24"/>
          <w:szCs w:val="24"/>
          <w:highlight w:val="none"/>
          <w:u w:val="none" w:color="auto"/>
        </w:rPr>
        <w:t>发包人判定为没有能力履行的承包人。没收全部履约保证金。</w:t>
      </w:r>
      <w:r>
        <w:rPr>
          <w:color w:val="auto"/>
          <w:spacing w:val="-7"/>
          <w:sz w:val="24"/>
          <w:szCs w:val="24"/>
          <w:highlight w:val="none"/>
          <w:u w:val="none" w:color="auto"/>
        </w:rPr>
        <w:t>③就地转包全部的工程，</w:t>
      </w:r>
      <w:r>
        <w:rPr>
          <w:color w:val="auto"/>
          <w:spacing w:val="23"/>
          <w:sz w:val="24"/>
          <w:szCs w:val="24"/>
          <w:highlight w:val="none"/>
          <w:u w:val="none" w:color="auto"/>
        </w:rPr>
        <w:t xml:space="preserve"> </w:t>
      </w:r>
      <w:r>
        <w:rPr>
          <w:color w:val="auto"/>
          <w:spacing w:val="-7"/>
          <w:sz w:val="24"/>
          <w:szCs w:val="24"/>
          <w:highlight w:val="none"/>
          <w:u w:val="none" w:color="auto"/>
        </w:rPr>
        <w:t>以谋取高额转让费、管</w:t>
      </w:r>
      <w:r>
        <w:rPr>
          <w:color w:val="auto"/>
          <w:spacing w:val="-8"/>
          <w:sz w:val="24"/>
          <w:szCs w:val="24"/>
          <w:highlight w:val="none"/>
          <w:u w:val="none" w:color="auto"/>
        </w:rPr>
        <w:t>理费的承包人。没收全部履约保证金。</w:t>
      </w:r>
      <w:r>
        <w:rPr>
          <w:color w:val="auto"/>
          <w:spacing w:val="4"/>
          <w:sz w:val="24"/>
          <w:szCs w:val="24"/>
          <w:highlight w:val="none"/>
          <w:u w:val="none" w:color="auto"/>
        </w:rPr>
        <w:t>④承包人有部分分包现象(其中包括冒充承包人下属单位的挂勾单位， 凭口头协议参与</w:t>
      </w:r>
      <w:r>
        <w:rPr>
          <w:color w:val="auto"/>
          <w:spacing w:val="16"/>
          <w:sz w:val="24"/>
          <w:szCs w:val="24"/>
          <w:highlight w:val="none"/>
          <w:u w:val="none" w:color="auto"/>
        </w:rPr>
        <w:t xml:space="preserve"> </w:t>
      </w:r>
      <w:r>
        <w:rPr>
          <w:color w:val="auto"/>
          <w:spacing w:val="-1"/>
          <w:sz w:val="24"/>
          <w:szCs w:val="24"/>
          <w:highlight w:val="none"/>
          <w:u w:val="none" w:color="auto"/>
        </w:rPr>
        <w:t>施 工的分包人及其他暗分包个体户)，一经发现核实，发包人将采取驱逐该暗分包人措施。没</w:t>
      </w:r>
      <w:r>
        <w:rPr>
          <w:color w:val="auto"/>
          <w:spacing w:val="7"/>
          <w:sz w:val="24"/>
          <w:szCs w:val="24"/>
          <w:highlight w:val="none"/>
          <w:u w:val="none" w:color="auto"/>
        </w:rPr>
        <w:t xml:space="preserve"> </w:t>
      </w:r>
      <w:r>
        <w:rPr>
          <w:color w:val="auto"/>
          <w:spacing w:val="-8"/>
          <w:sz w:val="24"/>
          <w:szCs w:val="24"/>
          <w:highlight w:val="none"/>
          <w:u w:val="none" w:color="auto"/>
        </w:rPr>
        <w:t>收全部履约保证金。</w:t>
      </w:r>
    </w:p>
    <w:p w14:paraId="3BC20B0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3.5.4 分包合同价款</w:t>
      </w:r>
    </w:p>
    <w:p w14:paraId="5717F73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关于分包合同价款支付的约定：</w:t>
      </w:r>
      <w:r>
        <w:rPr>
          <w:rFonts w:hint="eastAsia" w:ascii="宋体" w:hAnsi="宋体" w:eastAsia="宋体" w:cs="宋体"/>
          <w:color w:val="auto"/>
          <w:spacing w:val="10"/>
          <w:sz w:val="24"/>
          <w:szCs w:val="24"/>
          <w:highlight w:val="none"/>
          <w:u w:val="single" w:color="auto"/>
        </w:rPr>
        <w:t>分包工程价款</w:t>
      </w:r>
      <w:r>
        <w:rPr>
          <w:rFonts w:hint="eastAsia" w:ascii="宋体" w:hAnsi="宋体" w:eastAsia="宋体" w:cs="宋体"/>
          <w:color w:val="auto"/>
          <w:spacing w:val="9"/>
          <w:sz w:val="24"/>
          <w:szCs w:val="24"/>
          <w:highlight w:val="none"/>
          <w:u w:val="single" w:color="auto"/>
        </w:rPr>
        <w:t>由承包人与分包人（包括专业分包人）结算。发包人</w:t>
      </w:r>
      <w:r>
        <w:rPr>
          <w:rFonts w:hint="eastAsia" w:ascii="宋体" w:hAnsi="宋体" w:eastAsia="宋体" w:cs="宋体"/>
          <w:color w:val="auto"/>
          <w:spacing w:val="10"/>
          <w:sz w:val="24"/>
          <w:szCs w:val="24"/>
          <w:highlight w:val="none"/>
          <w:u w:val="single" w:color="auto"/>
        </w:rPr>
        <w:t>未经承包人同意不得以任何形式向分包人（包括专业分包人）支付相</w:t>
      </w:r>
      <w:r>
        <w:rPr>
          <w:rFonts w:hint="eastAsia" w:ascii="宋体" w:hAnsi="宋体" w:eastAsia="宋体" w:cs="宋体"/>
          <w:color w:val="auto"/>
          <w:spacing w:val="9"/>
          <w:sz w:val="24"/>
          <w:szCs w:val="24"/>
          <w:highlight w:val="none"/>
          <w:u w:val="single" w:color="auto"/>
        </w:rPr>
        <w:t>关分包合同项下的任何工程款项。因</w:t>
      </w:r>
      <w:r>
        <w:rPr>
          <w:rFonts w:hint="eastAsia" w:ascii="宋体" w:hAnsi="宋体" w:eastAsia="宋体" w:cs="宋体"/>
          <w:color w:val="auto"/>
          <w:spacing w:val="10"/>
          <w:sz w:val="24"/>
          <w:szCs w:val="24"/>
          <w:highlight w:val="none"/>
          <w:u w:val="single" w:color="auto"/>
        </w:rPr>
        <w:t>发包人未经承包人同意直接向分包人（包括专业分包人）支付相关分</w:t>
      </w:r>
      <w:r>
        <w:rPr>
          <w:rFonts w:hint="eastAsia" w:ascii="宋体" w:hAnsi="宋体" w:eastAsia="宋体" w:cs="宋体"/>
          <w:color w:val="auto"/>
          <w:spacing w:val="9"/>
          <w:sz w:val="24"/>
          <w:szCs w:val="24"/>
          <w:highlight w:val="none"/>
          <w:u w:val="single" w:color="auto"/>
        </w:rPr>
        <w:t>包合同项下的任何工程款项而影响承</w:t>
      </w:r>
      <w:r>
        <w:rPr>
          <w:rFonts w:hint="eastAsia" w:ascii="宋体" w:hAnsi="宋体" w:eastAsia="宋体" w:cs="宋体"/>
          <w:color w:val="auto"/>
          <w:spacing w:val="10"/>
          <w:sz w:val="24"/>
          <w:szCs w:val="24"/>
          <w:highlight w:val="none"/>
          <w:u w:val="single" w:color="auto"/>
        </w:rPr>
        <w:t>包人工作的，所造成的承包人费用增加和（或）延误的工期由发包人承担。</w:t>
      </w:r>
    </w:p>
    <w:p w14:paraId="0DAAD75D">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3.6</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工程照管与成品、半成品保护</w:t>
      </w:r>
    </w:p>
    <w:p w14:paraId="201B407B">
      <w:pPr>
        <w:keepNext w:val="0"/>
        <w:keepLines w:val="0"/>
        <w:pageBreakBefore w:val="0"/>
        <w:widowControl/>
        <w:kinsoku w:val="0"/>
        <w:wordWrap/>
        <w:overflowPunct/>
        <w:topLinePunct w:val="0"/>
        <w:autoSpaceDE w:val="0"/>
        <w:autoSpaceDN w:val="0"/>
        <w:bidi w:val="0"/>
        <w:adjustRightInd w:val="0"/>
        <w:snapToGrid w:val="0"/>
        <w:spacing w:before="135" w:line="480" w:lineRule="exact"/>
        <w:ind w:right="2" w:firstLine="51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承包人负责照管工程及工程相关的材料、工程设备</w:t>
      </w:r>
      <w:r>
        <w:rPr>
          <w:rFonts w:hint="eastAsia" w:ascii="宋体" w:hAnsi="宋体" w:eastAsia="宋体" w:cs="宋体"/>
          <w:color w:val="auto"/>
          <w:spacing w:val="8"/>
          <w:sz w:val="24"/>
          <w:szCs w:val="24"/>
          <w:highlight w:val="none"/>
        </w:rPr>
        <w:t>的起始时间：</w:t>
      </w:r>
      <w:r>
        <w:rPr>
          <w:rFonts w:hint="eastAsia" w:ascii="宋体" w:hAnsi="宋体" w:eastAsia="宋体" w:cs="宋体"/>
          <w:color w:val="auto"/>
          <w:spacing w:val="8"/>
          <w:sz w:val="24"/>
          <w:szCs w:val="24"/>
          <w:highlight w:val="none"/>
          <w:u w:val="single" w:color="auto"/>
          <w:lang w:val="en-US" w:eastAsia="zh-CN"/>
        </w:rPr>
        <w:t>人员、设备进场起至验收交付使用前由承包人负责，发包人提供专业设备由发包人自行负责</w:t>
      </w:r>
      <w:r>
        <w:rPr>
          <w:rFonts w:hint="eastAsia" w:ascii="宋体" w:hAnsi="宋体" w:eastAsia="宋体" w:cs="宋体"/>
          <w:color w:val="auto"/>
          <w:spacing w:val="8"/>
          <w:sz w:val="24"/>
          <w:szCs w:val="24"/>
          <w:highlight w:val="none"/>
        </w:rPr>
        <w:t>。</w:t>
      </w:r>
    </w:p>
    <w:p w14:paraId="1ADF4121">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3.7</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履约担保</w:t>
      </w:r>
    </w:p>
    <w:p w14:paraId="2CF63BC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承包人是否提供履约担保：</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本项目不需要交纳履约保证金</w:t>
      </w:r>
      <w:r>
        <w:rPr>
          <w:rFonts w:hint="eastAsia" w:ascii="宋体" w:hAnsi="宋体" w:eastAsia="宋体" w:cs="宋体"/>
          <w:color w:val="auto"/>
          <w:spacing w:val="7"/>
          <w:sz w:val="24"/>
          <w:szCs w:val="24"/>
          <w:highlight w:val="none"/>
        </w:rPr>
        <w:t>。</w:t>
      </w:r>
    </w:p>
    <w:p w14:paraId="170BB286">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rPr>
          <w:rFonts w:hint="eastAsia" w:ascii="宋体" w:hAnsi="宋体" w:eastAsia="宋体" w:cs="宋体"/>
          <w:color w:val="auto"/>
          <w:spacing w:val="9"/>
          <w:sz w:val="24"/>
          <w:szCs w:val="24"/>
          <w:highlight w:val="none"/>
          <w:u w:val="single" w:color="auto"/>
          <w:lang w:val="en-US" w:eastAsia="zh-CN"/>
        </w:rPr>
      </w:pPr>
      <w:r>
        <w:rPr>
          <w:rFonts w:hint="eastAsia" w:ascii="宋体" w:hAnsi="宋体" w:eastAsia="宋体" w:cs="宋体"/>
          <w:color w:val="auto"/>
          <w:spacing w:val="9"/>
          <w:sz w:val="24"/>
          <w:szCs w:val="24"/>
          <w:highlight w:val="none"/>
        </w:rPr>
        <w:t>承包人提供履约担保的形式、金额及期限的：</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 xml:space="preserve">/   </w:t>
      </w:r>
    </w:p>
    <w:p w14:paraId="71218572">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0"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4.</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监理人</w:t>
      </w:r>
    </w:p>
    <w:p w14:paraId="76A57D2C">
      <w:pPr>
        <w:keepNext w:val="0"/>
        <w:keepLines w:val="0"/>
        <w:pageBreakBefore w:val="0"/>
        <w:widowControl/>
        <w:kinsoku w:val="0"/>
        <w:wordWrap/>
        <w:overflowPunct/>
        <w:topLinePunct w:val="0"/>
        <w:autoSpaceDE w:val="0"/>
        <w:autoSpaceDN w:val="0"/>
        <w:bidi w:val="0"/>
        <w:adjustRightInd w:val="0"/>
        <w:snapToGrid w:val="0"/>
        <w:spacing w:before="130" w:line="480" w:lineRule="exact"/>
        <w:ind w:left="42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4.1</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监理人的一般规定</w:t>
      </w:r>
    </w:p>
    <w:p w14:paraId="5D8FF2BC">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0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关于监理人的监理内容：</w:t>
      </w:r>
      <w:r>
        <w:rPr>
          <w:rFonts w:hint="eastAsia" w:ascii="宋体" w:hAnsi="宋体" w:eastAsia="宋体" w:cs="宋体"/>
          <w:color w:val="auto"/>
          <w:spacing w:val="7"/>
          <w:sz w:val="24"/>
          <w:szCs w:val="24"/>
          <w:highlight w:val="none"/>
          <w:u w:val="single" w:color="auto"/>
          <w:lang w:val="en-US" w:eastAsia="zh-CN"/>
        </w:rPr>
        <w:t>按监理合同</w:t>
      </w:r>
      <w:r>
        <w:rPr>
          <w:rFonts w:hint="eastAsia" w:ascii="宋体" w:hAnsi="宋体" w:eastAsia="宋体" w:cs="宋体"/>
          <w:color w:val="auto"/>
          <w:spacing w:val="10"/>
          <w:sz w:val="24"/>
          <w:szCs w:val="24"/>
          <w:highlight w:val="none"/>
          <w:u w:val="single" w:color="auto"/>
        </w:rPr>
        <w:t>。</w:t>
      </w:r>
    </w:p>
    <w:p w14:paraId="486D7BAB">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424"/>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关于监理人的监理权限：</w:t>
      </w:r>
      <w:r>
        <w:rPr>
          <w:rFonts w:hint="eastAsia" w:ascii="宋体" w:hAnsi="宋体" w:eastAsia="宋体" w:cs="宋体"/>
          <w:color w:val="auto"/>
          <w:spacing w:val="7"/>
          <w:sz w:val="24"/>
          <w:szCs w:val="24"/>
          <w:highlight w:val="none"/>
          <w:u w:val="single" w:color="auto"/>
          <w:lang w:val="en-US" w:eastAsia="zh-CN"/>
        </w:rPr>
        <w:t>按监理合同。</w:t>
      </w:r>
    </w:p>
    <w:p w14:paraId="073A1403">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2" w:firstLine="51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关于监理人在施工现场的办公场所、生活场所的提供和费用承担</w:t>
      </w:r>
      <w:r>
        <w:rPr>
          <w:rFonts w:hint="eastAsia" w:ascii="宋体" w:hAnsi="宋体" w:eastAsia="宋体" w:cs="宋体"/>
          <w:color w:val="auto"/>
          <w:spacing w:val="8"/>
          <w:sz w:val="24"/>
          <w:szCs w:val="24"/>
          <w:highlight w:val="none"/>
        </w:rPr>
        <w:t>的约定：</w:t>
      </w:r>
      <w:r>
        <w:rPr>
          <w:rFonts w:hint="eastAsia" w:ascii="宋体" w:hAnsi="宋体" w:eastAsia="宋体" w:cs="宋体"/>
          <w:color w:val="auto"/>
          <w:spacing w:val="-55"/>
          <w:sz w:val="24"/>
          <w:szCs w:val="24"/>
          <w:highlight w:val="none"/>
          <w:u w:val="single"/>
        </w:rPr>
        <w:t xml:space="preserve"> </w:t>
      </w:r>
      <w:r>
        <w:rPr>
          <w:rFonts w:hint="eastAsia" w:ascii="宋体" w:hAnsi="宋体" w:eastAsia="宋体" w:cs="宋体"/>
          <w:color w:val="auto"/>
          <w:spacing w:val="-55"/>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w:t>
      </w:r>
    </w:p>
    <w:p w14:paraId="42385BE8">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4.2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监理人员</w:t>
      </w:r>
    </w:p>
    <w:p w14:paraId="08C24891">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position w:val="13"/>
          <w:sz w:val="24"/>
          <w:szCs w:val="24"/>
          <w:highlight w:val="none"/>
        </w:rPr>
        <w:t>总监理工程师：</w:t>
      </w:r>
    </w:p>
    <w:p w14:paraId="2DD93406">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姓</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名</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w:t>
      </w:r>
    </w:p>
    <w:p w14:paraId="2FB8E87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务</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rPr>
        <w:t>；</w:t>
      </w:r>
    </w:p>
    <w:p w14:paraId="0167FEE4">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监理工程师执业资格证书号</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119A45A3">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联系电话</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6B070C38">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4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电子信箱</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52BFD44F">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通信地址</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lang w:val="en-US" w:eastAsia="zh-CN"/>
        </w:rPr>
        <w:t xml:space="preserve">              </w:t>
      </w:r>
      <w:r>
        <w:rPr>
          <w:rFonts w:hint="eastAsia" w:ascii="宋体" w:hAnsi="宋体" w:eastAsia="宋体" w:cs="宋体"/>
          <w:color w:val="auto"/>
          <w:spacing w:val="5"/>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w:t>
      </w:r>
    </w:p>
    <w:p w14:paraId="75E6A47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关于监理人的其他约定：</w:t>
      </w:r>
      <w:r>
        <w:rPr>
          <w:rFonts w:hint="eastAsia" w:ascii="宋体" w:hAnsi="宋体" w:eastAsia="宋体" w:cs="宋体"/>
          <w:color w:val="auto"/>
          <w:spacing w:val="8"/>
          <w:sz w:val="24"/>
          <w:szCs w:val="24"/>
          <w:highlight w:val="none"/>
          <w:u w:val="single" w:color="auto"/>
        </w:rPr>
        <w:t xml:space="preserve"> 见监理合同 </w:t>
      </w:r>
      <w:r>
        <w:rPr>
          <w:rFonts w:hint="eastAsia" w:ascii="宋体" w:hAnsi="宋体" w:eastAsia="宋体" w:cs="宋体"/>
          <w:color w:val="auto"/>
          <w:spacing w:val="8"/>
          <w:sz w:val="24"/>
          <w:szCs w:val="24"/>
          <w:highlight w:val="none"/>
        </w:rPr>
        <w:t>。</w:t>
      </w:r>
    </w:p>
    <w:p w14:paraId="3FB7C6F1">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4.4</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商定或确定</w:t>
      </w:r>
    </w:p>
    <w:p w14:paraId="397DD6E0">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在发包人和承包人不能通过协商达成一致意见时，</w:t>
      </w:r>
      <w:r>
        <w:rPr>
          <w:rFonts w:hint="eastAsia" w:ascii="宋体" w:hAnsi="宋体" w:eastAsia="宋体" w:cs="宋体"/>
          <w:color w:val="auto"/>
          <w:spacing w:val="9"/>
          <w:sz w:val="24"/>
          <w:szCs w:val="24"/>
          <w:highlight w:val="none"/>
        </w:rPr>
        <w:t>发包人授权监理人对以下事项进行确定：</w:t>
      </w:r>
      <w:r>
        <w:rPr>
          <w:rFonts w:hint="eastAsia" w:ascii="宋体" w:hAnsi="宋体" w:eastAsia="宋体" w:cs="宋体"/>
          <w:color w:val="auto"/>
          <w:spacing w:val="9"/>
          <w:sz w:val="24"/>
          <w:szCs w:val="24"/>
          <w:highlight w:val="none"/>
          <w:u w:val="single" w:color="auto"/>
        </w:rPr>
        <w:t>无</w:t>
      </w:r>
      <w:r>
        <w:rPr>
          <w:rFonts w:hint="eastAsia" w:ascii="宋体" w:hAnsi="宋体" w:eastAsia="宋体" w:cs="宋体"/>
          <w:color w:val="auto"/>
          <w:spacing w:val="9"/>
          <w:sz w:val="24"/>
          <w:szCs w:val="24"/>
          <w:highlight w:val="none"/>
        </w:rPr>
        <w:t>；</w:t>
      </w:r>
    </w:p>
    <w:p w14:paraId="15A6804F">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 w:firstLine="500"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5.</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工程质量</w:t>
      </w:r>
    </w:p>
    <w:p w14:paraId="42C53EB7">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5.1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质量要求</w:t>
      </w:r>
    </w:p>
    <w:p w14:paraId="4A3F523B">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4" w:right="-362" w:rightChars="0"/>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7"/>
          <w:sz w:val="24"/>
          <w:szCs w:val="24"/>
          <w:highlight w:val="none"/>
        </w:rPr>
        <w:t>5.1.1 特殊质量标准和要求：</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双方另行确定</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9"/>
          <w:sz w:val="24"/>
          <w:szCs w:val="24"/>
          <w:highlight w:val="none"/>
        </w:rPr>
        <w:t xml:space="preserve"> </w:t>
      </w:r>
    </w:p>
    <w:p w14:paraId="09FDB21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4" w:right="-362" w:right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关于工程奖项的约定：</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lang w:val="en-US" w:eastAsia="zh-CN"/>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49659DFD">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隐蔽工程检查</w:t>
      </w:r>
    </w:p>
    <w:p w14:paraId="371EEA6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5.3.2</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9"/>
          <w:sz w:val="24"/>
          <w:szCs w:val="24"/>
          <w:highlight w:val="none"/>
        </w:rPr>
        <w:t>承包人提前通知监理人隐蔽工程检查的期限的约定：</w:t>
      </w:r>
      <w:r>
        <w:rPr>
          <w:color w:val="auto"/>
          <w:spacing w:val="-1"/>
          <w:sz w:val="24"/>
          <w:szCs w:val="24"/>
          <w:highlight w:val="none"/>
          <w:u w:val="single" w:color="auto"/>
        </w:rPr>
        <w:t>工程隐蔽或中间验收前</w:t>
      </w:r>
      <w:r>
        <w:rPr>
          <w:color w:val="auto"/>
          <w:spacing w:val="-37"/>
          <w:sz w:val="24"/>
          <w:szCs w:val="24"/>
          <w:highlight w:val="none"/>
          <w:u w:val="single" w:color="auto"/>
        </w:rPr>
        <w:t xml:space="preserve"> </w:t>
      </w:r>
      <w:r>
        <w:rPr>
          <w:rFonts w:ascii="Calibri" w:hAnsi="Calibri" w:eastAsia="Calibri" w:cs="Calibri"/>
          <w:color w:val="auto"/>
          <w:spacing w:val="-1"/>
          <w:sz w:val="24"/>
          <w:szCs w:val="24"/>
          <w:highlight w:val="none"/>
          <w:u w:val="single" w:color="auto"/>
        </w:rPr>
        <w:t>12</w:t>
      </w:r>
      <w:r>
        <w:rPr>
          <w:rFonts w:ascii="Calibri" w:hAnsi="Calibri" w:eastAsia="Calibri" w:cs="Calibri"/>
          <w:color w:val="auto"/>
          <w:sz w:val="24"/>
          <w:szCs w:val="24"/>
          <w:highlight w:val="none"/>
        </w:rPr>
        <w:t xml:space="preserve">   </w:t>
      </w:r>
      <w:r>
        <w:rPr>
          <w:color w:val="auto"/>
          <w:spacing w:val="-4"/>
          <w:sz w:val="24"/>
          <w:szCs w:val="24"/>
          <w:highlight w:val="none"/>
          <w:u w:val="single" w:color="auto"/>
        </w:rPr>
        <w:t>小时以书面形式通知发包人和监理工程师验收的内容、时间、地点，承包人准备验收记录单（最</w:t>
      </w:r>
      <w:r>
        <w:rPr>
          <w:color w:val="auto"/>
          <w:sz w:val="24"/>
          <w:szCs w:val="24"/>
          <w:highlight w:val="none"/>
          <w:u w:val="single" w:color="auto"/>
        </w:rPr>
        <w:t>好是印制的表格）由双方签证。验收合格，承包人可进行隐蔽和继续施工；验收不合格，</w:t>
      </w:r>
      <w:r>
        <w:rPr>
          <w:color w:val="auto"/>
          <w:spacing w:val="-1"/>
          <w:sz w:val="24"/>
          <w:szCs w:val="24"/>
          <w:highlight w:val="none"/>
          <w:u w:val="single" w:color="auto"/>
        </w:rPr>
        <w:t>双方</w:t>
      </w:r>
      <w:r>
        <w:rPr>
          <w:color w:val="auto"/>
          <w:sz w:val="24"/>
          <w:szCs w:val="24"/>
          <w:highlight w:val="none"/>
          <w:u w:val="single" w:color="auto"/>
        </w:rPr>
        <w:t>商订时限内修改后按上述循序重新验收</w:t>
      </w:r>
      <w:r>
        <w:rPr>
          <w:rFonts w:hint="eastAsia" w:ascii="宋体" w:hAnsi="宋体" w:eastAsia="宋体" w:cs="宋体"/>
          <w:color w:val="auto"/>
          <w:spacing w:val="10"/>
          <w:sz w:val="24"/>
          <w:szCs w:val="24"/>
          <w:highlight w:val="none"/>
          <w:u w:val="single" w:color="auto"/>
        </w:rPr>
        <w:t>。</w:t>
      </w:r>
    </w:p>
    <w:p w14:paraId="253F267E">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监理人不能按时进行检查时，应提前</w:t>
      </w:r>
      <w:r>
        <w:rPr>
          <w:rFonts w:hint="eastAsia" w:ascii="宋体" w:hAnsi="宋体" w:eastAsia="宋体" w:cs="宋体"/>
          <w:color w:val="auto"/>
          <w:spacing w:val="9"/>
          <w:sz w:val="24"/>
          <w:szCs w:val="24"/>
          <w:highlight w:val="none"/>
          <w:u w:val="single" w:color="auto"/>
        </w:rPr>
        <w:t xml:space="preserve"> 24</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小时提交书面延期要求。</w:t>
      </w:r>
    </w:p>
    <w:p w14:paraId="29625EC2">
      <w:pPr>
        <w:keepNext w:val="0"/>
        <w:keepLines w:val="0"/>
        <w:pageBreakBefore w:val="0"/>
        <w:widowControl/>
        <w:kinsoku w:val="0"/>
        <w:wordWrap/>
        <w:overflowPunct/>
        <w:topLinePunct w:val="0"/>
        <w:autoSpaceDE w:val="0"/>
        <w:autoSpaceDN w:val="0"/>
        <w:bidi w:val="0"/>
        <w:adjustRightInd w:val="0"/>
        <w:snapToGrid w:val="0"/>
        <w:spacing w:line="48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关于延期最长不得超过：</w:t>
      </w:r>
      <w:r>
        <w:rPr>
          <w:rFonts w:hint="eastAsia" w:ascii="宋体" w:hAnsi="宋体" w:eastAsia="宋体" w:cs="宋体"/>
          <w:color w:val="auto"/>
          <w:spacing w:val="7"/>
          <w:sz w:val="24"/>
          <w:szCs w:val="24"/>
          <w:highlight w:val="none"/>
          <w:u w:val="single" w:color="auto"/>
        </w:rPr>
        <w:t xml:space="preserve"> 48 </w:t>
      </w:r>
      <w:r>
        <w:rPr>
          <w:rFonts w:hint="eastAsia" w:ascii="宋体" w:hAnsi="宋体" w:eastAsia="宋体" w:cs="宋体"/>
          <w:color w:val="auto"/>
          <w:spacing w:val="7"/>
          <w:sz w:val="24"/>
          <w:szCs w:val="24"/>
          <w:highlight w:val="none"/>
        </w:rPr>
        <w:t>小时。</w:t>
      </w:r>
    </w:p>
    <w:p w14:paraId="059CC794">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2" w:firstLine="512"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6.</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安全文明施工与环境保护</w:t>
      </w:r>
    </w:p>
    <w:p w14:paraId="7914F9F4">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8"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6.1</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安全文明施工</w:t>
      </w:r>
    </w:p>
    <w:p w14:paraId="500BBC26">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12" w:firstLineChars="200"/>
        <w:jc w:val="left"/>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6.1.1 项目安全生产的达标目标及相应事项的约定：</w:t>
      </w:r>
      <w:r>
        <w:rPr>
          <w:color w:val="auto"/>
          <w:spacing w:val="-5"/>
          <w:sz w:val="24"/>
          <w:szCs w:val="24"/>
          <w:highlight w:val="none"/>
          <w:u w:val="single" w:color="auto"/>
        </w:rPr>
        <w:t>要求达到《建筑施工安全检查标准》</w:t>
      </w:r>
      <w:r>
        <w:rPr>
          <w:color w:val="auto"/>
          <w:spacing w:val="-8"/>
          <w:sz w:val="24"/>
          <w:szCs w:val="24"/>
          <w:highlight w:val="none"/>
          <w:u w:val="single" w:color="auto"/>
        </w:rPr>
        <w:t>（</w:t>
      </w:r>
      <w:r>
        <w:rPr>
          <w:rFonts w:ascii="Calibri" w:hAnsi="Calibri" w:eastAsia="Calibri" w:cs="Calibri"/>
          <w:color w:val="auto"/>
          <w:spacing w:val="-8"/>
          <w:sz w:val="24"/>
          <w:szCs w:val="24"/>
          <w:highlight w:val="none"/>
          <w:u w:val="single" w:color="auto"/>
        </w:rPr>
        <w:t>JGJ59-2011</w:t>
      </w:r>
      <w:r>
        <w:rPr>
          <w:color w:val="auto"/>
          <w:spacing w:val="-8"/>
          <w:sz w:val="24"/>
          <w:szCs w:val="24"/>
          <w:highlight w:val="none"/>
          <w:u w:val="single" w:color="auto"/>
        </w:rPr>
        <w:t>）标准</w:t>
      </w:r>
      <w:r>
        <w:rPr>
          <w:color w:val="auto"/>
          <w:spacing w:val="5"/>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72DECF49">
      <w:pPr>
        <w:keepNext w:val="0"/>
        <w:keepLines w:val="0"/>
        <w:pageBreakBefore w:val="0"/>
        <w:widowControl/>
        <w:kinsoku w:val="0"/>
        <w:wordWrap/>
        <w:overflowPunct/>
        <w:topLinePunct w:val="0"/>
        <w:autoSpaceDE w:val="0"/>
        <w:autoSpaceDN w:val="0"/>
        <w:bidi w:val="0"/>
        <w:adjustRightInd w:val="0"/>
        <w:snapToGrid w:val="0"/>
        <w:spacing w:before="134" w:line="480" w:lineRule="exact"/>
        <w:ind w:right="90" w:firstLine="42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6.1.4 关于治安保卫的特别约定：</w:t>
      </w:r>
      <w:r>
        <w:rPr>
          <w:rFonts w:hint="eastAsia" w:ascii="宋体" w:hAnsi="宋体" w:eastAsia="宋体" w:cs="宋体"/>
          <w:color w:val="auto"/>
          <w:spacing w:val="9"/>
          <w:sz w:val="24"/>
          <w:szCs w:val="24"/>
          <w:highlight w:val="none"/>
          <w:u w:val="single" w:color="auto"/>
        </w:rPr>
        <w:t>承包人应承担施工安全保卫工作及非夜间施工照明的责任，承包人</w:t>
      </w:r>
      <w:r>
        <w:rPr>
          <w:rFonts w:hint="eastAsia" w:ascii="宋体" w:hAnsi="宋体" w:eastAsia="宋体" w:cs="宋体"/>
          <w:color w:val="auto"/>
          <w:spacing w:val="10"/>
          <w:sz w:val="24"/>
          <w:szCs w:val="24"/>
          <w:highlight w:val="none"/>
          <w:u w:val="single" w:color="auto"/>
        </w:rPr>
        <w:t>应采取一切合理的预防措施，防止人员伤亡、财产损失事故</w:t>
      </w:r>
      <w:r>
        <w:rPr>
          <w:rFonts w:hint="eastAsia" w:ascii="宋体" w:hAnsi="宋体" w:eastAsia="宋体" w:cs="宋体"/>
          <w:color w:val="auto"/>
          <w:spacing w:val="10"/>
          <w:sz w:val="24"/>
          <w:szCs w:val="24"/>
          <w:highlight w:val="none"/>
          <w:u w:val="single" w:color="auto"/>
          <w:lang w:eastAsia="zh-CN"/>
        </w:rPr>
        <w:t>，</w:t>
      </w:r>
      <w:r>
        <w:rPr>
          <w:rFonts w:hint="eastAsia" w:ascii="宋体" w:hAnsi="宋体" w:eastAsia="宋体" w:cs="宋体"/>
          <w:color w:val="auto"/>
          <w:spacing w:val="10"/>
          <w:sz w:val="24"/>
          <w:szCs w:val="24"/>
          <w:highlight w:val="none"/>
          <w:u w:val="single" w:color="auto"/>
        </w:rPr>
        <w:t>费用由承包人承</w:t>
      </w:r>
      <w:r>
        <w:rPr>
          <w:rFonts w:hint="eastAsia" w:ascii="宋体" w:hAnsi="宋体" w:eastAsia="宋体" w:cs="宋体"/>
          <w:color w:val="auto"/>
          <w:spacing w:val="9"/>
          <w:sz w:val="24"/>
          <w:szCs w:val="24"/>
          <w:highlight w:val="none"/>
          <w:u w:val="single" w:color="auto"/>
        </w:rPr>
        <w:t>担。承包人生活设施及施工</w:t>
      </w:r>
      <w:r>
        <w:rPr>
          <w:rFonts w:hint="eastAsia" w:ascii="宋体" w:hAnsi="宋体" w:eastAsia="宋体" w:cs="宋体"/>
          <w:color w:val="auto"/>
          <w:spacing w:val="8"/>
          <w:sz w:val="24"/>
          <w:szCs w:val="24"/>
          <w:highlight w:val="none"/>
          <w:u w:val="single" w:color="auto"/>
        </w:rPr>
        <w:t>场应自费配备消防设备，防止火灾发生</w:t>
      </w:r>
      <w:r>
        <w:rPr>
          <w:rFonts w:hint="eastAsia" w:ascii="宋体" w:hAnsi="宋体" w:eastAsia="宋体" w:cs="宋体"/>
          <w:color w:val="auto"/>
          <w:spacing w:val="8"/>
          <w:sz w:val="24"/>
          <w:szCs w:val="24"/>
          <w:highlight w:val="none"/>
          <w:u w:val="single" w:color="auto"/>
          <w:lang w:eastAsia="zh-CN"/>
        </w:rPr>
        <w:t>。</w:t>
      </w:r>
    </w:p>
    <w:p w14:paraId="0B47D382">
      <w:pPr>
        <w:keepNext w:val="0"/>
        <w:keepLines w:val="0"/>
        <w:pageBreakBefore w:val="0"/>
        <w:widowControl/>
        <w:kinsoku w:val="0"/>
        <w:wordWrap/>
        <w:overflowPunct/>
        <w:topLinePunct w:val="0"/>
        <w:autoSpaceDE w:val="0"/>
        <w:autoSpaceDN w:val="0"/>
        <w:bidi w:val="0"/>
        <w:adjustRightInd w:val="0"/>
        <w:snapToGrid w:val="0"/>
        <w:spacing w:before="135" w:line="48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关于编制施工场地治安管理计划的约定：</w:t>
      </w:r>
      <w:r>
        <w:rPr>
          <w:rFonts w:hint="eastAsia" w:ascii="宋体" w:hAnsi="宋体" w:eastAsia="宋体" w:cs="宋体"/>
          <w:color w:val="auto"/>
          <w:spacing w:val="9"/>
          <w:sz w:val="24"/>
          <w:szCs w:val="24"/>
          <w:highlight w:val="none"/>
          <w:u w:val="single" w:color="auto"/>
          <w:lang w:val="en-US" w:eastAsia="zh-CN"/>
        </w:rPr>
        <w:t xml:space="preserve">  /  </w:t>
      </w:r>
      <w:r>
        <w:rPr>
          <w:rFonts w:hint="eastAsia" w:ascii="宋体" w:hAnsi="宋体" w:eastAsia="宋体" w:cs="宋体"/>
          <w:color w:val="auto"/>
          <w:spacing w:val="7"/>
          <w:sz w:val="24"/>
          <w:szCs w:val="24"/>
          <w:highlight w:val="none"/>
        </w:rPr>
        <w:t>。</w:t>
      </w:r>
    </w:p>
    <w:p w14:paraId="5A4D39FE">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6.1.5</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4"/>
          <w:sz w:val="24"/>
          <w:szCs w:val="24"/>
          <w:highlight w:val="none"/>
        </w:rPr>
        <w:t>文明施工</w:t>
      </w:r>
    </w:p>
    <w:p w14:paraId="236EE3FD">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合同当事人对文明施工的要求：</w:t>
      </w:r>
      <w:r>
        <w:rPr>
          <w:color w:val="auto"/>
          <w:spacing w:val="-6"/>
          <w:sz w:val="24"/>
          <w:szCs w:val="24"/>
          <w:highlight w:val="none"/>
          <w:u w:val="single" w:color="auto"/>
        </w:rPr>
        <w:t>达到《建筑施工现场环境与卫生标准》  (</w:t>
      </w:r>
      <w:r>
        <w:rPr>
          <w:rFonts w:ascii="Calibri" w:hAnsi="Calibri" w:eastAsia="Calibri" w:cs="Calibri"/>
          <w:color w:val="auto"/>
          <w:spacing w:val="-6"/>
          <w:sz w:val="24"/>
          <w:szCs w:val="24"/>
          <w:highlight w:val="none"/>
          <w:u w:val="single" w:color="auto"/>
        </w:rPr>
        <w:t xml:space="preserve">JGJ146-2004 </w:t>
      </w:r>
      <w:r>
        <w:rPr>
          <w:color w:val="auto"/>
          <w:spacing w:val="-6"/>
          <w:sz w:val="24"/>
          <w:szCs w:val="24"/>
          <w:highlight w:val="none"/>
          <w:u w:val="single" w:color="auto"/>
        </w:rPr>
        <w:t>)</w:t>
      </w:r>
    </w:p>
    <w:p w14:paraId="15532B19">
      <w:pPr>
        <w:keepNext w:val="0"/>
        <w:keepLines w:val="0"/>
        <w:pageBreakBefore w:val="0"/>
        <w:widowControl/>
        <w:kinsoku w:val="0"/>
        <w:wordWrap/>
        <w:overflowPunct/>
        <w:topLinePunct w:val="0"/>
        <w:autoSpaceDE w:val="0"/>
        <w:autoSpaceDN w:val="0"/>
        <w:bidi w:val="0"/>
        <w:adjustRightInd w:val="0"/>
        <w:snapToGrid w:val="0"/>
        <w:spacing w:before="133" w:line="480" w:lineRule="exact"/>
        <w:ind w:right="90" w:firstLine="422"/>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6.1.6 关于安全文明施工费支付比例和支付期限的约定</w:t>
      </w:r>
      <w:r>
        <w:rPr>
          <w:rFonts w:hint="eastAsia" w:ascii="宋体" w:hAnsi="宋体" w:eastAsia="宋体" w:cs="宋体"/>
          <w:color w:val="auto"/>
          <w:spacing w:val="9"/>
          <w:sz w:val="24"/>
          <w:szCs w:val="24"/>
          <w:highlight w:val="none"/>
          <w:lang w:eastAsia="zh-CN"/>
        </w:rPr>
        <w:t>：</w:t>
      </w:r>
    </w:p>
    <w:p w14:paraId="7FDD2F7E">
      <w:pPr>
        <w:pStyle w:val="4"/>
        <w:spacing w:before="135" w:line="239" w:lineRule="auto"/>
        <w:ind w:left="446"/>
        <w:rPr>
          <w:color w:val="auto"/>
          <w:sz w:val="24"/>
          <w:szCs w:val="24"/>
          <w:highlight w:val="none"/>
        </w:rPr>
      </w:pPr>
      <w:r>
        <w:rPr>
          <w:color w:val="auto"/>
          <w:spacing w:val="-1"/>
          <w:sz w:val="24"/>
          <w:szCs w:val="24"/>
          <w:highlight w:val="none"/>
        </w:rPr>
        <w:t>（</w:t>
      </w:r>
      <w:r>
        <w:rPr>
          <w:rFonts w:ascii="Calibri" w:hAnsi="Calibri" w:eastAsia="Calibri" w:cs="Calibri"/>
          <w:color w:val="auto"/>
          <w:spacing w:val="-1"/>
          <w:sz w:val="24"/>
          <w:szCs w:val="24"/>
          <w:highlight w:val="none"/>
        </w:rPr>
        <w:t>1</w:t>
      </w:r>
      <w:r>
        <w:rPr>
          <w:color w:val="auto"/>
          <w:spacing w:val="-1"/>
          <w:sz w:val="24"/>
          <w:szCs w:val="24"/>
          <w:highlight w:val="none"/>
        </w:rPr>
        <w:t>）本合同价款已包含安全文明施工费</w:t>
      </w:r>
      <w:r>
        <w:rPr>
          <w:color w:val="auto"/>
          <w:spacing w:val="-104"/>
          <w:sz w:val="24"/>
          <w:szCs w:val="24"/>
          <w:highlight w:val="none"/>
        </w:rPr>
        <w:t xml:space="preserve"> </w:t>
      </w:r>
      <w:r>
        <w:rPr>
          <w:color w:val="auto"/>
          <w:spacing w:val="-1"/>
          <w:sz w:val="24"/>
          <w:szCs w:val="24"/>
          <w:highlight w:val="none"/>
          <w:u w:val="single" w:color="auto"/>
        </w:rPr>
        <w:t xml:space="preserve">  </w:t>
      </w:r>
      <w:r>
        <w:rPr>
          <w:rFonts w:hint="eastAsia" w:eastAsia="宋体"/>
          <w:color w:val="auto"/>
          <w:spacing w:val="-1"/>
          <w:sz w:val="24"/>
          <w:szCs w:val="24"/>
          <w:highlight w:val="none"/>
          <w:u w:val="single" w:color="auto"/>
          <w:lang w:val="en-US" w:eastAsia="zh-CN"/>
        </w:rPr>
        <w:t xml:space="preserve">     </w:t>
      </w:r>
      <w:r>
        <w:rPr>
          <w:color w:val="auto"/>
          <w:spacing w:val="-1"/>
          <w:sz w:val="24"/>
          <w:szCs w:val="24"/>
          <w:highlight w:val="none"/>
        </w:rPr>
        <w:t>元。</w:t>
      </w:r>
    </w:p>
    <w:p w14:paraId="3303AA35">
      <w:pPr>
        <w:pStyle w:val="4"/>
        <w:spacing w:before="135" w:line="301" w:lineRule="auto"/>
        <w:ind w:left="24" w:right="94" w:firstLine="421"/>
        <w:rPr>
          <w:color w:val="auto"/>
          <w:sz w:val="24"/>
          <w:szCs w:val="24"/>
          <w:highlight w:val="none"/>
        </w:rPr>
      </w:pPr>
      <w:r>
        <w:rPr>
          <w:color w:val="auto"/>
          <w:spacing w:val="-1"/>
          <w:sz w:val="24"/>
          <w:szCs w:val="24"/>
          <w:highlight w:val="none"/>
        </w:rPr>
        <w:t>（</w:t>
      </w:r>
      <w:r>
        <w:rPr>
          <w:rFonts w:ascii="Calibri" w:hAnsi="Calibri" w:eastAsia="Calibri" w:cs="Calibri"/>
          <w:color w:val="auto"/>
          <w:spacing w:val="-1"/>
          <w:sz w:val="24"/>
          <w:szCs w:val="24"/>
          <w:highlight w:val="none"/>
        </w:rPr>
        <w:t>2</w:t>
      </w:r>
      <w:r>
        <w:rPr>
          <w:color w:val="auto"/>
          <w:spacing w:val="-1"/>
          <w:sz w:val="24"/>
          <w:szCs w:val="24"/>
          <w:highlight w:val="none"/>
        </w:rPr>
        <w:t>）使用要求：专款专用。具体按</w:t>
      </w:r>
      <w:r>
        <w:rPr>
          <w:color w:val="auto"/>
          <w:spacing w:val="-1"/>
          <w:sz w:val="24"/>
          <w:szCs w:val="24"/>
          <w:highlight w:val="none"/>
          <w:u w:val="single" w:color="auto"/>
        </w:rPr>
        <w:t>《广西壮族自治</w:t>
      </w:r>
      <w:r>
        <w:rPr>
          <w:color w:val="auto"/>
          <w:spacing w:val="-2"/>
          <w:sz w:val="24"/>
          <w:szCs w:val="24"/>
          <w:highlight w:val="none"/>
          <w:u w:val="single" w:color="auto"/>
        </w:rPr>
        <w:t>区建设工程安全文明施工费使用管理细</w:t>
      </w:r>
      <w:r>
        <w:rPr>
          <w:color w:val="auto"/>
          <w:spacing w:val="-1"/>
          <w:sz w:val="24"/>
          <w:szCs w:val="24"/>
          <w:highlight w:val="none"/>
          <w:u w:val="single" w:color="auto"/>
        </w:rPr>
        <w:t>则》（桂建质〔</w:t>
      </w:r>
      <w:r>
        <w:rPr>
          <w:rFonts w:ascii="Calibri" w:hAnsi="Calibri" w:eastAsia="Calibri" w:cs="Calibri"/>
          <w:color w:val="auto"/>
          <w:spacing w:val="-1"/>
          <w:sz w:val="24"/>
          <w:szCs w:val="24"/>
          <w:highlight w:val="none"/>
          <w:u w:val="single" w:color="auto"/>
        </w:rPr>
        <w:t>2015</w:t>
      </w:r>
      <w:r>
        <w:rPr>
          <w:color w:val="auto"/>
          <w:spacing w:val="-1"/>
          <w:sz w:val="24"/>
          <w:szCs w:val="24"/>
          <w:highlight w:val="none"/>
          <w:u w:val="single" w:color="auto"/>
        </w:rPr>
        <w:t>〕</w:t>
      </w:r>
      <w:r>
        <w:rPr>
          <w:rFonts w:ascii="Calibri" w:hAnsi="Calibri" w:eastAsia="Calibri" w:cs="Calibri"/>
          <w:color w:val="auto"/>
          <w:spacing w:val="-1"/>
          <w:sz w:val="24"/>
          <w:szCs w:val="24"/>
          <w:highlight w:val="none"/>
          <w:u w:val="single" w:color="auto"/>
        </w:rPr>
        <w:t>16</w:t>
      </w:r>
      <w:r>
        <w:rPr>
          <w:color w:val="auto"/>
          <w:spacing w:val="-1"/>
          <w:sz w:val="24"/>
          <w:szCs w:val="24"/>
          <w:highlight w:val="none"/>
          <w:u w:val="single" w:color="auto"/>
        </w:rPr>
        <w:t>号）</w:t>
      </w:r>
      <w:r>
        <w:rPr>
          <w:color w:val="auto"/>
          <w:spacing w:val="-1"/>
          <w:sz w:val="24"/>
          <w:szCs w:val="24"/>
          <w:highlight w:val="none"/>
        </w:rPr>
        <w:t>和</w:t>
      </w:r>
      <w:r>
        <w:rPr>
          <w:color w:val="auto"/>
          <w:spacing w:val="-1"/>
          <w:sz w:val="24"/>
          <w:szCs w:val="24"/>
          <w:highlight w:val="none"/>
          <w:u w:val="single" w:color="auto"/>
        </w:rPr>
        <w:t xml:space="preserve"> </w:t>
      </w:r>
      <w:r>
        <w:rPr>
          <w:rFonts w:hint="eastAsia" w:eastAsia="宋体"/>
          <w:color w:val="auto"/>
          <w:spacing w:val="-1"/>
          <w:sz w:val="24"/>
          <w:szCs w:val="24"/>
          <w:highlight w:val="none"/>
          <w:u w:val="single" w:color="auto"/>
          <w:lang w:val="en-US" w:eastAsia="zh-CN"/>
        </w:rPr>
        <w:t xml:space="preserve">荔浦 </w:t>
      </w:r>
      <w:r>
        <w:rPr>
          <w:color w:val="auto"/>
          <w:spacing w:val="-1"/>
          <w:sz w:val="24"/>
          <w:szCs w:val="24"/>
          <w:highlight w:val="none"/>
        </w:rPr>
        <w:t>市相关规定执行。</w:t>
      </w:r>
    </w:p>
    <w:p w14:paraId="013AC849">
      <w:pPr>
        <w:pStyle w:val="4"/>
        <w:spacing w:before="135" w:line="324" w:lineRule="auto"/>
        <w:ind w:left="20" w:right="94" w:firstLine="426"/>
        <w:rPr>
          <w:color w:val="auto"/>
          <w:sz w:val="24"/>
          <w:szCs w:val="24"/>
          <w:highlight w:val="none"/>
        </w:rPr>
      </w:pPr>
      <w:r>
        <w:rPr>
          <w:color w:val="auto"/>
          <w:spacing w:val="-1"/>
          <w:sz w:val="24"/>
          <w:szCs w:val="24"/>
          <w:highlight w:val="none"/>
        </w:rPr>
        <w:t>（</w:t>
      </w:r>
      <w:r>
        <w:rPr>
          <w:rFonts w:ascii="Calibri" w:hAnsi="Calibri" w:eastAsia="Calibri" w:cs="Calibri"/>
          <w:color w:val="auto"/>
          <w:spacing w:val="-1"/>
          <w:sz w:val="24"/>
          <w:szCs w:val="24"/>
          <w:highlight w:val="none"/>
        </w:rPr>
        <w:t>3</w:t>
      </w:r>
      <w:r>
        <w:rPr>
          <w:color w:val="auto"/>
          <w:spacing w:val="-1"/>
          <w:sz w:val="24"/>
          <w:szCs w:val="24"/>
          <w:highlight w:val="none"/>
        </w:rPr>
        <w:t>）支付约定：在本合同签订后</w:t>
      </w:r>
      <w:r>
        <w:rPr>
          <w:rFonts w:hint="eastAsia" w:eastAsia="宋体"/>
          <w:color w:val="auto"/>
          <w:spacing w:val="-1"/>
          <w:sz w:val="24"/>
          <w:szCs w:val="24"/>
          <w:highlight w:val="none"/>
          <w:lang w:val="en-US" w:eastAsia="zh-CN"/>
        </w:rPr>
        <w:t xml:space="preserve">  </w:t>
      </w:r>
      <w:r>
        <w:rPr>
          <w:rFonts w:hint="eastAsia" w:eastAsia="宋体"/>
          <w:color w:val="auto"/>
          <w:spacing w:val="-1"/>
          <w:sz w:val="24"/>
          <w:szCs w:val="24"/>
          <w:highlight w:val="none"/>
          <w:u w:val="single" w:color="auto"/>
          <w:lang w:val="en-US" w:eastAsia="zh-CN"/>
        </w:rPr>
        <w:t xml:space="preserve">28  </w:t>
      </w:r>
      <w:r>
        <w:rPr>
          <w:color w:val="auto"/>
          <w:spacing w:val="-2"/>
          <w:sz w:val="24"/>
          <w:szCs w:val="24"/>
          <w:highlight w:val="none"/>
        </w:rPr>
        <w:t>个工作日内，预付安全文明施工费总额的</w:t>
      </w:r>
      <w:r>
        <w:rPr>
          <w:rFonts w:hint="eastAsia" w:eastAsia="宋体"/>
          <w:color w:val="auto"/>
          <w:spacing w:val="-2"/>
          <w:sz w:val="24"/>
          <w:szCs w:val="24"/>
          <w:highlight w:val="none"/>
          <w:u w:val="single"/>
          <w:lang w:val="en-US" w:eastAsia="zh-CN"/>
        </w:rPr>
        <w:t>50</w:t>
      </w:r>
      <w:r>
        <w:rPr>
          <w:rFonts w:ascii="Calibri" w:hAnsi="Calibri" w:eastAsia="Calibri" w:cs="Calibri"/>
          <w:color w:val="auto"/>
          <w:spacing w:val="-2"/>
          <w:sz w:val="24"/>
          <w:szCs w:val="24"/>
          <w:highlight w:val="none"/>
          <w:u w:val="single" w:color="auto"/>
        </w:rPr>
        <w:t>%</w:t>
      </w:r>
      <w:r>
        <w:rPr>
          <w:rFonts w:hint="eastAsia" w:ascii="Calibri" w:hAnsi="Calibri" w:eastAsia="宋体" w:cs="Calibri"/>
          <w:color w:val="auto"/>
          <w:spacing w:val="-2"/>
          <w:sz w:val="24"/>
          <w:szCs w:val="24"/>
          <w:highlight w:val="none"/>
          <w:u w:val="single" w:color="auto"/>
          <w:lang w:eastAsia="zh-CN"/>
        </w:rPr>
        <w:t>，</w:t>
      </w:r>
      <w:r>
        <w:rPr>
          <w:color w:val="auto"/>
          <w:spacing w:val="-2"/>
          <w:sz w:val="24"/>
          <w:szCs w:val="24"/>
          <w:highlight w:val="none"/>
        </w:rPr>
        <w:t>其余部分与进度款同期支付，安全文</w:t>
      </w:r>
      <w:r>
        <w:rPr>
          <w:color w:val="auto"/>
          <w:spacing w:val="-3"/>
          <w:sz w:val="24"/>
          <w:szCs w:val="24"/>
          <w:highlight w:val="none"/>
        </w:rPr>
        <w:t>明施工费预付款在工程进度款</w:t>
      </w:r>
      <w:r>
        <w:rPr>
          <w:color w:val="auto"/>
          <w:spacing w:val="-2"/>
          <w:sz w:val="24"/>
          <w:szCs w:val="24"/>
          <w:highlight w:val="none"/>
        </w:rPr>
        <w:t>累计金额超过合同价的</w:t>
      </w:r>
      <w:r>
        <w:rPr>
          <w:rFonts w:hint="eastAsia" w:eastAsia="宋体"/>
          <w:color w:val="auto"/>
          <w:spacing w:val="-2"/>
          <w:sz w:val="24"/>
          <w:szCs w:val="24"/>
          <w:highlight w:val="none"/>
          <w:u w:val="single" w:color="auto"/>
          <w:lang w:val="en-US" w:eastAsia="zh-CN"/>
        </w:rPr>
        <w:t xml:space="preserve"> 60 </w:t>
      </w:r>
      <w:r>
        <w:rPr>
          <w:rFonts w:ascii="Calibri" w:hAnsi="Calibri" w:eastAsia="Calibri" w:cs="Calibri"/>
          <w:color w:val="auto"/>
          <w:spacing w:val="-2"/>
          <w:sz w:val="24"/>
          <w:szCs w:val="24"/>
          <w:highlight w:val="none"/>
        </w:rPr>
        <w:t>%</w:t>
      </w:r>
      <w:r>
        <w:rPr>
          <w:color w:val="auto"/>
          <w:spacing w:val="-2"/>
          <w:sz w:val="24"/>
          <w:szCs w:val="24"/>
          <w:highlight w:val="none"/>
        </w:rPr>
        <w:t>时开始起扣，每月从支付</w:t>
      </w:r>
      <w:r>
        <w:rPr>
          <w:color w:val="auto"/>
          <w:spacing w:val="-3"/>
          <w:sz w:val="24"/>
          <w:szCs w:val="24"/>
          <w:highlight w:val="none"/>
        </w:rPr>
        <w:t>给承包商的工程款内按安</w:t>
      </w:r>
      <w:r>
        <w:rPr>
          <w:color w:val="auto"/>
          <w:sz w:val="24"/>
          <w:szCs w:val="24"/>
          <w:highlight w:val="none"/>
        </w:rPr>
        <w:t xml:space="preserve"> </w:t>
      </w:r>
      <w:r>
        <w:rPr>
          <w:color w:val="auto"/>
          <w:spacing w:val="-1"/>
          <w:sz w:val="24"/>
          <w:szCs w:val="24"/>
          <w:highlight w:val="none"/>
        </w:rPr>
        <w:t>全文明预付款占合同总价的同一百分比扣回。</w:t>
      </w:r>
    </w:p>
    <w:p w14:paraId="67574A3D">
      <w:pPr>
        <w:pStyle w:val="4"/>
        <w:spacing w:before="159" w:line="241" w:lineRule="auto"/>
        <w:ind w:left="446"/>
        <w:rPr>
          <w:color w:val="auto"/>
          <w:sz w:val="24"/>
          <w:szCs w:val="24"/>
          <w:highlight w:val="none"/>
        </w:rPr>
      </w:pPr>
      <w:r>
        <w:rPr>
          <w:color w:val="auto"/>
          <w:sz w:val="24"/>
          <w:szCs w:val="24"/>
          <w:highlight w:val="none"/>
        </w:rPr>
        <w:t>（</w:t>
      </w:r>
      <w:r>
        <w:rPr>
          <w:rFonts w:ascii="Calibri" w:hAnsi="Calibri" w:eastAsia="Calibri" w:cs="Calibri"/>
          <w:color w:val="auto"/>
          <w:sz w:val="24"/>
          <w:szCs w:val="24"/>
          <w:highlight w:val="none"/>
        </w:rPr>
        <w:t>4</w:t>
      </w:r>
      <w:r>
        <w:rPr>
          <w:color w:val="auto"/>
          <w:sz w:val="24"/>
          <w:szCs w:val="24"/>
          <w:highlight w:val="none"/>
        </w:rPr>
        <w:t>）建设单位按规定将安全生产费用转入施工单位设立</w:t>
      </w:r>
      <w:r>
        <w:rPr>
          <w:color w:val="auto"/>
          <w:spacing w:val="-1"/>
          <w:sz w:val="24"/>
          <w:szCs w:val="24"/>
          <w:highlight w:val="none"/>
        </w:rPr>
        <w:t>的安全生产费用专户。</w:t>
      </w:r>
    </w:p>
    <w:p w14:paraId="425ECCEC">
      <w:pPr>
        <w:pStyle w:val="4"/>
        <w:spacing w:before="134" w:line="241" w:lineRule="auto"/>
        <w:ind w:left="446"/>
        <w:rPr>
          <w:color w:val="auto"/>
          <w:sz w:val="24"/>
          <w:szCs w:val="24"/>
          <w:highlight w:val="none"/>
        </w:rPr>
      </w:pPr>
      <w:r>
        <w:rPr>
          <w:color w:val="auto"/>
          <w:spacing w:val="-1"/>
          <w:sz w:val="24"/>
          <w:szCs w:val="24"/>
          <w:highlight w:val="none"/>
        </w:rPr>
        <w:t>（</w:t>
      </w:r>
      <w:r>
        <w:rPr>
          <w:rFonts w:ascii="Calibri" w:hAnsi="Calibri" w:eastAsia="Calibri" w:cs="Calibri"/>
          <w:color w:val="auto"/>
          <w:spacing w:val="-1"/>
          <w:sz w:val="24"/>
          <w:szCs w:val="24"/>
          <w:highlight w:val="none"/>
        </w:rPr>
        <w:t>5</w:t>
      </w:r>
      <w:r>
        <w:rPr>
          <w:color w:val="auto"/>
          <w:spacing w:val="-1"/>
          <w:sz w:val="24"/>
          <w:szCs w:val="24"/>
          <w:highlight w:val="none"/>
        </w:rPr>
        <w:t>）工程施工完成后安全生产费用尚有结余的，结余部分由建设单位收回。</w:t>
      </w:r>
    </w:p>
    <w:p w14:paraId="433E10B1">
      <w:pPr>
        <w:pStyle w:val="4"/>
        <w:spacing w:before="133" w:line="290" w:lineRule="auto"/>
        <w:ind w:left="19" w:right="101" w:firstLine="427"/>
        <w:rPr>
          <w:color w:val="auto"/>
          <w:sz w:val="24"/>
          <w:szCs w:val="24"/>
          <w:highlight w:val="none"/>
        </w:rPr>
      </w:pPr>
      <w:r>
        <w:rPr>
          <w:color w:val="auto"/>
          <w:spacing w:val="-2"/>
          <w:sz w:val="24"/>
          <w:szCs w:val="24"/>
          <w:highlight w:val="none"/>
        </w:rPr>
        <w:t>（</w:t>
      </w:r>
      <w:r>
        <w:rPr>
          <w:rFonts w:ascii="Calibri" w:hAnsi="Calibri" w:eastAsia="Calibri" w:cs="Calibri"/>
          <w:color w:val="auto"/>
          <w:spacing w:val="-2"/>
          <w:sz w:val="24"/>
          <w:szCs w:val="24"/>
          <w:highlight w:val="none"/>
        </w:rPr>
        <w:t>6</w:t>
      </w:r>
      <w:r>
        <w:rPr>
          <w:color w:val="auto"/>
          <w:spacing w:val="-2"/>
          <w:sz w:val="24"/>
          <w:szCs w:val="24"/>
          <w:highlight w:val="none"/>
        </w:rPr>
        <w:t>）施工单位将安全生产费用使用情况定期报告建设单位和监理单位，并提供相应的材料</w:t>
      </w:r>
      <w:r>
        <w:rPr>
          <w:color w:val="auto"/>
          <w:spacing w:val="15"/>
          <w:sz w:val="24"/>
          <w:szCs w:val="24"/>
          <w:highlight w:val="none"/>
        </w:rPr>
        <w:t xml:space="preserve"> </w:t>
      </w:r>
      <w:r>
        <w:rPr>
          <w:color w:val="auto"/>
          <w:spacing w:val="-1"/>
          <w:sz w:val="24"/>
          <w:szCs w:val="24"/>
          <w:highlight w:val="none"/>
        </w:rPr>
        <w:t>接受建设行政主管部门对此事项监管。</w:t>
      </w:r>
    </w:p>
    <w:p w14:paraId="21A46217">
      <w:pPr>
        <w:pStyle w:val="4"/>
        <w:spacing w:before="160" w:line="241" w:lineRule="auto"/>
        <w:ind w:left="446"/>
        <w:rPr>
          <w:color w:val="auto"/>
          <w:spacing w:val="-1"/>
          <w:sz w:val="24"/>
          <w:szCs w:val="24"/>
          <w:highlight w:val="none"/>
        </w:rPr>
      </w:pPr>
      <w:r>
        <w:rPr>
          <w:color w:val="auto"/>
          <w:spacing w:val="-1"/>
          <w:sz w:val="24"/>
          <w:szCs w:val="24"/>
          <w:highlight w:val="none"/>
        </w:rPr>
        <w:t>（</w:t>
      </w:r>
      <w:r>
        <w:rPr>
          <w:rFonts w:ascii="Calibri" w:hAnsi="Calibri" w:eastAsia="Calibri" w:cs="Calibri"/>
          <w:color w:val="auto"/>
          <w:spacing w:val="-1"/>
          <w:sz w:val="24"/>
          <w:szCs w:val="24"/>
          <w:highlight w:val="none"/>
        </w:rPr>
        <w:t>7</w:t>
      </w:r>
      <w:r>
        <w:rPr>
          <w:color w:val="auto"/>
          <w:spacing w:val="-1"/>
          <w:sz w:val="24"/>
          <w:szCs w:val="24"/>
          <w:highlight w:val="none"/>
        </w:rPr>
        <w:t>）安全生产费用专户：</w:t>
      </w:r>
      <w:r>
        <w:rPr>
          <w:rFonts w:hint="eastAsia" w:eastAsia="宋体"/>
          <w:color w:val="auto"/>
          <w:spacing w:val="-1"/>
          <w:sz w:val="24"/>
          <w:szCs w:val="24"/>
          <w:highlight w:val="none"/>
          <w:u w:val="single"/>
          <w:lang w:val="en-US" w:eastAsia="zh-CN"/>
        </w:rPr>
        <w:t xml:space="preserve">                                          </w:t>
      </w:r>
      <w:r>
        <w:rPr>
          <w:rFonts w:hint="eastAsia" w:eastAsia="宋体"/>
          <w:color w:val="auto"/>
          <w:spacing w:val="-68"/>
          <w:sz w:val="24"/>
          <w:szCs w:val="24"/>
          <w:highlight w:val="none"/>
          <w:u w:val="single"/>
          <w:lang w:val="en-US" w:eastAsia="zh-CN"/>
        </w:rPr>
        <w:t xml:space="preserve">                       </w:t>
      </w:r>
      <w:r>
        <w:rPr>
          <w:color w:val="auto"/>
          <w:spacing w:val="-1"/>
          <w:sz w:val="24"/>
          <w:szCs w:val="24"/>
          <w:highlight w:val="none"/>
        </w:rPr>
        <w:t>。</w:t>
      </w:r>
    </w:p>
    <w:p w14:paraId="7586FD34">
      <w:pPr>
        <w:pStyle w:val="4"/>
        <w:spacing w:before="160" w:line="241" w:lineRule="auto"/>
        <w:ind w:firstLine="2380" w:firstLineChars="1000"/>
        <w:rPr>
          <w:rFonts w:hint="eastAsia" w:ascii="宋体" w:hAnsi="宋体" w:eastAsia="宋体" w:cs="宋体"/>
          <w:color w:val="auto"/>
          <w:sz w:val="24"/>
          <w:szCs w:val="24"/>
          <w:highlight w:val="none"/>
          <w:lang w:val="en-US" w:eastAsia="zh-CN"/>
        </w:rPr>
      </w:pPr>
      <w:r>
        <w:rPr>
          <w:color w:val="auto"/>
          <w:spacing w:val="-1"/>
          <w:sz w:val="24"/>
          <w:szCs w:val="24"/>
          <w:highlight w:val="none"/>
        </w:rPr>
        <w:t>账</w:t>
      </w:r>
      <w:r>
        <w:rPr>
          <w:rFonts w:hint="eastAsia" w:eastAsia="宋体"/>
          <w:color w:val="auto"/>
          <w:spacing w:val="-1"/>
          <w:sz w:val="24"/>
          <w:szCs w:val="24"/>
          <w:highlight w:val="none"/>
          <w:lang w:val="en-US" w:eastAsia="zh-CN"/>
        </w:rPr>
        <w:t xml:space="preserve">  </w:t>
      </w:r>
      <w:r>
        <w:rPr>
          <w:color w:val="auto"/>
          <w:spacing w:val="-1"/>
          <w:sz w:val="24"/>
          <w:szCs w:val="24"/>
          <w:highlight w:val="none"/>
        </w:rPr>
        <w:t>号</w:t>
      </w:r>
      <w:r>
        <w:rPr>
          <w:color w:val="auto"/>
          <w:spacing w:val="-1"/>
          <w:sz w:val="24"/>
          <w:szCs w:val="24"/>
          <w:highlight w:val="none"/>
          <w:u w:val="single" w:color="auto"/>
        </w:rPr>
        <w:t>：</w:t>
      </w:r>
      <w:r>
        <w:rPr>
          <w:rFonts w:hint="eastAsia" w:ascii="宋体" w:hAnsi="宋体" w:eastAsia="宋体" w:cs="宋体"/>
          <w:color w:val="auto"/>
          <w:sz w:val="24"/>
          <w:szCs w:val="24"/>
          <w:highlight w:val="none"/>
          <w:u w:val="single"/>
          <w:lang w:val="en-US" w:eastAsia="zh-CN"/>
        </w:rPr>
        <w:t xml:space="preserve">                      </w:t>
      </w:r>
      <w:r>
        <w:rPr>
          <w:color w:val="auto"/>
          <w:spacing w:val="-1"/>
          <w:sz w:val="24"/>
          <w:szCs w:val="24"/>
          <w:highlight w:val="none"/>
          <w:u w:val="single" w:color="auto"/>
        </w:rPr>
        <w:t xml:space="preserve"> </w:t>
      </w:r>
      <w:r>
        <w:rPr>
          <w:color w:val="auto"/>
          <w:spacing w:val="-1"/>
          <w:sz w:val="24"/>
          <w:szCs w:val="24"/>
          <w:highlight w:val="none"/>
        </w:rPr>
        <w:t>。</w:t>
      </w:r>
    </w:p>
    <w:p w14:paraId="519EBE4F">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环境保护</w:t>
      </w:r>
    </w:p>
    <w:p w14:paraId="33255269">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因施工需要，经发包人批准，由承包人办理有关施工场地交通、环卫和施工噪音管理等手续，费用由承包人负责。经过城市道路的施工车辆，必须按交警、城管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运输等部门相关规定执行。由于施工车辆造成的道路、环境等污染，其责任和费用均由承包人承担。</w:t>
      </w:r>
    </w:p>
    <w:p w14:paraId="78096CD2">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5" w:firstLine="252" w:firstLineChars="1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7.</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工期和进度</w:t>
      </w:r>
    </w:p>
    <w:p w14:paraId="12ABF0BC">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7.1</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施工组织设计</w:t>
      </w:r>
    </w:p>
    <w:p w14:paraId="0FE16630">
      <w:pPr>
        <w:keepNext w:val="0"/>
        <w:keepLines w:val="0"/>
        <w:pageBreakBefore w:val="0"/>
        <w:widowControl/>
        <w:kinsoku w:val="0"/>
        <w:wordWrap/>
        <w:overflowPunct/>
        <w:topLinePunct w:val="0"/>
        <w:autoSpaceDE w:val="0"/>
        <w:autoSpaceDN w:val="0"/>
        <w:bidi w:val="0"/>
        <w:adjustRightInd w:val="0"/>
        <w:snapToGrid w:val="0"/>
        <w:spacing w:before="130" w:line="480" w:lineRule="exact"/>
        <w:ind w:right="90" w:firstLine="425"/>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7.1.1 合同当事人约定的施工组织设计应包括的其他内容：</w:t>
      </w:r>
      <w:r>
        <w:rPr>
          <w:color w:val="auto"/>
          <w:spacing w:val="-1"/>
          <w:sz w:val="24"/>
          <w:szCs w:val="24"/>
          <w:highlight w:val="none"/>
          <w:u w:val="single" w:color="auto"/>
        </w:rPr>
        <w:t>按通用条款或双方另行约</w:t>
      </w:r>
      <w:r>
        <w:rPr>
          <w:color w:val="auto"/>
          <w:spacing w:val="-5"/>
          <w:sz w:val="24"/>
          <w:szCs w:val="24"/>
          <w:highlight w:val="none"/>
          <w:u w:val="single" w:color="auto"/>
        </w:rPr>
        <w:t>定</w:t>
      </w:r>
      <w:r>
        <w:rPr>
          <w:rFonts w:hint="eastAsia" w:ascii="宋体" w:hAnsi="宋体" w:eastAsia="宋体" w:cs="宋体"/>
          <w:color w:val="auto"/>
          <w:spacing w:val="11"/>
          <w:sz w:val="24"/>
          <w:szCs w:val="24"/>
          <w:highlight w:val="none"/>
          <w:u w:val="single" w:color="auto"/>
          <w:lang w:eastAsia="zh-CN"/>
        </w:rPr>
        <w:t>。</w:t>
      </w:r>
    </w:p>
    <w:p w14:paraId="75064112">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7.1.2 施工组织设计的提交和修改</w:t>
      </w:r>
    </w:p>
    <w:p w14:paraId="0C73FFD9">
      <w:pPr>
        <w:keepNext w:val="0"/>
        <w:keepLines w:val="0"/>
        <w:pageBreakBefore w:val="0"/>
        <w:widowControl/>
        <w:kinsoku w:val="0"/>
        <w:wordWrap/>
        <w:overflowPunct/>
        <w:topLinePunct w:val="0"/>
        <w:autoSpaceDE w:val="0"/>
        <w:autoSpaceDN w:val="0"/>
        <w:bidi w:val="0"/>
        <w:adjustRightInd w:val="0"/>
        <w:snapToGrid w:val="0"/>
        <w:spacing w:before="111" w:line="480" w:lineRule="exact"/>
        <w:ind w:firstLine="51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承包人提交详细施工组织设计的期限的约定：</w:t>
      </w:r>
      <w:r>
        <w:rPr>
          <w:rFonts w:hint="eastAsia" w:ascii="宋体" w:hAnsi="宋体" w:eastAsia="宋体" w:cs="宋体"/>
          <w:color w:val="auto"/>
          <w:spacing w:val="9"/>
          <w:sz w:val="24"/>
          <w:szCs w:val="24"/>
          <w:highlight w:val="none"/>
          <w:u w:val="single" w:color="auto"/>
          <w:lang w:val="en-US" w:eastAsia="zh-CN"/>
        </w:rPr>
        <w:t>开工前</w:t>
      </w:r>
      <w:r>
        <w:rPr>
          <w:rFonts w:hint="eastAsia" w:ascii="宋体" w:hAnsi="宋体" w:eastAsia="宋体" w:cs="宋体"/>
          <w:color w:val="auto"/>
          <w:spacing w:val="6"/>
          <w:sz w:val="24"/>
          <w:szCs w:val="24"/>
          <w:highlight w:val="none"/>
        </w:rPr>
        <w:t>。</w:t>
      </w:r>
    </w:p>
    <w:p w14:paraId="73B80B25">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51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发包人和监理人在收到详细的施工组织设计后确认或提出修改意见的期限：</w:t>
      </w:r>
      <w:r>
        <w:rPr>
          <w:rFonts w:hint="eastAsia" w:ascii="宋体" w:hAnsi="宋体" w:eastAsia="宋体" w:cs="宋体"/>
          <w:color w:val="auto"/>
          <w:spacing w:val="9"/>
          <w:sz w:val="24"/>
          <w:szCs w:val="24"/>
          <w:highlight w:val="none"/>
          <w:u w:val="single" w:color="auto"/>
        </w:rPr>
        <w:t>收到施工组织设计后</w:t>
      </w:r>
      <w:r>
        <w:rPr>
          <w:rFonts w:hint="eastAsia"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7</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天</w:t>
      </w:r>
      <w:r>
        <w:rPr>
          <w:rFonts w:hint="eastAsia" w:ascii="宋体" w:hAnsi="宋体" w:eastAsia="宋体" w:cs="宋体"/>
          <w:color w:val="auto"/>
          <w:spacing w:val="8"/>
          <w:sz w:val="24"/>
          <w:szCs w:val="24"/>
          <w:highlight w:val="none"/>
          <w:u w:val="single" w:color="auto"/>
        </w:rPr>
        <w:t>内确认或提出修改意见。</w:t>
      </w:r>
    </w:p>
    <w:p w14:paraId="7BE0E8C9">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7.2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施工进度计划</w:t>
      </w:r>
    </w:p>
    <w:p w14:paraId="325A193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7.2.2 施工进度计划的修订</w:t>
      </w:r>
    </w:p>
    <w:p w14:paraId="45FD92DC">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发包人和监理人在收到修订的施工进度计划后确认或提出修改意见的期限：</w:t>
      </w:r>
      <w:r>
        <w:rPr>
          <w:rFonts w:hint="eastAsia" w:ascii="宋体" w:hAnsi="宋体" w:eastAsia="宋体" w:cs="宋体"/>
          <w:color w:val="auto"/>
          <w:spacing w:val="7"/>
          <w:sz w:val="24"/>
          <w:szCs w:val="24"/>
          <w:highlight w:val="none"/>
          <w:u w:val="single" w:color="auto"/>
          <w:lang w:val="en-US" w:eastAsia="zh-CN"/>
        </w:rPr>
        <w:t>收到后5天内</w:t>
      </w:r>
      <w:r>
        <w:rPr>
          <w:rFonts w:hint="eastAsia" w:ascii="宋体" w:hAnsi="宋体" w:eastAsia="宋体" w:cs="宋体"/>
          <w:color w:val="auto"/>
          <w:spacing w:val="9"/>
          <w:sz w:val="24"/>
          <w:szCs w:val="24"/>
          <w:highlight w:val="none"/>
          <w:u w:val="single" w:color="auto"/>
        </w:rPr>
        <w:t>。</w:t>
      </w:r>
    </w:p>
    <w:p w14:paraId="5D4B4F12">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3"/>
        <w:jc w:val="left"/>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7.3</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开工</w:t>
      </w:r>
    </w:p>
    <w:p w14:paraId="4A0DE6B0">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3"/>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7.3.1</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开工准备</w:t>
      </w:r>
    </w:p>
    <w:p w14:paraId="16CAA25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3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关于承包人提交工程开工报审表的期限：</w:t>
      </w:r>
      <w:r>
        <w:rPr>
          <w:rFonts w:hint="eastAsia" w:ascii="宋体" w:hAnsi="宋体" w:eastAsia="宋体" w:cs="宋体"/>
          <w:color w:val="auto"/>
          <w:spacing w:val="7"/>
          <w:sz w:val="24"/>
          <w:szCs w:val="24"/>
          <w:highlight w:val="none"/>
          <w:u w:val="single" w:color="auto"/>
        </w:rPr>
        <w:t xml:space="preserve"> </w:t>
      </w:r>
      <w:r>
        <w:rPr>
          <w:rFonts w:hint="eastAsia" w:eastAsia="宋体"/>
          <w:color w:val="auto"/>
          <w:spacing w:val="-1"/>
          <w:sz w:val="24"/>
          <w:szCs w:val="24"/>
          <w:highlight w:val="none"/>
          <w:u w:val="single" w:color="auto"/>
          <w:lang w:val="en-US" w:eastAsia="zh-CN"/>
        </w:rPr>
        <w:t>合同签订后、开工前</w:t>
      </w:r>
      <w:r>
        <w:rPr>
          <w:rFonts w:hint="eastAsia" w:ascii="宋体" w:hAnsi="宋体" w:eastAsia="宋体" w:cs="宋体"/>
          <w:color w:val="auto"/>
          <w:spacing w:val="7"/>
          <w:sz w:val="24"/>
          <w:szCs w:val="24"/>
          <w:highlight w:val="none"/>
        </w:rPr>
        <w:t>。</w:t>
      </w:r>
    </w:p>
    <w:p w14:paraId="32E90E9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3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关于发包人应完成的其他开工准备工作及期限：</w:t>
      </w:r>
      <w:r>
        <w:rPr>
          <w:rFonts w:hint="eastAsia" w:ascii="宋体" w:hAnsi="宋体" w:eastAsia="宋体" w:cs="宋体"/>
          <w:color w:val="auto"/>
          <w:spacing w:val="7"/>
          <w:sz w:val="24"/>
          <w:szCs w:val="24"/>
          <w:highlight w:val="none"/>
          <w:u w:val="single" w:color="auto"/>
        </w:rPr>
        <w:t xml:space="preserve"> </w:t>
      </w:r>
      <w:r>
        <w:rPr>
          <w:rFonts w:hint="eastAsia" w:eastAsia="宋体"/>
          <w:color w:val="auto"/>
          <w:spacing w:val="-1"/>
          <w:sz w:val="24"/>
          <w:szCs w:val="24"/>
          <w:highlight w:val="none"/>
          <w:u w:val="single" w:color="auto"/>
          <w:lang w:val="en-US" w:eastAsia="zh-CN"/>
        </w:rPr>
        <w:t xml:space="preserve"> /  </w:t>
      </w:r>
      <w:r>
        <w:rPr>
          <w:rFonts w:hint="eastAsia" w:ascii="宋体" w:hAnsi="宋体" w:eastAsia="宋体" w:cs="宋体"/>
          <w:color w:val="auto"/>
          <w:spacing w:val="7"/>
          <w:sz w:val="24"/>
          <w:szCs w:val="24"/>
          <w:highlight w:val="none"/>
        </w:rPr>
        <w:t>。</w:t>
      </w:r>
    </w:p>
    <w:p w14:paraId="6E0F46E0">
      <w:pPr>
        <w:keepNext w:val="0"/>
        <w:keepLines w:val="0"/>
        <w:pageBreakBefore w:val="0"/>
        <w:widowControl/>
        <w:kinsoku w:val="0"/>
        <w:wordWrap/>
        <w:overflowPunct/>
        <w:topLinePunct w:val="0"/>
        <w:autoSpaceDE w:val="0"/>
        <w:autoSpaceDN w:val="0"/>
        <w:bidi w:val="0"/>
        <w:adjustRightInd w:val="0"/>
        <w:snapToGrid w:val="0"/>
        <w:spacing w:line="480" w:lineRule="exact"/>
        <w:ind w:left="537"/>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关于承包人应完成的其他开工准备工作及期限</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u w:val="single" w:color="auto"/>
        </w:rPr>
        <w:t xml:space="preserve"> </w:t>
      </w:r>
      <w:r>
        <w:rPr>
          <w:rFonts w:hint="eastAsia" w:eastAsia="宋体"/>
          <w:color w:val="auto"/>
          <w:spacing w:val="-1"/>
          <w:sz w:val="24"/>
          <w:szCs w:val="24"/>
          <w:highlight w:val="none"/>
          <w:u w:val="single" w:color="auto"/>
          <w:lang w:val="en-US" w:eastAsia="zh-CN"/>
        </w:rPr>
        <w:t xml:space="preserve"> /  </w:t>
      </w:r>
      <w:r>
        <w:rPr>
          <w:rFonts w:hint="eastAsia" w:ascii="宋体" w:hAnsi="宋体" w:eastAsia="宋体" w:cs="宋体"/>
          <w:color w:val="auto"/>
          <w:spacing w:val="7"/>
          <w:sz w:val="24"/>
          <w:szCs w:val="24"/>
          <w:highlight w:val="none"/>
        </w:rPr>
        <w:t>。</w:t>
      </w:r>
    </w:p>
    <w:p w14:paraId="33C7F28F">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3"/>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7.3.2</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开工通知</w:t>
      </w:r>
    </w:p>
    <w:p w14:paraId="10FA16B9">
      <w:pPr>
        <w:keepNext w:val="0"/>
        <w:keepLines w:val="0"/>
        <w:pageBreakBefore w:val="0"/>
        <w:widowControl/>
        <w:kinsoku w:val="0"/>
        <w:wordWrap/>
        <w:overflowPunct/>
        <w:topLinePunct w:val="0"/>
        <w:autoSpaceDE w:val="0"/>
        <w:autoSpaceDN w:val="0"/>
        <w:bidi w:val="0"/>
        <w:adjustRightInd w:val="0"/>
        <w:snapToGrid w:val="0"/>
        <w:spacing w:before="131" w:line="480" w:lineRule="exact"/>
        <w:ind w:right="2" w:firstLine="50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因发包人原因造成监理人未能在计划开工日期之日起</w:t>
      </w:r>
      <w:r>
        <w:rPr>
          <w:rFonts w:hint="eastAsia" w:ascii="宋体" w:hAnsi="宋体" w:eastAsia="宋体" w:cs="宋体"/>
          <w:color w:val="auto"/>
          <w:spacing w:val="7"/>
          <w:sz w:val="24"/>
          <w:szCs w:val="24"/>
          <w:highlight w:val="none"/>
          <w:u w:val="single" w:color="auto"/>
          <w:lang w:val="en-US" w:eastAsia="zh-CN"/>
        </w:rPr>
        <w:t xml:space="preserve"> 30 </w:t>
      </w:r>
      <w:r>
        <w:rPr>
          <w:rFonts w:hint="eastAsia" w:ascii="宋体" w:hAnsi="宋体" w:eastAsia="宋体" w:cs="宋体"/>
          <w:color w:val="auto"/>
          <w:spacing w:val="7"/>
          <w:sz w:val="24"/>
          <w:szCs w:val="24"/>
          <w:highlight w:val="none"/>
        </w:rPr>
        <w:t>天内发出开工通知的，</w:t>
      </w:r>
      <w:r>
        <w:rPr>
          <w:rFonts w:hint="eastAsia" w:ascii="宋体" w:hAnsi="宋体" w:eastAsia="宋体" w:cs="宋体"/>
          <w:color w:val="auto"/>
          <w:spacing w:val="6"/>
          <w:sz w:val="24"/>
          <w:szCs w:val="24"/>
          <w:highlight w:val="none"/>
        </w:rPr>
        <w:t>承包人有权提出价格调</w:t>
      </w:r>
      <w:r>
        <w:rPr>
          <w:rFonts w:hint="eastAsia" w:ascii="宋体" w:hAnsi="宋体" w:eastAsia="宋体" w:cs="宋体"/>
          <w:color w:val="auto"/>
          <w:spacing w:val="8"/>
          <w:sz w:val="24"/>
          <w:szCs w:val="24"/>
          <w:highlight w:val="none"/>
        </w:rPr>
        <w:t>整要求，或者解除合同。</w:t>
      </w:r>
    </w:p>
    <w:p w14:paraId="0C78757F">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3"/>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7.4</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测量放线</w:t>
      </w:r>
    </w:p>
    <w:p w14:paraId="5F00D449">
      <w:pPr>
        <w:keepNext w:val="0"/>
        <w:keepLines w:val="0"/>
        <w:pageBreakBefore w:val="0"/>
        <w:widowControl/>
        <w:tabs>
          <w:tab w:val="left" w:pos="118"/>
        </w:tabs>
        <w:kinsoku w:val="0"/>
        <w:wordWrap/>
        <w:overflowPunct/>
        <w:topLinePunct w:val="0"/>
        <w:autoSpaceDE w:val="0"/>
        <w:autoSpaceDN w:val="0"/>
        <w:bidi w:val="0"/>
        <w:adjustRightInd w:val="0"/>
        <w:snapToGrid w:val="0"/>
        <w:spacing w:before="131" w:line="480" w:lineRule="exact"/>
        <w:ind w:firstLine="43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7.4.1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9"/>
          <w:sz w:val="24"/>
          <w:szCs w:val="24"/>
          <w:highlight w:val="none"/>
        </w:rPr>
        <w:t>发包人通过监理人向承包人提供测量基准点、基准线和水准点及其书面资</w:t>
      </w:r>
      <w:r>
        <w:rPr>
          <w:rFonts w:hint="eastAsia" w:ascii="宋体" w:hAnsi="宋体" w:eastAsia="宋体" w:cs="宋体"/>
          <w:color w:val="auto"/>
          <w:spacing w:val="8"/>
          <w:sz w:val="24"/>
          <w:szCs w:val="24"/>
          <w:highlight w:val="none"/>
        </w:rPr>
        <w:t>料的期限：</w:t>
      </w:r>
      <w:r>
        <w:rPr>
          <w:color w:val="auto"/>
          <w:spacing w:val="-2"/>
          <w:sz w:val="24"/>
          <w:szCs w:val="24"/>
          <w:highlight w:val="none"/>
          <w:u w:val="single" w:color="auto"/>
        </w:rPr>
        <w:t xml:space="preserve"> 合同签订后、开工前</w:t>
      </w:r>
      <w:r>
        <w:rPr>
          <w:rFonts w:hint="eastAsia" w:ascii="宋体" w:hAnsi="宋体" w:eastAsia="宋体" w:cs="宋体"/>
          <w:color w:val="auto"/>
          <w:spacing w:val="8"/>
          <w:sz w:val="24"/>
          <w:szCs w:val="24"/>
          <w:highlight w:val="none"/>
          <w:u w:val="single" w:color="auto"/>
        </w:rPr>
        <w:t>。</w:t>
      </w:r>
    </w:p>
    <w:p w14:paraId="0300D6E3">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3"/>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7.5</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工期延误</w:t>
      </w:r>
    </w:p>
    <w:p w14:paraId="675D88DC">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7.5.1</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因发包人原因导致工期延误</w:t>
      </w:r>
    </w:p>
    <w:p w14:paraId="42732D0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8"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因发包人原因导致工期延误的其他情形：</w:t>
      </w:r>
      <w:r>
        <w:rPr>
          <w:color w:val="auto"/>
          <w:spacing w:val="-2"/>
          <w:sz w:val="24"/>
          <w:szCs w:val="24"/>
          <w:highlight w:val="none"/>
          <w:u w:val="single" w:color="auto"/>
        </w:rPr>
        <w:t>①重大图纸变更影响关健线路工序施工</w:t>
      </w:r>
      <w:r>
        <w:rPr>
          <w:rFonts w:hint="eastAsia" w:eastAsia="宋体"/>
          <w:color w:val="auto"/>
          <w:spacing w:val="-2"/>
          <w:sz w:val="24"/>
          <w:szCs w:val="24"/>
          <w:highlight w:val="none"/>
          <w:u w:val="single" w:color="auto"/>
          <w:lang w:val="en-US" w:eastAsia="zh-CN"/>
        </w:rPr>
        <w:t>；</w:t>
      </w:r>
      <w:r>
        <w:rPr>
          <w:color w:val="auto"/>
          <w:spacing w:val="-4"/>
          <w:sz w:val="24"/>
          <w:szCs w:val="24"/>
          <w:highlight w:val="none"/>
          <w:u w:val="single" w:color="auto"/>
        </w:rPr>
        <w:t>②施工期间如因停电、停水连续 8 小时以上或一周内间歇性停水、停电累计</w:t>
      </w:r>
      <w:r>
        <w:rPr>
          <w:color w:val="auto"/>
          <w:spacing w:val="-5"/>
          <w:sz w:val="24"/>
          <w:szCs w:val="24"/>
          <w:highlight w:val="none"/>
          <w:u w:val="single" w:color="auto"/>
        </w:rPr>
        <w:t xml:space="preserve"> 8 小时（含</w:t>
      </w:r>
      <w:r>
        <w:rPr>
          <w:color w:val="auto"/>
          <w:spacing w:val="22"/>
          <w:sz w:val="24"/>
          <w:szCs w:val="24"/>
          <w:highlight w:val="none"/>
          <w:u w:val="single" w:color="auto"/>
        </w:rPr>
        <w:t xml:space="preserve"> </w:t>
      </w:r>
      <w:r>
        <w:rPr>
          <w:color w:val="auto"/>
          <w:spacing w:val="-5"/>
          <w:sz w:val="24"/>
          <w:szCs w:val="24"/>
          <w:highlight w:val="none"/>
          <w:u w:val="single" w:color="auto"/>
        </w:rPr>
        <w:t>8</w:t>
      </w:r>
      <w:r>
        <w:rPr>
          <w:color w:val="auto"/>
          <w:spacing w:val="17"/>
          <w:sz w:val="24"/>
          <w:szCs w:val="24"/>
          <w:highlight w:val="none"/>
          <w:u w:val="single" w:color="auto"/>
        </w:rPr>
        <w:t xml:space="preserve"> </w:t>
      </w:r>
      <w:r>
        <w:rPr>
          <w:color w:val="auto"/>
          <w:spacing w:val="-5"/>
          <w:sz w:val="24"/>
          <w:szCs w:val="24"/>
          <w:highlight w:val="none"/>
          <w:u w:val="single" w:color="auto"/>
        </w:rPr>
        <w:t>小</w:t>
      </w:r>
      <w:r>
        <w:rPr>
          <w:color w:val="auto"/>
          <w:spacing w:val="1"/>
          <w:sz w:val="24"/>
          <w:szCs w:val="24"/>
          <w:highlight w:val="none"/>
          <w:u w:val="single" w:color="auto"/>
        </w:rPr>
        <w:t>时）影响正常施工的。③政府指令性停工。④在施工过程中遇到地下</w:t>
      </w:r>
      <w:r>
        <w:rPr>
          <w:color w:val="auto"/>
          <w:sz w:val="24"/>
          <w:szCs w:val="24"/>
          <w:highlight w:val="none"/>
          <w:u w:val="single" w:color="auto"/>
        </w:rPr>
        <w:t>障碍物、溶洞、岩石</w:t>
      </w:r>
      <w:r>
        <w:rPr>
          <w:rFonts w:hint="eastAsia" w:eastAsia="宋体"/>
          <w:color w:val="auto"/>
          <w:sz w:val="24"/>
          <w:szCs w:val="24"/>
          <w:highlight w:val="none"/>
          <w:u w:val="single" w:color="auto"/>
          <w:lang w:eastAsia="zh-CN"/>
        </w:rPr>
        <w:t>、</w:t>
      </w:r>
      <w:r>
        <w:rPr>
          <w:color w:val="auto"/>
          <w:spacing w:val="4"/>
          <w:sz w:val="24"/>
          <w:szCs w:val="24"/>
          <w:highlight w:val="none"/>
          <w:u w:val="single" w:color="auto"/>
        </w:rPr>
        <w:t>文物或地下管线的。⑤因发包人未能及时确认变更价格或甲供材料提供延误的。</w:t>
      </w:r>
      <w:r>
        <w:rPr>
          <w:color w:val="auto"/>
          <w:spacing w:val="3"/>
          <w:sz w:val="24"/>
          <w:szCs w:val="24"/>
          <w:highlight w:val="none"/>
          <w:u w:val="single" w:color="auto"/>
        </w:rPr>
        <w:t>⑥发包人未</w:t>
      </w:r>
      <w:r>
        <w:rPr>
          <w:color w:val="auto"/>
          <w:spacing w:val="-2"/>
          <w:sz w:val="24"/>
          <w:szCs w:val="24"/>
          <w:highlight w:val="none"/>
          <w:u w:val="single" w:color="auto"/>
        </w:rPr>
        <w:t>按合同规定支付工程款并确实影响施工进度；⑦非承包人的责任造成的工期延误其他情形</w:t>
      </w:r>
      <w:r>
        <w:rPr>
          <w:rFonts w:hint="eastAsia" w:ascii="宋体" w:hAnsi="宋体" w:eastAsia="宋体" w:cs="宋体"/>
          <w:color w:val="auto"/>
          <w:spacing w:val="8"/>
          <w:sz w:val="24"/>
          <w:szCs w:val="24"/>
          <w:highlight w:val="none"/>
        </w:rPr>
        <w:t>。</w:t>
      </w:r>
    </w:p>
    <w:p w14:paraId="5F89E4B5">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7.5.2</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6"/>
          <w:sz w:val="24"/>
          <w:szCs w:val="24"/>
          <w:highlight w:val="none"/>
        </w:rPr>
        <w:t>因承包人原因导致工期延误</w:t>
      </w:r>
    </w:p>
    <w:p w14:paraId="36D57C0C">
      <w:pPr>
        <w:pStyle w:val="4"/>
        <w:keepNext w:val="0"/>
        <w:keepLines w:val="0"/>
        <w:pageBreakBefore w:val="0"/>
        <w:widowControl/>
        <w:tabs>
          <w:tab w:val="left" w:pos="8684"/>
        </w:tabs>
        <w:kinsoku w:val="0"/>
        <w:wordWrap/>
        <w:overflowPunct/>
        <w:topLinePunct w:val="0"/>
        <w:autoSpaceDE w:val="0"/>
        <w:autoSpaceDN w:val="0"/>
        <w:bidi w:val="0"/>
        <w:adjustRightInd w:val="0"/>
        <w:snapToGrid w:val="0"/>
        <w:spacing w:before="215" w:line="480" w:lineRule="exact"/>
        <w:ind w:left="34" w:right="62" w:firstLine="48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因承包人原因造成工期延误，逾期竣工违约金的计算方法为：</w:t>
      </w:r>
      <w:r>
        <w:rPr>
          <w:color w:val="auto"/>
          <w:spacing w:val="-1"/>
          <w:sz w:val="24"/>
          <w:szCs w:val="24"/>
          <w:highlight w:val="none"/>
          <w:u w:val="single" w:color="auto"/>
        </w:rPr>
        <w:t xml:space="preserve"> </w:t>
      </w:r>
      <w:r>
        <w:rPr>
          <w:color w:val="auto"/>
          <w:sz w:val="24"/>
          <w:szCs w:val="24"/>
          <w:highlight w:val="none"/>
          <w:u w:val="single" w:color="auto"/>
        </w:rPr>
        <w:t xml:space="preserve"> 非上述原因，承包人不</w:t>
      </w:r>
      <w:r>
        <w:rPr>
          <w:color w:val="auto"/>
          <w:spacing w:val="4"/>
          <w:sz w:val="24"/>
          <w:szCs w:val="24"/>
          <w:highlight w:val="none"/>
          <w:u w:val="single" w:color="auto"/>
        </w:rPr>
        <w:t>能按合同约定的时间竣工，承包人应承担违约</w:t>
      </w:r>
      <w:r>
        <w:rPr>
          <w:color w:val="auto"/>
          <w:spacing w:val="3"/>
          <w:sz w:val="24"/>
          <w:szCs w:val="24"/>
          <w:highlight w:val="none"/>
          <w:u w:val="single" w:color="auto"/>
        </w:rPr>
        <w:t>责任。应向发包人支付误期赔偿费(每天赔偿金</w:t>
      </w:r>
      <w:r>
        <w:rPr>
          <w:color w:val="auto"/>
          <w:spacing w:val="-5"/>
          <w:sz w:val="24"/>
          <w:szCs w:val="24"/>
          <w:highlight w:val="none"/>
          <w:u w:val="single" w:color="auto"/>
        </w:rPr>
        <w:t>额为合同价款扣除社会保险费、发包人材料价款、暂估专业工程、暂列金额后的的万分之四</w:t>
      </w:r>
      <w:r>
        <w:rPr>
          <w:color w:val="auto"/>
          <w:spacing w:val="-6"/>
          <w:sz w:val="24"/>
          <w:szCs w:val="24"/>
          <w:highlight w:val="none"/>
          <w:u w:val="single" w:color="auto"/>
        </w:rPr>
        <w:t>)，</w:t>
      </w:r>
      <w:r>
        <w:rPr>
          <w:color w:val="auto"/>
          <w:spacing w:val="6"/>
          <w:sz w:val="24"/>
          <w:szCs w:val="24"/>
          <w:highlight w:val="none"/>
          <w:u w:val="single" w:color="auto"/>
        </w:rPr>
        <w:t>误期时间从规定竣工日期起直到全部工程或相应部分工程竣工验收各方签章日期之间的天数</w:t>
      </w:r>
      <w:r>
        <w:rPr>
          <w:color w:val="auto"/>
          <w:spacing w:val="-4"/>
          <w:sz w:val="24"/>
          <w:szCs w:val="24"/>
          <w:highlight w:val="none"/>
          <w:u w:val="single" w:color="auto"/>
        </w:rPr>
        <w:t>(扣除发包人批准顺延的工期)。发包人可从应向承包人支付的任何金额中扣除此项赔款费或其他</w:t>
      </w:r>
      <w:r>
        <w:rPr>
          <w:color w:val="auto"/>
          <w:spacing w:val="-3"/>
          <w:sz w:val="24"/>
          <w:szCs w:val="24"/>
          <w:highlight w:val="none"/>
          <w:u w:val="single" w:color="auto"/>
        </w:rPr>
        <w:t>方式收回此款，此赔偿款的支付并不能解除承包人应完成工程的责</w:t>
      </w:r>
      <w:r>
        <w:rPr>
          <w:color w:val="auto"/>
          <w:spacing w:val="-4"/>
          <w:sz w:val="24"/>
          <w:szCs w:val="24"/>
          <w:highlight w:val="none"/>
          <w:u w:val="single" w:color="auto"/>
        </w:rPr>
        <w:t>任或合同规定的其他责任。</w:t>
      </w:r>
    </w:p>
    <w:p w14:paraId="26FA10F3">
      <w:pPr>
        <w:keepNext w:val="0"/>
        <w:keepLines w:val="0"/>
        <w:pageBreakBefore w:val="0"/>
        <w:widowControl/>
        <w:kinsoku w:val="0"/>
        <w:wordWrap/>
        <w:overflowPunct/>
        <w:topLinePunct w:val="0"/>
        <w:autoSpaceDE w:val="0"/>
        <w:autoSpaceDN w:val="0"/>
        <w:bidi w:val="0"/>
        <w:adjustRightInd w:val="0"/>
        <w:snapToGrid w:val="0"/>
        <w:spacing w:before="135" w:line="48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因承包人原因造成工期延误，逾期竣工违约金的</w:t>
      </w:r>
      <w:r>
        <w:rPr>
          <w:rFonts w:hint="eastAsia" w:ascii="宋体" w:hAnsi="宋体" w:eastAsia="宋体" w:cs="宋体"/>
          <w:color w:val="auto"/>
          <w:spacing w:val="9"/>
          <w:sz w:val="24"/>
          <w:szCs w:val="24"/>
          <w:highlight w:val="none"/>
        </w:rPr>
        <w:t>上限：</w:t>
      </w:r>
      <w:r>
        <w:rPr>
          <w:color w:val="auto"/>
          <w:spacing w:val="-16"/>
          <w:sz w:val="24"/>
          <w:szCs w:val="24"/>
          <w:highlight w:val="none"/>
          <w:u w:val="single" w:color="auto"/>
        </w:rPr>
        <w:t>合同价扣除社会保险费、发包人材</w:t>
      </w:r>
      <w:r>
        <w:rPr>
          <w:color w:val="auto"/>
          <w:spacing w:val="-2"/>
          <w:sz w:val="24"/>
          <w:szCs w:val="24"/>
          <w:highlight w:val="none"/>
          <w:u w:val="single" w:color="auto"/>
        </w:rPr>
        <w:t xml:space="preserve">料价款、暂估专业工程、暂列金额后的 </w:t>
      </w:r>
      <w:r>
        <w:rPr>
          <w:rFonts w:ascii="Calibri" w:hAnsi="Calibri" w:eastAsia="Calibri" w:cs="Calibri"/>
          <w:color w:val="auto"/>
          <w:spacing w:val="-2"/>
          <w:sz w:val="24"/>
          <w:szCs w:val="24"/>
          <w:highlight w:val="none"/>
          <w:u w:val="single" w:color="auto"/>
        </w:rPr>
        <w:t>1%</w:t>
      </w:r>
      <w:r>
        <w:rPr>
          <w:rFonts w:ascii="Calibri" w:hAnsi="Calibri" w:eastAsia="Calibri" w:cs="Calibri"/>
          <w:color w:val="auto"/>
          <w:spacing w:val="-3"/>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2AA86CA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3"/>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7.6</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不利物质条件</w:t>
      </w:r>
    </w:p>
    <w:p w14:paraId="059C3E75">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8" w:right="68"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不利物质条件的其他情形和有关约定：</w:t>
      </w:r>
      <w:r>
        <w:rPr>
          <w:rFonts w:hint="eastAsia" w:ascii="宋体" w:hAnsi="宋体" w:eastAsia="宋体" w:cs="宋体"/>
          <w:color w:val="auto"/>
          <w:spacing w:val="10"/>
          <w:sz w:val="24"/>
          <w:szCs w:val="24"/>
          <w:highlight w:val="none"/>
          <w:u w:val="single" w:color="auto"/>
          <w:lang w:val="en-US" w:eastAsia="zh-CN"/>
        </w:rPr>
        <w:t xml:space="preserve">   /    </w:t>
      </w:r>
      <w:r>
        <w:rPr>
          <w:rFonts w:hint="eastAsia" w:ascii="宋体" w:hAnsi="宋体" w:eastAsia="宋体" w:cs="宋体"/>
          <w:color w:val="auto"/>
          <w:spacing w:val="6"/>
          <w:sz w:val="24"/>
          <w:szCs w:val="24"/>
          <w:highlight w:val="none"/>
        </w:rPr>
        <w:t>。</w:t>
      </w:r>
    </w:p>
    <w:p w14:paraId="0806E10E">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3"/>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7.7</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异常恶劣的气候条件</w:t>
      </w:r>
    </w:p>
    <w:p w14:paraId="45041D0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position w:val="13"/>
          <w:sz w:val="24"/>
          <w:szCs w:val="24"/>
          <w:highlight w:val="none"/>
        </w:rPr>
        <w:t>发包人和承包人同意以下情形视为异常恶劣的气候条件：</w:t>
      </w:r>
    </w:p>
    <w:p w14:paraId="2C40C890">
      <w:pPr>
        <w:keepNext w:val="0"/>
        <w:keepLines w:val="0"/>
        <w:pageBreakBefore w:val="0"/>
        <w:widowControl/>
        <w:kinsoku w:val="0"/>
        <w:wordWrap/>
        <w:overflowPunct/>
        <w:topLinePunct w:val="0"/>
        <w:autoSpaceDE w:val="0"/>
        <w:autoSpaceDN w:val="0"/>
        <w:bidi w:val="0"/>
        <w:adjustRightInd w:val="0"/>
        <w:snapToGrid w:val="0"/>
        <w:spacing w:line="480" w:lineRule="exact"/>
        <w:ind w:left="4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u w:val="single" w:color="auto"/>
        </w:rPr>
        <w:t>10</w:t>
      </w:r>
      <w:r>
        <w:rPr>
          <w:rFonts w:hint="eastAsia" w:ascii="宋体" w:hAnsi="宋体" w:eastAsia="宋体" w:cs="宋体"/>
          <w:color w:val="auto"/>
          <w:spacing w:val="-29"/>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级以上持续</w:t>
      </w:r>
      <w:r>
        <w:rPr>
          <w:rFonts w:hint="eastAsia" w:ascii="宋体" w:hAnsi="宋体" w:eastAsia="宋体" w:cs="宋体"/>
          <w:color w:val="auto"/>
          <w:spacing w:val="-21"/>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1</w:t>
      </w:r>
      <w:r>
        <w:rPr>
          <w:rFonts w:hint="eastAsia" w:ascii="宋体" w:hAnsi="宋体" w:eastAsia="宋体" w:cs="宋体"/>
          <w:color w:val="auto"/>
          <w:spacing w:val="-36"/>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天的大风；</w:t>
      </w:r>
    </w:p>
    <w:p w14:paraId="3308195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color="auto"/>
        </w:rPr>
        <w:t>暴雨级以上持续</w:t>
      </w:r>
      <w:r>
        <w:rPr>
          <w:rFonts w:hint="eastAsia" w:ascii="宋体" w:hAnsi="宋体" w:eastAsia="宋体" w:cs="宋体"/>
          <w:color w:val="auto"/>
          <w:spacing w:val="-28"/>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2</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天的大雨；</w:t>
      </w:r>
    </w:p>
    <w:p w14:paraId="092A6255">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w:t>
      </w:r>
      <w:r>
        <w:rPr>
          <w:rFonts w:hint="eastAsia" w:ascii="宋体" w:hAnsi="宋体" w:eastAsia="宋体" w:cs="宋体"/>
          <w:color w:val="auto"/>
          <w:spacing w:val="6"/>
          <w:sz w:val="24"/>
          <w:szCs w:val="24"/>
          <w:highlight w:val="none"/>
          <w:u w:val="single" w:color="auto"/>
        </w:rPr>
        <w:t>当地</w:t>
      </w:r>
      <w:r>
        <w:rPr>
          <w:rFonts w:hint="eastAsia" w:ascii="宋体" w:hAnsi="宋体" w:eastAsia="宋体" w:cs="宋体"/>
          <w:color w:val="auto"/>
          <w:spacing w:val="-25"/>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6</w:t>
      </w:r>
      <w:r>
        <w:rPr>
          <w:rFonts w:hint="eastAsia" w:ascii="宋体" w:hAnsi="宋体" w:eastAsia="宋体" w:cs="宋体"/>
          <w:color w:val="auto"/>
          <w:spacing w:val="-37"/>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级以上的破坏性地震；</w:t>
      </w:r>
    </w:p>
    <w:p w14:paraId="0F9AF883">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（4）</w:t>
      </w:r>
      <w:r>
        <w:rPr>
          <w:rFonts w:hint="eastAsia" w:ascii="宋体" w:hAnsi="宋体" w:eastAsia="宋体" w:cs="宋体"/>
          <w:color w:val="auto"/>
          <w:spacing w:val="6"/>
          <w:sz w:val="24"/>
          <w:szCs w:val="24"/>
          <w:highlight w:val="none"/>
          <w:u w:val="single" w:color="auto"/>
        </w:rPr>
        <w:t>50</w:t>
      </w:r>
      <w:r>
        <w:rPr>
          <w:rFonts w:hint="eastAsia" w:ascii="宋体" w:hAnsi="宋体" w:eastAsia="宋体" w:cs="宋体"/>
          <w:color w:val="auto"/>
          <w:spacing w:val="-23"/>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年以上未发生过的持续</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2</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天的高温天气；</w:t>
      </w:r>
    </w:p>
    <w:p w14:paraId="1EECCFBB">
      <w:pPr>
        <w:keepNext w:val="0"/>
        <w:keepLines w:val="0"/>
        <w:pageBreakBefore w:val="0"/>
        <w:widowControl/>
        <w:kinsoku w:val="0"/>
        <w:wordWrap/>
        <w:overflowPunct/>
        <w:topLinePunct w:val="0"/>
        <w:autoSpaceDE w:val="0"/>
        <w:autoSpaceDN w:val="0"/>
        <w:bidi w:val="0"/>
        <w:adjustRightInd w:val="0"/>
        <w:snapToGrid w:val="0"/>
        <w:spacing w:before="1" w:line="480" w:lineRule="exact"/>
        <w:ind w:left="43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7"/>
          <w:sz w:val="24"/>
          <w:szCs w:val="24"/>
          <w:highlight w:val="none"/>
          <w:u w:val="single" w:color="auto"/>
        </w:rPr>
        <w:t>50</w:t>
      </w:r>
      <w:r>
        <w:rPr>
          <w:rFonts w:hint="eastAsia" w:ascii="宋体" w:hAnsi="宋体" w:eastAsia="宋体" w:cs="宋体"/>
          <w:color w:val="auto"/>
          <w:spacing w:val="-28"/>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年以上未发生的持续</w:t>
      </w:r>
      <w:r>
        <w:rPr>
          <w:rFonts w:hint="eastAsia" w:ascii="宋体" w:hAnsi="宋体" w:eastAsia="宋体" w:cs="宋体"/>
          <w:color w:val="auto"/>
          <w:spacing w:val="-34"/>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2</w:t>
      </w:r>
      <w:r>
        <w:rPr>
          <w:rFonts w:hint="eastAsia" w:ascii="宋体" w:hAnsi="宋体" w:eastAsia="宋体" w:cs="宋体"/>
          <w:color w:val="auto"/>
          <w:spacing w:val="-36"/>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天的低温天气。</w:t>
      </w:r>
    </w:p>
    <w:p w14:paraId="42E5666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7.9</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提前竣工</w:t>
      </w:r>
    </w:p>
    <w:p w14:paraId="53DFDB3A">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7.9.2</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6"/>
          <w:sz w:val="24"/>
          <w:szCs w:val="24"/>
          <w:highlight w:val="none"/>
        </w:rPr>
        <w:t>提前竣工的奖励：</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双方另行协商</w:t>
      </w:r>
      <w:r>
        <w:rPr>
          <w:rFonts w:hint="eastAsia" w:ascii="宋体" w:hAnsi="宋体" w:eastAsia="宋体" w:cs="宋体"/>
          <w:color w:val="auto"/>
          <w:spacing w:val="6"/>
          <w:sz w:val="24"/>
          <w:szCs w:val="24"/>
          <w:highlight w:val="none"/>
        </w:rPr>
        <w:t>。</w:t>
      </w:r>
    </w:p>
    <w:p w14:paraId="475F4564">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08" w:firstLineChars="20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8.</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材料与设备</w:t>
      </w:r>
    </w:p>
    <w:p w14:paraId="3EAF9795">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outlineLvl w:val="0"/>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8.2</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承包人采购材料与工程设备</w:t>
      </w:r>
    </w:p>
    <w:p w14:paraId="79A91256">
      <w:pPr>
        <w:keepNext w:val="0"/>
        <w:keepLines w:val="0"/>
        <w:pageBreakBefore w:val="0"/>
        <w:widowControl/>
        <w:tabs>
          <w:tab w:val="left" w:pos="420"/>
        </w:tabs>
        <w:kinsoku w:val="0"/>
        <w:wordWrap/>
        <w:overflowPunct/>
        <w:topLinePunct w:val="0"/>
        <w:autoSpaceDE w:val="0"/>
        <w:autoSpaceDN w:val="0"/>
        <w:bidi w:val="0"/>
        <w:adjustRightInd w:val="0"/>
        <w:snapToGrid w:val="0"/>
        <w:spacing w:before="134" w:line="560" w:lineRule="exact"/>
        <w:ind w:firstLine="480" w:firstLineChars="200"/>
        <w:textAlignment w:val="baseline"/>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除已标价工程量清单《发包人提供主要材料和工程设备一览表》中明确的材料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工程设备外，由承包人负责材料和工程设备的采购、运输和保管。</w:t>
      </w:r>
    </w:p>
    <w:p w14:paraId="32E107AA">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对发包人在招标时有“参照或相当于** 品牌、级别 ”约定的材料或设备，承包人采购时必 须按类似于或优于所约定品牌、等级进行采购，施工期间该部分材料或设备如未超过招标约定 的风险幅度的， 结算时按投标单价支付， 不得调整。</w:t>
      </w:r>
    </w:p>
    <w:p w14:paraId="15014BF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禁止使用松木、松木包装材料设备、种子、苗木、花卉及繁殖材料。</w:t>
      </w:r>
    </w:p>
    <w:p w14:paraId="01AC064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8.4</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材料与工程设备的保管与使用</w:t>
      </w:r>
    </w:p>
    <w:p w14:paraId="1B48E982">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8.4.1</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9"/>
          <w:sz w:val="24"/>
          <w:szCs w:val="24"/>
          <w:highlight w:val="none"/>
        </w:rPr>
        <w:t>发包人供应的材料设备的保管费用的承担：</w:t>
      </w:r>
      <w:r>
        <w:rPr>
          <w:rFonts w:hint="eastAsia" w:ascii="宋体" w:hAnsi="宋体" w:eastAsia="宋体" w:cs="宋体"/>
          <w:color w:val="auto"/>
          <w:spacing w:val="9"/>
          <w:sz w:val="24"/>
          <w:szCs w:val="24"/>
          <w:highlight w:val="none"/>
          <w:u w:val="single" w:color="auto"/>
          <w:lang w:val="en-US" w:eastAsia="zh-CN"/>
        </w:rPr>
        <w:t>由发包人承担</w:t>
      </w:r>
      <w:r>
        <w:rPr>
          <w:rFonts w:hint="eastAsia" w:ascii="宋体" w:hAnsi="宋体" w:eastAsia="宋体" w:cs="宋体"/>
          <w:color w:val="auto"/>
          <w:spacing w:val="6"/>
          <w:sz w:val="24"/>
          <w:szCs w:val="24"/>
          <w:highlight w:val="none"/>
        </w:rPr>
        <w:t>。</w:t>
      </w:r>
    </w:p>
    <w:p w14:paraId="7262E02F">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8.6</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4"/>
          <w:sz w:val="24"/>
          <w:szCs w:val="24"/>
          <w:highlight w:val="none"/>
          <w14:textOutline w14:w="3795" w14:cap="sq" w14:cmpd="sng">
            <w14:solidFill>
              <w14:srgbClr w14:val="000000"/>
            </w14:solidFill>
            <w14:prstDash w14:val="solid"/>
            <w14:bevel/>
          </w14:textOutline>
        </w:rPr>
        <w:t>样品</w:t>
      </w:r>
    </w:p>
    <w:p w14:paraId="6E4EF45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8.6.1 样品的报送与封存</w:t>
      </w:r>
    </w:p>
    <w:p w14:paraId="7DE4CB0E">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85" w:firstLine="43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rPr>
        <w:t>需要承包人报送样品的材料或工程设备，样品的种</w:t>
      </w:r>
      <w:r>
        <w:rPr>
          <w:rFonts w:hint="eastAsia" w:ascii="宋体" w:hAnsi="宋体" w:eastAsia="宋体" w:cs="宋体"/>
          <w:color w:val="auto"/>
          <w:spacing w:val="9"/>
          <w:sz w:val="24"/>
          <w:szCs w:val="24"/>
          <w:highlight w:val="none"/>
        </w:rPr>
        <w:t>类、名称、规格、数量要求</w:t>
      </w:r>
      <w:r>
        <w:rPr>
          <w:rFonts w:hint="eastAsia" w:ascii="宋体" w:hAnsi="宋体" w:eastAsia="宋体" w:cs="宋体"/>
          <w:color w:val="auto"/>
          <w:spacing w:val="9"/>
          <w:sz w:val="24"/>
          <w:szCs w:val="24"/>
          <w:highlight w:val="none"/>
          <w:lang w:eastAsia="zh-CN"/>
        </w:rPr>
        <w:t>：</w:t>
      </w:r>
      <w:r>
        <w:rPr>
          <w:color w:val="auto"/>
          <w:spacing w:val="-86"/>
          <w:sz w:val="24"/>
          <w:szCs w:val="24"/>
          <w:highlight w:val="none"/>
          <w:u w:val="single" w:color="auto"/>
        </w:rPr>
        <w:t xml:space="preserve"> </w:t>
      </w:r>
      <w:r>
        <w:rPr>
          <w:color w:val="auto"/>
          <w:spacing w:val="-11"/>
          <w:sz w:val="24"/>
          <w:szCs w:val="24"/>
          <w:highlight w:val="none"/>
          <w:u w:val="single" w:color="auto"/>
        </w:rPr>
        <w:t>主要材料涉</w:t>
      </w:r>
      <w:r>
        <w:rPr>
          <w:color w:val="auto"/>
          <w:sz w:val="24"/>
          <w:szCs w:val="24"/>
          <w:highlight w:val="none"/>
          <w:u w:val="single" w:color="auto"/>
        </w:rPr>
        <w:t>及品种、款式、颜色等方面内容的，承包人应提交准备合格的材料样品送发包</w:t>
      </w:r>
      <w:r>
        <w:rPr>
          <w:color w:val="auto"/>
          <w:spacing w:val="-1"/>
          <w:sz w:val="24"/>
          <w:szCs w:val="24"/>
          <w:highlight w:val="none"/>
          <w:u w:val="single" w:color="auto"/>
        </w:rPr>
        <w:t>人选定</w:t>
      </w:r>
      <w:r>
        <w:rPr>
          <w:rFonts w:hint="eastAsia" w:eastAsia="宋体"/>
          <w:color w:val="auto"/>
          <w:spacing w:val="-1"/>
          <w:sz w:val="24"/>
          <w:szCs w:val="24"/>
          <w:highlight w:val="none"/>
          <w:u w:val="single" w:color="auto"/>
          <w:lang w:eastAsia="zh-CN"/>
        </w:rPr>
        <w:t>。</w:t>
      </w:r>
    </w:p>
    <w:p w14:paraId="1FFCE949">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8.8</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施工设备和临时设施</w:t>
      </w:r>
    </w:p>
    <w:p w14:paraId="79D0752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8.8.1 承包人提供的施工设备和临时设施</w:t>
      </w:r>
    </w:p>
    <w:p w14:paraId="2EFF98FB">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476"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除专用合同条款另有约定的其他独立承包人和监理人指示的他人提供条件外，承包人运入</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施工场地的所有施工设备以及在施工场地建设的临时设施仅限</w:t>
      </w:r>
      <w:r>
        <w:rPr>
          <w:rFonts w:hint="eastAsia" w:asciiTheme="minorEastAsia" w:hAnsiTheme="minorEastAsia" w:eastAsiaTheme="minorEastAsia" w:cstheme="minorEastAsia"/>
          <w:color w:val="auto"/>
          <w:spacing w:val="-3"/>
          <w:sz w:val="24"/>
          <w:szCs w:val="24"/>
          <w:highlight w:val="none"/>
        </w:rPr>
        <w:t>于用于合同工程。</w:t>
      </w:r>
    </w:p>
    <w:p w14:paraId="59ABAC54">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关于修建临时设施费用承担的约定：</w:t>
      </w:r>
      <w:r>
        <w:rPr>
          <w:rFonts w:hint="eastAsia" w:ascii="宋体" w:hAnsi="宋体" w:eastAsia="宋体" w:cs="宋体"/>
          <w:color w:val="auto"/>
          <w:spacing w:val="10"/>
          <w:sz w:val="24"/>
          <w:szCs w:val="24"/>
          <w:highlight w:val="none"/>
          <w:u w:val="single" w:color="auto"/>
        </w:rPr>
        <w:t>①承包人的临时用地（含项目部驻地等）租用费（含拆迁补偿）、临时用地的环</w:t>
      </w:r>
      <w:r>
        <w:rPr>
          <w:rFonts w:hint="eastAsia" w:ascii="宋体" w:hAnsi="宋体" w:eastAsia="宋体" w:cs="宋体"/>
          <w:color w:val="auto"/>
          <w:spacing w:val="9"/>
          <w:sz w:val="24"/>
          <w:szCs w:val="24"/>
          <w:highlight w:val="none"/>
          <w:u w:val="single" w:color="auto"/>
        </w:rPr>
        <w:t>保、恢复、临时用地的青苗补偿及地面附着物拆除等费用均由承包人负责，</w:t>
      </w:r>
      <w:r>
        <w:rPr>
          <w:rFonts w:hint="eastAsia" w:ascii="宋体" w:hAnsi="宋体" w:eastAsia="宋体" w:cs="宋体"/>
          <w:color w:val="auto"/>
          <w:spacing w:val="-5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以上费用在</w:t>
      </w:r>
      <w:r>
        <w:rPr>
          <w:rFonts w:hint="eastAsia" w:ascii="宋体" w:hAnsi="宋体" w:eastAsia="宋体" w:cs="宋体"/>
          <w:color w:val="auto"/>
          <w:spacing w:val="8"/>
          <w:sz w:val="24"/>
          <w:szCs w:val="24"/>
          <w:highlight w:val="none"/>
          <w:u w:val="single" w:color="auto"/>
        </w:rPr>
        <w:t>投标报价中综合考虑。</w:t>
      </w:r>
      <w:r>
        <w:rPr>
          <w:rFonts w:hint="eastAsia" w:ascii="宋体" w:hAnsi="宋体" w:eastAsia="宋体" w:cs="宋体"/>
          <w:color w:val="auto"/>
          <w:spacing w:val="6"/>
          <w:sz w:val="24"/>
          <w:szCs w:val="24"/>
          <w:highlight w:val="none"/>
          <w:u w:val="single" w:color="auto"/>
        </w:rPr>
        <w:t>②承包人负责合同实施期间其合同段内临时交通道路和交通设施的修建、维修、养护和交通管理工作</w:t>
      </w:r>
      <w:r>
        <w:rPr>
          <w:rFonts w:hint="eastAsia" w:ascii="宋体" w:hAnsi="宋体" w:eastAsia="宋体" w:cs="宋体"/>
          <w:color w:val="auto"/>
          <w:spacing w:val="6"/>
          <w:sz w:val="24"/>
          <w:szCs w:val="24"/>
          <w:highlight w:val="none"/>
          <w:u w:val="single" w:color="auto"/>
          <w:lang w:eastAsia="zh-CN"/>
        </w:rPr>
        <w:t>，</w:t>
      </w:r>
      <w:r>
        <w:rPr>
          <w:rFonts w:hint="eastAsia" w:ascii="宋体" w:hAnsi="宋体" w:eastAsia="宋体" w:cs="宋体"/>
          <w:color w:val="auto"/>
          <w:spacing w:val="10"/>
          <w:sz w:val="24"/>
          <w:szCs w:val="24"/>
          <w:highlight w:val="none"/>
          <w:u w:val="single" w:color="auto"/>
        </w:rPr>
        <w:t>并承担一切费用。</w:t>
      </w:r>
      <w:r>
        <w:rPr>
          <w:rFonts w:hint="eastAsia" w:ascii="宋体" w:hAnsi="宋体" w:eastAsia="宋体" w:cs="宋体"/>
          <w:color w:val="auto"/>
          <w:spacing w:val="6"/>
          <w:sz w:val="24"/>
          <w:szCs w:val="24"/>
          <w:highlight w:val="none"/>
          <w:u w:val="single" w:color="auto"/>
        </w:rPr>
        <w:t>③承包人修建的临时道路和交通设施，应免费提供给发包人、监理工程师和其他合同段的承包人使用，</w:t>
      </w:r>
      <w:r>
        <w:rPr>
          <w:rFonts w:hint="eastAsia" w:ascii="宋体" w:hAnsi="宋体" w:eastAsia="宋体" w:cs="宋体"/>
          <w:color w:val="auto"/>
          <w:spacing w:val="10"/>
          <w:sz w:val="24"/>
          <w:szCs w:val="24"/>
          <w:highlight w:val="none"/>
          <w:u w:val="single" w:color="auto"/>
        </w:rPr>
        <w:t>如共同使用的路基损坏严重，发包人或监理工程师将负责通知有关承</w:t>
      </w:r>
      <w:r>
        <w:rPr>
          <w:rFonts w:hint="eastAsia" w:ascii="宋体" w:hAnsi="宋体" w:eastAsia="宋体" w:cs="宋体"/>
          <w:color w:val="auto"/>
          <w:spacing w:val="9"/>
          <w:sz w:val="24"/>
          <w:szCs w:val="24"/>
          <w:highlight w:val="none"/>
          <w:u w:val="single" w:color="auto"/>
        </w:rPr>
        <w:t>包人共同出资修复，若使用频率相差</w:t>
      </w:r>
      <w:r>
        <w:rPr>
          <w:rFonts w:hint="eastAsia" w:ascii="宋体" w:hAnsi="宋体" w:eastAsia="宋体" w:cs="宋体"/>
          <w:color w:val="auto"/>
          <w:spacing w:val="10"/>
          <w:sz w:val="24"/>
          <w:szCs w:val="24"/>
          <w:highlight w:val="none"/>
          <w:u w:val="single" w:color="auto"/>
        </w:rPr>
        <w:t>悬殊，则按比例分摊。</w:t>
      </w:r>
    </w:p>
    <w:p w14:paraId="3B281FBC">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8.8.2 发包人提供的施工设备和临时设施</w:t>
      </w:r>
    </w:p>
    <w:p w14:paraId="06C05544">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发包人提供的施工设备和临时设施：</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双方另行协商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6A211F3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发包人提供的施工设备和临时设施的运行、维护、拆除、清运费用的承担人：</w:t>
      </w:r>
      <w:r>
        <w:rPr>
          <w:rFonts w:hint="eastAsia" w:ascii="宋体" w:hAnsi="宋体" w:eastAsia="宋体" w:cs="宋体"/>
          <w:color w:val="auto"/>
          <w:spacing w:val="9"/>
          <w:sz w:val="24"/>
          <w:szCs w:val="24"/>
          <w:highlight w:val="none"/>
          <w:u w:val="single"/>
          <w:lang w:val="en-US" w:eastAsia="zh-CN"/>
        </w:rPr>
        <w:t>双方另行协商</w:t>
      </w:r>
      <w:r>
        <w:rPr>
          <w:rFonts w:hint="eastAsia" w:ascii="宋体" w:hAnsi="宋体" w:eastAsia="宋体" w:cs="宋体"/>
          <w:color w:val="auto"/>
          <w:spacing w:val="9"/>
          <w:sz w:val="24"/>
          <w:szCs w:val="24"/>
          <w:highlight w:val="none"/>
          <w:u w:val="single"/>
        </w:rPr>
        <w:t>。</w:t>
      </w:r>
    </w:p>
    <w:p w14:paraId="301ABD2F">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9.</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试验与检验</w:t>
      </w:r>
    </w:p>
    <w:p w14:paraId="7326C77D">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1"/>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9.1</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8"/>
          <w:sz w:val="24"/>
          <w:szCs w:val="24"/>
          <w:highlight w:val="none"/>
          <w14:textOutline w14:w="3795" w14:cap="sq" w14:cmpd="sng">
            <w14:solidFill>
              <w14:srgbClr w14:val="000000"/>
            </w14:solidFill>
            <w14:prstDash w14:val="solid"/>
            <w14:bevel/>
          </w14:textOutline>
        </w:rPr>
        <w:t>试验设备与试验人员</w:t>
      </w:r>
    </w:p>
    <w:p w14:paraId="60D3EEF5">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9.1.2 试验设备</w:t>
      </w:r>
    </w:p>
    <w:p w14:paraId="13DFA20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施工现场需要配置的试验场所：</w:t>
      </w:r>
      <w:r>
        <w:rPr>
          <w:rFonts w:hint="eastAsia" w:ascii="宋体" w:hAnsi="宋体" w:eastAsia="宋体" w:cs="宋体"/>
          <w:color w:val="auto"/>
          <w:spacing w:val="52"/>
          <w:sz w:val="24"/>
          <w:szCs w:val="24"/>
          <w:highlight w:val="none"/>
          <w:u w:val="single" w:color="auto"/>
        </w:rPr>
        <w:t xml:space="preserve"> </w:t>
      </w:r>
      <w:r>
        <w:rPr>
          <w:color w:val="auto"/>
          <w:spacing w:val="5"/>
          <w:sz w:val="24"/>
          <w:szCs w:val="24"/>
          <w:highlight w:val="none"/>
          <w:u w:val="single" w:color="auto"/>
        </w:rPr>
        <w:t xml:space="preserve">按有关规定执行 </w:t>
      </w:r>
      <w:r>
        <w:rPr>
          <w:rFonts w:hint="eastAsia" w:ascii="宋体" w:hAnsi="宋体" w:eastAsia="宋体" w:cs="宋体"/>
          <w:color w:val="auto"/>
          <w:spacing w:val="8"/>
          <w:sz w:val="24"/>
          <w:szCs w:val="24"/>
          <w:highlight w:val="none"/>
        </w:rPr>
        <w:t>。</w:t>
      </w:r>
    </w:p>
    <w:p w14:paraId="7DBB0F2B">
      <w:pPr>
        <w:keepNext w:val="0"/>
        <w:keepLines w:val="0"/>
        <w:pageBreakBefore w:val="0"/>
        <w:widowControl/>
        <w:kinsoku w:val="0"/>
        <w:wordWrap/>
        <w:overflowPunct/>
        <w:topLinePunct w:val="0"/>
        <w:autoSpaceDE w:val="0"/>
        <w:autoSpaceDN w:val="0"/>
        <w:bidi w:val="0"/>
        <w:adjustRightInd w:val="0"/>
        <w:snapToGrid w:val="0"/>
        <w:spacing w:before="1"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施工现场需要配备的试验设备：</w:t>
      </w:r>
      <w:r>
        <w:rPr>
          <w:rFonts w:hint="eastAsia" w:ascii="宋体" w:hAnsi="宋体" w:eastAsia="宋体" w:cs="宋体"/>
          <w:color w:val="auto"/>
          <w:spacing w:val="52"/>
          <w:sz w:val="24"/>
          <w:szCs w:val="24"/>
          <w:highlight w:val="none"/>
          <w:u w:val="single" w:color="auto"/>
        </w:rPr>
        <w:t xml:space="preserve"> </w:t>
      </w:r>
      <w:r>
        <w:rPr>
          <w:color w:val="auto"/>
          <w:spacing w:val="5"/>
          <w:sz w:val="24"/>
          <w:szCs w:val="24"/>
          <w:highlight w:val="none"/>
          <w:u w:val="single" w:color="auto"/>
        </w:rPr>
        <w:t xml:space="preserve">按有关规定执行 </w:t>
      </w:r>
      <w:r>
        <w:rPr>
          <w:rFonts w:hint="eastAsia" w:ascii="宋体" w:hAnsi="宋体" w:eastAsia="宋体" w:cs="宋体"/>
          <w:color w:val="auto"/>
          <w:spacing w:val="8"/>
          <w:sz w:val="24"/>
          <w:szCs w:val="24"/>
          <w:highlight w:val="none"/>
        </w:rPr>
        <w:t>。</w:t>
      </w:r>
    </w:p>
    <w:p w14:paraId="176281D0">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rPr>
        <w:t>施工现场需要具备的其他试验条件：</w:t>
      </w:r>
      <w:r>
        <w:rPr>
          <w:rFonts w:hint="eastAsia" w:eastAsia="宋体"/>
          <w:color w:val="auto"/>
          <w:sz w:val="24"/>
          <w:szCs w:val="24"/>
          <w:highlight w:val="none"/>
          <w:u w:val="single" w:color="auto"/>
          <w:lang w:val="en-US" w:eastAsia="zh-CN"/>
        </w:rPr>
        <w:t xml:space="preserve">   /     </w:t>
      </w:r>
    </w:p>
    <w:p w14:paraId="5B7B637F">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21"/>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9.4</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现场工艺试验</w:t>
      </w:r>
    </w:p>
    <w:p w14:paraId="5791CF48">
      <w:pPr>
        <w:keepNext w:val="0"/>
        <w:keepLines w:val="0"/>
        <w:pageBreakBefore w:val="0"/>
        <w:widowControl/>
        <w:kinsoku w:val="0"/>
        <w:wordWrap/>
        <w:overflowPunct/>
        <w:topLinePunct w:val="0"/>
        <w:autoSpaceDE w:val="0"/>
        <w:autoSpaceDN w:val="0"/>
        <w:bidi w:val="0"/>
        <w:adjustRightInd w:val="0"/>
        <w:snapToGrid w:val="0"/>
        <w:spacing w:before="131" w:line="48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现场工艺试验的有关约定：</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rPr>
        <w:t>。</w:t>
      </w:r>
    </w:p>
    <w:p w14:paraId="72CBCE39">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9.5</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检验费用</w:t>
      </w:r>
    </w:p>
    <w:p w14:paraId="6BC7DB27">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5" w:right="52" w:firstLine="40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根据《建设工程质量检测管理办法》（建设部令第</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8"/>
          <w:sz w:val="24"/>
          <w:szCs w:val="24"/>
          <w:highlight w:val="none"/>
        </w:rPr>
        <w:t>141</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8"/>
          <w:sz w:val="24"/>
          <w:szCs w:val="24"/>
          <w:highlight w:val="none"/>
        </w:rPr>
        <w:t>号）</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8"/>
          <w:sz w:val="24"/>
          <w:szCs w:val="24"/>
          <w:highlight w:val="none"/>
        </w:rPr>
        <w:t>以及《广西壮族自治</w:t>
      </w:r>
      <w:r>
        <w:rPr>
          <w:rFonts w:hint="eastAsia" w:ascii="宋体" w:hAnsi="宋体" w:eastAsia="宋体" w:cs="宋体"/>
          <w:color w:val="auto"/>
          <w:spacing w:val="7"/>
          <w:sz w:val="24"/>
          <w:szCs w:val="24"/>
          <w:highlight w:val="none"/>
        </w:rPr>
        <w:t>区建设工程质量检测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管理规定》（桂建管〔2013〕11</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8"/>
          <w:sz w:val="24"/>
          <w:szCs w:val="24"/>
          <w:highlight w:val="none"/>
        </w:rPr>
        <w:t>号）规定，工程质量检测业务由发包人委托有相应资质的检测机构检测。</w:t>
      </w:r>
      <w:r>
        <w:rPr>
          <w:rFonts w:hint="eastAsia" w:ascii="宋体" w:hAnsi="宋体" w:eastAsia="宋体" w:cs="宋体"/>
          <w:color w:val="auto"/>
          <w:spacing w:val="9"/>
          <w:sz w:val="24"/>
          <w:szCs w:val="24"/>
          <w:highlight w:val="none"/>
        </w:rPr>
        <w:t>费用从发包人的项目建设经费中支出并直接支付给检测机构，不计入合同价款内。</w:t>
      </w:r>
    </w:p>
    <w:p w14:paraId="46D66611">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1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10.</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变更</w:t>
      </w:r>
    </w:p>
    <w:p w14:paraId="580127F1">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3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10.1</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变更的范围</w:t>
      </w:r>
    </w:p>
    <w:p w14:paraId="19709A91">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69" w:firstLine="416"/>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关于变更的范围的约定：</w:t>
      </w:r>
      <w:r>
        <w:rPr>
          <w:rFonts w:hint="eastAsia" w:ascii="宋体" w:hAnsi="宋体" w:eastAsia="宋体" w:cs="宋体"/>
          <w:color w:val="auto"/>
          <w:spacing w:val="10"/>
          <w:sz w:val="24"/>
          <w:szCs w:val="24"/>
          <w:highlight w:val="none"/>
          <w:u w:val="single"/>
          <w:lang w:val="en-US" w:eastAsia="zh-CN"/>
        </w:rPr>
        <w:t xml:space="preserve"> 按通用条款执行 </w:t>
      </w:r>
      <w:r>
        <w:rPr>
          <w:rFonts w:hint="eastAsia" w:ascii="宋体" w:hAnsi="宋体" w:eastAsia="宋体" w:cs="宋体"/>
          <w:color w:val="auto"/>
          <w:spacing w:val="5"/>
          <w:sz w:val="24"/>
          <w:szCs w:val="24"/>
          <w:highlight w:val="none"/>
        </w:rPr>
        <w:t>。</w:t>
      </w:r>
    </w:p>
    <w:p w14:paraId="14BCCE38">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10.3</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变更程序</w:t>
      </w:r>
    </w:p>
    <w:p w14:paraId="22BF7057">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10.3.1</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2"/>
          <w:sz w:val="24"/>
          <w:szCs w:val="24"/>
          <w:highlight w:val="none"/>
        </w:rPr>
        <w:t>国有投资项目：</w:t>
      </w:r>
    </w:p>
    <w:p w14:paraId="587BB488">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⑴设计变更和工程签证，按各市政府或相关部门的规定办理。属不可抗力（自然灾害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突发事件等）造成变更的，按特事特办原则予以办理。</w:t>
      </w:r>
    </w:p>
    <w:p w14:paraId="4A07DCB0">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⑵发包人在实施项目过程中，若发生单价变动， 由发包人、监理单位、承包人及其他相关单位共同商定并签字确认。</w:t>
      </w:r>
    </w:p>
    <w:p w14:paraId="432AF4F1">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 当合同规定的合同价款调整情况发生后，承包人未在规定时间内通知发包人，或者未在规定时间内提出调整报告，发包人可以根据有关资料，决定是否调整和调整的金额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并书面通知承包人。</w:t>
      </w:r>
    </w:p>
    <w:p w14:paraId="067A0E53">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248"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10.3.2 非国有投资项目：</w:t>
      </w:r>
      <w:r>
        <w:rPr>
          <w:rFonts w:hint="eastAsia" w:ascii="宋体" w:hAnsi="宋体" w:eastAsia="宋体" w:cs="宋体"/>
          <w:color w:val="auto"/>
          <w:spacing w:val="60"/>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    </w:t>
      </w:r>
      <w:r>
        <w:rPr>
          <w:rFonts w:hint="eastAsia" w:ascii="宋体" w:hAnsi="宋体" w:eastAsia="宋体" w:cs="宋体"/>
          <w:color w:val="auto"/>
          <w:spacing w:val="4"/>
          <w:sz w:val="24"/>
          <w:szCs w:val="24"/>
          <w:highlight w:val="none"/>
        </w:rPr>
        <w:t>。</w:t>
      </w:r>
    </w:p>
    <w:p w14:paraId="11744B6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10.4</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变更估价</w:t>
      </w:r>
    </w:p>
    <w:p w14:paraId="395F18DE">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10.4.1 变更估价原则</w:t>
      </w:r>
    </w:p>
    <w:p w14:paraId="7447F693">
      <w:pPr>
        <w:pStyle w:val="4"/>
        <w:keepNext w:val="0"/>
        <w:keepLines w:val="0"/>
        <w:pageBreakBefore w:val="0"/>
        <w:widowControl/>
        <w:tabs>
          <w:tab w:val="left" w:pos="8629"/>
        </w:tabs>
        <w:kinsoku w:val="0"/>
        <w:wordWrap/>
        <w:overflowPunct/>
        <w:topLinePunct w:val="0"/>
        <w:autoSpaceDE w:val="0"/>
        <w:autoSpaceDN w:val="0"/>
        <w:bidi w:val="0"/>
        <w:adjustRightInd w:val="0"/>
        <w:snapToGrid w:val="0"/>
        <w:spacing w:before="102" w:line="480" w:lineRule="exact"/>
        <w:ind w:left="20" w:firstLine="3"/>
        <w:jc w:val="both"/>
        <w:textAlignment w:val="baseline"/>
        <w:rPr>
          <w:color w:val="auto"/>
          <w:sz w:val="24"/>
          <w:szCs w:val="24"/>
          <w:highlight w:val="none"/>
        </w:rPr>
      </w:pPr>
      <w:r>
        <w:rPr>
          <w:rFonts w:hint="eastAsia" w:ascii="宋体" w:hAnsi="宋体" w:eastAsia="宋体" w:cs="宋体"/>
          <w:color w:val="auto"/>
          <w:spacing w:val="4"/>
          <w:sz w:val="24"/>
          <w:szCs w:val="24"/>
          <w:highlight w:val="none"/>
        </w:rPr>
        <w:t>关于变更估价的约定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2"/>
          <w:sz w:val="24"/>
          <w:szCs w:val="24"/>
          <w:highlight w:val="none"/>
          <w:u w:val="single" w:color="auto"/>
        </w:rPr>
        <w:t>因设计变更、相关签证引起工程项目、工程量任何变化的，变更合同价</w:t>
      </w:r>
      <w:r>
        <w:rPr>
          <w:rFonts w:hint="eastAsia" w:ascii="宋体" w:hAnsi="宋体" w:eastAsia="宋体" w:cs="宋体"/>
          <w:color w:val="auto"/>
          <w:spacing w:val="-1"/>
          <w:sz w:val="24"/>
          <w:szCs w:val="24"/>
          <w:highlight w:val="none"/>
          <w:u w:val="single" w:color="auto"/>
        </w:rPr>
        <w:t>款按下列方法进行</w:t>
      </w:r>
      <w:r>
        <w:rPr>
          <w:rFonts w:hint="eastAsia" w:ascii="宋体" w:hAnsi="宋体" w:eastAsia="宋体" w:cs="宋体"/>
          <w:color w:val="auto"/>
          <w:spacing w:val="-50"/>
          <w:w w:val="90"/>
          <w:sz w:val="24"/>
          <w:szCs w:val="24"/>
          <w:highlight w:val="none"/>
          <w:u w:val="single" w:color="auto"/>
        </w:rPr>
        <w:t>：</w:t>
      </w:r>
      <w:r>
        <w:rPr>
          <w:rFonts w:hint="eastAsia" w:ascii="宋体" w:hAnsi="宋体" w:eastAsia="宋体" w:cs="宋体"/>
          <w:color w:val="auto"/>
          <w:spacing w:val="-50"/>
          <w:w w:val="90"/>
          <w:sz w:val="24"/>
          <w:szCs w:val="24"/>
          <w:highlight w:val="none"/>
          <w:u w:val="single" w:color="auto"/>
          <w:lang w:eastAsia="zh-CN"/>
        </w:rPr>
        <w:t>（</w:t>
      </w:r>
      <w:r>
        <w:rPr>
          <w:rFonts w:hint="eastAsia" w:ascii="宋体" w:hAnsi="宋体" w:eastAsia="宋体" w:cs="宋体"/>
          <w:color w:val="auto"/>
          <w:spacing w:val="-50"/>
          <w:w w:val="90"/>
          <w:sz w:val="24"/>
          <w:szCs w:val="24"/>
          <w:highlight w:val="none"/>
          <w:u w:val="single" w:color="auto"/>
          <w:lang w:val="en-US" w:eastAsia="zh-CN"/>
        </w:rPr>
        <w:t>1</w:t>
      </w:r>
      <w:r>
        <w:rPr>
          <w:rFonts w:hint="eastAsia" w:ascii="宋体" w:hAnsi="宋体" w:eastAsia="宋体" w:cs="宋体"/>
          <w:color w:val="auto"/>
          <w:spacing w:val="-50"/>
          <w:w w:val="90"/>
          <w:sz w:val="24"/>
          <w:szCs w:val="24"/>
          <w:highlight w:val="none"/>
          <w:u w:val="single" w:color="auto"/>
          <w:lang w:eastAsia="zh-CN"/>
        </w:rPr>
        <w:t>）</w:t>
      </w:r>
      <w:r>
        <w:rPr>
          <w:rFonts w:hint="eastAsia" w:ascii="宋体" w:hAnsi="宋体" w:eastAsia="宋体" w:cs="宋体"/>
          <w:color w:val="auto"/>
          <w:spacing w:val="-1"/>
          <w:sz w:val="24"/>
          <w:szCs w:val="24"/>
          <w:highlight w:val="none"/>
          <w:u w:val="single" w:color="auto"/>
        </w:rPr>
        <w:t>合同中已有相同清单项目的，按合</w:t>
      </w:r>
      <w:r>
        <w:rPr>
          <w:rFonts w:hint="eastAsia" w:ascii="宋体" w:hAnsi="宋体" w:eastAsia="宋体" w:cs="宋体"/>
          <w:color w:val="auto"/>
          <w:spacing w:val="-2"/>
          <w:sz w:val="24"/>
          <w:szCs w:val="24"/>
          <w:highlight w:val="none"/>
          <w:u w:val="single" w:color="auto"/>
        </w:rPr>
        <w:t>同该清单项目价格进行计算</w:t>
      </w:r>
      <w:r>
        <w:rPr>
          <w:rFonts w:hint="eastAsia" w:ascii="宋体" w:hAnsi="宋体" w:eastAsia="宋体" w:cs="宋体"/>
          <w:color w:val="auto"/>
          <w:spacing w:val="-50"/>
          <w:w w:val="90"/>
          <w:sz w:val="24"/>
          <w:szCs w:val="24"/>
          <w:highlight w:val="none"/>
          <w:u w:val="single" w:color="auto"/>
        </w:rPr>
        <w:t>；（</w:t>
      </w:r>
      <w:r>
        <w:rPr>
          <w:rFonts w:hint="eastAsia" w:ascii="宋体" w:hAnsi="宋体" w:eastAsia="宋体" w:cs="宋体"/>
          <w:color w:val="auto"/>
          <w:spacing w:val="-2"/>
          <w:sz w:val="24"/>
          <w:szCs w:val="24"/>
          <w:highlight w:val="none"/>
          <w:u w:val="single" w:color="auto"/>
        </w:rPr>
        <w:t>2）</w:t>
      </w:r>
      <w:r>
        <w:rPr>
          <w:rFonts w:hint="eastAsia" w:ascii="宋体" w:hAnsi="宋体" w:eastAsia="宋体" w:cs="宋体"/>
          <w:color w:val="auto"/>
          <w:spacing w:val="1"/>
          <w:sz w:val="24"/>
          <w:szCs w:val="24"/>
          <w:highlight w:val="none"/>
          <w:u w:val="single" w:color="auto"/>
        </w:rPr>
        <w:t>合同中只有类似清单项目的，参照该类似清单项目价格进行计算</w:t>
      </w:r>
      <w:r>
        <w:rPr>
          <w:rFonts w:hint="eastAsia" w:ascii="宋体" w:hAnsi="宋体" w:eastAsia="宋体" w:cs="宋体"/>
          <w:color w:val="auto"/>
          <w:spacing w:val="-50"/>
          <w:w w:val="89"/>
          <w:sz w:val="24"/>
          <w:szCs w:val="24"/>
          <w:highlight w:val="none"/>
          <w:u w:val="single" w:color="auto"/>
        </w:rPr>
        <w:t>；（</w:t>
      </w:r>
      <w:r>
        <w:rPr>
          <w:rFonts w:hint="eastAsia" w:ascii="宋体" w:hAnsi="宋体" w:eastAsia="宋体" w:cs="宋体"/>
          <w:color w:val="auto"/>
          <w:spacing w:val="1"/>
          <w:sz w:val="24"/>
          <w:szCs w:val="24"/>
          <w:highlight w:val="none"/>
          <w:u w:val="single" w:color="auto"/>
        </w:rPr>
        <w:t>3）</w:t>
      </w:r>
      <w:r>
        <w:rPr>
          <w:color w:val="auto"/>
          <w:spacing w:val="1"/>
          <w:sz w:val="24"/>
          <w:szCs w:val="24"/>
          <w:highlight w:val="none"/>
          <w:u w:val="single" w:color="auto"/>
        </w:rPr>
        <w:t>合同中没</w:t>
      </w:r>
      <w:r>
        <w:rPr>
          <w:color w:val="auto"/>
          <w:sz w:val="24"/>
          <w:szCs w:val="24"/>
          <w:highlight w:val="none"/>
          <w:u w:val="single" w:color="auto"/>
        </w:rPr>
        <w:t>有适用或类似</w:t>
      </w:r>
      <w:r>
        <w:rPr>
          <w:color w:val="auto"/>
          <w:spacing w:val="-1"/>
          <w:sz w:val="24"/>
          <w:szCs w:val="24"/>
          <w:highlight w:val="none"/>
          <w:u w:val="single" w:color="auto"/>
        </w:rPr>
        <w:t>清单项目的价格计算方法：有定额的套定额，并（</w:t>
      </w:r>
      <w:r>
        <w:rPr>
          <w:color w:val="auto"/>
          <w:sz w:val="24"/>
          <w:szCs w:val="24"/>
          <w:highlight w:val="none"/>
          <w:u w:val="single" w:color="000000"/>
          <w14:textOutline w14:w="2873" w14:cap="flat" w14:cmpd="sng">
            <w14:solidFill>
              <w14:srgbClr w14:val="000000"/>
            </w14:solidFill>
            <w14:prstDash w14:val="solid"/>
            <w14:miter w14:val="0"/>
          </w14:textOutline>
        </w:rPr>
        <w:drawing>
          <wp:inline distT="0" distB="0" distL="0" distR="0">
            <wp:extent cx="137160" cy="103505"/>
            <wp:effectExtent l="0" t="0" r="15240" b="10795"/>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7"/>
                    <a:stretch>
                      <a:fillRect/>
                    </a:stretch>
                  </pic:blipFill>
                  <pic:spPr>
                    <a:xfrm>
                      <a:off x="0" y="0"/>
                      <a:ext cx="137695" cy="103668"/>
                    </a:xfrm>
                    <a:prstGeom prst="rect">
                      <a:avLst/>
                    </a:prstGeom>
                  </pic:spPr>
                </pic:pic>
              </a:graphicData>
            </a:graphic>
          </wp:inline>
        </w:drawing>
      </w:r>
      <w:r>
        <w:rPr>
          <w:color w:val="auto"/>
          <w:spacing w:val="-1"/>
          <w:sz w:val="24"/>
          <w:szCs w:val="24"/>
          <w:highlight w:val="none"/>
          <w:u w:val="single" w:color="auto"/>
        </w:rPr>
        <w:t>乘以下浮系数</w:t>
      </w:r>
      <w:r>
        <w:rPr>
          <w:rFonts w:hint="eastAsia" w:eastAsia="宋体"/>
          <w:color w:val="auto"/>
          <w:spacing w:val="-1"/>
          <w:sz w:val="24"/>
          <w:szCs w:val="24"/>
          <w:highlight w:val="none"/>
          <w:u w:val="single" w:color="auto"/>
          <w:lang w:val="en-US" w:eastAsia="zh-CN"/>
        </w:rPr>
        <w:t>5%</w:t>
      </w:r>
      <w:r>
        <w:rPr>
          <w:rFonts w:ascii="Calibri" w:hAnsi="Calibri" w:eastAsia="Calibri" w:cs="Calibri"/>
          <w:color w:val="auto"/>
          <w:spacing w:val="-22"/>
          <w:sz w:val="24"/>
          <w:szCs w:val="24"/>
          <w:highlight w:val="none"/>
          <w:u w:val="single" w:color="auto"/>
        </w:rPr>
        <w:t xml:space="preserve"> </w:t>
      </w:r>
      <w:r>
        <w:rPr>
          <w:color w:val="auto"/>
          <w:spacing w:val="-4"/>
          <w:sz w:val="24"/>
          <w:szCs w:val="24"/>
          <w:highlight w:val="none"/>
          <w:u w:val="single" w:color="auto"/>
        </w:rPr>
        <w:t>，</w:t>
      </w:r>
      <w:r>
        <w:rPr>
          <w:rFonts w:hint="eastAsia" w:ascii="宋体" w:hAnsi="宋体" w:eastAsia="宋体" w:cs="宋体"/>
          <w:color w:val="auto"/>
          <w:spacing w:val="-4"/>
          <w:sz w:val="24"/>
          <w:szCs w:val="24"/>
          <w:highlight w:val="none"/>
          <w:u w:val="single" w:color="auto"/>
        </w:rPr>
        <w:t>□</w:t>
      </w:r>
      <w:r>
        <w:rPr>
          <w:color w:val="auto"/>
          <w:spacing w:val="-58"/>
          <w:sz w:val="24"/>
          <w:szCs w:val="24"/>
          <w:highlight w:val="none"/>
          <w:u w:val="single" w:color="auto"/>
        </w:rPr>
        <w:t xml:space="preserve"> </w:t>
      </w:r>
      <w:r>
        <w:rPr>
          <w:color w:val="auto"/>
          <w:spacing w:val="-4"/>
          <w:sz w:val="24"/>
          <w:szCs w:val="24"/>
          <w:highlight w:val="none"/>
          <w:u w:val="single" w:color="auto"/>
        </w:rPr>
        <w:t>不乘下浮系数计算，其中材料价格按施工期间的《桂林市建设工程造</w:t>
      </w:r>
      <w:r>
        <w:rPr>
          <w:color w:val="auto"/>
          <w:spacing w:val="-5"/>
          <w:sz w:val="24"/>
          <w:szCs w:val="24"/>
          <w:highlight w:val="none"/>
          <w:u w:val="single" w:color="auto"/>
        </w:rPr>
        <w:t>价信息》</w:t>
      </w:r>
      <w:r>
        <w:rPr>
          <w:color w:val="auto"/>
          <w:spacing w:val="-3"/>
          <w:sz w:val="24"/>
          <w:szCs w:val="24"/>
          <w:highlight w:val="none"/>
          <w:u w:val="single" w:color="auto"/>
        </w:rPr>
        <w:t>相应价格信息进行计算；《 桂林市建设工程造价信息》没有相应价格信息的，由建设单位</w:t>
      </w:r>
      <w:r>
        <w:rPr>
          <w:rFonts w:hint="eastAsia" w:eastAsia="宋体"/>
          <w:color w:val="auto"/>
          <w:spacing w:val="-3"/>
          <w:sz w:val="24"/>
          <w:szCs w:val="24"/>
          <w:highlight w:val="none"/>
          <w:u w:val="single" w:color="auto"/>
          <w:lang w:eastAsia="zh-CN"/>
        </w:rPr>
        <w:t>、</w:t>
      </w:r>
      <w:r>
        <w:rPr>
          <w:color w:val="auto"/>
          <w:spacing w:val="-3"/>
          <w:sz w:val="24"/>
          <w:szCs w:val="24"/>
          <w:highlight w:val="none"/>
          <w:u w:val="single" w:color="auto"/>
        </w:rPr>
        <w:t>施</w:t>
      </w:r>
      <w:r>
        <w:rPr>
          <w:color w:val="auto"/>
          <w:sz w:val="24"/>
          <w:szCs w:val="24"/>
          <w:highlight w:val="none"/>
          <w:u w:val="single" w:color="auto"/>
        </w:rPr>
        <w:t>工单位、监理单位或造价咨询单位根据市场行情协商确定；无定额可套的，由建设单位、</w:t>
      </w:r>
      <w:r>
        <w:rPr>
          <w:color w:val="auto"/>
          <w:spacing w:val="-1"/>
          <w:sz w:val="24"/>
          <w:szCs w:val="24"/>
          <w:highlight w:val="none"/>
          <w:u w:val="single" w:color="auto"/>
        </w:rPr>
        <w:t>施工</w:t>
      </w:r>
      <w:r>
        <w:rPr>
          <w:color w:val="auto"/>
          <w:sz w:val="24"/>
          <w:szCs w:val="24"/>
          <w:highlight w:val="none"/>
          <w:u w:val="single" w:color="auto"/>
        </w:rPr>
        <w:t>单位、监理单位或造价咨询单位根据市场行情协商确定包含除税金以外所有费用的税前综合价格。</w:t>
      </w:r>
      <w:r>
        <w:rPr>
          <w:color w:val="auto"/>
          <w:sz w:val="24"/>
          <w:szCs w:val="24"/>
          <w:highlight w:val="none"/>
        </w:rPr>
        <w:t>以上约定同时适用于招标工程量清单缺项以及工程量清单项目特征与图纸不符时的价</w:t>
      </w:r>
      <w:r>
        <w:rPr>
          <w:color w:val="auto"/>
          <w:spacing w:val="-1"/>
          <w:sz w:val="24"/>
          <w:szCs w:val="24"/>
          <w:highlight w:val="none"/>
        </w:rPr>
        <w:t>款确</w:t>
      </w:r>
      <w:r>
        <w:rPr>
          <w:color w:val="auto"/>
          <w:sz w:val="24"/>
          <w:szCs w:val="24"/>
          <w:highlight w:val="none"/>
        </w:rPr>
        <w:t xml:space="preserve"> </w:t>
      </w:r>
      <w:r>
        <w:rPr>
          <w:color w:val="auto"/>
          <w:spacing w:val="-11"/>
          <w:sz w:val="24"/>
          <w:szCs w:val="24"/>
          <w:highlight w:val="none"/>
        </w:rPr>
        <w:t>定。</w:t>
      </w:r>
    </w:p>
    <w:p w14:paraId="1EBC77FC">
      <w:pPr>
        <w:pStyle w:val="4"/>
        <w:keepNext w:val="0"/>
        <w:keepLines w:val="0"/>
        <w:pageBreakBefore w:val="0"/>
        <w:widowControl/>
        <w:kinsoku w:val="0"/>
        <w:wordWrap/>
        <w:overflowPunct/>
        <w:topLinePunct w:val="0"/>
        <w:autoSpaceDE w:val="0"/>
        <w:autoSpaceDN w:val="0"/>
        <w:bidi w:val="0"/>
        <w:adjustRightInd w:val="0"/>
        <w:snapToGrid w:val="0"/>
        <w:spacing w:before="1" w:line="480" w:lineRule="exact"/>
        <w:ind w:right="-133" w:rightChars="0" w:firstLine="480" w:firstLineChars="200"/>
        <w:textAlignment w:val="baseline"/>
        <w:rPr>
          <w:rFonts w:hint="eastAsia" w:ascii="宋体" w:hAnsi="宋体" w:eastAsia="宋体" w:cs="宋体"/>
          <w:color w:val="auto"/>
          <w:sz w:val="24"/>
          <w:szCs w:val="24"/>
          <w:highlight w:val="none"/>
        </w:rPr>
      </w:pPr>
      <w:r>
        <w:rPr>
          <w:color w:val="auto"/>
          <w:sz w:val="24"/>
          <w:szCs w:val="24"/>
          <w:highlight w:val="none"/>
          <w:u w:val="single" w:color="auto"/>
        </w:rPr>
        <w:t>工程变更导致实际完成的变更工程量与已标价清单或预算书中列明的该项目工</w:t>
      </w:r>
      <w:r>
        <w:rPr>
          <w:color w:val="auto"/>
          <w:spacing w:val="-1"/>
          <w:sz w:val="24"/>
          <w:szCs w:val="24"/>
          <w:highlight w:val="none"/>
          <w:u w:val="single" w:color="auto"/>
        </w:rPr>
        <w:t>程量有偏差</w:t>
      </w:r>
      <w:r>
        <w:rPr>
          <w:color w:val="auto"/>
          <w:sz w:val="24"/>
          <w:szCs w:val="24"/>
          <w:highlight w:val="none"/>
          <w:u w:val="single" w:color="auto"/>
        </w:rPr>
        <w:t>时，其综合单价的确定按专用条款“</w:t>
      </w:r>
      <w:r>
        <w:rPr>
          <w:rFonts w:ascii="Calibri" w:hAnsi="Calibri" w:eastAsia="Calibri" w:cs="Calibri"/>
          <w:color w:val="auto"/>
          <w:sz w:val="24"/>
          <w:szCs w:val="24"/>
          <w:highlight w:val="none"/>
          <w:u w:val="single" w:color="auto"/>
        </w:rPr>
        <w:t xml:space="preserve">1.13 </w:t>
      </w:r>
      <w:r>
        <w:rPr>
          <w:color w:val="auto"/>
          <w:sz w:val="24"/>
          <w:szCs w:val="24"/>
          <w:highlight w:val="none"/>
          <w:u w:val="single" w:color="auto"/>
        </w:rPr>
        <w:t>工程量清单错误</w:t>
      </w:r>
      <w:r>
        <w:rPr>
          <w:color w:val="auto"/>
          <w:spacing w:val="-1"/>
          <w:sz w:val="24"/>
          <w:szCs w:val="24"/>
          <w:highlight w:val="none"/>
          <w:u w:val="single" w:color="auto"/>
        </w:rPr>
        <w:t>的修正”执行。</w:t>
      </w:r>
      <w:r>
        <w:rPr>
          <w:color w:val="auto"/>
          <w:sz w:val="24"/>
          <w:szCs w:val="24"/>
          <w:highlight w:val="none"/>
          <w:u w:val="single" w:color="auto"/>
        </w:rPr>
        <w:t xml:space="preserve">  </w:t>
      </w:r>
    </w:p>
    <w:p w14:paraId="4BBF417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10.5</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承包人的合理化建议</w:t>
      </w:r>
    </w:p>
    <w:p w14:paraId="0DE1B0BC">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监理人审查承包人合理化建议的期限：</w:t>
      </w:r>
      <w:r>
        <w:rPr>
          <w:rFonts w:hint="eastAsia" w:ascii="宋体" w:hAnsi="宋体" w:eastAsia="宋体" w:cs="宋体"/>
          <w:color w:val="auto"/>
          <w:spacing w:val="9"/>
          <w:sz w:val="24"/>
          <w:szCs w:val="24"/>
          <w:highlight w:val="none"/>
          <w:u w:val="single" w:color="auto"/>
          <w:lang w:val="en-US" w:eastAsia="zh-CN"/>
        </w:rPr>
        <w:t>7个工作日</w:t>
      </w:r>
      <w:r>
        <w:rPr>
          <w:rFonts w:hint="eastAsia" w:ascii="宋体" w:hAnsi="宋体" w:eastAsia="宋体" w:cs="宋体"/>
          <w:color w:val="auto"/>
          <w:spacing w:val="9"/>
          <w:sz w:val="24"/>
          <w:szCs w:val="24"/>
          <w:highlight w:val="none"/>
        </w:rPr>
        <w:t>。</w:t>
      </w:r>
    </w:p>
    <w:p w14:paraId="5A973DD7">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发包人审批承包人合理化建议的期限：</w:t>
      </w:r>
      <w:r>
        <w:rPr>
          <w:rFonts w:hint="eastAsia" w:ascii="宋体" w:hAnsi="宋体" w:eastAsia="宋体" w:cs="宋体"/>
          <w:color w:val="auto"/>
          <w:spacing w:val="9"/>
          <w:sz w:val="24"/>
          <w:szCs w:val="24"/>
          <w:highlight w:val="none"/>
          <w:u w:val="single" w:color="auto"/>
          <w:lang w:val="en-US" w:eastAsia="zh-CN"/>
        </w:rPr>
        <w:t>7个工作日</w:t>
      </w:r>
      <w:r>
        <w:rPr>
          <w:rFonts w:hint="eastAsia" w:ascii="宋体" w:hAnsi="宋体" w:eastAsia="宋体" w:cs="宋体"/>
          <w:color w:val="auto"/>
          <w:spacing w:val="8"/>
          <w:sz w:val="24"/>
          <w:szCs w:val="24"/>
          <w:highlight w:val="none"/>
        </w:rPr>
        <w:t>。</w:t>
      </w:r>
    </w:p>
    <w:p w14:paraId="71598DFD">
      <w:pPr>
        <w:keepNext w:val="0"/>
        <w:keepLines w:val="0"/>
        <w:pageBreakBefore w:val="0"/>
        <w:widowControl/>
        <w:kinsoku w:val="0"/>
        <w:wordWrap/>
        <w:overflowPunct/>
        <w:topLinePunct w:val="0"/>
        <w:autoSpaceDE w:val="0"/>
        <w:autoSpaceDN w:val="0"/>
        <w:bidi w:val="0"/>
        <w:adjustRightInd w:val="0"/>
        <w:snapToGrid w:val="0"/>
        <w:spacing w:line="48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承包人提出的合理化建议降低了合同价格或者提高了工程经济效益的奖励的方法和金额为：</w:t>
      </w:r>
      <w:r>
        <w:rPr>
          <w:rFonts w:hint="eastAsia" w:ascii="宋体" w:hAnsi="宋体" w:eastAsia="宋体" w:cs="宋体"/>
          <w:color w:val="auto"/>
          <w:spacing w:val="9"/>
          <w:sz w:val="24"/>
          <w:szCs w:val="24"/>
          <w:highlight w:val="none"/>
          <w:u w:val="single" w:color="auto"/>
        </w:rPr>
        <w:t xml:space="preserve"> 无 </w:t>
      </w:r>
      <w:r>
        <w:rPr>
          <w:rFonts w:hint="eastAsia" w:ascii="宋体" w:hAnsi="宋体" w:eastAsia="宋体" w:cs="宋体"/>
          <w:color w:val="auto"/>
          <w:spacing w:val="9"/>
          <w:sz w:val="24"/>
          <w:szCs w:val="24"/>
          <w:highlight w:val="none"/>
        </w:rPr>
        <w:t>。</w:t>
      </w:r>
    </w:p>
    <w:p w14:paraId="04FCD117">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10.7</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暂估价</w:t>
      </w:r>
    </w:p>
    <w:p w14:paraId="168D700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暂估价材料和工程设备的明细详见已标价工程量清单《材料（工程设备）暂估价格及调整表》（表 12-2）和《专业工程暂估价表》（表 12-3）。</w:t>
      </w:r>
    </w:p>
    <w:p w14:paraId="198B243D">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10.7.1 依法必须招标的暂估价项目</w:t>
      </w:r>
    </w:p>
    <w:p w14:paraId="15452B28">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对于依法必须招标的暂估价项目的确认和批准采取第</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1</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8"/>
          <w:sz w:val="24"/>
          <w:szCs w:val="24"/>
          <w:highlight w:val="none"/>
        </w:rPr>
        <w:t>种方式确定。</w:t>
      </w:r>
    </w:p>
    <w:p w14:paraId="43AEC996">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10.7.2 不属于依法必须招标的暂估价项目</w:t>
      </w:r>
    </w:p>
    <w:p w14:paraId="386DF1E6">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对于不属于依法必须招标的暂估价项目的确认和批准采取第</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2</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 xml:space="preserve"> 种方式确定。</w:t>
      </w:r>
    </w:p>
    <w:p w14:paraId="2EF19FC3">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position w:val="13"/>
          <w:sz w:val="24"/>
          <w:szCs w:val="24"/>
          <w:highlight w:val="none"/>
        </w:rPr>
        <w:t>第</w:t>
      </w:r>
      <w:r>
        <w:rPr>
          <w:rFonts w:hint="eastAsia" w:ascii="宋体" w:hAnsi="宋体" w:eastAsia="宋体" w:cs="宋体"/>
          <w:color w:val="auto"/>
          <w:spacing w:val="-35"/>
          <w:position w:val="13"/>
          <w:sz w:val="24"/>
          <w:szCs w:val="24"/>
          <w:highlight w:val="none"/>
        </w:rPr>
        <w:t xml:space="preserve"> </w:t>
      </w:r>
      <w:r>
        <w:rPr>
          <w:rFonts w:hint="eastAsia" w:ascii="宋体" w:hAnsi="宋体" w:eastAsia="宋体" w:cs="宋体"/>
          <w:color w:val="auto"/>
          <w:spacing w:val="8"/>
          <w:position w:val="13"/>
          <w:sz w:val="24"/>
          <w:szCs w:val="24"/>
          <w:highlight w:val="none"/>
        </w:rPr>
        <w:t>3</w:t>
      </w:r>
      <w:r>
        <w:rPr>
          <w:rFonts w:hint="eastAsia" w:ascii="宋体" w:hAnsi="宋体" w:eastAsia="宋体" w:cs="宋体"/>
          <w:color w:val="auto"/>
          <w:spacing w:val="-38"/>
          <w:position w:val="13"/>
          <w:sz w:val="24"/>
          <w:szCs w:val="24"/>
          <w:highlight w:val="none"/>
        </w:rPr>
        <w:t xml:space="preserve"> </w:t>
      </w:r>
      <w:r>
        <w:rPr>
          <w:rFonts w:hint="eastAsia" w:ascii="宋体" w:hAnsi="宋体" w:eastAsia="宋体" w:cs="宋体"/>
          <w:color w:val="auto"/>
          <w:spacing w:val="8"/>
          <w:position w:val="13"/>
          <w:sz w:val="24"/>
          <w:szCs w:val="24"/>
          <w:highlight w:val="none"/>
        </w:rPr>
        <w:t>种方式：承包人直接实施的暂估价项目</w:t>
      </w:r>
    </w:p>
    <w:p w14:paraId="5035DCBC">
      <w:pPr>
        <w:keepNext w:val="0"/>
        <w:keepLines w:val="0"/>
        <w:pageBreakBefore w:val="0"/>
        <w:widowControl/>
        <w:kinsoku w:val="0"/>
        <w:wordWrap/>
        <w:overflowPunct/>
        <w:topLinePunct w:val="0"/>
        <w:autoSpaceDE w:val="0"/>
        <w:autoSpaceDN w:val="0"/>
        <w:bidi w:val="0"/>
        <w:adjustRightInd w:val="0"/>
        <w:snapToGrid w:val="0"/>
        <w:spacing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承包人直接实施的暂估价项目的约定：</w:t>
      </w:r>
      <w:r>
        <w:rPr>
          <w:rFonts w:hint="eastAsia" w:ascii="宋体" w:hAnsi="宋体" w:eastAsia="宋体" w:cs="宋体"/>
          <w:color w:val="auto"/>
          <w:spacing w:val="8"/>
          <w:sz w:val="24"/>
          <w:szCs w:val="24"/>
          <w:highlight w:val="none"/>
          <w:u w:val="single" w:color="auto"/>
        </w:rPr>
        <w:t xml:space="preserve"> 无 </w:t>
      </w:r>
      <w:r>
        <w:rPr>
          <w:rFonts w:hint="eastAsia" w:ascii="宋体" w:hAnsi="宋体" w:eastAsia="宋体" w:cs="宋体"/>
          <w:color w:val="auto"/>
          <w:spacing w:val="8"/>
          <w:sz w:val="24"/>
          <w:szCs w:val="24"/>
          <w:highlight w:val="none"/>
        </w:rPr>
        <w:t>。</w:t>
      </w:r>
    </w:p>
    <w:p w14:paraId="49B1C952">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10.8</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暂列金额</w:t>
      </w:r>
    </w:p>
    <w:p w14:paraId="20972390">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合同当事人关于暂列金额使用的约定</w:t>
      </w:r>
      <w:r>
        <w:rPr>
          <w:rFonts w:hint="eastAsia" w:ascii="宋体" w:hAnsi="宋体" w:eastAsia="宋体" w:cs="宋体"/>
          <w:color w:val="auto"/>
          <w:spacing w:val="1"/>
          <w:sz w:val="24"/>
          <w:szCs w:val="24"/>
          <w:highlight w:val="none"/>
        </w:rPr>
        <w:t>：</w:t>
      </w:r>
      <w:r>
        <w:rPr>
          <w:color w:val="auto"/>
          <w:spacing w:val="-2"/>
          <w:sz w:val="24"/>
          <w:szCs w:val="24"/>
          <w:highlight w:val="none"/>
          <w:u w:val="single" w:color="auto"/>
        </w:rPr>
        <w:t xml:space="preserve"> 暂列金是指发包人为可能发生工程变更而暂列的金</w:t>
      </w:r>
      <w:r>
        <w:rPr>
          <w:color w:val="auto"/>
          <w:spacing w:val="1"/>
          <w:sz w:val="24"/>
          <w:szCs w:val="24"/>
          <w:highlight w:val="none"/>
          <w:u w:val="single" w:color="auto"/>
        </w:rPr>
        <w:t>额，包括因发包人提供的工程量清。单漏项、清单有误引起的工程数量增</w:t>
      </w:r>
      <w:r>
        <w:rPr>
          <w:color w:val="auto"/>
          <w:sz w:val="24"/>
          <w:szCs w:val="24"/>
          <w:highlight w:val="none"/>
          <w:u w:val="single" w:color="auto"/>
        </w:rPr>
        <w:t>加和施工过程中设计</w:t>
      </w:r>
      <w:r>
        <w:rPr>
          <w:color w:val="auto"/>
          <w:spacing w:val="1"/>
          <w:sz w:val="24"/>
          <w:szCs w:val="24"/>
          <w:highlight w:val="none"/>
          <w:u w:val="single" w:color="auto"/>
        </w:rPr>
        <w:t>变更引起新的清单项目或工程数量增加等需要增加的金额，发包人委托荔浦市财</w:t>
      </w:r>
      <w:r>
        <w:rPr>
          <w:color w:val="auto"/>
          <w:sz w:val="24"/>
          <w:szCs w:val="24"/>
          <w:highlight w:val="none"/>
          <w:u w:val="single" w:color="auto"/>
        </w:rPr>
        <w:t>政投资评审中</w:t>
      </w:r>
      <w:r>
        <w:rPr>
          <w:color w:val="auto"/>
          <w:spacing w:val="-6"/>
          <w:sz w:val="24"/>
          <w:szCs w:val="24"/>
          <w:highlight w:val="none"/>
          <w:u w:val="single" w:color="auto"/>
        </w:rPr>
        <w:t>心审定后，</w:t>
      </w:r>
      <w:r>
        <w:rPr>
          <w:color w:val="auto"/>
          <w:spacing w:val="-24"/>
          <w:sz w:val="24"/>
          <w:szCs w:val="24"/>
          <w:highlight w:val="none"/>
          <w:u w:val="single" w:color="auto"/>
        </w:rPr>
        <w:t xml:space="preserve"> </w:t>
      </w:r>
      <w:r>
        <w:rPr>
          <w:color w:val="auto"/>
          <w:spacing w:val="-6"/>
          <w:sz w:val="24"/>
          <w:szCs w:val="24"/>
          <w:highlight w:val="none"/>
          <w:u w:val="single" w:color="auto"/>
        </w:rPr>
        <w:t>按照审定造价支付暂列金。暂列金是发包人自行确定设立的，承包商无权</w:t>
      </w:r>
      <w:r>
        <w:rPr>
          <w:color w:val="auto"/>
          <w:spacing w:val="-7"/>
          <w:sz w:val="24"/>
          <w:szCs w:val="24"/>
          <w:highlight w:val="none"/>
          <w:u w:val="single" w:color="auto"/>
        </w:rPr>
        <w:t>使用此笔费</w:t>
      </w:r>
      <w:r>
        <w:rPr>
          <w:color w:val="auto"/>
          <w:sz w:val="24"/>
          <w:szCs w:val="24"/>
          <w:highlight w:val="none"/>
          <w:u w:val="single" w:color="auto"/>
        </w:rPr>
        <w:t>用。此费用按实际发生经发包人签证后确定全部使</w:t>
      </w:r>
      <w:r>
        <w:rPr>
          <w:color w:val="auto"/>
          <w:spacing w:val="-1"/>
          <w:sz w:val="24"/>
          <w:szCs w:val="24"/>
          <w:highlight w:val="none"/>
          <w:u w:val="single" w:color="auto"/>
        </w:rPr>
        <w:t>用、 部分使用或不使用</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w:t>
      </w:r>
    </w:p>
    <w:p w14:paraId="7150473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11.</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价格调整</w:t>
      </w:r>
    </w:p>
    <w:p w14:paraId="408404DA">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11.1</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市场价格波动引起的调整</w:t>
      </w:r>
    </w:p>
    <w:p w14:paraId="35B50E1A">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rPr>
        <w:t>市场价格波动是否调整合同价格的约定：</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是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61580662">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因市场价格波动调整合同价格，采用以下第</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8"/>
          <w:sz w:val="24"/>
          <w:szCs w:val="24"/>
          <w:highlight w:val="none"/>
          <w:u w:val="single" w:color="auto"/>
          <w:lang w:val="en-US" w:eastAsia="zh-CN"/>
        </w:rPr>
        <w:t xml:space="preserve">  2  </w:t>
      </w:r>
      <w:r>
        <w:rPr>
          <w:rFonts w:hint="eastAsia" w:ascii="宋体" w:hAnsi="宋体" w:eastAsia="宋体" w:cs="宋体"/>
          <w:color w:val="auto"/>
          <w:spacing w:val="8"/>
          <w:sz w:val="24"/>
          <w:szCs w:val="24"/>
          <w:highlight w:val="none"/>
        </w:rPr>
        <w:t>种方式对合同价格进行调整：</w:t>
      </w:r>
    </w:p>
    <w:p w14:paraId="1E2B909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第</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6"/>
          <w:sz w:val="24"/>
          <w:szCs w:val="24"/>
          <w:highlight w:val="none"/>
        </w:rPr>
        <w:t>种方式：采用价格指数进行价格调整。</w:t>
      </w:r>
    </w:p>
    <w:p w14:paraId="74101636">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关于各可调因子、定值和变值权重，</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8"/>
          <w:sz w:val="24"/>
          <w:szCs w:val="24"/>
          <w:highlight w:val="none"/>
        </w:rPr>
        <w:t>以及基本</w:t>
      </w:r>
      <w:r>
        <w:rPr>
          <w:rFonts w:hint="eastAsia" w:ascii="宋体" w:hAnsi="宋体" w:eastAsia="宋体" w:cs="宋体"/>
          <w:color w:val="auto"/>
          <w:spacing w:val="7"/>
          <w:sz w:val="24"/>
          <w:szCs w:val="24"/>
          <w:highlight w:val="none"/>
        </w:rPr>
        <w:t>价格指数及其来源的约定：</w:t>
      </w:r>
      <w:r>
        <w:rPr>
          <w:rFonts w:hint="eastAsia" w:ascii="宋体" w:hAnsi="宋体" w:eastAsia="宋体" w:cs="宋体"/>
          <w:color w:val="auto"/>
          <w:spacing w:val="7"/>
          <w:sz w:val="24"/>
          <w:szCs w:val="24"/>
          <w:highlight w:val="none"/>
          <w:u w:val="single" w:color="auto"/>
        </w:rPr>
        <w:t xml:space="preserve"> /  </w:t>
      </w:r>
      <w:r>
        <w:rPr>
          <w:rFonts w:hint="eastAsia" w:ascii="宋体" w:hAnsi="宋体" w:eastAsia="宋体" w:cs="宋体"/>
          <w:color w:val="auto"/>
          <w:spacing w:val="7"/>
          <w:sz w:val="24"/>
          <w:szCs w:val="24"/>
          <w:highlight w:val="none"/>
        </w:rPr>
        <w:t>；</w:t>
      </w:r>
    </w:p>
    <w:p w14:paraId="01CBF308">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7"/>
          <w:sz w:val="24"/>
          <w:szCs w:val="24"/>
          <w:highlight w:val="none"/>
        </w:rPr>
        <w:t>2</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7"/>
          <w:sz w:val="24"/>
          <w:szCs w:val="24"/>
          <w:highlight w:val="none"/>
        </w:rPr>
        <w:t>种方式：采用造价信息进行价格调整。</w:t>
      </w:r>
    </w:p>
    <w:p w14:paraId="1062C05E">
      <w:pPr>
        <w:keepNext w:val="0"/>
        <w:keepLines w:val="0"/>
        <w:pageBreakBefore w:val="0"/>
        <w:widowControl/>
        <w:kinsoku w:val="0"/>
        <w:wordWrap/>
        <w:overflowPunct/>
        <w:topLinePunct w:val="0"/>
        <w:autoSpaceDE w:val="0"/>
        <w:autoSpaceDN w:val="0"/>
        <w:bidi w:val="0"/>
        <w:adjustRightInd w:val="0"/>
        <w:snapToGrid w:val="0"/>
        <w:spacing w:before="111" w:line="480" w:lineRule="exact"/>
        <w:ind w:left="3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（1）关于基准价格的约定</w:t>
      </w:r>
      <w:r>
        <w:rPr>
          <w:rFonts w:hint="eastAsia" w:ascii="宋体" w:hAnsi="宋体" w:eastAsia="宋体" w:cs="宋体"/>
          <w:color w:val="auto"/>
          <w:spacing w:val="7"/>
          <w:sz w:val="24"/>
          <w:szCs w:val="24"/>
          <w:highlight w:val="none"/>
          <w:lang w:eastAsia="zh-CN"/>
        </w:rPr>
        <w:t>：</w:t>
      </w:r>
      <w:r>
        <w:rPr>
          <w:color w:val="auto"/>
          <w:spacing w:val="-4"/>
          <w:sz w:val="24"/>
          <w:szCs w:val="24"/>
          <w:highlight w:val="none"/>
          <w:u w:val="single" w:color="auto"/>
        </w:rPr>
        <w:t>按 202</w:t>
      </w:r>
      <w:r>
        <w:rPr>
          <w:rFonts w:hint="eastAsia"/>
          <w:color w:val="auto"/>
          <w:spacing w:val="-4"/>
          <w:sz w:val="24"/>
          <w:szCs w:val="24"/>
          <w:highlight w:val="none"/>
          <w:u w:val="single" w:color="auto"/>
          <w:lang w:val="en-US" w:eastAsia="zh-CN"/>
        </w:rPr>
        <w:t>6</w:t>
      </w:r>
      <w:r>
        <w:rPr>
          <w:color w:val="auto"/>
          <w:spacing w:val="-4"/>
          <w:sz w:val="24"/>
          <w:szCs w:val="24"/>
          <w:highlight w:val="none"/>
          <w:u w:val="single" w:color="auto"/>
        </w:rPr>
        <w:t>年第</w:t>
      </w:r>
      <w:r>
        <w:rPr>
          <w:rFonts w:hint="eastAsia"/>
          <w:color w:val="auto"/>
          <w:spacing w:val="-5"/>
          <w:sz w:val="24"/>
          <w:szCs w:val="24"/>
          <w:highlight w:val="none"/>
          <w:u w:val="single" w:color="auto"/>
          <w:lang w:val="en-US" w:eastAsia="zh-CN"/>
        </w:rPr>
        <w:t>2</w:t>
      </w:r>
      <w:r>
        <w:rPr>
          <w:color w:val="auto"/>
          <w:spacing w:val="-46"/>
          <w:sz w:val="24"/>
          <w:szCs w:val="24"/>
          <w:highlight w:val="none"/>
          <w:u w:val="single" w:color="auto"/>
        </w:rPr>
        <w:t xml:space="preserve"> </w:t>
      </w:r>
      <w:r>
        <w:rPr>
          <w:color w:val="auto"/>
          <w:spacing w:val="-5"/>
          <w:sz w:val="24"/>
          <w:szCs w:val="24"/>
          <w:highlight w:val="none"/>
          <w:u w:val="single" w:color="auto"/>
        </w:rPr>
        <w:t>期《桂林市建设工程造价信息》中的荔浦市信息价及桂林市信息价</w:t>
      </w:r>
      <w:r>
        <w:rPr>
          <w:rFonts w:hint="eastAsia" w:ascii="宋体" w:hAnsi="宋体" w:eastAsia="宋体" w:cs="宋体"/>
          <w:color w:val="auto"/>
          <w:spacing w:val="7"/>
          <w:sz w:val="24"/>
          <w:szCs w:val="24"/>
          <w:highlight w:val="none"/>
          <w:u w:val="single" w:color="auto"/>
        </w:rPr>
        <w:t>。</w:t>
      </w:r>
    </w:p>
    <w:p w14:paraId="1D1EB93F">
      <w:pPr>
        <w:pStyle w:val="4"/>
        <w:keepNext w:val="0"/>
        <w:keepLines w:val="0"/>
        <w:pageBreakBefore w:val="0"/>
        <w:widowControl/>
        <w:kinsoku w:val="0"/>
        <w:wordWrap/>
        <w:overflowPunct/>
        <w:topLinePunct w:val="0"/>
        <w:autoSpaceDE w:val="0"/>
        <w:autoSpaceDN w:val="0"/>
        <w:bidi w:val="0"/>
        <w:adjustRightInd w:val="0"/>
        <w:snapToGrid w:val="0"/>
        <w:spacing w:before="85" w:line="480" w:lineRule="exact"/>
        <w:ind w:left="21" w:right="77" w:firstLine="439"/>
        <w:textAlignment w:val="baseline"/>
        <w:rPr>
          <w:color w:val="auto"/>
          <w:sz w:val="24"/>
          <w:szCs w:val="24"/>
          <w:highlight w:val="none"/>
        </w:rPr>
      </w:pPr>
      <w:r>
        <w:rPr>
          <w:color w:val="auto"/>
          <w:sz w:val="24"/>
          <w:szCs w:val="24"/>
          <w:highlight w:val="none"/>
        </w:rPr>
        <w:t>专用合同条款①承包人在已标价工程量清单或预算书中载明</w:t>
      </w:r>
      <w:r>
        <w:rPr>
          <w:color w:val="auto"/>
          <w:spacing w:val="-1"/>
          <w:sz w:val="24"/>
          <w:szCs w:val="24"/>
          <w:highlight w:val="none"/>
        </w:rPr>
        <w:t>的材料单价低于基准价格</w:t>
      </w:r>
      <w:r>
        <w:rPr>
          <w:color w:val="auto"/>
          <w:sz w:val="24"/>
          <w:szCs w:val="24"/>
          <w:highlight w:val="none"/>
        </w:rPr>
        <w:t xml:space="preserve">  </w:t>
      </w:r>
      <w:r>
        <w:rPr>
          <w:color w:val="auto"/>
          <w:spacing w:val="-2"/>
          <w:sz w:val="24"/>
          <w:szCs w:val="24"/>
          <w:highlight w:val="none"/>
        </w:rPr>
        <w:t>的：专用合同条款合同履行期间材料单价涨幅以基准价格为基础超过</w:t>
      </w:r>
      <w:r>
        <w:rPr>
          <w:color w:val="auto"/>
          <w:spacing w:val="54"/>
          <w:sz w:val="24"/>
          <w:szCs w:val="24"/>
          <w:highlight w:val="none"/>
          <w:u w:val="single" w:color="auto"/>
        </w:rPr>
        <w:t xml:space="preserve"> </w:t>
      </w:r>
      <w:r>
        <w:rPr>
          <w:color w:val="auto"/>
          <w:spacing w:val="-2"/>
          <w:sz w:val="24"/>
          <w:szCs w:val="24"/>
          <w:highlight w:val="none"/>
          <w:u w:val="single" w:color="auto"/>
        </w:rPr>
        <w:t xml:space="preserve">±5  </w:t>
      </w:r>
      <w:r>
        <w:rPr>
          <w:color w:val="auto"/>
          <w:spacing w:val="-2"/>
          <w:sz w:val="24"/>
          <w:szCs w:val="24"/>
          <w:highlight w:val="none"/>
        </w:rPr>
        <w:t>%时，或材料单</w:t>
      </w:r>
      <w:r>
        <w:rPr>
          <w:color w:val="auto"/>
          <w:sz w:val="24"/>
          <w:szCs w:val="24"/>
          <w:highlight w:val="none"/>
        </w:rPr>
        <w:t xml:space="preserve"> </w:t>
      </w:r>
      <w:r>
        <w:rPr>
          <w:color w:val="auto"/>
          <w:spacing w:val="-1"/>
          <w:sz w:val="24"/>
          <w:szCs w:val="24"/>
          <w:highlight w:val="none"/>
        </w:rPr>
        <w:t>价跌幅以已标价工程量清单或预算书中载明材料单价为基础超过</w:t>
      </w:r>
      <w:r>
        <w:rPr>
          <w:color w:val="auto"/>
          <w:spacing w:val="36"/>
          <w:sz w:val="24"/>
          <w:szCs w:val="24"/>
          <w:highlight w:val="none"/>
          <w:u w:val="single" w:color="auto"/>
        </w:rPr>
        <w:t xml:space="preserve"> </w:t>
      </w:r>
      <w:r>
        <w:rPr>
          <w:color w:val="auto"/>
          <w:spacing w:val="-1"/>
          <w:sz w:val="24"/>
          <w:szCs w:val="24"/>
          <w:highlight w:val="none"/>
          <w:u w:val="single" w:color="auto"/>
        </w:rPr>
        <w:t xml:space="preserve">±5 </w:t>
      </w:r>
      <w:r>
        <w:rPr>
          <w:color w:val="auto"/>
          <w:spacing w:val="-1"/>
          <w:sz w:val="24"/>
          <w:szCs w:val="24"/>
          <w:highlight w:val="none"/>
        </w:rPr>
        <w:t>%时，</w:t>
      </w:r>
      <w:r>
        <w:rPr>
          <w:color w:val="auto"/>
          <w:spacing w:val="-2"/>
          <w:sz w:val="24"/>
          <w:szCs w:val="24"/>
          <w:highlight w:val="none"/>
        </w:rPr>
        <w:t>其超过部分据</w:t>
      </w:r>
      <w:r>
        <w:rPr>
          <w:color w:val="auto"/>
          <w:sz w:val="24"/>
          <w:szCs w:val="24"/>
          <w:highlight w:val="none"/>
        </w:rPr>
        <w:t xml:space="preserve">  </w:t>
      </w:r>
      <w:r>
        <w:rPr>
          <w:color w:val="auto"/>
          <w:spacing w:val="-8"/>
          <w:sz w:val="24"/>
          <w:szCs w:val="24"/>
          <w:highlight w:val="none"/>
        </w:rPr>
        <w:t>实调整。</w:t>
      </w:r>
    </w:p>
    <w:p w14:paraId="7F2DAA4A">
      <w:pPr>
        <w:pStyle w:val="4"/>
        <w:keepNext w:val="0"/>
        <w:keepLines w:val="0"/>
        <w:pageBreakBefore w:val="0"/>
        <w:widowControl/>
        <w:kinsoku w:val="0"/>
        <w:wordWrap/>
        <w:overflowPunct/>
        <w:topLinePunct w:val="0"/>
        <w:autoSpaceDE w:val="0"/>
        <w:autoSpaceDN w:val="0"/>
        <w:bidi w:val="0"/>
        <w:adjustRightInd w:val="0"/>
        <w:snapToGrid w:val="0"/>
        <w:spacing w:before="3" w:line="480" w:lineRule="exact"/>
        <w:ind w:left="22" w:right="169" w:firstLine="435"/>
        <w:textAlignment w:val="baseline"/>
        <w:rPr>
          <w:color w:val="auto"/>
          <w:sz w:val="24"/>
          <w:szCs w:val="24"/>
          <w:highlight w:val="none"/>
        </w:rPr>
      </w:pPr>
      <w:r>
        <w:rPr>
          <w:color w:val="auto"/>
          <w:sz w:val="24"/>
          <w:szCs w:val="24"/>
          <w:highlight w:val="none"/>
        </w:rPr>
        <w:t>②承包人在已标价工程量清单或预算书中载明的材料单价高于基准价</w:t>
      </w:r>
      <w:r>
        <w:rPr>
          <w:color w:val="auto"/>
          <w:spacing w:val="-1"/>
          <w:sz w:val="24"/>
          <w:szCs w:val="24"/>
          <w:highlight w:val="none"/>
        </w:rPr>
        <w:t>格的：专用合同</w:t>
      </w:r>
      <w:r>
        <w:rPr>
          <w:color w:val="auto"/>
          <w:sz w:val="24"/>
          <w:szCs w:val="24"/>
          <w:highlight w:val="none"/>
        </w:rPr>
        <w:t xml:space="preserve"> </w:t>
      </w:r>
      <w:r>
        <w:rPr>
          <w:color w:val="auto"/>
          <w:spacing w:val="-1"/>
          <w:sz w:val="24"/>
          <w:szCs w:val="24"/>
          <w:highlight w:val="none"/>
        </w:rPr>
        <w:t>条款合同履行期间材料单价跌幅以基准价格为基础超过</w:t>
      </w:r>
      <w:r>
        <w:rPr>
          <w:color w:val="auto"/>
          <w:spacing w:val="36"/>
          <w:sz w:val="24"/>
          <w:szCs w:val="24"/>
          <w:highlight w:val="none"/>
          <w:u w:val="single" w:color="auto"/>
        </w:rPr>
        <w:t xml:space="preserve"> </w:t>
      </w:r>
      <w:r>
        <w:rPr>
          <w:color w:val="auto"/>
          <w:spacing w:val="-1"/>
          <w:sz w:val="24"/>
          <w:szCs w:val="24"/>
          <w:highlight w:val="none"/>
          <w:u w:val="single" w:color="auto"/>
        </w:rPr>
        <w:t xml:space="preserve">±5 </w:t>
      </w:r>
      <w:r>
        <w:rPr>
          <w:color w:val="auto"/>
          <w:spacing w:val="-1"/>
          <w:sz w:val="24"/>
          <w:szCs w:val="24"/>
          <w:highlight w:val="none"/>
        </w:rPr>
        <w:t>%时，材料单</w:t>
      </w:r>
      <w:r>
        <w:rPr>
          <w:color w:val="auto"/>
          <w:spacing w:val="-2"/>
          <w:sz w:val="24"/>
          <w:szCs w:val="24"/>
          <w:highlight w:val="none"/>
        </w:rPr>
        <w:t>价涨幅以已标价</w:t>
      </w:r>
      <w:r>
        <w:rPr>
          <w:color w:val="auto"/>
          <w:sz w:val="24"/>
          <w:szCs w:val="24"/>
          <w:highlight w:val="none"/>
        </w:rPr>
        <w:t xml:space="preserve"> </w:t>
      </w:r>
      <w:r>
        <w:rPr>
          <w:color w:val="auto"/>
          <w:spacing w:val="-2"/>
          <w:sz w:val="24"/>
          <w:szCs w:val="24"/>
          <w:highlight w:val="none"/>
        </w:rPr>
        <w:t>工程量清单或预算书中载明材料单价为基础超过</w:t>
      </w:r>
      <w:r>
        <w:rPr>
          <w:color w:val="auto"/>
          <w:spacing w:val="41"/>
          <w:sz w:val="24"/>
          <w:szCs w:val="24"/>
          <w:highlight w:val="none"/>
          <w:u w:val="single" w:color="auto"/>
        </w:rPr>
        <w:t xml:space="preserve"> </w:t>
      </w:r>
      <w:r>
        <w:rPr>
          <w:color w:val="auto"/>
          <w:spacing w:val="-2"/>
          <w:sz w:val="24"/>
          <w:szCs w:val="24"/>
          <w:highlight w:val="none"/>
          <w:u w:val="single" w:color="auto"/>
        </w:rPr>
        <w:t>±5</w:t>
      </w:r>
      <w:r>
        <w:rPr>
          <w:color w:val="auto"/>
          <w:spacing w:val="-2"/>
          <w:sz w:val="24"/>
          <w:szCs w:val="24"/>
          <w:highlight w:val="none"/>
        </w:rPr>
        <w:t>%时，其超过部分据实调整。</w:t>
      </w:r>
    </w:p>
    <w:p w14:paraId="2717AF14">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19"/>
        <w:textAlignment w:val="baseline"/>
        <w:rPr>
          <w:rFonts w:hint="eastAsia" w:ascii="宋体" w:hAnsi="宋体" w:eastAsia="宋体" w:cs="宋体"/>
          <w:color w:val="auto"/>
          <w:sz w:val="24"/>
          <w:szCs w:val="24"/>
          <w:highlight w:val="none"/>
        </w:rPr>
      </w:pPr>
      <w:r>
        <w:rPr>
          <w:color w:val="auto"/>
          <w:sz w:val="24"/>
          <w:szCs w:val="24"/>
          <w:highlight w:val="none"/>
        </w:rPr>
        <w:t>③承包人在已标价工程量清单或预算书中载明的材料单价等于</w:t>
      </w:r>
      <w:r>
        <w:rPr>
          <w:color w:val="auto"/>
          <w:spacing w:val="-1"/>
          <w:sz w:val="24"/>
          <w:szCs w:val="24"/>
          <w:highlight w:val="none"/>
        </w:rPr>
        <w:t>基准单价的：专用合</w:t>
      </w:r>
      <w:r>
        <w:rPr>
          <w:color w:val="auto"/>
          <w:sz w:val="24"/>
          <w:szCs w:val="24"/>
          <w:highlight w:val="none"/>
        </w:rPr>
        <w:t xml:space="preserve">  </w:t>
      </w:r>
      <w:r>
        <w:rPr>
          <w:color w:val="auto"/>
          <w:spacing w:val="-3"/>
          <w:sz w:val="24"/>
          <w:szCs w:val="24"/>
          <w:highlight w:val="none"/>
        </w:rPr>
        <w:t>同条款合同履行期间材料单价涨跌幅以基准单价为基础超过</w:t>
      </w:r>
      <w:r>
        <w:rPr>
          <w:color w:val="auto"/>
          <w:spacing w:val="-69"/>
          <w:sz w:val="24"/>
          <w:szCs w:val="24"/>
          <w:highlight w:val="none"/>
          <w:u w:val="single" w:color="auto"/>
        </w:rPr>
        <w:t xml:space="preserve"> </w:t>
      </w:r>
      <w:r>
        <w:rPr>
          <w:color w:val="auto"/>
          <w:spacing w:val="-3"/>
          <w:sz w:val="24"/>
          <w:szCs w:val="24"/>
          <w:highlight w:val="none"/>
          <w:u w:val="single" w:color="auto"/>
        </w:rPr>
        <w:t>±5</w:t>
      </w:r>
      <w:r>
        <w:rPr>
          <w:color w:val="auto"/>
          <w:spacing w:val="-3"/>
          <w:sz w:val="24"/>
          <w:szCs w:val="24"/>
          <w:highlight w:val="none"/>
        </w:rPr>
        <w:t>%时，其超过部分据实调整。</w:t>
      </w:r>
      <w:r>
        <w:rPr>
          <w:rFonts w:hint="eastAsia" w:ascii="宋体" w:hAnsi="宋体" w:eastAsia="宋体" w:cs="宋体"/>
          <w:color w:val="auto"/>
          <w:spacing w:val="2"/>
          <w:sz w:val="24"/>
          <w:szCs w:val="24"/>
          <w:highlight w:val="none"/>
        </w:rPr>
        <w:t>第</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种方式：</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69315EB0">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1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12.</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合同价格、计量与支付</w:t>
      </w:r>
    </w:p>
    <w:p w14:paraId="4C7B3A39">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12.1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合同价格形式</w:t>
      </w:r>
    </w:p>
    <w:p w14:paraId="17BE42E1">
      <w:pPr>
        <w:pStyle w:val="4"/>
        <w:keepNext w:val="0"/>
        <w:keepLines w:val="0"/>
        <w:pageBreakBefore w:val="0"/>
        <w:widowControl/>
        <w:kinsoku w:val="0"/>
        <w:wordWrap/>
        <w:overflowPunct/>
        <w:topLinePunct w:val="0"/>
        <w:autoSpaceDE w:val="0"/>
        <w:autoSpaceDN w:val="0"/>
        <w:bidi w:val="0"/>
        <w:adjustRightInd w:val="0"/>
        <w:snapToGrid w:val="0"/>
        <w:spacing w:before="80" w:line="480" w:lineRule="exact"/>
        <w:ind w:left="19" w:right="60" w:firstLine="440"/>
        <w:textAlignment w:val="baseline"/>
        <w:rPr>
          <w:color w:val="auto"/>
          <w:sz w:val="24"/>
          <w:szCs w:val="24"/>
          <w:highlight w:val="none"/>
        </w:rPr>
      </w:pPr>
      <w:r>
        <w:rPr>
          <w:color w:val="auto"/>
          <w:spacing w:val="-1"/>
          <w:sz w:val="24"/>
          <w:szCs w:val="24"/>
          <w:highlight w:val="none"/>
        </w:rPr>
        <w:t xml:space="preserve">本工程采用 </w:t>
      </w:r>
      <w:r>
        <w:rPr>
          <w:color w:val="auto"/>
          <w:spacing w:val="-1"/>
          <w:sz w:val="24"/>
          <w:szCs w:val="24"/>
          <w:highlight w:val="none"/>
          <w:u w:val="single" w:color="auto"/>
        </w:rPr>
        <w:t xml:space="preserve">  单价  </w:t>
      </w:r>
      <w:r>
        <w:rPr>
          <w:color w:val="auto"/>
          <w:spacing w:val="-98"/>
          <w:sz w:val="24"/>
          <w:szCs w:val="24"/>
          <w:highlight w:val="none"/>
        </w:rPr>
        <w:t xml:space="preserve"> </w:t>
      </w:r>
      <w:r>
        <w:rPr>
          <w:color w:val="auto"/>
          <w:spacing w:val="-1"/>
          <w:sz w:val="24"/>
          <w:szCs w:val="24"/>
          <w:highlight w:val="none"/>
        </w:rPr>
        <w:t>合同价格形式，合同价格包含增值税，本工程计价时采用的增值</w:t>
      </w:r>
      <w:r>
        <w:rPr>
          <w:color w:val="auto"/>
          <w:sz w:val="24"/>
          <w:szCs w:val="24"/>
          <w:highlight w:val="none"/>
        </w:rPr>
        <w:t xml:space="preserve"> </w:t>
      </w:r>
      <w:r>
        <w:rPr>
          <w:color w:val="auto"/>
          <w:spacing w:val="-1"/>
          <w:sz w:val="24"/>
          <w:szCs w:val="24"/>
          <w:highlight w:val="none"/>
        </w:rPr>
        <w:t>税计税方法为：</w:t>
      </w:r>
      <w:r>
        <w:rPr>
          <w:rFonts w:ascii="Segoe UI Symbol" w:hAnsi="Segoe UI Symbol" w:eastAsia="Segoe UI Symbol" w:cs="Segoe UI Symbol"/>
          <w:color w:val="auto"/>
          <w:spacing w:val="-1"/>
          <w:sz w:val="24"/>
          <w:szCs w:val="24"/>
          <w:highlight w:val="none"/>
        </w:rPr>
        <w:t>☑</w:t>
      </w:r>
      <w:r>
        <w:rPr>
          <w:color w:val="auto"/>
          <w:spacing w:val="-1"/>
          <w:sz w:val="24"/>
          <w:szCs w:val="24"/>
          <w:highlight w:val="none"/>
        </w:rPr>
        <w:t>一般计税法   □简易</w:t>
      </w:r>
      <w:r>
        <w:rPr>
          <w:color w:val="auto"/>
          <w:spacing w:val="-2"/>
          <w:sz w:val="24"/>
          <w:szCs w:val="24"/>
          <w:highlight w:val="none"/>
        </w:rPr>
        <w:t>计税法。</w:t>
      </w:r>
    </w:p>
    <w:p w14:paraId="5A7DACD6">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466"/>
        <w:textAlignment w:val="baseline"/>
        <w:rPr>
          <w:color w:val="auto"/>
          <w:sz w:val="24"/>
          <w:szCs w:val="24"/>
          <w:highlight w:val="none"/>
        </w:rPr>
      </w:pPr>
      <w:r>
        <w:rPr>
          <w:color w:val="auto"/>
          <w:spacing w:val="-5"/>
          <w:sz w:val="24"/>
          <w:szCs w:val="24"/>
          <w:highlight w:val="none"/>
        </w:rPr>
        <w:t>（1）单价合同。</w:t>
      </w:r>
    </w:p>
    <w:p w14:paraId="3AEB68F7">
      <w:pPr>
        <w:pStyle w:val="4"/>
        <w:keepNext w:val="0"/>
        <w:keepLines w:val="0"/>
        <w:pageBreakBefore w:val="0"/>
        <w:widowControl/>
        <w:kinsoku w:val="0"/>
        <w:wordWrap/>
        <w:overflowPunct/>
        <w:topLinePunct w:val="0"/>
        <w:autoSpaceDE w:val="0"/>
        <w:autoSpaceDN w:val="0"/>
        <w:bidi w:val="0"/>
        <w:adjustRightInd w:val="0"/>
        <w:snapToGrid w:val="0"/>
        <w:spacing w:before="79" w:line="480" w:lineRule="exact"/>
        <w:ind w:left="22" w:right="60" w:firstLine="436"/>
        <w:textAlignment w:val="baseline"/>
        <w:rPr>
          <w:color w:val="auto"/>
          <w:sz w:val="24"/>
          <w:szCs w:val="24"/>
          <w:highlight w:val="none"/>
        </w:rPr>
      </w:pPr>
      <w:r>
        <w:rPr>
          <w:color w:val="auto"/>
          <w:spacing w:val="-1"/>
          <w:sz w:val="24"/>
          <w:szCs w:val="24"/>
          <w:highlight w:val="none"/>
        </w:rPr>
        <w:t>采用综合单价合同方式时，工程量按建设单位、监理单位、施工单位三方</w:t>
      </w:r>
      <w:r>
        <w:rPr>
          <w:color w:val="auto"/>
          <w:spacing w:val="-2"/>
          <w:sz w:val="24"/>
          <w:szCs w:val="24"/>
          <w:highlight w:val="none"/>
        </w:rPr>
        <w:t>确认的竣工图结</w:t>
      </w:r>
      <w:r>
        <w:rPr>
          <w:color w:val="auto"/>
          <w:sz w:val="24"/>
          <w:szCs w:val="24"/>
          <w:highlight w:val="none"/>
        </w:rPr>
        <w:t xml:space="preserve"> </w:t>
      </w:r>
      <w:r>
        <w:rPr>
          <w:color w:val="auto"/>
          <w:spacing w:val="-10"/>
          <w:sz w:val="24"/>
          <w:szCs w:val="24"/>
          <w:highlight w:val="none"/>
        </w:rPr>
        <w:t>算。</w:t>
      </w:r>
    </w:p>
    <w:p w14:paraId="61477064">
      <w:pPr>
        <w:pStyle w:val="4"/>
        <w:keepNext w:val="0"/>
        <w:keepLines w:val="0"/>
        <w:pageBreakBefore w:val="0"/>
        <w:widowControl/>
        <w:kinsoku w:val="0"/>
        <w:wordWrap/>
        <w:overflowPunct/>
        <w:topLinePunct w:val="0"/>
        <w:autoSpaceDE w:val="0"/>
        <w:autoSpaceDN w:val="0"/>
        <w:bidi w:val="0"/>
        <w:adjustRightInd w:val="0"/>
        <w:snapToGrid w:val="0"/>
        <w:spacing w:before="1" w:line="480" w:lineRule="exact"/>
        <w:ind w:left="23" w:right="152" w:firstLine="439"/>
        <w:textAlignment w:val="baseline"/>
        <w:rPr>
          <w:color w:val="auto"/>
          <w:sz w:val="24"/>
          <w:szCs w:val="24"/>
          <w:highlight w:val="none"/>
        </w:rPr>
      </w:pPr>
      <w:r>
        <w:rPr>
          <w:color w:val="auto"/>
          <w:sz w:val="24"/>
          <w:szCs w:val="24"/>
          <w:highlight w:val="none"/>
        </w:rPr>
        <w:t>综合单价包含的风险范围：</w:t>
      </w:r>
      <w:r>
        <w:rPr>
          <w:color w:val="auto"/>
          <w:sz w:val="24"/>
          <w:szCs w:val="24"/>
          <w:highlight w:val="none"/>
          <w:u w:val="single" w:color="auto"/>
        </w:rPr>
        <w:t>除工程变更、项目特征不符、</w:t>
      </w:r>
      <w:r>
        <w:rPr>
          <w:color w:val="auto"/>
          <w:spacing w:val="-1"/>
          <w:sz w:val="24"/>
          <w:szCs w:val="24"/>
          <w:highlight w:val="none"/>
          <w:u w:val="single" w:color="auto"/>
        </w:rPr>
        <w:t>工程量清单缺项、工程量偏</w:t>
      </w:r>
      <w:r>
        <w:rPr>
          <w:color w:val="auto"/>
          <w:sz w:val="24"/>
          <w:szCs w:val="24"/>
          <w:highlight w:val="none"/>
        </w:rPr>
        <w:t xml:space="preserve"> </w:t>
      </w:r>
      <w:r>
        <w:rPr>
          <w:color w:val="auto"/>
          <w:spacing w:val="-1"/>
          <w:sz w:val="24"/>
          <w:szCs w:val="24"/>
          <w:highlight w:val="none"/>
          <w:u w:val="single" w:color="auto"/>
        </w:rPr>
        <w:t>差、政策性调整、市场价格波动。</w:t>
      </w:r>
    </w:p>
    <w:p w14:paraId="5FCE85C2">
      <w:pPr>
        <w:pStyle w:val="4"/>
        <w:keepNext w:val="0"/>
        <w:keepLines w:val="0"/>
        <w:pageBreakBefore w:val="0"/>
        <w:widowControl/>
        <w:kinsoku w:val="0"/>
        <w:wordWrap/>
        <w:overflowPunct/>
        <w:topLinePunct w:val="0"/>
        <w:autoSpaceDE w:val="0"/>
        <w:autoSpaceDN w:val="0"/>
        <w:bidi w:val="0"/>
        <w:adjustRightInd w:val="0"/>
        <w:snapToGrid w:val="0"/>
        <w:spacing w:line="480" w:lineRule="exact"/>
        <w:ind w:left="460"/>
        <w:textAlignment w:val="baseline"/>
        <w:rPr>
          <w:color w:val="auto"/>
          <w:sz w:val="24"/>
          <w:szCs w:val="24"/>
          <w:highlight w:val="none"/>
        </w:rPr>
      </w:pPr>
      <w:r>
        <w:rPr>
          <w:color w:val="auto"/>
          <w:spacing w:val="-1"/>
          <w:sz w:val="24"/>
          <w:szCs w:val="24"/>
          <w:highlight w:val="none"/>
        </w:rPr>
        <w:t>风险范围以外合同价格的调整方法：</w:t>
      </w:r>
    </w:p>
    <w:p w14:paraId="4809822C">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58"/>
        <w:textAlignment w:val="baseline"/>
        <w:rPr>
          <w:color w:val="auto"/>
          <w:sz w:val="24"/>
          <w:szCs w:val="24"/>
          <w:highlight w:val="none"/>
        </w:rPr>
      </w:pPr>
      <w:r>
        <w:rPr>
          <w:color w:val="auto"/>
          <w:spacing w:val="-1"/>
          <w:sz w:val="24"/>
          <w:szCs w:val="24"/>
          <w:highlight w:val="none"/>
        </w:rPr>
        <w:t>①工程变更、项目特征不符、工程量清单缺项：按</w:t>
      </w:r>
      <w:r>
        <w:rPr>
          <w:color w:val="auto"/>
          <w:spacing w:val="-29"/>
          <w:sz w:val="24"/>
          <w:szCs w:val="24"/>
          <w:highlight w:val="none"/>
        </w:rPr>
        <w:t xml:space="preserve"> </w:t>
      </w:r>
      <w:r>
        <w:rPr>
          <w:color w:val="auto"/>
          <w:spacing w:val="-1"/>
          <w:sz w:val="24"/>
          <w:szCs w:val="24"/>
          <w:highlight w:val="none"/>
        </w:rPr>
        <w:t>10.4.</w:t>
      </w:r>
      <w:r>
        <w:rPr>
          <w:color w:val="auto"/>
          <w:spacing w:val="-2"/>
          <w:sz w:val="24"/>
          <w:szCs w:val="24"/>
          <w:highlight w:val="none"/>
        </w:rPr>
        <w:t>1</w:t>
      </w:r>
      <w:r>
        <w:rPr>
          <w:color w:val="auto"/>
          <w:spacing w:val="-49"/>
          <w:sz w:val="24"/>
          <w:szCs w:val="24"/>
          <w:highlight w:val="none"/>
        </w:rPr>
        <w:t xml:space="preserve"> </w:t>
      </w:r>
      <w:r>
        <w:rPr>
          <w:color w:val="auto"/>
          <w:spacing w:val="-2"/>
          <w:sz w:val="24"/>
          <w:szCs w:val="24"/>
          <w:highlight w:val="none"/>
        </w:rPr>
        <w:t>变更估价原则的约定调整。</w:t>
      </w:r>
    </w:p>
    <w:p w14:paraId="63393B71">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58"/>
        <w:textAlignment w:val="baseline"/>
        <w:rPr>
          <w:color w:val="auto"/>
          <w:sz w:val="24"/>
          <w:szCs w:val="24"/>
          <w:highlight w:val="none"/>
        </w:rPr>
      </w:pPr>
      <w:r>
        <w:rPr>
          <w:color w:val="auto"/>
          <w:spacing w:val="-3"/>
          <w:sz w:val="24"/>
          <w:szCs w:val="24"/>
          <w:highlight w:val="none"/>
        </w:rPr>
        <w:t>②工程量偏差：按</w:t>
      </w:r>
      <w:r>
        <w:rPr>
          <w:color w:val="auto"/>
          <w:spacing w:val="-12"/>
          <w:sz w:val="24"/>
          <w:szCs w:val="24"/>
          <w:highlight w:val="none"/>
        </w:rPr>
        <w:t xml:space="preserve"> </w:t>
      </w:r>
      <w:r>
        <w:rPr>
          <w:color w:val="auto"/>
          <w:spacing w:val="-3"/>
          <w:sz w:val="24"/>
          <w:szCs w:val="24"/>
          <w:highlight w:val="none"/>
        </w:rPr>
        <w:t>1.13</w:t>
      </w:r>
      <w:r>
        <w:rPr>
          <w:color w:val="auto"/>
          <w:spacing w:val="-46"/>
          <w:sz w:val="24"/>
          <w:szCs w:val="24"/>
          <w:highlight w:val="none"/>
        </w:rPr>
        <w:t xml:space="preserve"> </w:t>
      </w:r>
      <w:r>
        <w:rPr>
          <w:color w:val="auto"/>
          <w:spacing w:val="-3"/>
          <w:sz w:val="24"/>
          <w:szCs w:val="24"/>
          <w:highlight w:val="none"/>
        </w:rPr>
        <w:t>工程量清单错误修正的约定调整。</w:t>
      </w:r>
    </w:p>
    <w:p w14:paraId="33A3B565">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23" w:right="151" w:firstLine="434"/>
        <w:textAlignment w:val="baseline"/>
        <w:rPr>
          <w:color w:val="auto"/>
          <w:sz w:val="24"/>
          <w:szCs w:val="24"/>
          <w:highlight w:val="none"/>
        </w:rPr>
      </w:pPr>
      <w:r>
        <w:rPr>
          <w:color w:val="auto"/>
          <w:sz w:val="24"/>
          <w:szCs w:val="24"/>
          <w:highlight w:val="none"/>
        </w:rPr>
        <w:t>③政策性调整：按国家、自治区住房城乡建设厅或工程所在地市级住房</w:t>
      </w:r>
      <w:r>
        <w:rPr>
          <w:color w:val="auto"/>
          <w:spacing w:val="-1"/>
          <w:sz w:val="24"/>
          <w:szCs w:val="24"/>
          <w:highlight w:val="none"/>
        </w:rPr>
        <w:t>城乡建设主管</w:t>
      </w:r>
      <w:r>
        <w:rPr>
          <w:color w:val="auto"/>
          <w:sz w:val="24"/>
          <w:szCs w:val="24"/>
          <w:highlight w:val="none"/>
        </w:rPr>
        <w:t xml:space="preserve"> </w:t>
      </w:r>
      <w:r>
        <w:rPr>
          <w:color w:val="auto"/>
          <w:spacing w:val="-3"/>
          <w:sz w:val="24"/>
          <w:szCs w:val="24"/>
          <w:highlight w:val="none"/>
        </w:rPr>
        <w:t>部门颁布的文件执行。</w:t>
      </w:r>
    </w:p>
    <w:p w14:paraId="00AED3B3">
      <w:pPr>
        <w:pStyle w:val="4"/>
        <w:keepNext w:val="0"/>
        <w:keepLines w:val="0"/>
        <w:pageBreakBefore w:val="0"/>
        <w:widowControl/>
        <w:kinsoku w:val="0"/>
        <w:wordWrap/>
        <w:overflowPunct/>
        <w:topLinePunct w:val="0"/>
        <w:autoSpaceDE w:val="0"/>
        <w:autoSpaceDN w:val="0"/>
        <w:bidi w:val="0"/>
        <w:adjustRightInd w:val="0"/>
        <w:snapToGrid w:val="0"/>
        <w:spacing w:before="166" w:line="480" w:lineRule="exact"/>
        <w:ind w:left="458"/>
        <w:textAlignment w:val="baseline"/>
        <w:rPr>
          <w:color w:val="auto"/>
          <w:sz w:val="24"/>
          <w:szCs w:val="24"/>
          <w:highlight w:val="none"/>
        </w:rPr>
      </w:pPr>
      <w:r>
        <w:rPr>
          <w:color w:val="auto"/>
          <w:spacing w:val="-4"/>
          <w:sz w:val="24"/>
          <w:szCs w:val="24"/>
          <w:highlight w:val="none"/>
        </w:rPr>
        <w:t>④市场波动引起的调整：按</w:t>
      </w:r>
      <w:r>
        <w:rPr>
          <w:color w:val="auto"/>
          <w:spacing w:val="-16"/>
          <w:sz w:val="24"/>
          <w:szCs w:val="24"/>
          <w:highlight w:val="none"/>
        </w:rPr>
        <w:t xml:space="preserve"> </w:t>
      </w:r>
      <w:r>
        <w:rPr>
          <w:color w:val="auto"/>
          <w:spacing w:val="-4"/>
          <w:sz w:val="24"/>
          <w:szCs w:val="24"/>
          <w:highlight w:val="none"/>
        </w:rPr>
        <w:t>11.1</w:t>
      </w:r>
      <w:r>
        <w:rPr>
          <w:color w:val="auto"/>
          <w:spacing w:val="-28"/>
          <w:sz w:val="24"/>
          <w:szCs w:val="24"/>
          <w:highlight w:val="none"/>
        </w:rPr>
        <w:t xml:space="preserve"> </w:t>
      </w:r>
      <w:r>
        <w:rPr>
          <w:color w:val="auto"/>
          <w:spacing w:val="-4"/>
          <w:sz w:val="24"/>
          <w:szCs w:val="24"/>
          <w:highlight w:val="none"/>
        </w:rPr>
        <w:t>的约定调整。</w:t>
      </w:r>
    </w:p>
    <w:p w14:paraId="489D08D2">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458"/>
        <w:textAlignment w:val="baseline"/>
        <w:rPr>
          <w:color w:val="auto"/>
          <w:sz w:val="24"/>
          <w:szCs w:val="24"/>
          <w:highlight w:val="none"/>
        </w:rPr>
      </w:pPr>
      <w:r>
        <w:rPr>
          <w:color w:val="auto"/>
          <w:sz w:val="24"/>
          <w:szCs w:val="24"/>
          <w:highlight w:val="none"/>
        </w:rPr>
        <w:t xml:space="preserve">⑤其它： </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14:paraId="74FECC77">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66"/>
        <w:textAlignment w:val="baseline"/>
        <w:rPr>
          <w:color w:val="auto"/>
          <w:sz w:val="24"/>
          <w:szCs w:val="24"/>
          <w:highlight w:val="none"/>
        </w:rPr>
      </w:pPr>
      <w:r>
        <w:rPr>
          <w:color w:val="auto"/>
          <w:spacing w:val="-5"/>
          <w:sz w:val="24"/>
          <w:szCs w:val="24"/>
          <w:highlight w:val="none"/>
        </w:rPr>
        <w:t>（2）总价合同。</w:t>
      </w:r>
    </w:p>
    <w:p w14:paraId="3B3BCCA5">
      <w:pPr>
        <w:pStyle w:val="4"/>
        <w:keepNext w:val="0"/>
        <w:keepLines w:val="0"/>
        <w:pageBreakBefore w:val="0"/>
        <w:widowControl/>
        <w:kinsoku w:val="0"/>
        <w:wordWrap/>
        <w:overflowPunct/>
        <w:topLinePunct w:val="0"/>
        <w:autoSpaceDE w:val="0"/>
        <w:autoSpaceDN w:val="0"/>
        <w:bidi w:val="0"/>
        <w:adjustRightInd w:val="0"/>
        <w:snapToGrid w:val="0"/>
        <w:spacing w:before="168" w:line="480" w:lineRule="exact"/>
        <w:ind w:left="26" w:firstLine="439"/>
        <w:textAlignment w:val="baseline"/>
        <w:rPr>
          <w:color w:val="auto"/>
          <w:sz w:val="24"/>
          <w:szCs w:val="24"/>
          <w:highlight w:val="none"/>
          <w:u w:val="none" w:color="auto"/>
        </w:rPr>
      </w:pPr>
      <w:r>
        <w:rPr>
          <w:color w:val="auto"/>
          <w:spacing w:val="-2"/>
          <w:sz w:val="24"/>
          <w:szCs w:val="24"/>
          <w:highlight w:val="none"/>
        </w:rPr>
        <w:t>总价包含的风险范围：</w:t>
      </w:r>
      <w:r>
        <w:rPr>
          <w:color w:val="auto"/>
          <w:spacing w:val="-2"/>
          <w:sz w:val="24"/>
          <w:szCs w:val="24"/>
          <w:highlight w:val="none"/>
          <w:u w:val="single" w:color="auto"/>
        </w:rPr>
        <w:t>包含除工程变更、政策性调整、市场价格波动。除</w:t>
      </w:r>
      <w:r>
        <w:rPr>
          <w:color w:val="auto"/>
          <w:spacing w:val="-3"/>
          <w:sz w:val="24"/>
          <w:szCs w:val="24"/>
          <w:highlight w:val="none"/>
          <w:u w:val="single" w:color="auto"/>
        </w:rPr>
        <w:t>工程变更外</w:t>
      </w:r>
      <w:r>
        <w:rPr>
          <w:rFonts w:hint="eastAsia" w:eastAsia="宋体"/>
          <w:color w:val="auto"/>
          <w:spacing w:val="-3"/>
          <w:sz w:val="24"/>
          <w:szCs w:val="24"/>
          <w:highlight w:val="none"/>
          <w:u w:val="single" w:color="auto"/>
          <w:lang w:eastAsia="zh-CN"/>
        </w:rPr>
        <w:t>，</w:t>
      </w:r>
      <w:r>
        <w:rPr>
          <w:color w:val="auto"/>
          <w:sz w:val="24"/>
          <w:szCs w:val="24"/>
          <w:highlight w:val="none"/>
          <w:u w:val="single" w:color="auto"/>
        </w:rPr>
        <w:t>结算时不再对招标施工图对应的工程量重新计量</w:t>
      </w:r>
      <w:r>
        <w:rPr>
          <w:color w:val="auto"/>
          <w:sz w:val="24"/>
          <w:szCs w:val="24"/>
          <w:highlight w:val="none"/>
          <w:u w:val="none" w:color="auto"/>
        </w:rPr>
        <w:t>。</w:t>
      </w:r>
    </w:p>
    <w:p w14:paraId="1B63587D">
      <w:pPr>
        <w:pStyle w:val="4"/>
        <w:keepNext w:val="0"/>
        <w:keepLines w:val="0"/>
        <w:pageBreakBefore w:val="0"/>
        <w:widowControl/>
        <w:kinsoku w:val="0"/>
        <w:wordWrap/>
        <w:overflowPunct/>
        <w:topLinePunct w:val="0"/>
        <w:autoSpaceDE w:val="0"/>
        <w:autoSpaceDN w:val="0"/>
        <w:bidi w:val="0"/>
        <w:adjustRightInd w:val="0"/>
        <w:snapToGrid w:val="0"/>
        <w:spacing w:before="1" w:line="480" w:lineRule="exact"/>
        <w:ind w:left="460"/>
        <w:textAlignment w:val="baseline"/>
        <w:rPr>
          <w:color w:val="auto"/>
          <w:sz w:val="24"/>
          <w:szCs w:val="24"/>
          <w:highlight w:val="none"/>
        </w:rPr>
      </w:pPr>
      <w:r>
        <w:rPr>
          <w:color w:val="auto"/>
          <w:spacing w:val="-1"/>
          <w:sz w:val="24"/>
          <w:szCs w:val="24"/>
          <w:highlight w:val="none"/>
        </w:rPr>
        <w:t>风险范围以外合同价格的调整方法：</w:t>
      </w:r>
    </w:p>
    <w:p w14:paraId="3CCE9634">
      <w:pPr>
        <w:pStyle w:val="4"/>
        <w:keepNext w:val="0"/>
        <w:keepLines w:val="0"/>
        <w:pageBreakBefore w:val="0"/>
        <w:widowControl/>
        <w:kinsoku w:val="0"/>
        <w:wordWrap/>
        <w:overflowPunct/>
        <w:topLinePunct w:val="0"/>
        <w:autoSpaceDE w:val="0"/>
        <w:autoSpaceDN w:val="0"/>
        <w:bidi w:val="0"/>
        <w:adjustRightInd w:val="0"/>
        <w:snapToGrid w:val="0"/>
        <w:spacing w:before="166" w:line="480" w:lineRule="exact"/>
        <w:ind w:left="458"/>
        <w:textAlignment w:val="baseline"/>
        <w:rPr>
          <w:color w:val="auto"/>
          <w:sz w:val="24"/>
          <w:szCs w:val="24"/>
          <w:highlight w:val="none"/>
        </w:rPr>
      </w:pPr>
      <w:r>
        <w:rPr>
          <w:color w:val="auto"/>
          <w:spacing w:val="-2"/>
          <w:sz w:val="24"/>
          <w:szCs w:val="24"/>
          <w:highlight w:val="none"/>
        </w:rPr>
        <w:t>①工程变更：按</w:t>
      </w:r>
      <w:r>
        <w:rPr>
          <w:color w:val="auto"/>
          <w:spacing w:val="-17"/>
          <w:sz w:val="24"/>
          <w:szCs w:val="24"/>
          <w:highlight w:val="none"/>
        </w:rPr>
        <w:t xml:space="preserve"> </w:t>
      </w:r>
      <w:r>
        <w:rPr>
          <w:color w:val="auto"/>
          <w:spacing w:val="-2"/>
          <w:sz w:val="24"/>
          <w:szCs w:val="24"/>
          <w:highlight w:val="none"/>
        </w:rPr>
        <w:t>10.4.1</w:t>
      </w:r>
      <w:r>
        <w:rPr>
          <w:color w:val="auto"/>
          <w:spacing w:val="-49"/>
          <w:sz w:val="24"/>
          <w:szCs w:val="24"/>
          <w:highlight w:val="none"/>
        </w:rPr>
        <w:t xml:space="preserve"> </w:t>
      </w:r>
      <w:r>
        <w:rPr>
          <w:color w:val="auto"/>
          <w:spacing w:val="-2"/>
          <w:sz w:val="24"/>
          <w:szCs w:val="24"/>
          <w:highlight w:val="none"/>
        </w:rPr>
        <w:t>变更估价原则的约定调整。</w:t>
      </w:r>
    </w:p>
    <w:p w14:paraId="63708F9D">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23" w:right="153" w:firstLine="434"/>
        <w:textAlignment w:val="baseline"/>
        <w:rPr>
          <w:color w:val="auto"/>
          <w:sz w:val="24"/>
          <w:szCs w:val="24"/>
          <w:highlight w:val="none"/>
        </w:rPr>
      </w:pPr>
      <w:r>
        <w:rPr>
          <w:color w:val="auto"/>
          <w:sz w:val="24"/>
          <w:szCs w:val="24"/>
          <w:highlight w:val="none"/>
        </w:rPr>
        <w:t>②政策性调整：按国家、自治区住房城乡建设厅或工程所在地市级</w:t>
      </w:r>
      <w:r>
        <w:rPr>
          <w:color w:val="auto"/>
          <w:spacing w:val="-1"/>
          <w:sz w:val="24"/>
          <w:szCs w:val="24"/>
          <w:highlight w:val="none"/>
        </w:rPr>
        <w:t>住房城乡建设主管部门颁布的文件执行。</w:t>
      </w:r>
    </w:p>
    <w:p w14:paraId="682048EE">
      <w:pPr>
        <w:pStyle w:val="4"/>
        <w:keepNext w:val="0"/>
        <w:keepLines w:val="0"/>
        <w:pageBreakBefore w:val="0"/>
        <w:widowControl/>
        <w:kinsoku w:val="0"/>
        <w:wordWrap/>
        <w:overflowPunct/>
        <w:topLinePunct w:val="0"/>
        <w:autoSpaceDE w:val="0"/>
        <w:autoSpaceDN w:val="0"/>
        <w:bidi w:val="0"/>
        <w:adjustRightInd w:val="0"/>
        <w:snapToGrid w:val="0"/>
        <w:spacing w:before="166" w:line="480" w:lineRule="exact"/>
        <w:ind w:left="458"/>
        <w:textAlignment w:val="baseline"/>
        <w:rPr>
          <w:color w:val="auto"/>
          <w:sz w:val="24"/>
          <w:szCs w:val="24"/>
          <w:highlight w:val="none"/>
        </w:rPr>
      </w:pPr>
      <w:r>
        <w:rPr>
          <w:color w:val="auto"/>
          <w:spacing w:val="-4"/>
          <w:sz w:val="24"/>
          <w:szCs w:val="24"/>
          <w:highlight w:val="none"/>
        </w:rPr>
        <w:t>③市场波动引起的调整：按</w:t>
      </w:r>
      <w:r>
        <w:rPr>
          <w:color w:val="auto"/>
          <w:spacing w:val="-16"/>
          <w:sz w:val="24"/>
          <w:szCs w:val="24"/>
          <w:highlight w:val="none"/>
        </w:rPr>
        <w:t xml:space="preserve"> </w:t>
      </w:r>
      <w:r>
        <w:rPr>
          <w:color w:val="auto"/>
          <w:spacing w:val="-4"/>
          <w:sz w:val="24"/>
          <w:szCs w:val="24"/>
          <w:highlight w:val="none"/>
        </w:rPr>
        <w:t>11.1</w:t>
      </w:r>
      <w:r>
        <w:rPr>
          <w:color w:val="auto"/>
          <w:spacing w:val="-28"/>
          <w:sz w:val="24"/>
          <w:szCs w:val="24"/>
          <w:highlight w:val="none"/>
        </w:rPr>
        <w:t xml:space="preserve"> </w:t>
      </w:r>
      <w:r>
        <w:rPr>
          <w:color w:val="auto"/>
          <w:spacing w:val="-4"/>
          <w:sz w:val="24"/>
          <w:szCs w:val="24"/>
          <w:highlight w:val="none"/>
        </w:rPr>
        <w:t>的约定调整。</w:t>
      </w:r>
    </w:p>
    <w:p w14:paraId="0C5DCCC8">
      <w:pPr>
        <w:pStyle w:val="4"/>
        <w:keepNext w:val="0"/>
        <w:keepLines w:val="0"/>
        <w:pageBreakBefore w:val="0"/>
        <w:widowControl/>
        <w:kinsoku w:val="0"/>
        <w:wordWrap/>
        <w:overflowPunct/>
        <w:topLinePunct w:val="0"/>
        <w:autoSpaceDE w:val="0"/>
        <w:autoSpaceDN w:val="0"/>
        <w:bidi w:val="0"/>
        <w:adjustRightInd w:val="0"/>
        <w:snapToGrid w:val="0"/>
        <w:spacing w:before="167" w:line="480" w:lineRule="exact"/>
        <w:ind w:left="458"/>
        <w:textAlignment w:val="baseline"/>
        <w:rPr>
          <w:color w:val="auto"/>
          <w:sz w:val="24"/>
          <w:szCs w:val="24"/>
          <w:highlight w:val="none"/>
        </w:rPr>
      </w:pPr>
      <w:r>
        <w:rPr>
          <w:color w:val="auto"/>
          <w:sz w:val="24"/>
          <w:szCs w:val="24"/>
          <w:highlight w:val="none"/>
        </w:rPr>
        <w:t>④其它：</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w:t>
      </w:r>
    </w:p>
    <w:p w14:paraId="7D28D9E4">
      <w:pPr>
        <w:pStyle w:val="4"/>
        <w:keepNext w:val="0"/>
        <w:keepLines w:val="0"/>
        <w:pageBreakBefore w:val="0"/>
        <w:widowControl/>
        <w:kinsoku w:val="0"/>
        <w:wordWrap/>
        <w:overflowPunct/>
        <w:topLinePunct w:val="0"/>
        <w:autoSpaceDE w:val="0"/>
        <w:autoSpaceDN w:val="0"/>
        <w:bidi w:val="0"/>
        <w:adjustRightInd w:val="0"/>
        <w:snapToGrid w:val="0"/>
        <w:spacing w:before="170" w:line="480" w:lineRule="exact"/>
        <w:ind w:left="466"/>
        <w:textAlignment w:val="baseline"/>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pPr>
      <w:r>
        <w:rPr>
          <w:color w:val="auto"/>
          <w:spacing w:val="-1"/>
          <w:sz w:val="24"/>
          <w:szCs w:val="24"/>
          <w:highlight w:val="none"/>
        </w:rPr>
        <w:t>（3）其他价格方式：</w:t>
      </w:r>
      <w:r>
        <w:rPr>
          <w:color w:val="auto"/>
          <w:spacing w:val="-1"/>
          <w:sz w:val="24"/>
          <w:szCs w:val="24"/>
          <w:highlight w:val="none"/>
          <w:u w:val="single" w:color="auto"/>
        </w:rPr>
        <w:t xml:space="preserve">  无 </w:t>
      </w:r>
      <w:r>
        <w:rPr>
          <w:rFonts w:hint="eastAsia" w:eastAsia="宋体"/>
          <w:color w:val="auto"/>
          <w:spacing w:val="-1"/>
          <w:sz w:val="24"/>
          <w:szCs w:val="24"/>
          <w:highlight w:val="none"/>
          <w:u w:val="single" w:color="auto"/>
          <w:lang w:eastAsia="zh-CN"/>
        </w:rPr>
        <w:t>。</w:t>
      </w:r>
    </w:p>
    <w:p w14:paraId="5E83D56E">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12.2</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预付款</w:t>
      </w:r>
    </w:p>
    <w:p w14:paraId="3FAF9768">
      <w:pPr>
        <w:pStyle w:val="4"/>
        <w:keepNext w:val="0"/>
        <w:keepLines w:val="0"/>
        <w:pageBreakBefore w:val="0"/>
        <w:widowControl/>
        <w:kinsoku w:val="0"/>
        <w:wordWrap/>
        <w:overflowPunct/>
        <w:topLinePunct w:val="0"/>
        <w:autoSpaceDE w:val="0"/>
        <w:autoSpaceDN w:val="0"/>
        <w:bidi w:val="0"/>
        <w:adjustRightInd w:val="0"/>
        <w:snapToGrid w:val="0"/>
        <w:spacing w:before="33" w:line="480" w:lineRule="exact"/>
        <w:ind w:left="478"/>
        <w:textAlignment w:val="baseline"/>
        <w:rPr>
          <w:color w:val="auto"/>
          <w:sz w:val="24"/>
          <w:szCs w:val="24"/>
          <w:highlight w:val="none"/>
        </w:rPr>
      </w:pPr>
      <w:r>
        <w:rPr>
          <w:rFonts w:ascii="Calibri" w:hAnsi="Calibri" w:eastAsia="Calibri" w:cs="Calibri"/>
          <w:color w:val="auto"/>
          <w:spacing w:val="-3"/>
          <w:sz w:val="24"/>
          <w:szCs w:val="24"/>
          <w:highlight w:val="none"/>
        </w:rPr>
        <w:t>12.2.1</w:t>
      </w:r>
      <w:r>
        <w:rPr>
          <w:rFonts w:ascii="Calibri" w:hAnsi="Calibri" w:eastAsia="Calibri" w:cs="Calibri"/>
          <w:color w:val="auto"/>
          <w:spacing w:val="8"/>
          <w:sz w:val="24"/>
          <w:szCs w:val="24"/>
          <w:highlight w:val="none"/>
        </w:rPr>
        <w:t xml:space="preserve">    </w:t>
      </w:r>
      <w:r>
        <w:rPr>
          <w:color w:val="auto"/>
          <w:spacing w:val="-3"/>
          <w:sz w:val="24"/>
          <w:szCs w:val="24"/>
          <w:highlight w:val="none"/>
        </w:rPr>
        <w:t>预付款的支付</w:t>
      </w:r>
    </w:p>
    <w:p w14:paraId="2B4CFB95">
      <w:pPr>
        <w:pStyle w:val="4"/>
        <w:keepNext w:val="0"/>
        <w:keepLines w:val="0"/>
        <w:pageBreakBefore w:val="0"/>
        <w:widowControl/>
        <w:kinsoku w:val="0"/>
        <w:wordWrap/>
        <w:overflowPunct/>
        <w:topLinePunct w:val="0"/>
        <w:autoSpaceDE w:val="0"/>
        <w:autoSpaceDN w:val="0"/>
        <w:bidi w:val="0"/>
        <w:adjustRightInd w:val="0"/>
        <w:snapToGrid w:val="0"/>
        <w:spacing w:before="149" w:line="480" w:lineRule="exact"/>
        <w:ind w:left="463"/>
        <w:textAlignment w:val="baseline"/>
        <w:rPr>
          <w:color w:val="auto"/>
          <w:sz w:val="24"/>
          <w:szCs w:val="24"/>
          <w:highlight w:val="none"/>
        </w:rPr>
      </w:pPr>
      <w:r>
        <w:rPr>
          <w:color w:val="auto"/>
          <w:spacing w:val="-4"/>
          <w:sz w:val="24"/>
          <w:szCs w:val="24"/>
          <w:highlight w:val="none"/>
        </w:rPr>
        <w:t xml:space="preserve">预付款支付比例或金额： </w:t>
      </w:r>
      <w:r>
        <w:rPr>
          <w:rFonts w:ascii="Calibri" w:hAnsi="Calibri" w:eastAsia="Calibri" w:cs="Calibri"/>
          <w:color w:val="auto"/>
          <w:spacing w:val="-4"/>
          <w:sz w:val="24"/>
          <w:szCs w:val="24"/>
          <w:highlight w:val="none"/>
          <w:u w:val="single" w:color="auto"/>
        </w:rPr>
        <w:t xml:space="preserve">            /   </w:t>
      </w:r>
      <w:r>
        <w:rPr>
          <w:rFonts w:ascii="Calibri" w:hAnsi="Calibri" w:eastAsia="Calibri" w:cs="Calibri"/>
          <w:color w:val="auto"/>
          <w:spacing w:val="-5"/>
          <w:sz w:val="24"/>
          <w:szCs w:val="24"/>
          <w:highlight w:val="none"/>
          <w:u w:val="single" w:color="auto"/>
        </w:rPr>
        <w:t xml:space="preserve">     </w:t>
      </w:r>
      <w:r>
        <w:rPr>
          <w:color w:val="auto"/>
          <w:spacing w:val="-5"/>
          <w:sz w:val="24"/>
          <w:szCs w:val="24"/>
          <w:highlight w:val="none"/>
        </w:rPr>
        <w:t>。</w:t>
      </w:r>
    </w:p>
    <w:p w14:paraId="2373AE71">
      <w:pPr>
        <w:pStyle w:val="4"/>
        <w:keepNext w:val="0"/>
        <w:keepLines w:val="0"/>
        <w:pageBreakBefore w:val="0"/>
        <w:widowControl/>
        <w:kinsoku w:val="0"/>
        <w:wordWrap/>
        <w:overflowPunct/>
        <w:topLinePunct w:val="0"/>
        <w:autoSpaceDE w:val="0"/>
        <w:autoSpaceDN w:val="0"/>
        <w:bidi w:val="0"/>
        <w:adjustRightInd w:val="0"/>
        <w:snapToGrid w:val="0"/>
        <w:spacing w:before="139" w:line="480" w:lineRule="exact"/>
        <w:ind w:left="463"/>
        <w:textAlignment w:val="baseline"/>
        <w:rPr>
          <w:color w:val="auto"/>
          <w:sz w:val="24"/>
          <w:szCs w:val="24"/>
          <w:highlight w:val="none"/>
        </w:rPr>
      </w:pPr>
      <w:r>
        <w:rPr>
          <w:color w:val="auto"/>
          <w:spacing w:val="3"/>
          <w:sz w:val="24"/>
          <w:szCs w:val="24"/>
          <w:highlight w:val="none"/>
        </w:rPr>
        <w:t>预付款支付期限：</w:t>
      </w:r>
      <w:r>
        <w:rPr>
          <w:rFonts w:ascii="Calibri" w:hAnsi="Calibri" w:eastAsia="Calibri" w:cs="Calibri"/>
          <w:color w:val="auto"/>
          <w:spacing w:val="3"/>
          <w:sz w:val="24"/>
          <w:szCs w:val="24"/>
          <w:highlight w:val="none"/>
          <w:u w:val="single" w:color="auto"/>
        </w:rPr>
        <w:t xml:space="preserve">           /        </w:t>
      </w:r>
      <w:r>
        <w:rPr>
          <w:rFonts w:ascii="Calibri" w:hAnsi="Calibri" w:eastAsia="Calibri" w:cs="Calibri"/>
          <w:color w:val="auto"/>
          <w:spacing w:val="2"/>
          <w:sz w:val="24"/>
          <w:szCs w:val="24"/>
          <w:highlight w:val="none"/>
          <w:u w:val="single" w:color="auto"/>
        </w:rPr>
        <w:t xml:space="preserve">   </w:t>
      </w:r>
      <w:r>
        <w:rPr>
          <w:color w:val="auto"/>
          <w:spacing w:val="2"/>
          <w:sz w:val="24"/>
          <w:szCs w:val="24"/>
          <w:highlight w:val="none"/>
        </w:rPr>
        <w:t>。</w:t>
      </w:r>
    </w:p>
    <w:p w14:paraId="0F649AD2">
      <w:pPr>
        <w:pStyle w:val="4"/>
        <w:keepNext w:val="0"/>
        <w:keepLines w:val="0"/>
        <w:pageBreakBefore w:val="0"/>
        <w:widowControl/>
        <w:kinsoku w:val="0"/>
        <w:wordWrap/>
        <w:overflowPunct/>
        <w:topLinePunct w:val="0"/>
        <w:autoSpaceDE w:val="0"/>
        <w:autoSpaceDN w:val="0"/>
        <w:bidi w:val="0"/>
        <w:adjustRightInd w:val="0"/>
        <w:snapToGrid w:val="0"/>
        <w:spacing w:before="140" w:line="480" w:lineRule="exact"/>
        <w:ind w:left="463"/>
        <w:textAlignment w:val="baseline"/>
        <w:rPr>
          <w:color w:val="auto"/>
          <w:sz w:val="24"/>
          <w:szCs w:val="24"/>
          <w:highlight w:val="none"/>
        </w:rPr>
      </w:pPr>
      <w:r>
        <w:rPr>
          <w:color w:val="auto"/>
          <w:spacing w:val="-9"/>
          <w:sz w:val="24"/>
          <w:szCs w:val="24"/>
          <w:highlight w:val="none"/>
        </w:rPr>
        <w:t>预付款扣回的方式：</w:t>
      </w:r>
      <w:r>
        <w:rPr>
          <w:rFonts w:ascii="Times New Roman" w:hAnsi="Times New Roman" w:eastAsia="Times New Roman" w:cs="Times New Roman"/>
          <w:color w:val="auto"/>
          <w:spacing w:val="-9"/>
          <w:sz w:val="24"/>
          <w:szCs w:val="24"/>
          <w:highlight w:val="none"/>
          <w:u w:val="single" w:color="auto"/>
        </w:rPr>
        <w:t xml:space="preserve">               /</w:t>
      </w:r>
      <w:r>
        <w:rPr>
          <w:rFonts w:ascii="Times New Roman" w:hAnsi="Times New Roman" w:eastAsia="Times New Roman" w:cs="Times New Roman"/>
          <w:color w:val="auto"/>
          <w:sz w:val="24"/>
          <w:szCs w:val="24"/>
          <w:highlight w:val="none"/>
          <w:u w:val="single" w:color="auto"/>
        </w:rPr>
        <w:t xml:space="preserve">                  </w:t>
      </w:r>
      <w:r>
        <w:rPr>
          <w:color w:val="auto"/>
          <w:spacing w:val="-9"/>
          <w:sz w:val="24"/>
          <w:szCs w:val="24"/>
          <w:highlight w:val="none"/>
        </w:rPr>
        <w:t>。</w:t>
      </w:r>
    </w:p>
    <w:p w14:paraId="56E985A0">
      <w:pPr>
        <w:keepNext w:val="0"/>
        <w:keepLines w:val="0"/>
        <w:pageBreakBefore w:val="0"/>
        <w:widowControl/>
        <w:kinsoku w:val="0"/>
        <w:wordWrap/>
        <w:overflowPunct/>
        <w:topLinePunct w:val="0"/>
        <w:autoSpaceDE w:val="0"/>
        <w:autoSpaceDN w:val="0"/>
        <w:bidi w:val="0"/>
        <w:adjustRightInd w:val="0"/>
        <w:snapToGrid w:val="0"/>
        <w:spacing w:before="128"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12.2.2 预付款担保</w:t>
      </w:r>
    </w:p>
    <w:p w14:paraId="37A7CB1C">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承包人提交预付款担保的期限：</w:t>
      </w:r>
      <w:r>
        <w:rPr>
          <w:rFonts w:hint="eastAsia" w:ascii="宋体" w:hAnsi="宋体" w:eastAsia="宋体" w:cs="宋体"/>
          <w:color w:val="auto"/>
          <w:spacing w:val="8"/>
          <w:sz w:val="24"/>
          <w:szCs w:val="24"/>
          <w:highlight w:val="none"/>
          <w:u w:val="single" w:color="auto"/>
        </w:rPr>
        <w:t xml:space="preserve">  无  </w:t>
      </w:r>
      <w:r>
        <w:rPr>
          <w:rFonts w:hint="eastAsia" w:ascii="宋体" w:hAnsi="宋体" w:eastAsia="宋体" w:cs="宋体"/>
          <w:color w:val="auto"/>
          <w:spacing w:val="8"/>
          <w:sz w:val="24"/>
          <w:szCs w:val="24"/>
          <w:highlight w:val="none"/>
        </w:rPr>
        <w:t>。</w:t>
      </w:r>
    </w:p>
    <w:p w14:paraId="620A570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预付款担保的形式为：</w:t>
      </w:r>
      <w:r>
        <w:rPr>
          <w:rFonts w:hint="eastAsia" w:ascii="宋体" w:hAnsi="宋体" w:eastAsia="宋体" w:cs="宋体"/>
          <w:color w:val="auto"/>
          <w:spacing w:val="7"/>
          <w:sz w:val="24"/>
          <w:szCs w:val="24"/>
          <w:highlight w:val="none"/>
          <w:u w:val="single" w:color="auto"/>
        </w:rPr>
        <w:t xml:space="preserve">   无   </w:t>
      </w:r>
      <w:r>
        <w:rPr>
          <w:rFonts w:hint="eastAsia" w:ascii="宋体" w:hAnsi="宋体" w:eastAsia="宋体" w:cs="宋体"/>
          <w:color w:val="auto"/>
          <w:spacing w:val="7"/>
          <w:sz w:val="24"/>
          <w:szCs w:val="24"/>
          <w:highlight w:val="none"/>
        </w:rPr>
        <w:t>。</w:t>
      </w:r>
    </w:p>
    <w:p w14:paraId="497C9DCA">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44"/>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12.3</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2"/>
          <w:sz w:val="24"/>
          <w:szCs w:val="24"/>
          <w:highlight w:val="none"/>
          <w14:textOutline w14:w="3795" w14:cap="sq" w14:cmpd="sng">
            <w14:solidFill>
              <w14:srgbClr w14:val="000000"/>
            </w14:solidFill>
            <w14:prstDash w14:val="solid"/>
            <w14:bevel/>
          </w14:textOutline>
        </w:rPr>
        <w:t>计量</w:t>
      </w:r>
    </w:p>
    <w:p w14:paraId="3EC3C63E">
      <w:pPr>
        <w:keepNext w:val="0"/>
        <w:keepLines w:val="0"/>
        <w:pageBreakBefore w:val="0"/>
        <w:widowControl/>
        <w:kinsoku w:val="0"/>
        <w:wordWrap/>
        <w:overflowPunct/>
        <w:topLinePunct w:val="0"/>
        <w:autoSpaceDE w:val="0"/>
        <w:autoSpaceDN w:val="0"/>
        <w:bidi w:val="0"/>
        <w:adjustRightInd w:val="0"/>
        <w:snapToGrid w:val="0"/>
        <w:spacing w:before="132"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12.3.1 计量原则</w:t>
      </w:r>
    </w:p>
    <w:p w14:paraId="4452BCF3">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8" w:right="68" w:firstLine="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工程量计算规则：</w:t>
      </w:r>
      <w:r>
        <w:rPr>
          <w:rFonts w:hint="eastAsia" w:ascii="宋体" w:hAnsi="宋体" w:eastAsia="宋体" w:cs="宋体"/>
          <w:color w:val="auto"/>
          <w:spacing w:val="9"/>
          <w:sz w:val="24"/>
          <w:szCs w:val="24"/>
          <w:highlight w:val="none"/>
          <w:u w:val="single" w:color="auto"/>
        </w:rPr>
        <w:t>工程的计量均以《建设工程工程量清单计价规范》 （</w:t>
      </w:r>
      <w:r>
        <w:rPr>
          <w:rFonts w:hint="eastAsia" w:ascii="宋体" w:hAnsi="宋体" w:eastAsia="宋体" w:cs="宋体"/>
          <w:color w:val="auto"/>
          <w:sz w:val="24"/>
          <w:szCs w:val="24"/>
          <w:highlight w:val="none"/>
          <w:u w:val="single" w:color="auto"/>
        </w:rPr>
        <w:t>GB</w:t>
      </w:r>
      <w:r>
        <w:rPr>
          <w:rFonts w:hint="eastAsia" w:ascii="宋体" w:hAnsi="宋体" w:eastAsia="宋体" w:cs="宋体"/>
          <w:color w:val="auto"/>
          <w:spacing w:val="9"/>
          <w:sz w:val="24"/>
          <w:szCs w:val="24"/>
          <w:highlight w:val="none"/>
          <w:u w:val="single" w:color="auto"/>
        </w:rPr>
        <w:t>50500－2013</w:t>
      </w:r>
      <w:r>
        <w:rPr>
          <w:rFonts w:hint="eastAsia" w:ascii="宋体" w:hAnsi="宋体" w:eastAsia="宋体" w:cs="宋体"/>
          <w:color w:val="auto"/>
          <w:spacing w:val="8"/>
          <w:sz w:val="24"/>
          <w:szCs w:val="24"/>
          <w:highlight w:val="none"/>
          <w:u w:val="single" w:color="auto"/>
        </w:rPr>
        <w:t>）和及其广西</w:t>
      </w:r>
      <w:r>
        <w:rPr>
          <w:rFonts w:hint="eastAsia" w:ascii="宋体" w:hAnsi="宋体" w:eastAsia="宋体" w:cs="宋体"/>
          <w:color w:val="auto"/>
          <w:spacing w:val="9"/>
          <w:sz w:val="24"/>
          <w:szCs w:val="24"/>
          <w:highlight w:val="none"/>
          <w:u w:val="single" w:color="auto"/>
        </w:rPr>
        <w:t>壮族自治区实施细则、《建设工程工程量清单计算规范》</w:t>
      </w:r>
      <w:r>
        <w:rPr>
          <w:rFonts w:hint="eastAsia" w:ascii="宋体" w:hAnsi="宋体" w:eastAsia="宋体" w:cs="宋体"/>
          <w:color w:val="auto"/>
          <w:spacing w:val="8"/>
          <w:sz w:val="24"/>
          <w:szCs w:val="24"/>
          <w:highlight w:val="none"/>
          <w:u w:val="single" w:color="auto"/>
        </w:rPr>
        <w:t>（</w:t>
      </w:r>
      <w:r>
        <w:rPr>
          <w:rFonts w:hint="eastAsia" w:ascii="宋体" w:hAnsi="宋体" w:eastAsia="宋体" w:cs="宋体"/>
          <w:color w:val="auto"/>
          <w:sz w:val="24"/>
          <w:szCs w:val="24"/>
          <w:highlight w:val="none"/>
          <w:u w:val="single" w:color="auto"/>
        </w:rPr>
        <w:t>GB</w:t>
      </w:r>
      <w:r>
        <w:rPr>
          <w:rFonts w:hint="eastAsia" w:ascii="宋体" w:hAnsi="宋体" w:eastAsia="宋体" w:cs="宋体"/>
          <w:color w:val="auto"/>
          <w:spacing w:val="8"/>
          <w:sz w:val="24"/>
          <w:szCs w:val="24"/>
          <w:highlight w:val="none"/>
          <w:u w:val="single" w:color="auto"/>
        </w:rPr>
        <w:t>50854～50862－2013）及其广西实施细则</w:t>
      </w:r>
      <w:r>
        <w:rPr>
          <w:rFonts w:hint="eastAsia" w:ascii="宋体" w:hAnsi="宋体" w:eastAsia="宋体" w:cs="宋体"/>
          <w:color w:val="auto"/>
          <w:spacing w:val="4"/>
          <w:sz w:val="24"/>
          <w:szCs w:val="24"/>
          <w:highlight w:val="none"/>
          <w:u w:val="single" w:color="auto"/>
        </w:rPr>
        <w:t>（修订本）、本工程补充项目清单为准。</w:t>
      </w:r>
    </w:p>
    <w:p w14:paraId="079795D1">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12.3.2 计量周期</w:t>
      </w:r>
    </w:p>
    <w:p w14:paraId="4FC32760">
      <w:pPr>
        <w:keepNext w:val="0"/>
        <w:keepLines w:val="0"/>
        <w:pageBreakBefore w:val="0"/>
        <w:widowControl/>
        <w:kinsoku w:val="0"/>
        <w:wordWrap/>
        <w:overflowPunct/>
        <w:topLinePunct w:val="0"/>
        <w:autoSpaceDE w:val="0"/>
        <w:autoSpaceDN w:val="0"/>
        <w:bidi w:val="0"/>
        <w:adjustRightInd w:val="0"/>
        <w:snapToGrid w:val="0"/>
        <w:spacing w:before="132" w:line="480" w:lineRule="exact"/>
        <w:ind w:right="54"/>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关于计量周期的约定：</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lang w:val="en-US" w:eastAsia="zh-CN"/>
        </w:rPr>
        <w:t>每月25日前</w:t>
      </w:r>
      <w:r>
        <w:rPr>
          <w:rFonts w:hint="eastAsia" w:ascii="宋体" w:hAnsi="宋体" w:eastAsia="宋体" w:cs="宋体"/>
          <w:color w:val="auto"/>
          <w:spacing w:val="10"/>
          <w:sz w:val="24"/>
          <w:szCs w:val="24"/>
          <w:highlight w:val="none"/>
          <w:u w:val="single" w:color="auto"/>
        </w:rPr>
        <w:t>。</w:t>
      </w:r>
    </w:p>
    <w:p w14:paraId="6D393714">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12.3.3 单价合同的计量</w:t>
      </w:r>
    </w:p>
    <w:p w14:paraId="305ABA1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13" w:firstLine="41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关于单价合同计量的约定：</w:t>
      </w:r>
      <w:r>
        <w:rPr>
          <w:rFonts w:hint="eastAsia" w:ascii="宋体" w:hAnsi="宋体" w:eastAsia="宋体" w:cs="宋体"/>
          <w:color w:val="auto"/>
          <w:spacing w:val="8"/>
          <w:sz w:val="24"/>
          <w:szCs w:val="24"/>
          <w:highlight w:val="none"/>
          <w:u w:val="single" w:color="auto"/>
        </w:rPr>
        <w:t>(1) 工程量清单所列</w:t>
      </w:r>
      <w:r>
        <w:rPr>
          <w:rFonts w:hint="eastAsia" w:ascii="宋体" w:hAnsi="宋体" w:eastAsia="宋体" w:cs="宋体"/>
          <w:color w:val="auto"/>
          <w:spacing w:val="7"/>
          <w:sz w:val="24"/>
          <w:szCs w:val="24"/>
          <w:highlight w:val="none"/>
          <w:u w:val="single" w:color="auto"/>
        </w:rPr>
        <w:t>的工程量，不能作为承包人按合同履行其责任依据，实际施工中发生的工程量增加或减少并不影响承包人履行合同的责任，工</w:t>
      </w:r>
      <w:r>
        <w:rPr>
          <w:rFonts w:hint="eastAsia" w:ascii="宋体" w:hAnsi="宋体" w:eastAsia="宋体" w:cs="宋体"/>
          <w:color w:val="auto"/>
          <w:spacing w:val="6"/>
          <w:sz w:val="24"/>
          <w:szCs w:val="24"/>
          <w:highlight w:val="none"/>
          <w:u w:val="single" w:color="auto"/>
        </w:rPr>
        <w:t>程结算以完成的实际工程量为准。</w:t>
      </w:r>
      <w:r>
        <w:rPr>
          <w:rFonts w:hint="eastAsia" w:ascii="宋体" w:hAnsi="宋体" w:eastAsia="宋体" w:cs="宋体"/>
          <w:color w:val="auto"/>
          <w:spacing w:val="9"/>
          <w:sz w:val="24"/>
          <w:szCs w:val="24"/>
          <w:highlight w:val="none"/>
          <w:u w:val="single" w:color="auto"/>
        </w:rPr>
        <w:t>(2) 除另有规定外，工程师应按照合同通过计量来核实确定已完成的工程量和价款，承包人应得到该价款扣除保留金后的金额</w:t>
      </w:r>
      <w:r>
        <w:rPr>
          <w:rFonts w:hint="eastAsia" w:ascii="宋体" w:hAnsi="宋体" w:eastAsia="宋体" w:cs="宋体"/>
          <w:color w:val="auto"/>
          <w:spacing w:val="9"/>
          <w:sz w:val="24"/>
          <w:szCs w:val="24"/>
          <w:highlight w:val="none"/>
          <w:u w:val="single" w:color="auto"/>
          <w:lang w:eastAsia="zh-CN"/>
        </w:rPr>
        <w:t>。</w:t>
      </w:r>
      <w:r>
        <w:rPr>
          <w:rFonts w:hint="eastAsia" w:ascii="宋体" w:hAnsi="宋体" w:eastAsia="宋体" w:cs="宋体"/>
          <w:color w:val="auto"/>
          <w:spacing w:val="9"/>
          <w:sz w:val="24"/>
          <w:szCs w:val="24"/>
          <w:highlight w:val="none"/>
          <w:u w:val="single" w:color="auto"/>
        </w:rPr>
        <w:t>当工程师要对已完工的工程量进行计量时，应适时地通知承包人参加</w:t>
      </w:r>
      <w:r>
        <w:rPr>
          <w:rFonts w:hint="eastAsia" w:ascii="宋体" w:hAnsi="宋体" w:eastAsia="宋体" w:cs="宋体"/>
          <w:color w:val="auto"/>
          <w:spacing w:val="9"/>
          <w:sz w:val="24"/>
          <w:szCs w:val="24"/>
          <w:highlight w:val="none"/>
        </w:rPr>
        <w:t>。</w:t>
      </w:r>
    </w:p>
    <w:p w14:paraId="478E639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12.3.4 总价合同的计量</w:t>
      </w:r>
    </w:p>
    <w:p w14:paraId="047FD7F5">
      <w:pPr>
        <w:keepNext w:val="0"/>
        <w:keepLines w:val="0"/>
        <w:pageBreakBefore w:val="0"/>
        <w:widowControl/>
        <w:kinsoku w:val="0"/>
        <w:wordWrap/>
        <w:overflowPunct/>
        <w:topLinePunct w:val="0"/>
        <w:autoSpaceDE w:val="0"/>
        <w:autoSpaceDN w:val="0"/>
        <w:bidi w:val="0"/>
        <w:adjustRightInd w:val="0"/>
        <w:snapToGrid w:val="0"/>
        <w:spacing w:before="137" w:line="48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关于总价合同计量的约定：</w:t>
      </w:r>
      <w:r>
        <w:rPr>
          <w:rFonts w:hint="eastAsia" w:ascii="宋体" w:hAnsi="宋体" w:eastAsia="宋体" w:cs="宋体"/>
          <w:color w:val="auto"/>
          <w:spacing w:val="7"/>
          <w:sz w:val="24"/>
          <w:szCs w:val="24"/>
          <w:highlight w:val="none"/>
          <w:u w:val="single" w:color="auto"/>
        </w:rPr>
        <w:t xml:space="preserve">    /    </w:t>
      </w:r>
      <w:r>
        <w:rPr>
          <w:rFonts w:hint="eastAsia" w:ascii="宋体" w:hAnsi="宋体" w:eastAsia="宋体" w:cs="宋体"/>
          <w:color w:val="auto"/>
          <w:spacing w:val="7"/>
          <w:sz w:val="24"/>
          <w:szCs w:val="24"/>
          <w:highlight w:val="none"/>
        </w:rPr>
        <w:t>。</w:t>
      </w:r>
    </w:p>
    <w:p w14:paraId="0771E6E4">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12.3.6 其他价格形式合同的计量</w:t>
      </w:r>
    </w:p>
    <w:p w14:paraId="51093474">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其他价格形式的计量方式和程序：</w:t>
      </w:r>
      <w:r>
        <w:rPr>
          <w:rFonts w:hint="eastAsia" w:ascii="宋体" w:hAnsi="宋体" w:eastAsia="宋体" w:cs="宋体"/>
          <w:color w:val="auto"/>
          <w:spacing w:val="8"/>
          <w:sz w:val="24"/>
          <w:szCs w:val="24"/>
          <w:highlight w:val="none"/>
          <w:u w:val="single" w:color="auto"/>
        </w:rPr>
        <w:t xml:space="preserve"> 无 </w:t>
      </w:r>
      <w:r>
        <w:rPr>
          <w:rFonts w:hint="eastAsia" w:ascii="宋体" w:hAnsi="宋体" w:eastAsia="宋体" w:cs="宋体"/>
          <w:color w:val="auto"/>
          <w:spacing w:val="8"/>
          <w:sz w:val="24"/>
          <w:szCs w:val="24"/>
          <w:highlight w:val="none"/>
        </w:rPr>
        <w:t>。</w:t>
      </w:r>
    </w:p>
    <w:p w14:paraId="3434E681">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12.4 工程进度款支付</w:t>
      </w:r>
    </w:p>
    <w:p w14:paraId="54B0F3F9">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4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12.4.1 付款周期</w:t>
      </w:r>
    </w:p>
    <w:p w14:paraId="7B1560F7">
      <w:pPr>
        <w:pStyle w:val="4"/>
        <w:keepNext w:val="0"/>
        <w:keepLines w:val="0"/>
        <w:pageBreakBefore w:val="0"/>
        <w:widowControl/>
        <w:kinsoku w:val="0"/>
        <w:wordWrap/>
        <w:overflowPunct/>
        <w:topLinePunct w:val="0"/>
        <w:autoSpaceDE w:val="0"/>
        <w:autoSpaceDN w:val="0"/>
        <w:bidi w:val="0"/>
        <w:adjustRightInd w:val="0"/>
        <w:snapToGrid w:val="0"/>
        <w:spacing w:before="149" w:line="480" w:lineRule="exact"/>
        <w:ind w:left="30" w:right="95" w:firstLine="447"/>
        <w:textAlignment w:val="baseline"/>
        <w:rPr>
          <w:color w:val="auto"/>
          <w:sz w:val="24"/>
          <w:szCs w:val="24"/>
          <w:highlight w:val="none"/>
        </w:rPr>
      </w:pPr>
      <w:r>
        <w:rPr>
          <w:rFonts w:ascii="Calibri" w:hAnsi="Calibri" w:eastAsia="Calibri" w:cs="Calibri"/>
          <w:color w:val="auto"/>
          <w:spacing w:val="-1"/>
          <w:sz w:val="24"/>
          <w:szCs w:val="24"/>
          <w:highlight w:val="none"/>
        </w:rPr>
        <w:t xml:space="preserve">1  </w:t>
      </w:r>
      <w:r>
        <w:rPr>
          <w:color w:val="auto"/>
          <w:spacing w:val="-1"/>
          <w:sz w:val="24"/>
          <w:szCs w:val="24"/>
          <w:highlight w:val="none"/>
          <w:u w:val="single" w:color="auto"/>
        </w:rPr>
        <w:t>关于付款周期的约定：合同内按工程量进度支付，工程进度款支付限额为已完成工程的</w:t>
      </w:r>
      <w:r>
        <w:rPr>
          <w:color w:val="auto"/>
          <w:spacing w:val="-4"/>
          <w:sz w:val="24"/>
          <w:szCs w:val="24"/>
          <w:highlight w:val="none"/>
          <w:u w:val="single" w:color="auto"/>
        </w:rPr>
        <w:t>80%</w:t>
      </w:r>
      <w:r>
        <w:rPr>
          <w:rFonts w:hint="eastAsia" w:eastAsia="宋体"/>
          <w:color w:val="auto"/>
          <w:spacing w:val="-4"/>
          <w:sz w:val="24"/>
          <w:szCs w:val="24"/>
          <w:highlight w:val="none"/>
          <w:u w:val="single" w:color="auto"/>
          <w:lang w:val="en-US" w:eastAsia="zh-CN"/>
        </w:rPr>
        <w:t>；</w:t>
      </w:r>
      <w:r>
        <w:rPr>
          <w:color w:val="auto"/>
          <w:spacing w:val="-4"/>
          <w:sz w:val="24"/>
          <w:szCs w:val="24"/>
          <w:highlight w:val="none"/>
          <w:u w:val="single" w:color="auto"/>
        </w:rPr>
        <w:t>工程变更部分进度款支付限额为已完成工程量的 70%。</w:t>
      </w:r>
    </w:p>
    <w:p w14:paraId="316A587B">
      <w:pPr>
        <w:pStyle w:val="4"/>
        <w:keepNext w:val="0"/>
        <w:keepLines w:val="0"/>
        <w:pageBreakBefore w:val="0"/>
        <w:widowControl/>
        <w:kinsoku w:val="0"/>
        <w:wordWrap/>
        <w:overflowPunct/>
        <w:topLinePunct w:val="0"/>
        <w:autoSpaceDE w:val="0"/>
        <w:autoSpaceDN w:val="0"/>
        <w:bidi w:val="0"/>
        <w:adjustRightInd w:val="0"/>
        <w:snapToGrid w:val="0"/>
        <w:spacing w:before="26" w:line="480" w:lineRule="exact"/>
        <w:ind w:left="21" w:firstLine="446"/>
        <w:jc w:val="both"/>
        <w:textAlignment w:val="baseline"/>
        <w:rPr>
          <w:color w:val="auto"/>
          <w:sz w:val="24"/>
          <w:szCs w:val="24"/>
          <w:highlight w:val="none"/>
        </w:rPr>
      </w:pPr>
      <w:r>
        <w:rPr>
          <w:rFonts w:ascii="Calibri" w:hAnsi="Calibri" w:eastAsia="Calibri" w:cs="Calibri"/>
          <w:color w:val="auto"/>
          <w:spacing w:val="-3"/>
          <w:sz w:val="24"/>
          <w:szCs w:val="24"/>
          <w:highlight w:val="none"/>
          <w:u w:val="single" w:color="auto"/>
        </w:rPr>
        <w:t xml:space="preserve">2  </w:t>
      </w:r>
      <w:r>
        <w:rPr>
          <w:color w:val="auto"/>
          <w:spacing w:val="-3"/>
          <w:sz w:val="24"/>
          <w:szCs w:val="24"/>
          <w:highlight w:val="none"/>
          <w:u w:val="single" w:color="auto"/>
        </w:rPr>
        <w:t>工程完工验收达到质量要求， 结算经业主及合同约定的财政或审计部门(</w:t>
      </w:r>
      <w:r>
        <w:rPr>
          <w:color w:val="auto"/>
          <w:spacing w:val="-4"/>
          <w:sz w:val="24"/>
          <w:szCs w:val="24"/>
          <w:highlight w:val="none"/>
          <w:u w:val="single" w:color="auto"/>
        </w:rPr>
        <w:t>如有) 审定后，</w:t>
      </w:r>
      <w:r>
        <w:rPr>
          <w:color w:val="auto"/>
          <w:spacing w:val="-8"/>
          <w:sz w:val="24"/>
          <w:szCs w:val="24"/>
          <w:highlight w:val="none"/>
          <w:u w:val="single" w:color="auto"/>
        </w:rPr>
        <w:t xml:space="preserve">工程款支付至结算总价的 </w:t>
      </w:r>
      <w:r>
        <w:rPr>
          <w:rFonts w:ascii="Calibri" w:hAnsi="Calibri" w:eastAsia="Calibri" w:cs="Calibri"/>
          <w:color w:val="auto"/>
          <w:spacing w:val="-8"/>
          <w:sz w:val="24"/>
          <w:szCs w:val="24"/>
          <w:highlight w:val="none"/>
          <w:u w:val="single" w:color="auto"/>
        </w:rPr>
        <w:t xml:space="preserve">97 %    </w:t>
      </w:r>
      <w:r>
        <w:rPr>
          <w:color w:val="auto"/>
          <w:spacing w:val="-8"/>
          <w:sz w:val="24"/>
          <w:szCs w:val="24"/>
          <w:highlight w:val="none"/>
          <w:u w:val="single" w:color="auto"/>
        </w:rPr>
        <w:t xml:space="preserve">(不得低于 </w:t>
      </w:r>
      <w:r>
        <w:rPr>
          <w:rFonts w:ascii="Calibri" w:hAnsi="Calibri" w:eastAsia="Calibri" w:cs="Calibri"/>
          <w:color w:val="auto"/>
          <w:spacing w:val="-8"/>
          <w:sz w:val="24"/>
          <w:szCs w:val="24"/>
          <w:highlight w:val="none"/>
          <w:u w:val="single" w:color="auto"/>
        </w:rPr>
        <w:t>97%</w:t>
      </w:r>
      <w:r>
        <w:rPr>
          <w:color w:val="auto"/>
          <w:spacing w:val="-8"/>
          <w:sz w:val="24"/>
          <w:szCs w:val="24"/>
          <w:highlight w:val="none"/>
          <w:u w:val="single" w:color="auto"/>
        </w:rPr>
        <w:t>)。 发包人按工程价款结算总额</w:t>
      </w:r>
      <w:r>
        <w:rPr>
          <w:color w:val="auto"/>
          <w:spacing w:val="-9"/>
          <w:sz w:val="24"/>
          <w:szCs w:val="24"/>
          <w:highlight w:val="none"/>
          <w:u w:val="single" w:color="auto"/>
        </w:rPr>
        <w:t xml:space="preserve">的 </w:t>
      </w:r>
      <w:r>
        <w:rPr>
          <w:rFonts w:ascii="Calibri" w:hAnsi="Calibri" w:eastAsia="Calibri" w:cs="Calibri"/>
          <w:color w:val="auto"/>
          <w:spacing w:val="-9"/>
          <w:sz w:val="24"/>
          <w:szCs w:val="24"/>
          <w:highlight w:val="none"/>
          <w:u w:val="single" w:color="auto"/>
        </w:rPr>
        <w:t xml:space="preserve">3%     </w:t>
      </w:r>
      <w:r>
        <w:rPr>
          <w:color w:val="auto"/>
          <w:spacing w:val="-9"/>
          <w:sz w:val="24"/>
          <w:szCs w:val="24"/>
          <w:highlight w:val="none"/>
          <w:u w:val="single" w:color="auto"/>
        </w:rPr>
        <w:t>(最高不超</w:t>
      </w:r>
      <w:r>
        <w:rPr>
          <w:color w:val="auto"/>
          <w:spacing w:val="-17"/>
          <w:sz w:val="24"/>
          <w:szCs w:val="24"/>
          <w:highlight w:val="none"/>
          <w:u w:val="single" w:color="auto"/>
        </w:rPr>
        <w:t>过</w:t>
      </w:r>
      <w:r>
        <w:rPr>
          <w:color w:val="auto"/>
          <w:spacing w:val="-20"/>
          <w:sz w:val="24"/>
          <w:szCs w:val="24"/>
          <w:highlight w:val="none"/>
          <w:u w:val="single" w:color="auto"/>
        </w:rPr>
        <w:t xml:space="preserve"> </w:t>
      </w:r>
      <w:r>
        <w:rPr>
          <w:rFonts w:ascii="Calibri" w:hAnsi="Calibri" w:eastAsia="Calibri" w:cs="Calibri"/>
          <w:color w:val="auto"/>
          <w:spacing w:val="-17"/>
          <w:sz w:val="24"/>
          <w:szCs w:val="24"/>
          <w:highlight w:val="none"/>
          <w:u w:val="single" w:color="auto"/>
        </w:rPr>
        <w:t>3%</w:t>
      </w:r>
      <w:r>
        <w:rPr>
          <w:rFonts w:ascii="Calibri" w:hAnsi="Calibri" w:eastAsia="Calibri" w:cs="Calibri"/>
          <w:color w:val="auto"/>
          <w:spacing w:val="-12"/>
          <w:sz w:val="24"/>
          <w:szCs w:val="24"/>
          <w:highlight w:val="none"/>
          <w:u w:val="single" w:color="auto"/>
        </w:rPr>
        <w:t xml:space="preserve"> </w:t>
      </w:r>
      <w:r>
        <w:rPr>
          <w:color w:val="auto"/>
          <w:spacing w:val="-17"/>
          <w:sz w:val="24"/>
          <w:szCs w:val="24"/>
          <w:highlight w:val="none"/>
          <w:u w:val="single" w:color="auto"/>
        </w:rPr>
        <w:t>)</w:t>
      </w:r>
      <w:r>
        <w:rPr>
          <w:color w:val="auto"/>
          <w:spacing w:val="-21"/>
          <w:sz w:val="24"/>
          <w:szCs w:val="24"/>
          <w:highlight w:val="none"/>
          <w:u w:val="single" w:color="auto"/>
        </w:rPr>
        <w:t xml:space="preserve"> </w:t>
      </w:r>
      <w:r>
        <w:rPr>
          <w:color w:val="auto"/>
          <w:spacing w:val="-17"/>
          <w:sz w:val="24"/>
          <w:szCs w:val="24"/>
          <w:highlight w:val="none"/>
          <w:u w:val="single" w:color="auto"/>
        </w:rPr>
        <w:t>预留工程质量保证金。</w:t>
      </w:r>
      <w:r>
        <w:rPr>
          <w:color w:val="auto"/>
          <w:sz w:val="24"/>
          <w:szCs w:val="24"/>
          <w:highlight w:val="none"/>
          <w:u w:val="single" w:color="auto"/>
        </w:rPr>
        <w:t xml:space="preserve"> </w:t>
      </w:r>
    </w:p>
    <w:p w14:paraId="6E39053F">
      <w:pPr>
        <w:pStyle w:val="4"/>
        <w:keepNext w:val="0"/>
        <w:keepLines w:val="0"/>
        <w:pageBreakBefore w:val="0"/>
        <w:widowControl/>
        <w:kinsoku w:val="0"/>
        <w:wordWrap/>
        <w:overflowPunct/>
        <w:topLinePunct w:val="0"/>
        <w:autoSpaceDE w:val="0"/>
        <w:autoSpaceDN w:val="0"/>
        <w:bidi w:val="0"/>
        <w:adjustRightInd w:val="0"/>
        <w:snapToGrid w:val="0"/>
        <w:spacing w:before="218" w:line="480" w:lineRule="exact"/>
        <w:ind w:firstLine="468" w:firstLineChars="200"/>
        <w:textAlignment w:val="baseline"/>
        <w:rPr>
          <w:color w:val="auto"/>
          <w:sz w:val="24"/>
          <w:szCs w:val="24"/>
          <w:highlight w:val="none"/>
        </w:rPr>
      </w:pPr>
      <w:r>
        <w:rPr>
          <w:rFonts w:hint="eastAsia" w:eastAsia="宋体"/>
          <w:color w:val="auto"/>
          <w:spacing w:val="-3"/>
          <w:sz w:val="24"/>
          <w:szCs w:val="24"/>
          <w:highlight w:val="none"/>
          <w:u w:val="single" w:color="auto"/>
          <w:lang w:val="en-US" w:eastAsia="zh-CN"/>
        </w:rPr>
        <w:t xml:space="preserve">3 </w:t>
      </w:r>
      <w:r>
        <w:rPr>
          <w:color w:val="auto"/>
          <w:spacing w:val="-3"/>
          <w:sz w:val="24"/>
          <w:szCs w:val="24"/>
          <w:highlight w:val="none"/>
          <w:u w:val="single" w:color="auto"/>
        </w:rPr>
        <w:t>合同约定的工程质量缺陷责任期（最长不超过</w:t>
      </w:r>
      <w:r>
        <w:rPr>
          <w:color w:val="auto"/>
          <w:spacing w:val="-4"/>
          <w:sz w:val="24"/>
          <w:szCs w:val="24"/>
          <w:highlight w:val="none"/>
          <w:u w:val="single" w:color="auto"/>
        </w:rPr>
        <w:t xml:space="preserve"> 2 年）满后由承包人向发包人提出</w:t>
      </w:r>
      <w:r>
        <w:rPr>
          <w:color w:val="auto"/>
          <w:spacing w:val="-3"/>
          <w:sz w:val="24"/>
          <w:szCs w:val="24"/>
          <w:highlight w:val="none"/>
          <w:u w:val="single" w:color="auto"/>
        </w:rPr>
        <w:t>返还保证金的申请，发包人在接到承包人返还保证金申请后，于 14 天</w:t>
      </w:r>
      <w:r>
        <w:rPr>
          <w:color w:val="auto"/>
          <w:spacing w:val="-4"/>
          <w:sz w:val="24"/>
          <w:szCs w:val="24"/>
          <w:highlight w:val="none"/>
          <w:u w:val="single" w:color="auto"/>
        </w:rPr>
        <w:t>内会同承包人按照</w:t>
      </w:r>
      <w:r>
        <w:rPr>
          <w:color w:val="auto"/>
          <w:sz w:val="24"/>
          <w:szCs w:val="24"/>
          <w:highlight w:val="none"/>
          <w:u w:val="single" w:color="auto"/>
        </w:rPr>
        <w:t>合同约定的内容进行核实。如无异议，发包人在核实后 14 天内</w:t>
      </w:r>
      <w:r>
        <w:rPr>
          <w:color w:val="auto"/>
          <w:spacing w:val="-1"/>
          <w:sz w:val="24"/>
          <w:szCs w:val="24"/>
          <w:highlight w:val="none"/>
          <w:u w:val="single" w:color="auto"/>
        </w:rPr>
        <w:t>将保证金(无息）返还承</w:t>
      </w:r>
      <w:r>
        <w:rPr>
          <w:color w:val="auto"/>
          <w:spacing w:val="-3"/>
          <w:sz w:val="24"/>
          <w:szCs w:val="24"/>
          <w:highlight w:val="none"/>
          <w:u w:val="single" w:color="auto"/>
        </w:rPr>
        <w:t>包人，逾期未返还的，依法承担违约责任。发包人在接到承包人返还保证金</w:t>
      </w:r>
      <w:r>
        <w:rPr>
          <w:color w:val="auto"/>
          <w:spacing w:val="-4"/>
          <w:sz w:val="24"/>
          <w:szCs w:val="24"/>
          <w:highlight w:val="none"/>
          <w:u w:val="single" w:color="auto"/>
        </w:rPr>
        <w:t>申请后 14 天</w:t>
      </w:r>
      <w:r>
        <w:rPr>
          <w:color w:val="auto"/>
          <w:spacing w:val="1"/>
          <w:sz w:val="24"/>
          <w:szCs w:val="24"/>
          <w:highlight w:val="none"/>
          <w:u w:val="single" w:color="auto"/>
        </w:rPr>
        <w:t>内不予答复，经催告后 14 天内仍不予答复，</w:t>
      </w:r>
      <w:r>
        <w:rPr>
          <w:color w:val="auto"/>
          <w:sz w:val="24"/>
          <w:szCs w:val="24"/>
          <w:highlight w:val="none"/>
          <w:u w:val="single" w:color="auto"/>
        </w:rPr>
        <w:t>视同认可承包人的返还保证金申请。</w:t>
      </w:r>
    </w:p>
    <w:p w14:paraId="30FBF1A8">
      <w:pPr>
        <w:keepNext w:val="0"/>
        <w:keepLines w:val="0"/>
        <w:pageBreakBefore w:val="0"/>
        <w:widowControl/>
        <w:kinsoku w:val="0"/>
        <w:wordWrap/>
        <w:overflowPunct/>
        <w:topLinePunct w:val="0"/>
        <w:autoSpaceDE w:val="0"/>
        <w:autoSpaceDN w:val="0"/>
        <w:bidi w:val="0"/>
        <w:adjustRightInd w:val="0"/>
        <w:snapToGrid w:val="0"/>
        <w:spacing w:before="110" w:line="48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12.4.2 进度付款申请单的编制</w:t>
      </w:r>
    </w:p>
    <w:p w14:paraId="110D0B40">
      <w:pPr>
        <w:keepNext w:val="0"/>
        <w:keepLines w:val="0"/>
        <w:pageBreakBefore w:val="0"/>
        <w:widowControl/>
        <w:kinsoku w:val="0"/>
        <w:wordWrap/>
        <w:overflowPunct/>
        <w:topLinePunct w:val="0"/>
        <w:autoSpaceDE w:val="0"/>
        <w:autoSpaceDN w:val="0"/>
        <w:bidi w:val="0"/>
        <w:adjustRightInd w:val="0"/>
        <w:snapToGrid w:val="0"/>
        <w:spacing w:before="132" w:line="480" w:lineRule="exact"/>
        <w:ind w:firstLine="424"/>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rPr>
        <w:t>关于进度付款申请单编制的约定：</w:t>
      </w:r>
      <w:r>
        <w:rPr>
          <w:color w:val="auto"/>
          <w:spacing w:val="-1"/>
          <w:sz w:val="24"/>
          <w:szCs w:val="24"/>
          <w:highlight w:val="none"/>
          <w:u w:val="single" w:color="auto"/>
        </w:rPr>
        <w:t>由承包人提出申请，经发包</w:t>
      </w:r>
      <w:r>
        <w:rPr>
          <w:color w:val="auto"/>
          <w:spacing w:val="-2"/>
          <w:sz w:val="24"/>
          <w:szCs w:val="24"/>
          <w:highlight w:val="none"/>
          <w:u w:val="single" w:color="auto"/>
        </w:rPr>
        <w:t>人及监理单位认可</w:t>
      </w:r>
      <w:r>
        <w:rPr>
          <w:rFonts w:hint="eastAsia" w:ascii="宋体" w:hAnsi="宋体" w:eastAsia="宋体" w:cs="宋体"/>
          <w:color w:val="auto"/>
          <w:spacing w:val="10"/>
          <w:sz w:val="24"/>
          <w:szCs w:val="24"/>
          <w:highlight w:val="none"/>
          <w:u w:val="single" w:color="auto"/>
          <w:lang w:eastAsia="zh-CN"/>
        </w:rPr>
        <w:t>。</w:t>
      </w:r>
    </w:p>
    <w:p w14:paraId="0C8E8BAC">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12.4.3 进度付款申请单的提交</w:t>
      </w:r>
    </w:p>
    <w:p w14:paraId="2659D8E7">
      <w:pPr>
        <w:keepNext w:val="0"/>
        <w:keepLines w:val="0"/>
        <w:pageBreakBefore w:val="0"/>
        <w:widowControl/>
        <w:kinsoku w:val="0"/>
        <w:wordWrap/>
        <w:overflowPunct/>
        <w:topLinePunct w:val="0"/>
        <w:autoSpaceDE w:val="0"/>
        <w:autoSpaceDN w:val="0"/>
        <w:bidi w:val="0"/>
        <w:adjustRightInd w:val="0"/>
        <w:snapToGrid w:val="0"/>
        <w:spacing w:before="134" w:line="480" w:lineRule="exact"/>
        <w:ind w:firstLine="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（1）单价合同进度付款申请单提交的约定</w:t>
      </w:r>
      <w:r>
        <w:rPr>
          <w:rFonts w:hint="eastAsia" w:ascii="宋体" w:hAnsi="宋体" w:eastAsia="宋体" w:cs="宋体"/>
          <w:color w:val="auto"/>
          <w:spacing w:val="6"/>
          <w:sz w:val="24"/>
          <w:szCs w:val="24"/>
          <w:highlight w:val="none"/>
        </w:rPr>
        <w:t>：</w:t>
      </w:r>
      <w:r>
        <w:rPr>
          <w:color w:val="auto"/>
          <w:spacing w:val="-1"/>
          <w:sz w:val="24"/>
          <w:szCs w:val="24"/>
          <w:highlight w:val="none"/>
          <w:u w:val="single" w:color="auto"/>
        </w:rPr>
        <w:t>由承包人提出申请，经发包</w:t>
      </w:r>
      <w:r>
        <w:rPr>
          <w:color w:val="auto"/>
          <w:spacing w:val="-2"/>
          <w:sz w:val="24"/>
          <w:szCs w:val="24"/>
          <w:highlight w:val="none"/>
          <w:u w:val="single" w:color="auto"/>
        </w:rPr>
        <w:t>人及监理单位认可</w:t>
      </w:r>
      <w:r>
        <w:rPr>
          <w:rFonts w:hint="eastAsia" w:ascii="宋体" w:hAnsi="宋体" w:eastAsia="宋体" w:cs="宋体"/>
          <w:color w:val="auto"/>
          <w:spacing w:val="13"/>
          <w:sz w:val="24"/>
          <w:szCs w:val="24"/>
          <w:highlight w:val="none"/>
          <w:u w:val="single" w:color="auto"/>
        </w:rPr>
        <w:t>。</w:t>
      </w:r>
    </w:p>
    <w:p w14:paraId="7C5D9DDD">
      <w:pPr>
        <w:keepNext w:val="0"/>
        <w:keepLines w:val="0"/>
        <w:pageBreakBefore w:val="0"/>
        <w:widowControl/>
        <w:kinsoku w:val="0"/>
        <w:wordWrap/>
        <w:overflowPunct/>
        <w:topLinePunct w:val="0"/>
        <w:autoSpaceDE w:val="0"/>
        <w:autoSpaceDN w:val="0"/>
        <w:bidi w:val="0"/>
        <w:adjustRightInd w:val="0"/>
        <w:snapToGrid w:val="0"/>
        <w:spacing w:before="122" w:line="48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（2）总价合同进度付款申请单提交的约定：</w:t>
      </w:r>
      <w:r>
        <w:rPr>
          <w:color w:val="auto"/>
          <w:spacing w:val="-1"/>
          <w:sz w:val="24"/>
          <w:szCs w:val="24"/>
          <w:highlight w:val="none"/>
          <w:u w:val="single" w:color="auto"/>
        </w:rPr>
        <w:t>由承包人提出申请，经发包</w:t>
      </w:r>
      <w:r>
        <w:rPr>
          <w:color w:val="auto"/>
          <w:spacing w:val="-2"/>
          <w:sz w:val="24"/>
          <w:szCs w:val="24"/>
          <w:highlight w:val="none"/>
          <w:u w:val="single" w:color="auto"/>
        </w:rPr>
        <w:t>人及监理单位认可</w:t>
      </w:r>
      <w:r>
        <w:rPr>
          <w:rFonts w:hint="eastAsia" w:ascii="宋体" w:hAnsi="宋体" w:eastAsia="宋体" w:cs="宋体"/>
          <w:color w:val="auto"/>
          <w:spacing w:val="7"/>
          <w:sz w:val="24"/>
          <w:szCs w:val="24"/>
          <w:highlight w:val="none"/>
        </w:rPr>
        <w:t>。</w:t>
      </w:r>
    </w:p>
    <w:p w14:paraId="2669C21B">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（3）其他价格形式合同进度付款申请单提交的约</w:t>
      </w:r>
      <w:r>
        <w:rPr>
          <w:rFonts w:hint="eastAsia" w:ascii="宋体" w:hAnsi="宋体" w:eastAsia="宋体" w:cs="宋体"/>
          <w:color w:val="auto"/>
          <w:spacing w:val="7"/>
          <w:sz w:val="24"/>
          <w:szCs w:val="24"/>
          <w:highlight w:val="none"/>
        </w:rPr>
        <w:t>定：</w:t>
      </w:r>
      <w:r>
        <w:rPr>
          <w:rFonts w:hint="eastAsia" w:ascii="宋体" w:hAnsi="宋体" w:eastAsia="宋体" w:cs="宋体"/>
          <w:color w:val="auto"/>
          <w:spacing w:val="7"/>
          <w:sz w:val="24"/>
          <w:szCs w:val="24"/>
          <w:highlight w:val="none"/>
          <w:u w:val="single" w:color="auto"/>
        </w:rPr>
        <w:t xml:space="preserve"> </w:t>
      </w:r>
      <w:r>
        <w:rPr>
          <w:color w:val="auto"/>
          <w:spacing w:val="-1"/>
          <w:sz w:val="24"/>
          <w:szCs w:val="24"/>
          <w:highlight w:val="none"/>
          <w:u w:val="single" w:color="auto"/>
        </w:rPr>
        <w:t>承包人提出申请，经发包</w:t>
      </w:r>
      <w:r>
        <w:rPr>
          <w:color w:val="auto"/>
          <w:spacing w:val="-2"/>
          <w:sz w:val="24"/>
          <w:szCs w:val="24"/>
          <w:highlight w:val="none"/>
          <w:u w:val="single" w:color="auto"/>
        </w:rPr>
        <w:t>人及监理单位认可</w:t>
      </w:r>
      <w:r>
        <w:rPr>
          <w:rFonts w:hint="eastAsia" w:ascii="宋体" w:hAnsi="宋体" w:eastAsia="宋体" w:cs="宋体"/>
          <w:color w:val="auto"/>
          <w:spacing w:val="7"/>
          <w:sz w:val="24"/>
          <w:szCs w:val="24"/>
          <w:highlight w:val="none"/>
        </w:rPr>
        <w:t>。</w:t>
      </w:r>
    </w:p>
    <w:p w14:paraId="5809740C">
      <w:pPr>
        <w:keepNext w:val="0"/>
        <w:keepLines w:val="0"/>
        <w:pageBreakBefore w:val="0"/>
        <w:widowControl/>
        <w:kinsoku w:val="0"/>
        <w:wordWrap/>
        <w:overflowPunct/>
        <w:topLinePunct w:val="0"/>
        <w:autoSpaceDE w:val="0"/>
        <w:autoSpaceDN w:val="0"/>
        <w:bidi w:val="0"/>
        <w:adjustRightInd w:val="0"/>
        <w:snapToGrid w:val="0"/>
        <w:spacing w:before="136" w:line="48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12.4.4 进度款审核和支付</w:t>
      </w:r>
    </w:p>
    <w:p w14:paraId="24A750FF">
      <w:pPr>
        <w:keepNext w:val="0"/>
        <w:keepLines w:val="0"/>
        <w:pageBreakBefore w:val="0"/>
        <w:widowControl/>
        <w:kinsoku w:val="0"/>
        <w:wordWrap/>
        <w:overflowPunct/>
        <w:topLinePunct w:val="0"/>
        <w:autoSpaceDE w:val="0"/>
        <w:autoSpaceDN w:val="0"/>
        <w:bidi w:val="0"/>
        <w:adjustRightInd w:val="0"/>
        <w:snapToGrid w:val="0"/>
        <w:spacing w:before="133" w:line="480" w:lineRule="exact"/>
        <w:ind w:firstLine="516"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（1）监理人审查并报送发包人的期限：</w:t>
      </w:r>
      <w:r>
        <w:rPr>
          <w:rFonts w:hint="eastAsia" w:ascii="宋体" w:hAnsi="宋体" w:eastAsia="宋体" w:cs="宋体"/>
          <w:color w:val="auto"/>
          <w:spacing w:val="9"/>
          <w:sz w:val="24"/>
          <w:szCs w:val="24"/>
          <w:highlight w:val="none"/>
          <w:u w:val="single" w:color="auto"/>
          <w:lang w:val="en-US" w:eastAsia="zh-CN"/>
        </w:rPr>
        <w:t>收到申请 3 天内</w:t>
      </w:r>
      <w:r>
        <w:rPr>
          <w:rFonts w:hint="eastAsia" w:ascii="宋体" w:hAnsi="宋体" w:eastAsia="宋体" w:cs="宋体"/>
          <w:color w:val="auto"/>
          <w:spacing w:val="7"/>
          <w:sz w:val="24"/>
          <w:szCs w:val="24"/>
          <w:highlight w:val="none"/>
        </w:rPr>
        <w:t>。</w:t>
      </w:r>
    </w:p>
    <w:p w14:paraId="4C9D3D2B">
      <w:pPr>
        <w:keepNext w:val="0"/>
        <w:keepLines w:val="0"/>
        <w:pageBreakBefore w:val="0"/>
        <w:widowControl/>
        <w:kinsoku w:val="0"/>
        <w:wordWrap/>
        <w:overflowPunct/>
        <w:topLinePunct w:val="0"/>
        <w:autoSpaceDE w:val="0"/>
        <w:autoSpaceDN w:val="0"/>
        <w:bidi w:val="0"/>
        <w:adjustRightInd w:val="0"/>
        <w:snapToGrid w:val="0"/>
        <w:spacing w:before="135" w:line="48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发包人完成审批并签发进度款支付证书的期限：</w:t>
      </w:r>
      <w:r>
        <w:rPr>
          <w:rFonts w:hint="eastAsia" w:ascii="宋体" w:hAnsi="宋体" w:eastAsia="宋体" w:cs="宋体"/>
          <w:color w:val="auto"/>
          <w:spacing w:val="9"/>
          <w:sz w:val="24"/>
          <w:szCs w:val="24"/>
          <w:highlight w:val="none"/>
          <w:u w:val="single" w:color="auto"/>
        </w:rPr>
        <w:t>收到</w:t>
      </w:r>
      <w:r>
        <w:rPr>
          <w:rFonts w:hint="eastAsia" w:ascii="宋体" w:hAnsi="宋体" w:eastAsia="宋体" w:cs="宋体"/>
          <w:color w:val="auto"/>
          <w:spacing w:val="9"/>
          <w:sz w:val="24"/>
          <w:szCs w:val="24"/>
          <w:highlight w:val="none"/>
          <w:u w:val="single" w:color="auto"/>
          <w:lang w:val="en-US" w:eastAsia="zh-CN"/>
        </w:rPr>
        <w:t>申请 7 天内</w:t>
      </w:r>
      <w:r>
        <w:rPr>
          <w:rFonts w:hint="eastAsia" w:ascii="宋体" w:hAnsi="宋体" w:eastAsia="宋体" w:cs="宋体"/>
          <w:color w:val="auto"/>
          <w:spacing w:val="8"/>
          <w:sz w:val="24"/>
          <w:szCs w:val="24"/>
          <w:highlight w:val="none"/>
          <w:u w:val="single" w:color="auto"/>
          <w:lang w:eastAsia="zh-CN"/>
        </w:rPr>
        <w:t>。</w:t>
      </w:r>
    </w:p>
    <w:p w14:paraId="6DA69477">
      <w:pPr>
        <w:keepNext w:val="0"/>
        <w:keepLines w:val="0"/>
        <w:pageBreakBefore w:val="0"/>
        <w:widowControl/>
        <w:kinsoku w:val="0"/>
        <w:wordWrap/>
        <w:overflowPunct/>
        <w:topLinePunct w:val="0"/>
        <w:autoSpaceDE w:val="0"/>
        <w:autoSpaceDN w:val="0"/>
        <w:bidi w:val="0"/>
        <w:adjustRightInd w:val="0"/>
        <w:snapToGrid w:val="0"/>
        <w:spacing w:line="48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（2）发包人支付进度款的期限：</w:t>
      </w:r>
      <w:r>
        <w:rPr>
          <w:rFonts w:hint="eastAsia" w:ascii="宋体" w:hAnsi="宋体" w:eastAsia="宋体" w:cs="宋体"/>
          <w:color w:val="auto"/>
          <w:spacing w:val="8"/>
          <w:sz w:val="24"/>
          <w:szCs w:val="24"/>
          <w:highlight w:val="none"/>
          <w:u w:val="single" w:color="auto"/>
          <w:lang w:val="en-US" w:eastAsia="zh-CN"/>
        </w:rPr>
        <w:t xml:space="preserve">收到申请 </w:t>
      </w:r>
      <w:r>
        <w:rPr>
          <w:rFonts w:hint="eastAsia" w:ascii="宋体" w:hAnsi="宋体" w:eastAsia="宋体" w:cs="宋体"/>
          <w:color w:val="auto"/>
          <w:spacing w:val="-31"/>
          <w:sz w:val="24"/>
          <w:szCs w:val="24"/>
          <w:highlight w:val="none"/>
          <w:u w:val="single" w:color="auto"/>
          <w:lang w:val="en-US" w:eastAsia="zh-CN"/>
        </w:rPr>
        <w:t>10</w:t>
      </w:r>
      <w:r>
        <w:rPr>
          <w:rFonts w:hint="eastAsia" w:ascii="宋体" w:hAnsi="宋体" w:eastAsia="宋体" w:cs="宋体"/>
          <w:color w:val="auto"/>
          <w:spacing w:val="-37"/>
          <w:sz w:val="24"/>
          <w:szCs w:val="24"/>
          <w:highlight w:val="none"/>
          <w:u w:val="single" w:color="auto"/>
        </w:rPr>
        <w:t xml:space="preserve"> </w:t>
      </w:r>
      <w:r>
        <w:rPr>
          <w:rFonts w:hint="eastAsia" w:ascii="宋体" w:hAnsi="宋体" w:eastAsia="宋体" w:cs="宋体"/>
          <w:color w:val="auto"/>
          <w:spacing w:val="-37"/>
          <w:sz w:val="24"/>
          <w:szCs w:val="24"/>
          <w:highlight w:val="none"/>
          <w:u w:val="single" w:color="auto"/>
          <w:lang w:val="en-US" w:eastAsia="zh-CN"/>
        </w:rPr>
        <w:t xml:space="preserve"> </w:t>
      </w:r>
      <w:r>
        <w:rPr>
          <w:rFonts w:hint="eastAsia" w:ascii="宋体" w:hAnsi="宋体" w:eastAsia="宋体" w:cs="宋体"/>
          <w:color w:val="auto"/>
          <w:spacing w:val="7"/>
          <w:sz w:val="24"/>
          <w:szCs w:val="24"/>
          <w:highlight w:val="none"/>
          <w:u w:val="single" w:color="auto"/>
        </w:rPr>
        <w:t xml:space="preserve">天内 </w:t>
      </w:r>
      <w:r>
        <w:rPr>
          <w:rFonts w:hint="eastAsia" w:ascii="宋体" w:hAnsi="宋体" w:eastAsia="宋体" w:cs="宋体"/>
          <w:color w:val="auto"/>
          <w:spacing w:val="7"/>
          <w:sz w:val="24"/>
          <w:szCs w:val="24"/>
          <w:highlight w:val="none"/>
        </w:rPr>
        <w:t>。</w:t>
      </w:r>
    </w:p>
    <w:p w14:paraId="59161540">
      <w:pPr>
        <w:keepNext w:val="0"/>
        <w:keepLines w:val="0"/>
        <w:pageBreakBefore w:val="0"/>
        <w:widowControl/>
        <w:kinsoku w:val="0"/>
        <w:wordWrap/>
        <w:overflowPunct/>
        <w:topLinePunct w:val="0"/>
        <w:autoSpaceDE w:val="0"/>
        <w:autoSpaceDN w:val="0"/>
        <w:bidi w:val="0"/>
        <w:adjustRightInd w:val="0"/>
        <w:snapToGrid w:val="0"/>
        <w:spacing w:before="133" w:line="480" w:lineRule="exact"/>
        <w:ind w:left="52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发包人逾期支付进度款的违约金的计算方式：</w:t>
      </w:r>
      <w:r>
        <w:rPr>
          <w:color w:val="auto"/>
          <w:spacing w:val="-1"/>
          <w:sz w:val="24"/>
          <w:szCs w:val="24"/>
          <w:highlight w:val="none"/>
          <w:u w:val="single" w:color="auto"/>
        </w:rPr>
        <w:t>发包人超过期限未支付工程进度款按银行</w:t>
      </w:r>
      <w:r>
        <w:rPr>
          <w:color w:val="auto"/>
          <w:spacing w:val="-2"/>
          <w:sz w:val="24"/>
          <w:szCs w:val="24"/>
          <w:highlight w:val="none"/>
          <w:u w:val="single" w:color="auto"/>
        </w:rPr>
        <w:t>同期</w:t>
      </w:r>
      <w:r>
        <w:rPr>
          <w:color w:val="auto"/>
          <w:spacing w:val="-1"/>
          <w:sz w:val="24"/>
          <w:szCs w:val="24"/>
          <w:highlight w:val="none"/>
          <w:u w:val="single" w:color="auto"/>
        </w:rPr>
        <w:t>存款利息计算违约金</w:t>
      </w:r>
      <w:r>
        <w:rPr>
          <w:rFonts w:hint="eastAsia" w:ascii="宋体" w:hAnsi="宋体" w:eastAsia="宋体" w:cs="宋体"/>
          <w:color w:val="auto"/>
          <w:spacing w:val="7"/>
          <w:sz w:val="24"/>
          <w:szCs w:val="24"/>
          <w:highlight w:val="none"/>
        </w:rPr>
        <w:t>。</w:t>
      </w:r>
    </w:p>
    <w:p w14:paraId="60283D0E">
      <w:pPr>
        <w:keepNext w:val="0"/>
        <w:keepLines w:val="0"/>
        <w:pageBreakBefore w:val="0"/>
        <w:widowControl/>
        <w:kinsoku w:val="0"/>
        <w:wordWrap/>
        <w:overflowPunct/>
        <w:topLinePunct w:val="0"/>
        <w:autoSpaceDE w:val="0"/>
        <w:autoSpaceDN w:val="0"/>
        <w:bidi w:val="0"/>
        <w:adjustRightInd w:val="0"/>
        <w:snapToGrid w:val="0"/>
        <w:spacing w:before="1" w:line="480" w:lineRule="exact"/>
        <w:ind w:left="524"/>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进度款支付方式：</w:t>
      </w:r>
      <w:r>
        <w:rPr>
          <w:rFonts w:hint="eastAsia" w:ascii="宋体" w:hAnsi="宋体" w:eastAsia="宋体" w:cs="宋体"/>
          <w:color w:val="auto"/>
          <w:spacing w:val="8"/>
          <w:sz w:val="24"/>
          <w:szCs w:val="24"/>
          <w:highlight w:val="none"/>
          <w:u w:val="single" w:color="auto"/>
        </w:rPr>
        <w:t>银行转账</w:t>
      </w:r>
      <w:r>
        <w:rPr>
          <w:rFonts w:hint="eastAsia" w:ascii="宋体" w:hAnsi="宋体" w:eastAsia="宋体" w:cs="宋体"/>
          <w:color w:val="auto"/>
          <w:spacing w:val="8"/>
          <w:sz w:val="24"/>
          <w:szCs w:val="24"/>
          <w:highlight w:val="none"/>
        </w:rPr>
        <w:t>。</w:t>
      </w:r>
    </w:p>
    <w:p w14:paraId="531D5197">
      <w:pPr>
        <w:pStyle w:val="4"/>
        <w:keepNext w:val="0"/>
        <w:keepLines w:val="0"/>
        <w:pageBreakBefore w:val="0"/>
        <w:widowControl/>
        <w:kinsoku w:val="0"/>
        <w:wordWrap/>
        <w:overflowPunct/>
        <w:topLinePunct w:val="0"/>
        <w:autoSpaceDE w:val="0"/>
        <w:autoSpaceDN w:val="0"/>
        <w:bidi w:val="0"/>
        <w:adjustRightInd w:val="0"/>
        <w:snapToGrid w:val="0"/>
        <w:spacing w:before="98" w:line="480" w:lineRule="exact"/>
        <w:ind w:left="466"/>
        <w:textAlignment w:val="baseline"/>
        <w:rPr>
          <w:color w:val="auto"/>
          <w:sz w:val="24"/>
          <w:szCs w:val="24"/>
          <w:highlight w:val="none"/>
        </w:rPr>
      </w:pPr>
      <w:r>
        <w:rPr>
          <w:color w:val="auto"/>
          <w:spacing w:val="-2"/>
          <w:sz w:val="24"/>
          <w:szCs w:val="24"/>
          <w:highlight w:val="none"/>
        </w:rPr>
        <w:t>（3） 农民工工资支付</w:t>
      </w:r>
    </w:p>
    <w:p w14:paraId="731AC577">
      <w:pPr>
        <w:pStyle w:val="4"/>
        <w:keepNext w:val="0"/>
        <w:keepLines w:val="0"/>
        <w:pageBreakBefore w:val="0"/>
        <w:widowControl/>
        <w:kinsoku w:val="0"/>
        <w:wordWrap/>
        <w:overflowPunct/>
        <w:topLinePunct w:val="0"/>
        <w:autoSpaceDE w:val="0"/>
        <w:autoSpaceDN w:val="0"/>
        <w:bidi w:val="0"/>
        <w:adjustRightInd w:val="0"/>
        <w:snapToGrid w:val="0"/>
        <w:spacing w:before="150" w:line="480" w:lineRule="exact"/>
        <w:ind w:left="65" w:right="94" w:firstLine="519"/>
        <w:textAlignment w:val="baseline"/>
        <w:rPr>
          <w:color w:val="auto"/>
          <w:sz w:val="24"/>
          <w:szCs w:val="24"/>
          <w:highlight w:val="none"/>
        </w:rPr>
      </w:pPr>
      <w:r>
        <w:rPr>
          <w:rFonts w:ascii="Calibri" w:hAnsi="Calibri" w:eastAsia="Calibri" w:cs="Calibri"/>
          <w:color w:val="auto"/>
          <w:spacing w:val="-1"/>
          <w:sz w:val="24"/>
          <w:szCs w:val="24"/>
          <w:highlight w:val="none"/>
        </w:rPr>
        <w:t>1</w:t>
      </w:r>
      <w:r>
        <w:rPr>
          <w:color w:val="auto"/>
          <w:spacing w:val="-1"/>
          <w:sz w:val="24"/>
          <w:szCs w:val="24"/>
          <w:highlight w:val="none"/>
        </w:rPr>
        <w:t>) 人工费用是指发包人向承包人专用账户拨付的专项用于支付农民工工资的</w:t>
      </w:r>
      <w:r>
        <w:rPr>
          <w:color w:val="auto"/>
          <w:spacing w:val="-2"/>
          <w:sz w:val="24"/>
          <w:szCs w:val="24"/>
          <w:highlight w:val="none"/>
        </w:rPr>
        <w:t>工程款。农</w:t>
      </w:r>
      <w:r>
        <w:rPr>
          <w:color w:val="auto"/>
          <w:sz w:val="24"/>
          <w:szCs w:val="24"/>
          <w:highlight w:val="none"/>
        </w:rPr>
        <w:t xml:space="preserve"> </w:t>
      </w:r>
      <w:r>
        <w:rPr>
          <w:color w:val="auto"/>
          <w:spacing w:val="1"/>
          <w:sz w:val="24"/>
          <w:szCs w:val="24"/>
          <w:highlight w:val="none"/>
        </w:rPr>
        <w:t>民工工资专用账户是指承包人在工程建设项目所在地银行业金融机构(简称银行) 开立的</w:t>
      </w:r>
      <w:r>
        <w:rPr>
          <w:rFonts w:hint="eastAsia" w:eastAsia="宋体"/>
          <w:color w:val="auto"/>
          <w:spacing w:val="1"/>
          <w:sz w:val="24"/>
          <w:szCs w:val="24"/>
          <w:highlight w:val="none"/>
          <w:lang w:eastAsia="zh-CN"/>
        </w:rPr>
        <w:t>，</w:t>
      </w:r>
      <w:r>
        <w:rPr>
          <w:color w:val="auto"/>
          <w:spacing w:val="1"/>
          <w:sz w:val="24"/>
          <w:szCs w:val="24"/>
          <w:highlight w:val="none"/>
        </w:rPr>
        <w:t>专</w:t>
      </w:r>
      <w:r>
        <w:rPr>
          <w:color w:val="auto"/>
          <w:spacing w:val="-3"/>
          <w:sz w:val="24"/>
          <w:szCs w:val="24"/>
          <w:highlight w:val="none"/>
        </w:rPr>
        <w:t>项用于支付农民工工资的专用存款账户。</w:t>
      </w:r>
    </w:p>
    <w:p w14:paraId="08F2A01F">
      <w:pPr>
        <w:pStyle w:val="4"/>
        <w:keepNext w:val="0"/>
        <w:keepLines w:val="0"/>
        <w:pageBreakBefore w:val="0"/>
        <w:widowControl/>
        <w:kinsoku w:val="0"/>
        <w:wordWrap/>
        <w:overflowPunct/>
        <w:topLinePunct w:val="0"/>
        <w:autoSpaceDE w:val="0"/>
        <w:autoSpaceDN w:val="0"/>
        <w:bidi w:val="0"/>
        <w:adjustRightInd w:val="0"/>
        <w:snapToGrid w:val="0"/>
        <w:spacing w:before="162" w:line="480" w:lineRule="exact"/>
        <w:ind w:left="39" w:right="19" w:firstLine="533"/>
        <w:textAlignment w:val="baseline"/>
        <w:rPr>
          <w:color w:val="auto"/>
          <w:sz w:val="24"/>
          <w:szCs w:val="24"/>
          <w:highlight w:val="none"/>
        </w:rPr>
      </w:pPr>
      <w:r>
        <w:rPr>
          <w:rFonts w:ascii="Calibri" w:hAnsi="Calibri" w:eastAsia="Calibri" w:cs="Calibri"/>
          <w:color w:val="auto"/>
          <w:spacing w:val="-1"/>
          <w:sz w:val="24"/>
          <w:szCs w:val="24"/>
          <w:highlight w:val="none"/>
        </w:rPr>
        <w:t>2</w:t>
      </w:r>
      <w:r>
        <w:rPr>
          <w:color w:val="auto"/>
          <w:spacing w:val="-1"/>
          <w:sz w:val="24"/>
          <w:szCs w:val="24"/>
          <w:highlight w:val="none"/>
        </w:rPr>
        <w:t xml:space="preserve">) 人工费应应与工程进度款分帐管理。必须按时足额支付，人工费拨付周期不得超过 </w:t>
      </w:r>
      <w:r>
        <w:rPr>
          <w:rFonts w:ascii="Calibri" w:hAnsi="Calibri" w:eastAsia="Calibri" w:cs="Calibri"/>
          <w:color w:val="auto"/>
          <w:spacing w:val="-1"/>
          <w:sz w:val="24"/>
          <w:szCs w:val="24"/>
          <w:highlight w:val="none"/>
        </w:rPr>
        <w:t>1</w:t>
      </w:r>
      <w:r>
        <w:rPr>
          <w:rFonts w:ascii="Calibri" w:hAnsi="Calibri" w:eastAsia="Calibri" w:cs="Calibri"/>
          <w:color w:val="auto"/>
          <w:spacing w:val="9"/>
          <w:sz w:val="24"/>
          <w:szCs w:val="24"/>
          <w:highlight w:val="none"/>
        </w:rPr>
        <w:t xml:space="preserve"> </w:t>
      </w:r>
      <w:r>
        <w:rPr>
          <w:color w:val="auto"/>
          <w:spacing w:val="-10"/>
          <w:sz w:val="24"/>
          <w:szCs w:val="24"/>
          <w:highlight w:val="none"/>
        </w:rPr>
        <w:t>个月， 最少每月支付一次，无工程款申请的月份，承包人单独上报人工费划拨申请；若因发包人</w:t>
      </w:r>
      <w:r>
        <w:rPr>
          <w:color w:val="auto"/>
          <w:spacing w:val="-4"/>
          <w:sz w:val="24"/>
          <w:szCs w:val="24"/>
          <w:highlight w:val="none"/>
        </w:rPr>
        <w:t>未按照合同约定划拨工程款项导致拖欠工资的，由发包人以未结清的工程款项为限先行垫付所</w:t>
      </w:r>
      <w:r>
        <w:rPr>
          <w:color w:val="auto"/>
          <w:spacing w:val="-3"/>
          <w:sz w:val="24"/>
          <w:szCs w:val="24"/>
          <w:highlight w:val="none"/>
        </w:rPr>
        <w:t>拖欠的工资；承包人向发包人申请工程进度款时必须把农民工工资部分单独列明，如果未单独</w:t>
      </w:r>
      <w:r>
        <w:rPr>
          <w:color w:val="auto"/>
          <w:spacing w:val="-2"/>
          <w:sz w:val="24"/>
          <w:szCs w:val="24"/>
          <w:highlight w:val="none"/>
        </w:rPr>
        <w:t>列明，监理单位不得签支付证书等支付工程款的手续，发包人单位</w:t>
      </w:r>
      <w:r>
        <w:rPr>
          <w:color w:val="auto"/>
          <w:spacing w:val="-3"/>
          <w:sz w:val="24"/>
          <w:szCs w:val="24"/>
          <w:highlight w:val="none"/>
        </w:rPr>
        <w:t>不得审批和支付工程款。</w:t>
      </w:r>
      <w:r>
        <w:rPr>
          <w:color w:val="auto"/>
          <w:spacing w:val="-30"/>
          <w:sz w:val="24"/>
          <w:szCs w:val="24"/>
          <w:highlight w:val="none"/>
        </w:rPr>
        <w:t xml:space="preserve"> </w:t>
      </w:r>
      <w:r>
        <w:rPr>
          <w:color w:val="auto"/>
          <w:spacing w:val="-3"/>
          <w:sz w:val="24"/>
          <w:szCs w:val="24"/>
          <w:highlight w:val="none"/>
        </w:rPr>
        <w:t>发</w:t>
      </w:r>
      <w:r>
        <w:rPr>
          <w:color w:val="auto"/>
          <w:spacing w:val="4"/>
          <w:sz w:val="24"/>
          <w:szCs w:val="24"/>
          <w:highlight w:val="none"/>
        </w:rPr>
        <w:t>包人必须把工程款分帐出来的人工费转入承包人农民工工资支付专用账户，转入农民工工资</w:t>
      </w:r>
      <w:r>
        <w:rPr>
          <w:color w:val="auto"/>
          <w:spacing w:val="16"/>
          <w:sz w:val="24"/>
          <w:szCs w:val="24"/>
          <w:highlight w:val="none"/>
        </w:rPr>
        <w:t xml:space="preserve"> </w:t>
      </w:r>
      <w:r>
        <w:rPr>
          <w:color w:val="auto"/>
          <w:spacing w:val="-3"/>
          <w:sz w:val="24"/>
          <w:szCs w:val="24"/>
          <w:highlight w:val="none"/>
        </w:rPr>
        <w:t>支付专用账户环节必须有银行流水凭证。</w:t>
      </w:r>
    </w:p>
    <w:p w14:paraId="5B221361">
      <w:pPr>
        <w:pStyle w:val="4"/>
        <w:keepNext w:val="0"/>
        <w:keepLines w:val="0"/>
        <w:pageBreakBefore w:val="0"/>
        <w:widowControl/>
        <w:kinsoku w:val="0"/>
        <w:wordWrap/>
        <w:overflowPunct/>
        <w:topLinePunct w:val="0"/>
        <w:autoSpaceDE w:val="0"/>
        <w:autoSpaceDN w:val="0"/>
        <w:bidi w:val="0"/>
        <w:adjustRightInd w:val="0"/>
        <w:snapToGrid w:val="0"/>
        <w:spacing w:before="158" w:line="480" w:lineRule="exact"/>
        <w:ind w:left="39" w:right="14" w:firstLine="530"/>
        <w:textAlignment w:val="baseline"/>
        <w:rPr>
          <w:color w:val="auto"/>
          <w:sz w:val="24"/>
          <w:szCs w:val="24"/>
          <w:highlight w:val="none"/>
        </w:rPr>
      </w:pPr>
      <w:r>
        <w:rPr>
          <w:rFonts w:ascii="Calibri" w:hAnsi="Calibri" w:eastAsia="Calibri" w:cs="Calibri"/>
          <w:color w:val="auto"/>
          <w:spacing w:val="-10"/>
          <w:sz w:val="24"/>
          <w:szCs w:val="24"/>
          <w:highlight w:val="none"/>
        </w:rPr>
        <w:t>3</w:t>
      </w:r>
      <w:r>
        <w:rPr>
          <w:color w:val="auto"/>
          <w:spacing w:val="-10"/>
          <w:sz w:val="24"/>
          <w:szCs w:val="24"/>
          <w:highlight w:val="none"/>
        </w:rPr>
        <w:t>) 发包人依据工程进度， 审核承包人申报的工程进度款， 按</w:t>
      </w:r>
      <w:r>
        <w:rPr>
          <w:color w:val="auto"/>
          <w:spacing w:val="-11"/>
          <w:sz w:val="24"/>
          <w:szCs w:val="24"/>
          <w:highlight w:val="none"/>
        </w:rPr>
        <w:t>照与承包人约定的人工费支付</w:t>
      </w:r>
      <w:r>
        <w:rPr>
          <w:color w:val="auto"/>
          <w:sz w:val="24"/>
          <w:szCs w:val="24"/>
          <w:highlight w:val="none"/>
        </w:rPr>
        <w:t xml:space="preserve"> </w:t>
      </w:r>
      <w:r>
        <w:rPr>
          <w:color w:val="auto"/>
          <w:spacing w:val="-5"/>
          <w:sz w:val="24"/>
          <w:szCs w:val="24"/>
          <w:highlight w:val="none"/>
        </w:rPr>
        <w:t xml:space="preserve">比例 </w:t>
      </w:r>
      <w:r>
        <w:rPr>
          <w:rFonts w:ascii="Calibri" w:hAnsi="Calibri" w:eastAsia="Calibri" w:cs="Calibri"/>
          <w:color w:val="auto"/>
          <w:spacing w:val="-5"/>
          <w:sz w:val="24"/>
          <w:szCs w:val="24"/>
          <w:highlight w:val="none"/>
        </w:rPr>
        <w:t xml:space="preserve">15%     </w:t>
      </w:r>
      <w:r>
        <w:rPr>
          <w:color w:val="auto"/>
          <w:spacing w:val="-5"/>
          <w:sz w:val="24"/>
          <w:szCs w:val="24"/>
          <w:highlight w:val="none"/>
        </w:rPr>
        <w:t xml:space="preserve">(房建项目不少于 </w:t>
      </w:r>
      <w:r>
        <w:rPr>
          <w:rFonts w:ascii="Calibri" w:hAnsi="Calibri" w:eastAsia="Calibri" w:cs="Calibri"/>
          <w:color w:val="auto"/>
          <w:spacing w:val="-5"/>
          <w:sz w:val="24"/>
          <w:szCs w:val="24"/>
          <w:highlight w:val="none"/>
        </w:rPr>
        <w:t>20%</w:t>
      </w:r>
      <w:r>
        <w:rPr>
          <w:color w:val="auto"/>
          <w:spacing w:val="-5"/>
          <w:sz w:val="24"/>
          <w:szCs w:val="24"/>
          <w:highlight w:val="none"/>
        </w:rPr>
        <w:t xml:space="preserve">，市政项目不少于 </w:t>
      </w:r>
      <w:r>
        <w:rPr>
          <w:rFonts w:ascii="Calibri" w:hAnsi="Calibri" w:eastAsia="Calibri" w:cs="Calibri"/>
          <w:color w:val="auto"/>
          <w:spacing w:val="-5"/>
          <w:sz w:val="24"/>
          <w:szCs w:val="24"/>
          <w:highlight w:val="none"/>
        </w:rPr>
        <w:t>15%</w:t>
      </w:r>
      <w:r>
        <w:rPr>
          <w:color w:val="auto"/>
          <w:spacing w:val="-6"/>
          <w:sz w:val="24"/>
          <w:szCs w:val="24"/>
          <w:highlight w:val="none"/>
        </w:rPr>
        <w:t>) ，将人工费及时足额拨付至承包人的</w:t>
      </w:r>
      <w:r>
        <w:rPr>
          <w:color w:val="auto"/>
          <w:sz w:val="24"/>
          <w:szCs w:val="24"/>
          <w:highlight w:val="none"/>
        </w:rPr>
        <w:t xml:space="preserve"> </w:t>
      </w:r>
      <w:r>
        <w:rPr>
          <w:color w:val="auto"/>
          <w:spacing w:val="-7"/>
          <w:sz w:val="24"/>
          <w:szCs w:val="24"/>
          <w:highlight w:val="none"/>
        </w:rPr>
        <w:t>农民工工资专用账户， 其余工程进度款项由发</w:t>
      </w:r>
      <w:r>
        <w:rPr>
          <w:color w:val="auto"/>
          <w:spacing w:val="-8"/>
          <w:sz w:val="24"/>
          <w:szCs w:val="24"/>
          <w:highlight w:val="none"/>
        </w:rPr>
        <w:t>包人支付到承包人的单位基本户。</w:t>
      </w:r>
    </w:p>
    <w:p w14:paraId="0739DB08">
      <w:pPr>
        <w:pStyle w:val="4"/>
        <w:keepNext w:val="0"/>
        <w:keepLines w:val="0"/>
        <w:pageBreakBefore w:val="0"/>
        <w:widowControl/>
        <w:kinsoku w:val="0"/>
        <w:wordWrap/>
        <w:overflowPunct/>
        <w:topLinePunct w:val="0"/>
        <w:autoSpaceDE w:val="0"/>
        <w:autoSpaceDN w:val="0"/>
        <w:bidi w:val="0"/>
        <w:adjustRightInd w:val="0"/>
        <w:snapToGrid w:val="0"/>
        <w:spacing w:before="157" w:line="480" w:lineRule="exact"/>
        <w:ind w:left="41" w:right="24" w:firstLine="518"/>
        <w:textAlignment w:val="baseline"/>
        <w:rPr>
          <w:color w:val="auto"/>
          <w:sz w:val="24"/>
          <w:szCs w:val="24"/>
          <w:highlight w:val="none"/>
        </w:rPr>
      </w:pPr>
      <w:r>
        <w:rPr>
          <w:rFonts w:ascii="Calibri" w:hAnsi="Calibri" w:eastAsia="Calibri" w:cs="Calibri"/>
          <w:color w:val="auto"/>
          <w:sz w:val="24"/>
          <w:szCs w:val="24"/>
          <w:highlight w:val="none"/>
        </w:rPr>
        <w:t>4</w:t>
      </w:r>
      <w:r>
        <w:rPr>
          <w:color w:val="auto"/>
          <w:sz w:val="24"/>
          <w:szCs w:val="24"/>
          <w:highlight w:val="none"/>
        </w:rPr>
        <w:t>) 工程建设领域总包单位对农民工工资支付负总责，推行</w:t>
      </w:r>
      <w:r>
        <w:rPr>
          <w:color w:val="auto"/>
          <w:spacing w:val="-1"/>
          <w:sz w:val="24"/>
          <w:szCs w:val="24"/>
          <w:highlight w:val="none"/>
        </w:rPr>
        <w:t>分包单位农民工工资委托总包</w:t>
      </w:r>
      <w:r>
        <w:rPr>
          <w:color w:val="auto"/>
          <w:sz w:val="24"/>
          <w:szCs w:val="24"/>
          <w:highlight w:val="none"/>
        </w:rPr>
        <w:t xml:space="preserve"> </w:t>
      </w:r>
      <w:r>
        <w:rPr>
          <w:color w:val="auto"/>
          <w:spacing w:val="7"/>
          <w:sz w:val="24"/>
          <w:szCs w:val="24"/>
          <w:highlight w:val="none"/>
        </w:rPr>
        <w:t>单位代发制度(以下简称总包代发制度) 。工程建设项目施行总包代发制度的，总包单</w:t>
      </w:r>
      <w:r>
        <w:rPr>
          <w:color w:val="auto"/>
          <w:spacing w:val="6"/>
          <w:sz w:val="24"/>
          <w:szCs w:val="24"/>
          <w:highlight w:val="none"/>
        </w:rPr>
        <w:t>位与</w:t>
      </w:r>
      <w:r>
        <w:rPr>
          <w:color w:val="auto"/>
          <w:sz w:val="24"/>
          <w:szCs w:val="24"/>
          <w:highlight w:val="none"/>
        </w:rPr>
        <w:t xml:space="preserve"> </w:t>
      </w:r>
      <w:r>
        <w:rPr>
          <w:color w:val="auto"/>
          <w:spacing w:val="-5"/>
          <w:sz w:val="24"/>
          <w:szCs w:val="24"/>
          <w:highlight w:val="none"/>
        </w:rPr>
        <w:t>分 包单位签订委托工资支付协议。</w:t>
      </w:r>
    </w:p>
    <w:p w14:paraId="6AE78D9F">
      <w:pPr>
        <w:pStyle w:val="4"/>
        <w:keepNext w:val="0"/>
        <w:keepLines w:val="0"/>
        <w:pageBreakBefore w:val="0"/>
        <w:widowControl/>
        <w:kinsoku w:val="0"/>
        <w:wordWrap/>
        <w:overflowPunct/>
        <w:topLinePunct w:val="0"/>
        <w:autoSpaceDE w:val="0"/>
        <w:autoSpaceDN w:val="0"/>
        <w:bidi w:val="0"/>
        <w:adjustRightInd w:val="0"/>
        <w:snapToGrid w:val="0"/>
        <w:spacing w:before="156" w:line="480" w:lineRule="exact"/>
        <w:ind w:left="43" w:right="24" w:firstLine="525"/>
        <w:textAlignment w:val="baseline"/>
        <w:rPr>
          <w:color w:val="auto"/>
          <w:sz w:val="24"/>
          <w:szCs w:val="24"/>
          <w:highlight w:val="none"/>
        </w:rPr>
      </w:pPr>
      <w:r>
        <w:rPr>
          <w:rFonts w:ascii="Calibri" w:hAnsi="Calibri" w:eastAsia="Calibri" w:cs="Calibri"/>
          <w:color w:val="auto"/>
          <w:spacing w:val="-1"/>
          <w:sz w:val="24"/>
          <w:szCs w:val="24"/>
          <w:highlight w:val="none"/>
        </w:rPr>
        <w:t>5</w:t>
      </w:r>
      <w:r>
        <w:rPr>
          <w:color w:val="auto"/>
          <w:spacing w:val="-1"/>
          <w:sz w:val="24"/>
          <w:szCs w:val="24"/>
          <w:highlight w:val="none"/>
        </w:rPr>
        <w:t>) 凡未向付款单位提供农民工工资专用账户的，或者请款单位在申请工程进度款时未将</w:t>
      </w:r>
      <w:r>
        <w:rPr>
          <w:color w:val="auto"/>
          <w:spacing w:val="17"/>
          <w:sz w:val="24"/>
          <w:szCs w:val="24"/>
          <w:highlight w:val="none"/>
        </w:rPr>
        <w:t xml:space="preserve"> </w:t>
      </w:r>
      <w:r>
        <w:rPr>
          <w:color w:val="auto"/>
          <w:spacing w:val="-9"/>
          <w:sz w:val="24"/>
          <w:szCs w:val="24"/>
          <w:highlight w:val="none"/>
        </w:rPr>
        <w:t>人工费单列的， 付款单位有权拒绝支付工程进度款。</w:t>
      </w:r>
    </w:p>
    <w:p w14:paraId="541E807A">
      <w:pPr>
        <w:pStyle w:val="4"/>
        <w:keepNext w:val="0"/>
        <w:keepLines w:val="0"/>
        <w:pageBreakBefore w:val="0"/>
        <w:widowControl/>
        <w:kinsoku w:val="0"/>
        <w:wordWrap/>
        <w:overflowPunct/>
        <w:topLinePunct w:val="0"/>
        <w:autoSpaceDE w:val="0"/>
        <w:autoSpaceDN w:val="0"/>
        <w:bidi w:val="0"/>
        <w:adjustRightInd w:val="0"/>
        <w:snapToGrid w:val="0"/>
        <w:spacing w:before="137" w:line="440" w:lineRule="exact"/>
        <w:ind w:left="570"/>
        <w:textAlignment w:val="baseline"/>
        <w:rPr>
          <w:color w:val="auto"/>
          <w:sz w:val="24"/>
          <w:szCs w:val="24"/>
          <w:highlight w:val="none"/>
        </w:rPr>
      </w:pPr>
      <w:r>
        <w:rPr>
          <w:rFonts w:ascii="Calibri" w:hAnsi="Calibri" w:eastAsia="Calibri" w:cs="Calibri"/>
          <w:color w:val="auto"/>
          <w:spacing w:val="-12"/>
          <w:sz w:val="24"/>
          <w:szCs w:val="24"/>
          <w:highlight w:val="none"/>
        </w:rPr>
        <w:t>6</w:t>
      </w:r>
      <w:r>
        <w:rPr>
          <w:color w:val="auto"/>
          <w:spacing w:val="-12"/>
          <w:sz w:val="24"/>
          <w:szCs w:val="24"/>
          <w:highlight w:val="none"/>
        </w:rPr>
        <w:t>) 人工费使用要求： 专款专用， 除发放农民工工资外，不得用于其他用途。</w:t>
      </w:r>
    </w:p>
    <w:p w14:paraId="7C66C8E9">
      <w:pPr>
        <w:pStyle w:val="4"/>
        <w:keepNext w:val="0"/>
        <w:keepLines w:val="0"/>
        <w:pageBreakBefore w:val="0"/>
        <w:widowControl/>
        <w:kinsoku w:val="0"/>
        <w:wordWrap/>
        <w:overflowPunct/>
        <w:topLinePunct w:val="0"/>
        <w:autoSpaceDE w:val="0"/>
        <w:autoSpaceDN w:val="0"/>
        <w:bidi w:val="0"/>
        <w:adjustRightInd w:val="0"/>
        <w:snapToGrid w:val="0"/>
        <w:spacing w:before="133" w:line="440" w:lineRule="exact"/>
        <w:ind w:left="38" w:right="109" w:firstLine="530"/>
        <w:textAlignment w:val="baseline"/>
        <w:rPr>
          <w:color w:val="auto"/>
          <w:sz w:val="24"/>
          <w:szCs w:val="24"/>
          <w:highlight w:val="none"/>
        </w:rPr>
      </w:pPr>
      <w:r>
        <w:rPr>
          <w:rFonts w:ascii="Calibri" w:hAnsi="Calibri" w:eastAsia="Calibri" w:cs="Calibri"/>
          <w:color w:val="auto"/>
          <w:spacing w:val="-5"/>
          <w:sz w:val="24"/>
          <w:szCs w:val="24"/>
          <w:highlight w:val="none"/>
        </w:rPr>
        <w:t>7</w:t>
      </w:r>
      <w:r>
        <w:rPr>
          <w:color w:val="auto"/>
          <w:spacing w:val="-5"/>
          <w:sz w:val="24"/>
          <w:szCs w:val="24"/>
          <w:highlight w:val="none"/>
        </w:rPr>
        <w:t>) 承包人将人工费支付情况定期报告发包人和监理单位， 并提供相应</w:t>
      </w:r>
      <w:r>
        <w:rPr>
          <w:color w:val="auto"/>
          <w:spacing w:val="-6"/>
          <w:sz w:val="24"/>
          <w:szCs w:val="24"/>
          <w:highlight w:val="none"/>
        </w:rPr>
        <w:t>的材料接受建设行</w:t>
      </w:r>
      <w:r>
        <w:rPr>
          <w:color w:val="auto"/>
          <w:sz w:val="24"/>
          <w:szCs w:val="24"/>
          <w:highlight w:val="none"/>
        </w:rPr>
        <w:t xml:space="preserve"> </w:t>
      </w:r>
      <w:r>
        <w:rPr>
          <w:color w:val="auto"/>
          <w:spacing w:val="-1"/>
          <w:sz w:val="24"/>
          <w:szCs w:val="24"/>
          <w:highlight w:val="none"/>
        </w:rPr>
        <w:t>政主管部门和劳动保障行政主管部门对此事</w:t>
      </w:r>
      <w:r>
        <w:rPr>
          <w:color w:val="auto"/>
          <w:spacing w:val="-2"/>
          <w:sz w:val="24"/>
          <w:szCs w:val="24"/>
          <w:highlight w:val="none"/>
        </w:rPr>
        <w:t>项监管。</w:t>
      </w:r>
    </w:p>
    <w:p w14:paraId="74F6F70C">
      <w:pPr>
        <w:pStyle w:val="4"/>
        <w:keepNext w:val="0"/>
        <w:keepLines w:val="0"/>
        <w:pageBreakBefore w:val="0"/>
        <w:widowControl/>
        <w:kinsoku w:val="0"/>
        <w:wordWrap/>
        <w:overflowPunct/>
        <w:topLinePunct w:val="0"/>
        <w:autoSpaceDE w:val="0"/>
        <w:autoSpaceDN w:val="0"/>
        <w:bidi w:val="0"/>
        <w:adjustRightInd w:val="0"/>
        <w:snapToGrid w:val="0"/>
        <w:spacing w:before="98" w:line="440" w:lineRule="exact"/>
        <w:ind w:left="476" w:hanging="476" w:hangingChars="200"/>
        <w:textAlignment w:val="baseline"/>
        <w:rPr>
          <w:rFonts w:hint="default" w:ascii="宋体" w:hAnsi="宋体" w:eastAsia="宋体" w:cs="宋体"/>
          <w:color w:val="auto"/>
          <w:spacing w:val="5"/>
          <w:sz w:val="24"/>
          <w:szCs w:val="24"/>
          <w:highlight w:val="none"/>
          <w:lang w:val="en-US" w:eastAsia="zh-CN"/>
        </w:rPr>
      </w:pPr>
      <w:r>
        <w:rPr>
          <w:rFonts w:hint="eastAsia" w:eastAsia="宋体"/>
          <w:color w:val="auto"/>
          <w:spacing w:val="-1"/>
          <w:sz w:val="24"/>
          <w:szCs w:val="24"/>
          <w:highlight w:val="none"/>
          <w:lang w:val="en-US" w:eastAsia="zh-CN"/>
        </w:rPr>
        <w:t xml:space="preserve"> 8）</w:t>
      </w:r>
      <w:r>
        <w:rPr>
          <w:color w:val="auto"/>
          <w:spacing w:val="-1"/>
          <w:sz w:val="24"/>
          <w:szCs w:val="24"/>
          <w:highlight w:val="none"/>
        </w:rPr>
        <w:t>农民工工资支付专用账户：</w:t>
      </w:r>
      <w:r>
        <w:rPr>
          <w:color w:val="auto"/>
          <w:spacing w:val="-71"/>
          <w:sz w:val="24"/>
          <w:szCs w:val="24"/>
          <w:highlight w:val="none"/>
        </w:rPr>
        <w:t xml:space="preserve"> </w:t>
      </w:r>
      <w:r>
        <w:rPr>
          <w:rFonts w:hint="eastAsia"/>
          <w:color w:val="auto"/>
          <w:spacing w:val="-1"/>
          <w:sz w:val="24"/>
          <w:szCs w:val="24"/>
          <w:highlight w:val="none"/>
          <w:u w:val="single" w:color="auto"/>
          <w:lang w:val="en-US" w:eastAsia="zh-CN"/>
        </w:rPr>
        <w:t xml:space="preserve">             </w:t>
      </w:r>
      <w:r>
        <w:rPr>
          <w:color w:val="auto"/>
          <w:spacing w:val="-1"/>
          <w:sz w:val="24"/>
          <w:szCs w:val="24"/>
          <w:highlight w:val="none"/>
        </w:rPr>
        <w:t>农民工工</w:t>
      </w:r>
      <w:r>
        <w:rPr>
          <w:color w:val="auto"/>
          <w:spacing w:val="-2"/>
          <w:sz w:val="24"/>
          <w:szCs w:val="24"/>
          <w:highlight w:val="none"/>
        </w:rPr>
        <w:t>资支付专用账户 账号：</w:t>
      </w:r>
      <w:r>
        <w:rPr>
          <w:rFonts w:hint="eastAsia" w:ascii="宋体" w:hAnsi="宋体" w:eastAsia="宋体" w:cs="宋体"/>
          <w:color w:val="auto"/>
          <w:sz w:val="24"/>
          <w:szCs w:val="24"/>
          <w:highlight w:val="none"/>
          <w:u w:val="single"/>
          <w:lang w:val="en-US" w:eastAsia="zh-CN"/>
        </w:rPr>
        <w:t xml:space="preserve">                      </w:t>
      </w:r>
    </w:p>
    <w:p w14:paraId="75BC6F80">
      <w:pPr>
        <w:keepNext w:val="0"/>
        <w:keepLines w:val="0"/>
        <w:pageBreakBefore w:val="0"/>
        <w:widowControl/>
        <w:kinsoku w:val="0"/>
        <w:wordWrap/>
        <w:overflowPunct/>
        <w:topLinePunct w:val="0"/>
        <w:autoSpaceDE w:val="0"/>
        <w:autoSpaceDN w:val="0"/>
        <w:bidi w:val="0"/>
        <w:adjustRightInd w:val="0"/>
        <w:snapToGrid w:val="0"/>
        <w:spacing w:before="132"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12.4.6 支付分解表的编制</w:t>
      </w:r>
    </w:p>
    <w:p w14:paraId="30FC0065">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5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rPr>
        <w:t>总价合同支付分解表的编制与审批：</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08835CAD">
      <w:pPr>
        <w:keepNext w:val="0"/>
        <w:keepLines w:val="0"/>
        <w:pageBreakBefore w:val="0"/>
        <w:widowControl/>
        <w:kinsoku w:val="0"/>
        <w:wordWrap/>
        <w:overflowPunct/>
        <w:topLinePunct w:val="0"/>
        <w:autoSpaceDE w:val="0"/>
        <w:autoSpaceDN w:val="0"/>
        <w:bidi w:val="0"/>
        <w:adjustRightInd w:val="0"/>
        <w:snapToGrid w:val="0"/>
        <w:spacing w:before="137" w:line="440" w:lineRule="exact"/>
        <w:ind w:firstLine="50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单价合同的总价项目支付分解表的编制与审批：</w:t>
      </w:r>
      <w:r>
        <w:rPr>
          <w:rFonts w:hint="eastAsia" w:ascii="宋体" w:hAnsi="宋体" w:eastAsia="宋体" w:cs="宋体"/>
          <w:color w:val="auto"/>
          <w:spacing w:val="5"/>
          <w:sz w:val="24"/>
          <w:szCs w:val="24"/>
          <w:highlight w:val="none"/>
          <w:u w:val="single" w:color="auto"/>
          <w:lang w:val="en-US" w:eastAsia="zh-CN"/>
        </w:rPr>
        <w:t xml:space="preserve"> / </w:t>
      </w:r>
      <w:r>
        <w:rPr>
          <w:rFonts w:hint="eastAsia" w:ascii="宋体" w:hAnsi="宋体" w:eastAsia="宋体" w:cs="宋体"/>
          <w:color w:val="auto"/>
          <w:spacing w:val="9"/>
          <w:sz w:val="24"/>
          <w:szCs w:val="24"/>
          <w:highlight w:val="none"/>
          <w:u w:val="single" w:color="auto"/>
        </w:rPr>
        <w:t>。</w:t>
      </w:r>
    </w:p>
    <w:p w14:paraId="28CDCFA9">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1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13.</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验收和工程试车</w:t>
      </w:r>
    </w:p>
    <w:p w14:paraId="2CCF960D">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13.1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分部分项工程验收</w:t>
      </w:r>
    </w:p>
    <w:p w14:paraId="3CEDBE57">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13.1.2</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7"/>
          <w:sz w:val="24"/>
          <w:szCs w:val="24"/>
          <w:highlight w:val="none"/>
        </w:rPr>
        <w:t>监理人不能按时进行验收时，应提前</w:t>
      </w:r>
      <w:r>
        <w:rPr>
          <w:rFonts w:hint="eastAsia" w:ascii="宋体" w:hAnsi="宋体" w:eastAsia="宋体" w:cs="宋体"/>
          <w:color w:val="auto"/>
          <w:spacing w:val="7"/>
          <w:sz w:val="24"/>
          <w:szCs w:val="24"/>
          <w:highlight w:val="none"/>
          <w:u w:val="single" w:color="auto"/>
        </w:rPr>
        <w:t xml:space="preserve"> 24 </w:t>
      </w:r>
      <w:r>
        <w:rPr>
          <w:rFonts w:hint="eastAsia" w:ascii="宋体" w:hAnsi="宋体" w:eastAsia="宋体" w:cs="宋体"/>
          <w:color w:val="auto"/>
          <w:spacing w:val="7"/>
          <w:sz w:val="24"/>
          <w:szCs w:val="24"/>
          <w:highlight w:val="none"/>
        </w:rPr>
        <w:t>小时提交书面延期要求。</w:t>
      </w:r>
    </w:p>
    <w:p w14:paraId="1389EACA">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关于延期最长不得超过：</w:t>
      </w:r>
      <w:r>
        <w:rPr>
          <w:rFonts w:hint="eastAsia" w:ascii="宋体" w:hAnsi="宋体" w:eastAsia="宋体" w:cs="宋体"/>
          <w:color w:val="auto"/>
          <w:spacing w:val="7"/>
          <w:sz w:val="24"/>
          <w:szCs w:val="24"/>
          <w:highlight w:val="none"/>
          <w:u w:val="single" w:color="auto"/>
        </w:rPr>
        <w:t xml:space="preserve"> 48 </w:t>
      </w:r>
      <w:r>
        <w:rPr>
          <w:rFonts w:hint="eastAsia" w:ascii="宋体" w:hAnsi="宋体" w:eastAsia="宋体" w:cs="宋体"/>
          <w:color w:val="auto"/>
          <w:spacing w:val="7"/>
          <w:sz w:val="24"/>
          <w:szCs w:val="24"/>
          <w:highlight w:val="none"/>
        </w:rPr>
        <w:t>小时。</w:t>
      </w:r>
    </w:p>
    <w:p w14:paraId="7798339F">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13.2</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竣工验收</w:t>
      </w:r>
    </w:p>
    <w:p w14:paraId="5C5EA1BA">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13.2.1</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rPr>
        <w:t>竣工验收条件</w:t>
      </w:r>
    </w:p>
    <w:p w14:paraId="7EB724B1">
      <w:pPr>
        <w:keepNext w:val="0"/>
        <w:keepLines w:val="0"/>
        <w:pageBreakBefore w:val="0"/>
        <w:widowControl/>
        <w:kinsoku w:val="0"/>
        <w:wordWrap/>
        <w:overflowPunct/>
        <w:topLinePunct w:val="0"/>
        <w:autoSpaceDE w:val="0"/>
        <w:autoSpaceDN w:val="0"/>
        <w:bidi w:val="0"/>
        <w:adjustRightInd w:val="0"/>
        <w:snapToGrid w:val="0"/>
        <w:spacing w:before="133" w:line="440" w:lineRule="exact"/>
        <w:ind w:firstLine="508"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承包人负责整理和提交的竣工验收资料应当符合工程所在地建设行政主管部门和(或)城市建</w:t>
      </w:r>
      <w:r>
        <w:rPr>
          <w:rFonts w:hint="eastAsia" w:ascii="宋体" w:hAnsi="宋体" w:eastAsia="宋体" w:cs="宋体"/>
          <w:color w:val="auto"/>
          <w:spacing w:val="6"/>
          <w:sz w:val="24"/>
          <w:szCs w:val="24"/>
          <w:highlight w:val="none"/>
        </w:rPr>
        <w:t>设档</w:t>
      </w:r>
      <w:r>
        <w:rPr>
          <w:rFonts w:hint="eastAsia" w:ascii="宋体" w:hAnsi="宋体" w:eastAsia="宋体" w:cs="宋体"/>
          <w:color w:val="auto"/>
          <w:spacing w:val="7"/>
          <w:sz w:val="24"/>
          <w:szCs w:val="24"/>
          <w:highlight w:val="none"/>
        </w:rPr>
        <w:t>案管理机构有关施工资料的要求，具体内容包括：</w:t>
      </w:r>
      <w:r>
        <w:rPr>
          <w:rFonts w:hint="eastAsia" w:ascii="宋体" w:hAnsi="宋体" w:eastAsia="宋体" w:cs="宋体"/>
          <w:color w:val="auto"/>
          <w:spacing w:val="7"/>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rPr>
        <w:t>。</w:t>
      </w:r>
    </w:p>
    <w:p w14:paraId="42B6D61B">
      <w:pPr>
        <w:keepNext w:val="0"/>
        <w:keepLines w:val="0"/>
        <w:pageBreakBefore w:val="0"/>
        <w:widowControl/>
        <w:kinsoku w:val="0"/>
        <w:wordWrap/>
        <w:overflowPunct/>
        <w:topLinePunct w:val="0"/>
        <w:autoSpaceDE w:val="0"/>
        <w:autoSpaceDN w:val="0"/>
        <w:bidi w:val="0"/>
        <w:adjustRightInd w:val="0"/>
        <w:snapToGrid w:val="0"/>
        <w:spacing w:before="133" w:line="44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竣工验收资料的份数：</w:t>
      </w:r>
      <w:r>
        <w:rPr>
          <w:rFonts w:hint="eastAsia" w:ascii="宋体" w:hAnsi="宋体" w:eastAsia="宋体" w:cs="宋体"/>
          <w:color w:val="auto"/>
          <w:spacing w:val="10"/>
          <w:sz w:val="24"/>
          <w:szCs w:val="24"/>
          <w:highlight w:val="none"/>
          <w:u w:val="single"/>
          <w:lang w:val="en-US" w:eastAsia="zh-CN"/>
        </w:rPr>
        <w:t xml:space="preserve">  /  </w:t>
      </w:r>
      <w:r>
        <w:rPr>
          <w:rFonts w:hint="eastAsia" w:ascii="宋体" w:hAnsi="宋体" w:eastAsia="宋体" w:cs="宋体"/>
          <w:color w:val="auto"/>
          <w:spacing w:val="9"/>
          <w:sz w:val="24"/>
          <w:szCs w:val="24"/>
          <w:highlight w:val="none"/>
        </w:rPr>
        <w:t>。</w:t>
      </w:r>
    </w:p>
    <w:p w14:paraId="206A6E5A">
      <w:pPr>
        <w:keepNext w:val="0"/>
        <w:keepLines w:val="0"/>
        <w:pageBreakBefore w:val="0"/>
        <w:widowControl/>
        <w:kinsoku w:val="0"/>
        <w:wordWrap/>
        <w:overflowPunct/>
        <w:topLinePunct w:val="0"/>
        <w:autoSpaceDE w:val="0"/>
        <w:autoSpaceDN w:val="0"/>
        <w:bidi w:val="0"/>
        <w:adjustRightInd w:val="0"/>
        <w:snapToGrid w:val="0"/>
        <w:spacing w:before="1" w:line="44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承包人提供竣工图的约定：</w:t>
      </w:r>
      <w:r>
        <w:rPr>
          <w:color w:val="auto"/>
          <w:spacing w:val="1"/>
          <w:sz w:val="24"/>
          <w:szCs w:val="24"/>
          <w:highlight w:val="none"/>
          <w:u w:val="single" w:color="auto"/>
        </w:rPr>
        <w:t>竣工验收正式通</w:t>
      </w:r>
      <w:r>
        <w:rPr>
          <w:color w:val="auto"/>
          <w:sz w:val="24"/>
          <w:szCs w:val="24"/>
          <w:highlight w:val="none"/>
          <w:u w:val="single" w:color="auto"/>
        </w:rPr>
        <w:t xml:space="preserve">过后 </w:t>
      </w:r>
      <w:r>
        <w:rPr>
          <w:rFonts w:ascii="Calibri" w:hAnsi="Calibri" w:eastAsia="Calibri" w:cs="Calibri"/>
          <w:color w:val="auto"/>
          <w:sz w:val="24"/>
          <w:szCs w:val="24"/>
          <w:highlight w:val="none"/>
          <w:u w:val="single" w:color="auto"/>
        </w:rPr>
        <w:t xml:space="preserve">5  </w:t>
      </w:r>
      <w:r>
        <w:rPr>
          <w:color w:val="auto"/>
          <w:sz w:val="24"/>
          <w:szCs w:val="24"/>
          <w:highlight w:val="none"/>
          <w:u w:val="single" w:color="auto"/>
        </w:rPr>
        <w:t xml:space="preserve">天(工程造价在 </w:t>
      </w:r>
      <w:r>
        <w:rPr>
          <w:rFonts w:ascii="Calibri" w:hAnsi="Calibri" w:eastAsia="Calibri" w:cs="Calibri"/>
          <w:color w:val="auto"/>
          <w:sz w:val="24"/>
          <w:szCs w:val="24"/>
          <w:highlight w:val="none"/>
          <w:u w:val="single" w:color="auto"/>
        </w:rPr>
        <w:t>500</w:t>
      </w:r>
      <w:r>
        <w:rPr>
          <w:rFonts w:ascii="Calibri" w:hAnsi="Calibri" w:eastAsia="Calibri" w:cs="Calibri"/>
          <w:color w:val="auto"/>
          <w:spacing w:val="11"/>
          <w:sz w:val="24"/>
          <w:szCs w:val="24"/>
          <w:highlight w:val="none"/>
          <w:u w:val="single" w:color="auto"/>
        </w:rPr>
        <w:t xml:space="preserve">  </w:t>
      </w:r>
      <w:r>
        <w:rPr>
          <w:color w:val="auto"/>
          <w:sz w:val="24"/>
          <w:szCs w:val="24"/>
          <w:highlight w:val="none"/>
          <w:u w:val="single" w:color="auto"/>
        </w:rPr>
        <w:t xml:space="preserve">万元以下含 </w:t>
      </w:r>
      <w:r>
        <w:rPr>
          <w:rFonts w:ascii="Calibri" w:hAnsi="Calibri" w:eastAsia="Calibri" w:cs="Calibri"/>
          <w:color w:val="auto"/>
          <w:sz w:val="24"/>
          <w:szCs w:val="24"/>
          <w:highlight w:val="none"/>
          <w:u w:val="single" w:color="auto"/>
        </w:rPr>
        <w:t>500</w:t>
      </w:r>
      <w:r>
        <w:rPr>
          <w:rFonts w:ascii="Calibri" w:hAnsi="Calibri" w:eastAsia="Calibri" w:cs="Calibri"/>
          <w:color w:val="auto"/>
          <w:spacing w:val="1"/>
          <w:sz w:val="24"/>
          <w:szCs w:val="24"/>
          <w:highlight w:val="none"/>
        </w:rPr>
        <w:t xml:space="preserve"> </w:t>
      </w:r>
      <w:r>
        <w:rPr>
          <w:color w:val="auto"/>
          <w:sz w:val="24"/>
          <w:szCs w:val="24"/>
          <w:highlight w:val="none"/>
          <w:u w:val="single" w:color="auto"/>
        </w:rPr>
        <w:t>万 元)、</w:t>
      </w:r>
      <w:r>
        <w:rPr>
          <w:rFonts w:ascii="Calibri" w:hAnsi="Calibri" w:eastAsia="Calibri" w:cs="Calibri"/>
          <w:color w:val="auto"/>
          <w:sz w:val="24"/>
          <w:szCs w:val="24"/>
          <w:highlight w:val="none"/>
          <w:u w:val="single" w:color="auto"/>
        </w:rPr>
        <w:t>10</w:t>
      </w:r>
      <w:r>
        <w:rPr>
          <w:rFonts w:ascii="Calibri" w:hAnsi="Calibri" w:eastAsia="Calibri" w:cs="Calibri"/>
          <w:color w:val="auto"/>
          <w:spacing w:val="13"/>
          <w:w w:val="101"/>
          <w:sz w:val="24"/>
          <w:szCs w:val="24"/>
          <w:highlight w:val="none"/>
          <w:u w:val="single" w:color="auto"/>
        </w:rPr>
        <w:t xml:space="preserve">  </w:t>
      </w:r>
      <w:r>
        <w:rPr>
          <w:color w:val="auto"/>
          <w:sz w:val="24"/>
          <w:szCs w:val="24"/>
          <w:highlight w:val="none"/>
          <w:u w:val="single" w:color="auto"/>
        </w:rPr>
        <w:t xml:space="preserve">天(工程造价在 </w:t>
      </w:r>
      <w:r>
        <w:rPr>
          <w:rFonts w:ascii="Calibri" w:hAnsi="Calibri" w:eastAsia="Calibri" w:cs="Calibri"/>
          <w:color w:val="auto"/>
          <w:sz w:val="24"/>
          <w:szCs w:val="24"/>
          <w:highlight w:val="none"/>
          <w:u w:val="single" w:color="auto"/>
        </w:rPr>
        <w:t xml:space="preserve">500   </w:t>
      </w:r>
      <w:r>
        <w:rPr>
          <w:color w:val="auto"/>
          <w:sz w:val="24"/>
          <w:szCs w:val="24"/>
          <w:highlight w:val="none"/>
          <w:u w:val="single" w:color="auto"/>
        </w:rPr>
        <w:t xml:space="preserve">万元至 </w:t>
      </w:r>
      <w:r>
        <w:rPr>
          <w:rFonts w:ascii="Calibri" w:hAnsi="Calibri" w:eastAsia="Calibri" w:cs="Calibri"/>
          <w:color w:val="auto"/>
          <w:spacing w:val="-1"/>
          <w:sz w:val="24"/>
          <w:szCs w:val="24"/>
          <w:highlight w:val="none"/>
          <w:u w:val="single" w:color="auto"/>
        </w:rPr>
        <w:t xml:space="preserve">1000   </w:t>
      </w:r>
      <w:r>
        <w:rPr>
          <w:color w:val="auto"/>
          <w:spacing w:val="-1"/>
          <w:sz w:val="24"/>
          <w:szCs w:val="24"/>
          <w:highlight w:val="none"/>
          <w:u w:val="single" w:color="auto"/>
        </w:rPr>
        <w:t xml:space="preserve">万元之间含 </w:t>
      </w:r>
      <w:r>
        <w:rPr>
          <w:rFonts w:ascii="Calibri" w:hAnsi="Calibri" w:eastAsia="Calibri" w:cs="Calibri"/>
          <w:color w:val="auto"/>
          <w:spacing w:val="-1"/>
          <w:sz w:val="24"/>
          <w:szCs w:val="24"/>
          <w:highlight w:val="none"/>
          <w:u w:val="single" w:color="auto"/>
        </w:rPr>
        <w:t xml:space="preserve">1000   </w:t>
      </w:r>
      <w:r>
        <w:rPr>
          <w:color w:val="auto"/>
          <w:spacing w:val="-1"/>
          <w:sz w:val="24"/>
          <w:szCs w:val="24"/>
          <w:highlight w:val="none"/>
          <w:u w:val="single" w:color="auto"/>
        </w:rPr>
        <w:t>万元)、</w:t>
      </w:r>
      <w:r>
        <w:rPr>
          <w:rFonts w:ascii="Calibri" w:hAnsi="Calibri" w:eastAsia="Calibri" w:cs="Calibri"/>
          <w:color w:val="auto"/>
          <w:spacing w:val="-1"/>
          <w:sz w:val="24"/>
          <w:szCs w:val="24"/>
          <w:highlight w:val="none"/>
          <w:u w:val="single" w:color="auto"/>
        </w:rPr>
        <w:t>15</w:t>
      </w:r>
      <w:r>
        <w:rPr>
          <w:rFonts w:ascii="Calibri" w:hAnsi="Calibri" w:eastAsia="Calibri" w:cs="Calibri"/>
          <w:color w:val="auto"/>
          <w:spacing w:val="12"/>
          <w:w w:val="101"/>
          <w:sz w:val="24"/>
          <w:szCs w:val="24"/>
          <w:highlight w:val="none"/>
          <w:u w:val="single" w:color="auto"/>
        </w:rPr>
        <w:t xml:space="preserve">  </w:t>
      </w:r>
      <w:r>
        <w:rPr>
          <w:color w:val="auto"/>
          <w:spacing w:val="-1"/>
          <w:sz w:val="24"/>
          <w:szCs w:val="24"/>
          <w:highlight w:val="none"/>
          <w:u w:val="single" w:color="auto"/>
        </w:rPr>
        <w:t>天(工程造价在</w:t>
      </w:r>
      <w:r>
        <w:rPr>
          <w:rFonts w:ascii="Calibri" w:hAnsi="Calibri" w:eastAsia="Calibri" w:cs="Calibri"/>
          <w:color w:val="auto"/>
          <w:spacing w:val="-15"/>
          <w:sz w:val="24"/>
          <w:szCs w:val="24"/>
          <w:highlight w:val="none"/>
          <w:u w:val="single" w:color="auto"/>
        </w:rPr>
        <w:t>1000</w:t>
      </w:r>
      <w:r>
        <w:rPr>
          <w:rFonts w:ascii="Calibri" w:hAnsi="Calibri" w:eastAsia="Calibri" w:cs="Calibri"/>
          <w:color w:val="auto"/>
          <w:spacing w:val="18"/>
          <w:w w:val="101"/>
          <w:sz w:val="24"/>
          <w:szCs w:val="24"/>
          <w:highlight w:val="none"/>
          <w:u w:val="single" w:color="auto"/>
        </w:rPr>
        <w:t xml:space="preserve">  </w:t>
      </w:r>
      <w:r>
        <w:rPr>
          <w:color w:val="auto"/>
          <w:spacing w:val="-15"/>
          <w:sz w:val="24"/>
          <w:szCs w:val="24"/>
          <w:highlight w:val="none"/>
          <w:u w:val="single" w:color="auto"/>
        </w:rPr>
        <w:t>万元</w:t>
      </w:r>
      <w:r>
        <w:rPr>
          <w:color w:val="auto"/>
          <w:spacing w:val="-49"/>
          <w:sz w:val="24"/>
          <w:szCs w:val="24"/>
          <w:highlight w:val="none"/>
          <w:u w:val="single" w:color="auto"/>
        </w:rPr>
        <w:t xml:space="preserve"> </w:t>
      </w:r>
      <w:r>
        <w:rPr>
          <w:color w:val="auto"/>
          <w:spacing w:val="-15"/>
          <w:sz w:val="24"/>
          <w:szCs w:val="24"/>
          <w:highlight w:val="none"/>
          <w:u w:val="single" w:color="auto"/>
        </w:rPr>
        <w:t>以上)，提供竣工图的数量分别为</w:t>
      </w:r>
      <w:r>
        <w:rPr>
          <w:color w:val="auto"/>
          <w:spacing w:val="-29"/>
          <w:sz w:val="24"/>
          <w:szCs w:val="24"/>
          <w:highlight w:val="none"/>
          <w:u w:val="single" w:color="auto"/>
        </w:rPr>
        <w:t xml:space="preserve"> </w:t>
      </w:r>
      <w:r>
        <w:rPr>
          <w:rFonts w:ascii="Calibri" w:hAnsi="Calibri" w:eastAsia="Calibri" w:cs="Calibri"/>
          <w:color w:val="auto"/>
          <w:spacing w:val="-15"/>
          <w:sz w:val="24"/>
          <w:szCs w:val="24"/>
          <w:highlight w:val="none"/>
          <w:u w:val="single" w:color="auto"/>
        </w:rPr>
        <w:t>2</w:t>
      </w:r>
      <w:r>
        <w:rPr>
          <w:rFonts w:ascii="Calibri" w:hAnsi="Calibri" w:eastAsia="Calibri" w:cs="Calibri"/>
          <w:color w:val="auto"/>
          <w:spacing w:val="35"/>
          <w:w w:val="101"/>
          <w:sz w:val="24"/>
          <w:szCs w:val="24"/>
          <w:highlight w:val="none"/>
          <w:u w:val="single" w:color="auto"/>
        </w:rPr>
        <w:t xml:space="preserve"> </w:t>
      </w:r>
      <w:r>
        <w:rPr>
          <w:color w:val="auto"/>
          <w:spacing w:val="-15"/>
          <w:sz w:val="24"/>
          <w:szCs w:val="24"/>
          <w:highlight w:val="none"/>
          <w:u w:val="single" w:color="auto"/>
        </w:rPr>
        <w:t>套、</w:t>
      </w:r>
      <w:r>
        <w:rPr>
          <w:color w:val="auto"/>
          <w:spacing w:val="-37"/>
          <w:sz w:val="24"/>
          <w:szCs w:val="24"/>
          <w:highlight w:val="none"/>
          <w:u w:val="single" w:color="auto"/>
        </w:rPr>
        <w:t xml:space="preserve"> </w:t>
      </w:r>
      <w:r>
        <w:rPr>
          <w:rFonts w:ascii="Calibri" w:hAnsi="Calibri" w:eastAsia="Calibri" w:cs="Calibri"/>
          <w:color w:val="auto"/>
          <w:spacing w:val="-15"/>
          <w:sz w:val="24"/>
          <w:szCs w:val="24"/>
          <w:highlight w:val="none"/>
          <w:u w:val="single" w:color="auto"/>
        </w:rPr>
        <w:t>4</w:t>
      </w:r>
      <w:r>
        <w:rPr>
          <w:rFonts w:ascii="Calibri" w:hAnsi="Calibri" w:eastAsia="Calibri" w:cs="Calibri"/>
          <w:color w:val="auto"/>
          <w:spacing w:val="37"/>
          <w:w w:val="101"/>
          <w:sz w:val="24"/>
          <w:szCs w:val="24"/>
          <w:highlight w:val="none"/>
          <w:u w:val="single" w:color="auto"/>
        </w:rPr>
        <w:t xml:space="preserve"> </w:t>
      </w:r>
      <w:r>
        <w:rPr>
          <w:color w:val="auto"/>
          <w:spacing w:val="-15"/>
          <w:sz w:val="24"/>
          <w:szCs w:val="24"/>
          <w:highlight w:val="none"/>
          <w:u w:val="single" w:color="auto"/>
        </w:rPr>
        <w:t>套、</w:t>
      </w:r>
      <w:r>
        <w:rPr>
          <w:color w:val="auto"/>
          <w:spacing w:val="-29"/>
          <w:sz w:val="24"/>
          <w:szCs w:val="24"/>
          <w:highlight w:val="none"/>
          <w:u w:val="single" w:color="auto"/>
        </w:rPr>
        <w:t xml:space="preserve"> </w:t>
      </w:r>
      <w:r>
        <w:rPr>
          <w:rFonts w:ascii="Calibri" w:hAnsi="Calibri" w:eastAsia="Calibri" w:cs="Calibri"/>
          <w:color w:val="auto"/>
          <w:spacing w:val="-15"/>
          <w:sz w:val="24"/>
          <w:szCs w:val="24"/>
          <w:highlight w:val="none"/>
          <w:u w:val="single" w:color="auto"/>
        </w:rPr>
        <w:t>6</w:t>
      </w:r>
      <w:r>
        <w:rPr>
          <w:rFonts w:ascii="Calibri" w:hAnsi="Calibri" w:eastAsia="Calibri" w:cs="Calibri"/>
          <w:color w:val="auto"/>
          <w:spacing w:val="35"/>
          <w:sz w:val="24"/>
          <w:szCs w:val="24"/>
          <w:highlight w:val="none"/>
          <w:u w:val="single" w:color="auto"/>
        </w:rPr>
        <w:t xml:space="preserve"> </w:t>
      </w:r>
      <w:r>
        <w:rPr>
          <w:color w:val="auto"/>
          <w:spacing w:val="-15"/>
          <w:sz w:val="24"/>
          <w:szCs w:val="24"/>
          <w:highlight w:val="none"/>
          <w:u w:val="single" w:color="auto"/>
        </w:rPr>
        <w:t>套。</w:t>
      </w:r>
    </w:p>
    <w:p w14:paraId="37159D48">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6"/>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13.2.2</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4"/>
          <w:sz w:val="24"/>
          <w:szCs w:val="24"/>
          <w:highlight w:val="none"/>
        </w:rPr>
        <w:t>竣工验收程序</w:t>
      </w:r>
    </w:p>
    <w:p w14:paraId="24AAF64E">
      <w:pPr>
        <w:keepNext w:val="0"/>
        <w:keepLines w:val="0"/>
        <w:pageBreakBefore w:val="0"/>
        <w:widowControl/>
        <w:kinsoku w:val="0"/>
        <w:wordWrap/>
        <w:overflowPunct/>
        <w:topLinePunct w:val="0"/>
        <w:autoSpaceDE w:val="0"/>
        <w:autoSpaceDN w:val="0"/>
        <w:bidi w:val="0"/>
        <w:adjustRightInd w:val="0"/>
        <w:snapToGrid w:val="0"/>
        <w:spacing w:before="135" w:line="44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关于竣工验收程序的约定：</w:t>
      </w:r>
      <w:r>
        <w:rPr>
          <w:color w:val="auto"/>
          <w:spacing w:val="-1"/>
          <w:sz w:val="24"/>
          <w:szCs w:val="24"/>
          <w:highlight w:val="none"/>
          <w:u w:val="single" w:color="auto"/>
        </w:rPr>
        <w:t>按通用条款执行</w:t>
      </w:r>
      <w:r>
        <w:rPr>
          <w:rFonts w:hint="eastAsia" w:ascii="宋体" w:hAnsi="宋体" w:eastAsia="宋体" w:cs="宋体"/>
          <w:color w:val="auto"/>
          <w:spacing w:val="10"/>
          <w:sz w:val="24"/>
          <w:szCs w:val="24"/>
          <w:highlight w:val="none"/>
          <w:u w:val="single" w:color="auto"/>
        </w:rPr>
        <w:t>。</w:t>
      </w:r>
    </w:p>
    <w:p w14:paraId="18EBA059">
      <w:pPr>
        <w:keepNext w:val="0"/>
        <w:keepLines w:val="0"/>
        <w:pageBreakBefore w:val="0"/>
        <w:widowControl/>
        <w:kinsoku w:val="0"/>
        <w:wordWrap/>
        <w:overflowPunct/>
        <w:topLinePunct w:val="0"/>
        <w:autoSpaceDE w:val="0"/>
        <w:autoSpaceDN w:val="0"/>
        <w:bidi w:val="0"/>
        <w:adjustRightInd w:val="0"/>
        <w:snapToGrid w:val="0"/>
        <w:spacing w:before="133" w:line="440" w:lineRule="exact"/>
        <w:ind w:firstLine="51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发包人不按照本项约定组织竣工验收、颁发工程接收证书的违约金的计算方法：</w:t>
      </w:r>
      <w:r>
        <w:rPr>
          <w:color w:val="auto"/>
          <w:spacing w:val="-1"/>
          <w:sz w:val="24"/>
          <w:szCs w:val="24"/>
          <w:highlight w:val="none"/>
          <w:u w:val="single" w:color="auto"/>
        </w:rPr>
        <w:t>按通用条款执行</w:t>
      </w:r>
      <w:r>
        <w:rPr>
          <w:rFonts w:hint="eastAsia" w:ascii="宋体" w:hAnsi="宋体" w:eastAsia="宋体" w:cs="宋体"/>
          <w:color w:val="auto"/>
          <w:spacing w:val="10"/>
          <w:sz w:val="24"/>
          <w:szCs w:val="24"/>
          <w:highlight w:val="none"/>
          <w:u w:val="single" w:color="auto"/>
        </w:rPr>
        <w:t>。</w:t>
      </w:r>
    </w:p>
    <w:p w14:paraId="0A53064C">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13.2.5</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6"/>
          <w:sz w:val="24"/>
          <w:szCs w:val="24"/>
          <w:highlight w:val="none"/>
        </w:rPr>
        <w:t>移交、接收全部与部分工程</w:t>
      </w:r>
    </w:p>
    <w:p w14:paraId="366C6296">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承包人向发包人移交工程的期限：</w:t>
      </w:r>
      <w:r>
        <w:rPr>
          <w:rFonts w:hint="eastAsia" w:ascii="宋体" w:hAnsi="宋体" w:eastAsia="宋体" w:cs="宋体"/>
          <w:color w:val="auto"/>
          <w:spacing w:val="9"/>
          <w:sz w:val="24"/>
          <w:szCs w:val="24"/>
          <w:highlight w:val="none"/>
          <w:u w:val="single" w:color="auto"/>
        </w:rPr>
        <w:t xml:space="preserve"> </w:t>
      </w:r>
      <w:r>
        <w:rPr>
          <w:color w:val="auto"/>
          <w:spacing w:val="-1"/>
          <w:sz w:val="24"/>
          <w:szCs w:val="24"/>
          <w:highlight w:val="none"/>
          <w:u w:val="single" w:color="auto"/>
        </w:rPr>
        <w:t>颁发工程接收证书后</w:t>
      </w:r>
      <w:r>
        <w:rPr>
          <w:color w:val="auto"/>
          <w:spacing w:val="-35"/>
          <w:sz w:val="24"/>
          <w:szCs w:val="24"/>
          <w:highlight w:val="none"/>
          <w:u w:val="single" w:color="auto"/>
        </w:rPr>
        <w:t xml:space="preserve"> </w:t>
      </w:r>
      <w:r>
        <w:rPr>
          <w:rFonts w:ascii="Calibri" w:hAnsi="Calibri" w:eastAsia="Calibri" w:cs="Calibri"/>
          <w:color w:val="auto"/>
          <w:spacing w:val="-1"/>
          <w:sz w:val="24"/>
          <w:szCs w:val="24"/>
          <w:highlight w:val="none"/>
          <w:u w:val="single" w:color="auto"/>
        </w:rPr>
        <w:t>7</w:t>
      </w:r>
      <w:r>
        <w:rPr>
          <w:rFonts w:ascii="Calibri" w:hAnsi="Calibri" w:eastAsia="Calibri" w:cs="Calibri"/>
          <w:color w:val="auto"/>
          <w:spacing w:val="16"/>
          <w:w w:val="101"/>
          <w:sz w:val="24"/>
          <w:szCs w:val="24"/>
          <w:highlight w:val="none"/>
          <w:u w:val="single" w:color="auto"/>
        </w:rPr>
        <w:t xml:space="preserve"> </w:t>
      </w:r>
      <w:r>
        <w:rPr>
          <w:color w:val="auto"/>
          <w:spacing w:val="-1"/>
          <w:sz w:val="24"/>
          <w:szCs w:val="24"/>
          <w:highlight w:val="none"/>
          <w:u w:val="single" w:color="auto"/>
        </w:rPr>
        <w:t>天内</w:t>
      </w:r>
      <w:r>
        <w:rPr>
          <w:rFonts w:hint="eastAsia" w:ascii="宋体" w:hAnsi="宋体" w:eastAsia="宋体" w:cs="宋体"/>
          <w:color w:val="auto"/>
          <w:spacing w:val="9"/>
          <w:sz w:val="24"/>
          <w:szCs w:val="24"/>
          <w:highlight w:val="none"/>
        </w:rPr>
        <w:t>。</w:t>
      </w:r>
    </w:p>
    <w:p w14:paraId="1911653C">
      <w:pPr>
        <w:keepNext w:val="0"/>
        <w:keepLines w:val="0"/>
        <w:pageBreakBefore w:val="0"/>
        <w:widowControl/>
        <w:kinsoku w:val="0"/>
        <w:wordWrap/>
        <w:overflowPunct/>
        <w:topLinePunct w:val="0"/>
        <w:autoSpaceDE w:val="0"/>
        <w:autoSpaceDN w:val="0"/>
        <w:bidi w:val="0"/>
        <w:adjustRightInd w:val="0"/>
        <w:snapToGrid w:val="0"/>
        <w:spacing w:before="133" w:line="440" w:lineRule="exact"/>
        <w:ind w:right="52" w:firstLine="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发包人未按本合同约定接收全部或部分工程的，违</w:t>
      </w:r>
      <w:r>
        <w:rPr>
          <w:rFonts w:hint="eastAsia" w:ascii="宋体" w:hAnsi="宋体" w:eastAsia="宋体" w:cs="宋体"/>
          <w:color w:val="auto"/>
          <w:spacing w:val="9"/>
          <w:sz w:val="24"/>
          <w:szCs w:val="24"/>
          <w:highlight w:val="none"/>
        </w:rPr>
        <w:t>约金的计算方法为：</w:t>
      </w:r>
      <w:r>
        <w:rPr>
          <w:color w:val="auto"/>
          <w:spacing w:val="-2"/>
          <w:sz w:val="24"/>
          <w:szCs w:val="24"/>
          <w:highlight w:val="none"/>
          <w:u w:val="single" w:color="auto"/>
        </w:rPr>
        <w:t>工期相应顺延</w:t>
      </w:r>
      <w:r>
        <w:rPr>
          <w:rFonts w:hint="eastAsia" w:eastAsia="宋体"/>
          <w:color w:val="auto"/>
          <w:spacing w:val="-2"/>
          <w:sz w:val="24"/>
          <w:szCs w:val="24"/>
          <w:highlight w:val="none"/>
          <w:u w:val="single" w:color="auto"/>
          <w:lang w:eastAsia="zh-CN"/>
        </w:rPr>
        <w:t>，</w:t>
      </w:r>
      <w:r>
        <w:rPr>
          <w:color w:val="auto"/>
          <w:spacing w:val="-1"/>
          <w:sz w:val="24"/>
          <w:szCs w:val="24"/>
          <w:highlight w:val="none"/>
          <w:u w:val="single" w:color="auto"/>
        </w:rPr>
        <w:t>不在计算违约金</w:t>
      </w:r>
      <w:r>
        <w:rPr>
          <w:rFonts w:hint="eastAsia" w:ascii="宋体" w:hAnsi="宋体" w:eastAsia="宋体" w:cs="宋体"/>
          <w:color w:val="auto"/>
          <w:spacing w:val="3"/>
          <w:sz w:val="24"/>
          <w:szCs w:val="24"/>
          <w:highlight w:val="none"/>
        </w:rPr>
        <w:t>。</w:t>
      </w:r>
    </w:p>
    <w:p w14:paraId="21D6C02F">
      <w:pPr>
        <w:keepNext w:val="0"/>
        <w:keepLines w:val="0"/>
        <w:pageBreakBefore w:val="0"/>
        <w:widowControl/>
        <w:kinsoku w:val="0"/>
        <w:wordWrap/>
        <w:overflowPunct/>
        <w:topLinePunct w:val="0"/>
        <w:autoSpaceDE w:val="0"/>
        <w:autoSpaceDN w:val="0"/>
        <w:bidi w:val="0"/>
        <w:adjustRightInd w:val="0"/>
        <w:snapToGrid w:val="0"/>
        <w:spacing w:before="134" w:line="440" w:lineRule="exact"/>
        <w:ind w:right="38" w:firstLine="52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承包人未按时移交工程的，违约金的计算方法为：</w:t>
      </w:r>
      <w:r>
        <w:rPr>
          <w:color w:val="auto"/>
          <w:spacing w:val="-1"/>
          <w:sz w:val="24"/>
          <w:szCs w:val="24"/>
          <w:highlight w:val="none"/>
          <w:u w:val="single" w:color="auto"/>
        </w:rPr>
        <w:t>按通用条款执行</w:t>
      </w:r>
      <w:r>
        <w:rPr>
          <w:rFonts w:hint="eastAsia" w:ascii="宋体" w:hAnsi="宋体" w:eastAsia="宋体" w:cs="宋体"/>
          <w:color w:val="auto"/>
          <w:spacing w:val="8"/>
          <w:sz w:val="24"/>
          <w:szCs w:val="24"/>
          <w:highlight w:val="none"/>
        </w:rPr>
        <w:t>。</w:t>
      </w:r>
    </w:p>
    <w:p w14:paraId="45249CF1">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13.3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工程试车</w:t>
      </w:r>
    </w:p>
    <w:p w14:paraId="60A20E0E">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13.3.1 试车程序</w:t>
      </w:r>
    </w:p>
    <w:p w14:paraId="56BD0E67">
      <w:pPr>
        <w:keepNext w:val="0"/>
        <w:keepLines w:val="0"/>
        <w:pageBreakBefore w:val="0"/>
        <w:widowControl/>
        <w:kinsoku w:val="0"/>
        <w:wordWrap/>
        <w:overflowPunct/>
        <w:topLinePunct w:val="0"/>
        <w:autoSpaceDE w:val="0"/>
        <w:autoSpaceDN w:val="0"/>
        <w:bidi w:val="0"/>
        <w:adjustRightInd w:val="0"/>
        <w:snapToGrid w:val="0"/>
        <w:spacing w:before="135" w:line="440" w:lineRule="exact"/>
        <w:ind w:right="54" w:firstLine="52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工程试车内容：</w:t>
      </w:r>
      <w:r>
        <w:rPr>
          <w:rFonts w:hint="eastAsia" w:ascii="宋体" w:hAnsi="宋体" w:eastAsia="宋体" w:cs="宋体"/>
          <w:color w:val="auto"/>
          <w:spacing w:val="10"/>
          <w:sz w:val="24"/>
          <w:szCs w:val="24"/>
          <w:highlight w:val="none"/>
          <w:u w:val="single" w:color="auto"/>
          <w:lang w:val="en-US" w:eastAsia="zh-CN"/>
        </w:rPr>
        <w:t xml:space="preserve">   /   </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w:t>
      </w:r>
    </w:p>
    <w:p w14:paraId="4313DD44">
      <w:pPr>
        <w:keepNext w:val="0"/>
        <w:keepLines w:val="0"/>
        <w:pageBreakBefore w:val="0"/>
        <w:widowControl/>
        <w:kinsoku w:val="0"/>
        <w:wordWrap/>
        <w:overflowPunct/>
        <w:topLinePunct w:val="0"/>
        <w:autoSpaceDE w:val="0"/>
        <w:autoSpaceDN w:val="0"/>
        <w:bidi w:val="0"/>
        <w:adjustRightInd w:val="0"/>
        <w:snapToGrid w:val="0"/>
        <w:spacing w:before="134" w:line="44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（1）单机无负荷试车费用由</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rPr>
        <w:t>承担；</w:t>
      </w:r>
    </w:p>
    <w:p w14:paraId="2D4CC3ED">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（2）无负荷联动试车费用由</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rPr>
        <w:t>承担。</w:t>
      </w:r>
    </w:p>
    <w:p w14:paraId="34AF8371">
      <w:pPr>
        <w:keepNext w:val="0"/>
        <w:keepLines w:val="0"/>
        <w:pageBreakBefore w:val="0"/>
        <w:widowControl/>
        <w:kinsoku w:val="0"/>
        <w:wordWrap/>
        <w:overflowPunct/>
        <w:topLinePunct w:val="0"/>
        <w:autoSpaceDE w:val="0"/>
        <w:autoSpaceDN w:val="0"/>
        <w:bidi w:val="0"/>
        <w:adjustRightInd w:val="0"/>
        <w:snapToGrid w:val="0"/>
        <w:spacing w:before="1" w:line="44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13.3.3 投料试车</w:t>
      </w:r>
    </w:p>
    <w:p w14:paraId="4424D9CF">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关于投料试车相关事项的约定：</w:t>
      </w:r>
      <w:r>
        <w:rPr>
          <w:rFonts w:hint="eastAsia" w:ascii="宋体" w:hAnsi="宋体" w:eastAsia="宋体" w:cs="宋体"/>
          <w:color w:val="auto"/>
          <w:spacing w:val="47"/>
          <w:sz w:val="24"/>
          <w:szCs w:val="24"/>
          <w:highlight w:val="none"/>
          <w:u w:val="single" w:color="auto"/>
          <w:lang w:val="en-US" w:eastAsia="zh-CN"/>
        </w:rPr>
        <w:t xml:space="preserve">   /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3E41A080">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13.6</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竣工退场</w:t>
      </w:r>
    </w:p>
    <w:p w14:paraId="08CF5B33">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13.6.1 竣工退场</w:t>
      </w:r>
    </w:p>
    <w:p w14:paraId="61EB0D1E">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5" w:firstLine="4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承包人完成竣工退场的期限：</w:t>
      </w:r>
      <w:r>
        <w:rPr>
          <w:color w:val="auto"/>
          <w:spacing w:val="-3"/>
          <w:sz w:val="24"/>
          <w:szCs w:val="24"/>
          <w:highlight w:val="none"/>
          <w:u w:val="single" w:color="auto"/>
        </w:rPr>
        <w:t xml:space="preserve">颁发工程接收证书后 </w:t>
      </w:r>
      <w:r>
        <w:rPr>
          <w:rFonts w:ascii="Calibri" w:hAnsi="Calibri" w:eastAsia="Calibri" w:cs="Calibri"/>
          <w:color w:val="auto"/>
          <w:spacing w:val="-3"/>
          <w:sz w:val="24"/>
          <w:szCs w:val="24"/>
          <w:highlight w:val="none"/>
          <w:u w:val="single" w:color="auto"/>
        </w:rPr>
        <w:t xml:space="preserve">7  </w:t>
      </w:r>
      <w:r>
        <w:rPr>
          <w:color w:val="auto"/>
          <w:spacing w:val="-3"/>
          <w:sz w:val="24"/>
          <w:szCs w:val="24"/>
          <w:highlight w:val="none"/>
          <w:u w:val="single" w:color="auto"/>
        </w:rPr>
        <w:t>天内</w:t>
      </w:r>
      <w:r>
        <w:rPr>
          <w:rFonts w:hint="eastAsia" w:ascii="宋体" w:hAnsi="宋体" w:eastAsia="宋体" w:cs="宋体"/>
          <w:color w:val="auto"/>
          <w:spacing w:val="10"/>
          <w:sz w:val="24"/>
          <w:szCs w:val="24"/>
          <w:highlight w:val="none"/>
          <w:u w:val="single" w:color="auto"/>
        </w:rPr>
        <w:t>。</w:t>
      </w:r>
    </w:p>
    <w:p w14:paraId="6FCA823B">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1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14.</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竣工结算</w:t>
      </w:r>
    </w:p>
    <w:p w14:paraId="1D51D242">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14.1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竣工结算申请</w:t>
      </w:r>
    </w:p>
    <w:p w14:paraId="32668EC5">
      <w:pPr>
        <w:keepNext w:val="0"/>
        <w:keepLines w:val="0"/>
        <w:pageBreakBefore w:val="0"/>
        <w:widowControl/>
        <w:kinsoku w:val="0"/>
        <w:wordWrap/>
        <w:overflowPunct/>
        <w:topLinePunct w:val="0"/>
        <w:autoSpaceDE w:val="0"/>
        <w:autoSpaceDN w:val="0"/>
        <w:bidi w:val="0"/>
        <w:adjustRightInd w:val="0"/>
        <w:snapToGrid w:val="0"/>
        <w:spacing w:before="132" w:line="44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承包人提交竣工结算申请单的期限：</w:t>
      </w:r>
      <w:r>
        <w:rPr>
          <w:rFonts w:hint="eastAsia" w:eastAsia="宋体"/>
          <w:color w:val="auto"/>
          <w:spacing w:val="-1"/>
          <w:sz w:val="24"/>
          <w:szCs w:val="24"/>
          <w:highlight w:val="none"/>
          <w:u w:val="single" w:color="auto"/>
          <w:lang w:val="en-US" w:eastAsia="zh-CN"/>
        </w:rPr>
        <w:t>工程竣工验收合格后28天内</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2104A5FF">
      <w:pPr>
        <w:keepNext w:val="0"/>
        <w:keepLines w:val="0"/>
        <w:pageBreakBefore w:val="0"/>
        <w:widowControl/>
        <w:kinsoku w:val="0"/>
        <w:wordWrap/>
        <w:overflowPunct/>
        <w:topLinePunct w:val="0"/>
        <w:autoSpaceDE w:val="0"/>
        <w:autoSpaceDN w:val="0"/>
        <w:bidi w:val="0"/>
        <w:adjustRightInd w:val="0"/>
        <w:snapToGrid w:val="0"/>
        <w:spacing w:before="133" w:line="440" w:lineRule="exact"/>
        <w:ind w:left="4" w:right="52" w:firstLine="41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竣工结算申请单应包括的内容：</w:t>
      </w:r>
      <w:r>
        <w:rPr>
          <w:rFonts w:hint="eastAsia" w:eastAsia="宋体"/>
          <w:color w:val="auto"/>
          <w:spacing w:val="-1"/>
          <w:sz w:val="24"/>
          <w:szCs w:val="24"/>
          <w:highlight w:val="none"/>
          <w:u w:val="single" w:color="auto"/>
          <w:lang w:val="en-US" w:eastAsia="zh-CN"/>
        </w:rPr>
        <w:t>按通用条款执行</w:t>
      </w:r>
      <w:r>
        <w:rPr>
          <w:color w:val="auto"/>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9"/>
          <w:sz w:val="24"/>
          <w:szCs w:val="24"/>
          <w:highlight w:val="none"/>
        </w:rPr>
        <w:t>。</w:t>
      </w:r>
    </w:p>
    <w:p w14:paraId="3C5A1E29">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14.2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竣工结算审核</w:t>
      </w:r>
    </w:p>
    <w:p w14:paraId="21102A9F">
      <w:pPr>
        <w:keepNext w:val="0"/>
        <w:keepLines w:val="0"/>
        <w:pageBreakBefore w:val="0"/>
        <w:widowControl/>
        <w:kinsoku w:val="0"/>
        <w:wordWrap/>
        <w:overflowPunct/>
        <w:topLinePunct w:val="0"/>
        <w:autoSpaceDE w:val="0"/>
        <w:autoSpaceDN w:val="0"/>
        <w:bidi w:val="0"/>
        <w:adjustRightInd w:val="0"/>
        <w:snapToGrid w:val="0"/>
        <w:spacing w:before="134"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发包人审批竣工付款申请单的期限：</w:t>
      </w:r>
    </w:p>
    <w:tbl>
      <w:tblPr>
        <w:tblStyle w:val="40"/>
        <w:tblW w:w="9487" w:type="dxa"/>
        <w:tblInd w:w="2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2606"/>
        <w:gridCol w:w="6285"/>
      </w:tblGrid>
      <w:tr w14:paraId="26E5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596" w:type="dxa"/>
            <w:vAlign w:val="top"/>
          </w:tcPr>
          <w:p w14:paraId="5A71D9A3">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4"/>
                <w:szCs w:val="24"/>
                <w:highlight w:val="none"/>
              </w:rPr>
            </w:pPr>
          </w:p>
        </w:tc>
        <w:tc>
          <w:tcPr>
            <w:tcW w:w="2606" w:type="dxa"/>
            <w:vAlign w:val="top"/>
          </w:tcPr>
          <w:p w14:paraId="42778324">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工程竣工结算报告金额</w:t>
            </w:r>
          </w:p>
        </w:tc>
        <w:tc>
          <w:tcPr>
            <w:tcW w:w="6285" w:type="dxa"/>
            <w:vAlign w:val="top"/>
          </w:tcPr>
          <w:p w14:paraId="6145DD0F">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ind w:left="21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发包人审查时间</w:t>
            </w:r>
          </w:p>
        </w:tc>
      </w:tr>
      <w:tr w14:paraId="2C5EC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596" w:type="dxa"/>
            <w:vAlign w:val="top"/>
          </w:tcPr>
          <w:p w14:paraId="2392B310">
            <w:pPr>
              <w:pStyle w:val="41"/>
              <w:keepNext w:val="0"/>
              <w:keepLines w:val="0"/>
              <w:pageBreakBefore w:val="0"/>
              <w:widowControl/>
              <w:kinsoku w:val="0"/>
              <w:wordWrap/>
              <w:overflowPunct/>
              <w:topLinePunct w:val="0"/>
              <w:autoSpaceDE w:val="0"/>
              <w:autoSpaceDN w:val="0"/>
              <w:bidi w:val="0"/>
              <w:adjustRightInd w:val="0"/>
              <w:snapToGrid w:val="0"/>
              <w:spacing w:before="159" w:line="480" w:lineRule="exact"/>
              <w:ind w:left="35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06" w:type="dxa"/>
            <w:vAlign w:val="top"/>
          </w:tcPr>
          <w:p w14:paraId="0DF53CAD">
            <w:pPr>
              <w:pStyle w:val="41"/>
              <w:keepNext w:val="0"/>
              <w:keepLines w:val="0"/>
              <w:pageBreakBefore w:val="0"/>
              <w:widowControl/>
              <w:kinsoku w:val="0"/>
              <w:wordWrap/>
              <w:overflowPunct/>
              <w:topLinePunct w:val="0"/>
              <w:autoSpaceDE w:val="0"/>
              <w:autoSpaceDN w:val="0"/>
              <w:bidi w:val="0"/>
              <w:adjustRightInd w:val="0"/>
              <w:snapToGrid w:val="0"/>
              <w:spacing w:before="127" w:line="4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500</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万元以下</w:t>
            </w:r>
          </w:p>
        </w:tc>
        <w:tc>
          <w:tcPr>
            <w:tcW w:w="6285" w:type="dxa"/>
            <w:vAlign w:val="top"/>
          </w:tcPr>
          <w:p w14:paraId="070D105B">
            <w:pPr>
              <w:pStyle w:val="41"/>
              <w:keepNext w:val="0"/>
              <w:keepLines w:val="0"/>
              <w:pageBreakBefore w:val="0"/>
              <w:widowControl/>
              <w:kinsoku w:val="0"/>
              <w:wordWrap/>
              <w:overflowPunct/>
              <w:topLinePunct w:val="0"/>
              <w:autoSpaceDE w:val="0"/>
              <w:autoSpaceDN w:val="0"/>
              <w:bidi w:val="0"/>
              <w:adjustRightInd w:val="0"/>
              <w:snapToGrid w:val="0"/>
              <w:spacing w:before="127"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从接到竣工结算报告和完整的竣工结算资料之日起</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8"/>
                <w:sz w:val="24"/>
                <w:szCs w:val="24"/>
                <w:highlight w:val="none"/>
              </w:rPr>
              <w:t>20</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8"/>
                <w:sz w:val="24"/>
                <w:szCs w:val="24"/>
                <w:highlight w:val="none"/>
              </w:rPr>
              <w:t>天</w:t>
            </w:r>
          </w:p>
        </w:tc>
      </w:tr>
      <w:tr w14:paraId="6F84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96" w:type="dxa"/>
            <w:vAlign w:val="top"/>
          </w:tcPr>
          <w:p w14:paraId="732FFCB7">
            <w:pPr>
              <w:pStyle w:val="41"/>
              <w:keepNext w:val="0"/>
              <w:keepLines w:val="0"/>
              <w:pageBreakBefore w:val="0"/>
              <w:widowControl/>
              <w:kinsoku w:val="0"/>
              <w:wordWrap/>
              <w:overflowPunct/>
              <w:topLinePunct w:val="0"/>
              <w:autoSpaceDE w:val="0"/>
              <w:autoSpaceDN w:val="0"/>
              <w:bidi w:val="0"/>
              <w:adjustRightInd w:val="0"/>
              <w:snapToGrid w:val="0"/>
              <w:spacing w:before="160" w:line="480" w:lineRule="exact"/>
              <w:ind w:left="34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06" w:type="dxa"/>
            <w:vAlign w:val="top"/>
          </w:tcPr>
          <w:p w14:paraId="79A47802">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500</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3"/>
                <w:sz w:val="24"/>
                <w:szCs w:val="24"/>
                <w:highlight w:val="none"/>
              </w:rPr>
              <w:t>万元-2000</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万元</w:t>
            </w:r>
          </w:p>
        </w:tc>
        <w:tc>
          <w:tcPr>
            <w:tcW w:w="6285" w:type="dxa"/>
            <w:vAlign w:val="top"/>
          </w:tcPr>
          <w:p w14:paraId="6F82CB79">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从接到竣工结算报告和完整的竣工结算资料之日起</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8"/>
                <w:sz w:val="24"/>
                <w:szCs w:val="24"/>
                <w:highlight w:val="none"/>
              </w:rPr>
              <w:t>30</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8"/>
                <w:sz w:val="24"/>
                <w:szCs w:val="24"/>
                <w:highlight w:val="none"/>
              </w:rPr>
              <w:t>天</w:t>
            </w:r>
          </w:p>
        </w:tc>
      </w:tr>
      <w:tr w14:paraId="30379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96" w:type="dxa"/>
            <w:vAlign w:val="top"/>
          </w:tcPr>
          <w:p w14:paraId="4660BDDD">
            <w:pPr>
              <w:pStyle w:val="41"/>
              <w:keepNext w:val="0"/>
              <w:keepLines w:val="0"/>
              <w:pageBreakBefore w:val="0"/>
              <w:widowControl/>
              <w:kinsoku w:val="0"/>
              <w:wordWrap/>
              <w:overflowPunct/>
              <w:topLinePunct w:val="0"/>
              <w:autoSpaceDE w:val="0"/>
              <w:autoSpaceDN w:val="0"/>
              <w:bidi w:val="0"/>
              <w:adjustRightInd w:val="0"/>
              <w:snapToGrid w:val="0"/>
              <w:spacing w:before="160" w:line="480" w:lineRule="exact"/>
              <w:ind w:left="34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606" w:type="dxa"/>
            <w:vAlign w:val="top"/>
          </w:tcPr>
          <w:p w14:paraId="78EEBD29">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2000</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3"/>
                <w:sz w:val="24"/>
                <w:szCs w:val="24"/>
                <w:highlight w:val="none"/>
              </w:rPr>
              <w:t>万元-5000</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3"/>
                <w:sz w:val="24"/>
                <w:szCs w:val="24"/>
                <w:highlight w:val="none"/>
              </w:rPr>
              <w:t>万元</w:t>
            </w:r>
          </w:p>
        </w:tc>
        <w:tc>
          <w:tcPr>
            <w:tcW w:w="6285" w:type="dxa"/>
            <w:vAlign w:val="top"/>
          </w:tcPr>
          <w:p w14:paraId="39D50825">
            <w:pPr>
              <w:pStyle w:val="41"/>
              <w:keepNext w:val="0"/>
              <w:keepLines w:val="0"/>
              <w:pageBreakBefore w:val="0"/>
              <w:widowControl/>
              <w:kinsoku w:val="0"/>
              <w:wordWrap/>
              <w:overflowPunct/>
              <w:topLinePunct w:val="0"/>
              <w:autoSpaceDE w:val="0"/>
              <w:autoSpaceDN w:val="0"/>
              <w:bidi w:val="0"/>
              <w:adjustRightInd w:val="0"/>
              <w:snapToGrid w:val="0"/>
              <w:spacing w:before="129" w:line="480" w:lineRule="exact"/>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从接到竣工结算报告和完整的竣工结算资料之日起</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8"/>
                <w:sz w:val="24"/>
                <w:szCs w:val="24"/>
                <w:highlight w:val="none"/>
              </w:rPr>
              <w:t>45</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8"/>
                <w:sz w:val="24"/>
                <w:szCs w:val="24"/>
                <w:highlight w:val="none"/>
              </w:rPr>
              <w:t>天</w:t>
            </w:r>
          </w:p>
        </w:tc>
      </w:tr>
      <w:tr w14:paraId="6940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596" w:type="dxa"/>
            <w:vAlign w:val="top"/>
          </w:tcPr>
          <w:p w14:paraId="3BA84D85">
            <w:pPr>
              <w:pStyle w:val="41"/>
              <w:keepNext w:val="0"/>
              <w:keepLines w:val="0"/>
              <w:pageBreakBefore w:val="0"/>
              <w:widowControl/>
              <w:kinsoku w:val="0"/>
              <w:wordWrap/>
              <w:overflowPunct/>
              <w:topLinePunct w:val="0"/>
              <w:autoSpaceDE w:val="0"/>
              <w:autoSpaceDN w:val="0"/>
              <w:bidi w:val="0"/>
              <w:adjustRightInd w:val="0"/>
              <w:snapToGrid w:val="0"/>
              <w:spacing w:before="160" w:line="480" w:lineRule="exact"/>
              <w:ind w:left="337" w:left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06" w:type="dxa"/>
            <w:vAlign w:val="top"/>
          </w:tcPr>
          <w:p w14:paraId="6D41BBD4">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4"/>
                <w:sz w:val="24"/>
                <w:szCs w:val="24"/>
                <w:highlight w:val="none"/>
              </w:rPr>
              <w:t>5000</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4"/>
                <w:sz w:val="24"/>
                <w:szCs w:val="24"/>
                <w:highlight w:val="none"/>
              </w:rPr>
              <w:t>万元以上</w:t>
            </w:r>
          </w:p>
        </w:tc>
        <w:tc>
          <w:tcPr>
            <w:tcW w:w="6285" w:type="dxa"/>
            <w:vAlign w:val="top"/>
          </w:tcPr>
          <w:p w14:paraId="2F5AD582">
            <w:pPr>
              <w:pStyle w:val="41"/>
              <w:keepNext w:val="0"/>
              <w:keepLines w:val="0"/>
              <w:pageBreakBefore w:val="0"/>
              <w:widowControl/>
              <w:kinsoku w:val="0"/>
              <w:wordWrap/>
              <w:overflowPunct/>
              <w:topLinePunct w:val="0"/>
              <w:autoSpaceDE w:val="0"/>
              <w:autoSpaceDN w:val="0"/>
              <w:bidi w:val="0"/>
              <w:adjustRightInd w:val="0"/>
              <w:snapToGrid w:val="0"/>
              <w:spacing w:before="128" w:line="480" w:lineRule="exact"/>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从接到竣工结算报告和完整的竣工结算资料之日起</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8"/>
                <w:sz w:val="24"/>
                <w:szCs w:val="24"/>
                <w:highlight w:val="none"/>
              </w:rPr>
              <w:t>60</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8"/>
                <w:sz w:val="24"/>
                <w:szCs w:val="24"/>
                <w:highlight w:val="none"/>
              </w:rPr>
              <w:t>天</w:t>
            </w:r>
          </w:p>
        </w:tc>
      </w:tr>
    </w:tbl>
    <w:p w14:paraId="1F6F1FFF">
      <w:pPr>
        <w:keepNext w:val="0"/>
        <w:keepLines w:val="0"/>
        <w:pageBreakBefore w:val="0"/>
        <w:widowControl/>
        <w:kinsoku w:val="0"/>
        <w:wordWrap/>
        <w:overflowPunct/>
        <w:topLinePunct w:val="0"/>
        <w:autoSpaceDE w:val="0"/>
        <w:autoSpaceDN w:val="0"/>
        <w:bidi w:val="0"/>
        <w:adjustRightInd w:val="0"/>
        <w:snapToGrid w:val="0"/>
        <w:spacing w:line="500" w:lineRule="exact"/>
        <w:ind w:right="-475" w:rightChars="-226"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因承包人提供的结算资料不完整而需要补充或承包人不按时对账耽误时间时，审查时间应相应顺延。</w:t>
      </w:r>
    </w:p>
    <w:p w14:paraId="2944F868">
      <w:pPr>
        <w:pStyle w:val="4"/>
        <w:keepNext w:val="0"/>
        <w:keepLines w:val="0"/>
        <w:pageBreakBefore w:val="0"/>
        <w:widowControl/>
        <w:kinsoku w:val="0"/>
        <w:wordWrap/>
        <w:overflowPunct/>
        <w:topLinePunct w:val="0"/>
        <w:autoSpaceDE w:val="0"/>
        <w:autoSpaceDN w:val="0"/>
        <w:bidi w:val="0"/>
        <w:adjustRightInd w:val="0"/>
        <w:snapToGrid w:val="0"/>
        <w:spacing w:before="64" w:line="500" w:lineRule="exact"/>
        <w:ind w:left="38" w:right="-476" w:rightChars="0" w:firstLine="414"/>
        <w:jc w:val="both"/>
        <w:textAlignment w:val="baseline"/>
        <w:rPr>
          <w:color w:val="auto"/>
          <w:sz w:val="24"/>
          <w:szCs w:val="24"/>
          <w:highlight w:val="none"/>
        </w:rPr>
      </w:pPr>
      <w:r>
        <w:rPr>
          <w:color w:val="auto"/>
          <w:spacing w:val="-3"/>
          <w:sz w:val="24"/>
          <w:szCs w:val="24"/>
          <w:highlight w:val="none"/>
        </w:rPr>
        <w:t>竣工结算审核约定： 发承包双方在合同中对</w:t>
      </w:r>
      <w:r>
        <w:rPr>
          <w:color w:val="auto"/>
          <w:spacing w:val="-4"/>
          <w:sz w:val="24"/>
          <w:szCs w:val="24"/>
          <w:highlight w:val="none"/>
        </w:rPr>
        <w:t>施工过程结算的期限应有明确约定；没有约定</w:t>
      </w:r>
      <w:r>
        <w:rPr>
          <w:color w:val="auto"/>
          <w:sz w:val="24"/>
          <w:szCs w:val="24"/>
          <w:highlight w:val="none"/>
        </w:rPr>
        <w:t xml:space="preserve"> </w:t>
      </w:r>
      <w:r>
        <w:rPr>
          <w:color w:val="auto"/>
          <w:spacing w:val="-7"/>
          <w:sz w:val="24"/>
          <w:szCs w:val="24"/>
          <w:highlight w:val="none"/>
        </w:rPr>
        <w:t xml:space="preserve">的， 可认定其约定期限均为 </w:t>
      </w:r>
      <w:r>
        <w:rPr>
          <w:rFonts w:ascii="Times New Roman" w:hAnsi="Times New Roman" w:eastAsia="Times New Roman" w:cs="Times New Roman"/>
          <w:color w:val="auto"/>
          <w:spacing w:val="-7"/>
          <w:sz w:val="24"/>
          <w:szCs w:val="24"/>
          <w:highlight w:val="none"/>
        </w:rPr>
        <w:t>28</w:t>
      </w:r>
      <w:r>
        <w:rPr>
          <w:rFonts w:ascii="Times New Roman" w:hAnsi="Times New Roman" w:eastAsia="Times New Roman" w:cs="Times New Roman"/>
          <w:color w:val="auto"/>
          <w:spacing w:val="40"/>
          <w:sz w:val="24"/>
          <w:szCs w:val="24"/>
          <w:highlight w:val="none"/>
        </w:rPr>
        <w:t xml:space="preserve"> </w:t>
      </w:r>
      <w:r>
        <w:rPr>
          <w:color w:val="auto"/>
          <w:spacing w:val="-7"/>
          <w:sz w:val="24"/>
          <w:szCs w:val="24"/>
          <w:highlight w:val="none"/>
        </w:rPr>
        <w:t>天。经发承包</w:t>
      </w:r>
      <w:r>
        <w:rPr>
          <w:color w:val="auto"/>
          <w:spacing w:val="-8"/>
          <w:sz w:val="24"/>
          <w:szCs w:val="24"/>
          <w:highlight w:val="none"/>
        </w:rPr>
        <w:t>双方签署确认的施工过程结算文件作为竣工结算文</w:t>
      </w:r>
      <w:r>
        <w:rPr>
          <w:color w:val="auto"/>
          <w:sz w:val="24"/>
          <w:szCs w:val="24"/>
          <w:highlight w:val="none"/>
        </w:rPr>
        <w:t xml:space="preserve"> </w:t>
      </w:r>
      <w:r>
        <w:rPr>
          <w:color w:val="auto"/>
          <w:spacing w:val="4"/>
          <w:sz w:val="24"/>
          <w:szCs w:val="24"/>
          <w:highlight w:val="none"/>
        </w:rPr>
        <w:t>件的组成部分。未经另一方同意，一方不得就已生效的结算文件进行重复审核。对施工合同</w:t>
      </w:r>
      <w:r>
        <w:rPr>
          <w:color w:val="auto"/>
          <w:spacing w:val="5"/>
          <w:sz w:val="24"/>
          <w:szCs w:val="24"/>
          <w:highlight w:val="none"/>
        </w:rPr>
        <w:t xml:space="preserve"> </w:t>
      </w:r>
      <w:r>
        <w:rPr>
          <w:color w:val="auto"/>
          <w:spacing w:val="2"/>
          <w:sz w:val="24"/>
          <w:szCs w:val="24"/>
          <w:highlight w:val="none"/>
        </w:rPr>
        <w:t>中 约定竣工结算以财政评审意见为准的项目，</w:t>
      </w:r>
      <w:r>
        <w:rPr>
          <w:color w:val="auto"/>
          <w:spacing w:val="1"/>
          <w:sz w:val="24"/>
          <w:szCs w:val="24"/>
          <w:highlight w:val="none"/>
        </w:rPr>
        <w:t>财政部门应在施工合同约定期限内对项目过程</w:t>
      </w:r>
      <w:r>
        <w:rPr>
          <w:color w:val="auto"/>
          <w:sz w:val="24"/>
          <w:szCs w:val="24"/>
          <w:highlight w:val="none"/>
        </w:rPr>
        <w:t xml:space="preserve"> </w:t>
      </w:r>
      <w:r>
        <w:rPr>
          <w:color w:val="auto"/>
          <w:spacing w:val="-5"/>
          <w:sz w:val="24"/>
          <w:szCs w:val="24"/>
          <w:highlight w:val="none"/>
        </w:rPr>
        <w:t>结算 文件进行审核确认。</w:t>
      </w:r>
    </w:p>
    <w:p w14:paraId="65AA3E3A">
      <w:pPr>
        <w:pStyle w:val="4"/>
        <w:keepNext w:val="0"/>
        <w:keepLines w:val="0"/>
        <w:pageBreakBefore w:val="0"/>
        <w:widowControl/>
        <w:kinsoku w:val="0"/>
        <w:wordWrap/>
        <w:overflowPunct/>
        <w:topLinePunct w:val="0"/>
        <w:autoSpaceDE w:val="0"/>
        <w:autoSpaceDN w:val="0"/>
        <w:bidi w:val="0"/>
        <w:adjustRightInd w:val="0"/>
        <w:snapToGrid w:val="0"/>
        <w:spacing w:before="11" w:line="500" w:lineRule="exact"/>
        <w:ind w:left="38" w:right="-476" w:rightChars="0" w:firstLine="432"/>
        <w:jc w:val="both"/>
        <w:textAlignment w:val="baseline"/>
        <w:rPr>
          <w:color w:val="auto"/>
          <w:sz w:val="24"/>
          <w:szCs w:val="24"/>
          <w:highlight w:val="none"/>
        </w:rPr>
      </w:pPr>
      <w:r>
        <w:rPr>
          <w:rFonts w:ascii="Calibri" w:hAnsi="Calibri" w:eastAsia="Calibri" w:cs="Calibri"/>
          <w:color w:val="auto"/>
          <w:spacing w:val="1"/>
          <w:sz w:val="24"/>
          <w:szCs w:val="24"/>
          <w:highlight w:val="none"/>
          <w:u w:val="single" w:color="auto"/>
        </w:rPr>
        <w:t xml:space="preserve">1  </w:t>
      </w:r>
      <w:r>
        <w:rPr>
          <w:color w:val="auto"/>
          <w:spacing w:val="1"/>
          <w:sz w:val="24"/>
          <w:szCs w:val="24"/>
          <w:highlight w:val="none"/>
          <w:u w:val="single" w:color="auto"/>
        </w:rPr>
        <w:t xml:space="preserve">、工程竣工验收报告经发包人认可后 </w:t>
      </w:r>
      <w:r>
        <w:rPr>
          <w:rFonts w:hint="eastAsia" w:eastAsia="宋体"/>
          <w:color w:val="auto"/>
          <w:spacing w:val="1"/>
          <w:sz w:val="24"/>
          <w:szCs w:val="24"/>
          <w:highlight w:val="none"/>
          <w:u w:val="single" w:color="auto"/>
          <w:lang w:val="en-US" w:eastAsia="zh-CN"/>
        </w:rPr>
        <w:t xml:space="preserve"> </w:t>
      </w:r>
      <w:r>
        <w:rPr>
          <w:color w:val="auto"/>
          <w:spacing w:val="1"/>
          <w:sz w:val="24"/>
          <w:szCs w:val="24"/>
          <w:highlight w:val="none"/>
          <w:u w:val="single" w:color="auto"/>
        </w:rPr>
        <w:t xml:space="preserve">  天内，承包人向发包人递交竣工验收合格资料及 完整的结算资料和报告，双方按照本工程合同约定的价格形式及价款调整办法进行工程竣</w:t>
      </w:r>
      <w:r>
        <w:rPr>
          <w:color w:val="auto"/>
          <w:spacing w:val="-3"/>
          <w:sz w:val="24"/>
          <w:szCs w:val="24"/>
          <w:highlight w:val="none"/>
          <w:u w:val="single" w:color="auto"/>
        </w:rPr>
        <w:t xml:space="preserve">工结 算。 </w:t>
      </w:r>
      <w:r>
        <w:rPr>
          <w:rFonts w:ascii="Calibri" w:hAnsi="Calibri" w:eastAsia="Calibri" w:cs="Calibri"/>
          <w:color w:val="auto"/>
          <w:spacing w:val="-3"/>
          <w:sz w:val="24"/>
          <w:szCs w:val="24"/>
          <w:highlight w:val="none"/>
          <w:u w:val="single" w:color="auto"/>
        </w:rPr>
        <w:t xml:space="preserve">2  </w:t>
      </w:r>
      <w:r>
        <w:rPr>
          <w:color w:val="auto"/>
          <w:spacing w:val="-3"/>
          <w:sz w:val="24"/>
          <w:szCs w:val="24"/>
          <w:highlight w:val="none"/>
          <w:u w:val="single" w:color="auto"/>
        </w:rPr>
        <w:t xml:space="preserve">、发包人收到承包人递交的竣工结算报告及结算资料之日起   </w:t>
      </w:r>
      <w:r>
        <w:rPr>
          <w:rFonts w:hint="eastAsia" w:eastAsia="宋体"/>
          <w:color w:val="auto"/>
          <w:spacing w:val="-3"/>
          <w:sz w:val="24"/>
          <w:szCs w:val="24"/>
          <w:highlight w:val="none"/>
          <w:u w:val="single" w:color="auto"/>
          <w:lang w:val="en-US" w:eastAsia="zh-CN"/>
        </w:rPr>
        <w:t xml:space="preserve"> </w:t>
      </w:r>
      <w:r>
        <w:rPr>
          <w:color w:val="auto"/>
          <w:spacing w:val="-3"/>
          <w:sz w:val="24"/>
          <w:szCs w:val="24"/>
          <w:highlight w:val="none"/>
          <w:u w:val="single" w:color="auto"/>
        </w:rPr>
        <w:t>天内进行审核，并</w:t>
      </w:r>
      <w:r>
        <w:rPr>
          <w:color w:val="auto"/>
          <w:spacing w:val="2"/>
          <w:sz w:val="24"/>
          <w:szCs w:val="24"/>
          <w:highlight w:val="none"/>
          <w:u w:val="single" w:color="auto"/>
        </w:rPr>
        <w:t>给予确 认或者提出审核意见。发包人逾期</w:t>
      </w:r>
      <w:r>
        <w:rPr>
          <w:color w:val="auto"/>
          <w:spacing w:val="1"/>
          <w:sz w:val="24"/>
          <w:szCs w:val="24"/>
          <w:highlight w:val="none"/>
          <w:u w:val="single" w:color="auto"/>
        </w:rPr>
        <w:t>未完成审核且未提出异议的视为发包人已同意承包人提交的 竣工结算报告及结算价款，并以此作为竣工结算的依据。承包人对发包人确认的结</w:t>
      </w:r>
      <w:r>
        <w:rPr>
          <w:color w:val="auto"/>
          <w:spacing w:val="-4"/>
          <w:sz w:val="24"/>
          <w:szCs w:val="24"/>
          <w:highlight w:val="none"/>
          <w:u w:val="single" w:color="auto"/>
        </w:rPr>
        <w:t>算价款或审 核意见有异议的，应在收到发包人确认的价款或审</w:t>
      </w:r>
      <w:r>
        <w:rPr>
          <w:color w:val="auto"/>
          <w:spacing w:val="-5"/>
          <w:sz w:val="24"/>
          <w:szCs w:val="24"/>
          <w:highlight w:val="none"/>
          <w:u w:val="single" w:color="auto"/>
        </w:rPr>
        <w:t>核意见之日起   天内提出异议，</w:t>
      </w:r>
      <w:r>
        <w:rPr>
          <w:color w:val="auto"/>
          <w:spacing w:val="2"/>
          <w:sz w:val="24"/>
          <w:szCs w:val="24"/>
          <w:highlight w:val="none"/>
          <w:u w:val="single" w:color="auto"/>
        </w:rPr>
        <w:t>必要时合同当事人要当面核对，直至完成</w:t>
      </w:r>
      <w:r>
        <w:rPr>
          <w:color w:val="auto"/>
          <w:spacing w:val="1"/>
          <w:sz w:val="24"/>
          <w:szCs w:val="24"/>
          <w:highlight w:val="none"/>
          <w:u w:val="single" w:color="auto"/>
        </w:rPr>
        <w:t>工程竣工结算。除非有特殊情形，否则从承包人递</w:t>
      </w:r>
      <w:r>
        <w:rPr>
          <w:color w:val="auto"/>
          <w:spacing w:val="6"/>
          <w:sz w:val="24"/>
          <w:szCs w:val="24"/>
          <w:highlight w:val="none"/>
          <w:u w:val="single" w:color="auto"/>
        </w:rPr>
        <w:t>交竣工结算报告到完成竣工结算的时间应控制在“发包人审核竣工付款申请单的期</w:t>
      </w:r>
      <w:r>
        <w:rPr>
          <w:color w:val="auto"/>
          <w:spacing w:val="5"/>
          <w:sz w:val="24"/>
          <w:szCs w:val="24"/>
          <w:highlight w:val="none"/>
          <w:u w:val="single" w:color="auto"/>
        </w:rPr>
        <w:t>限</w:t>
      </w:r>
      <w:r>
        <w:rPr>
          <w:color w:val="auto"/>
          <w:spacing w:val="-69"/>
          <w:sz w:val="24"/>
          <w:szCs w:val="24"/>
          <w:highlight w:val="none"/>
          <w:u w:val="single" w:color="auto"/>
        </w:rPr>
        <w:t xml:space="preserve"> </w:t>
      </w:r>
      <w:r>
        <w:rPr>
          <w:color w:val="auto"/>
          <w:spacing w:val="5"/>
          <w:sz w:val="24"/>
          <w:szCs w:val="24"/>
          <w:highlight w:val="none"/>
          <w:u w:val="single" w:color="auto"/>
        </w:rPr>
        <w:t>”要</w:t>
      </w:r>
      <w:r>
        <w:rPr>
          <w:color w:val="auto"/>
          <w:spacing w:val="-3"/>
          <w:sz w:val="24"/>
          <w:szCs w:val="24"/>
          <w:highlight w:val="none"/>
          <w:u w:val="single" w:color="auto"/>
        </w:rPr>
        <w:t xml:space="preserve">求的时间范围内。 </w:t>
      </w:r>
      <w:r>
        <w:rPr>
          <w:rFonts w:ascii="Calibri" w:hAnsi="Calibri" w:eastAsia="Calibri" w:cs="Calibri"/>
          <w:color w:val="auto"/>
          <w:spacing w:val="-3"/>
          <w:sz w:val="24"/>
          <w:szCs w:val="24"/>
          <w:highlight w:val="none"/>
          <w:u w:val="single" w:color="auto"/>
        </w:rPr>
        <w:t xml:space="preserve">3.   </w:t>
      </w:r>
      <w:r>
        <w:rPr>
          <w:color w:val="auto"/>
          <w:spacing w:val="-3"/>
          <w:sz w:val="24"/>
          <w:szCs w:val="24"/>
          <w:highlight w:val="none"/>
          <w:u w:val="single" w:color="auto"/>
        </w:rPr>
        <w:t xml:space="preserve">自竣工结算完毕之日起 </w:t>
      </w:r>
      <w:r>
        <w:rPr>
          <w:rFonts w:hint="eastAsia" w:eastAsia="宋体"/>
          <w:color w:val="auto"/>
          <w:spacing w:val="-3"/>
          <w:sz w:val="24"/>
          <w:szCs w:val="24"/>
          <w:highlight w:val="none"/>
          <w:u w:val="single" w:color="auto"/>
          <w:lang w:val="en-US" w:eastAsia="zh-CN"/>
        </w:rPr>
        <w:t xml:space="preserve">  </w:t>
      </w:r>
      <w:r>
        <w:rPr>
          <w:color w:val="auto"/>
          <w:spacing w:val="-3"/>
          <w:sz w:val="24"/>
          <w:szCs w:val="24"/>
          <w:highlight w:val="none"/>
          <w:u w:val="single" w:color="auto"/>
        </w:rPr>
        <w:t xml:space="preserve">  天内，发包人按审定后的竣工结算价款，通知经办银行向承包人支</w:t>
      </w:r>
      <w:r>
        <w:rPr>
          <w:color w:val="auto"/>
          <w:spacing w:val="2"/>
          <w:sz w:val="24"/>
          <w:szCs w:val="24"/>
          <w:highlight w:val="none"/>
          <w:u w:val="single" w:color="auto"/>
        </w:rPr>
        <w:t>付结算价款。</w:t>
      </w:r>
    </w:p>
    <w:p w14:paraId="1A636499">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14.4</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最终结清</w:t>
      </w:r>
    </w:p>
    <w:p w14:paraId="7596C697">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14.4.1 最终结清申请单</w:t>
      </w:r>
    </w:p>
    <w:p w14:paraId="0313CA9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承包人提交最终结清申请单的份数：</w:t>
      </w:r>
      <w:r>
        <w:rPr>
          <w:rFonts w:hint="eastAsia" w:ascii="宋体" w:hAnsi="宋体" w:eastAsia="宋体" w:cs="宋体"/>
          <w:color w:val="auto"/>
          <w:spacing w:val="8"/>
          <w:sz w:val="24"/>
          <w:szCs w:val="24"/>
          <w:highlight w:val="none"/>
          <w:u w:val="single" w:color="auto"/>
        </w:rPr>
        <w:t xml:space="preserve">  一式四份 </w:t>
      </w:r>
      <w:r>
        <w:rPr>
          <w:rFonts w:hint="eastAsia" w:ascii="宋体" w:hAnsi="宋体" w:eastAsia="宋体" w:cs="宋体"/>
          <w:color w:val="auto"/>
          <w:spacing w:val="8"/>
          <w:sz w:val="24"/>
          <w:szCs w:val="24"/>
          <w:highlight w:val="none"/>
        </w:rPr>
        <w:t>。</w:t>
      </w:r>
    </w:p>
    <w:p w14:paraId="5B50525D">
      <w:pPr>
        <w:keepNext w:val="0"/>
        <w:keepLines w:val="0"/>
        <w:pageBreakBefore w:val="0"/>
        <w:widowControl/>
        <w:kinsoku w:val="0"/>
        <w:wordWrap/>
        <w:overflowPunct/>
        <w:topLinePunct w:val="0"/>
        <w:autoSpaceDE w:val="0"/>
        <w:autoSpaceDN w:val="0"/>
        <w:bidi w:val="0"/>
        <w:adjustRightInd w:val="0"/>
        <w:snapToGrid w:val="0"/>
        <w:spacing w:before="135" w:line="500" w:lineRule="exact"/>
        <w:ind w:right="2" w:firstLine="504"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承包人提交最终结算申请单的期限：</w:t>
      </w:r>
      <w:r>
        <w:rPr>
          <w:color w:val="auto"/>
          <w:spacing w:val="-1"/>
          <w:sz w:val="24"/>
          <w:szCs w:val="24"/>
          <w:highlight w:val="none"/>
          <w:u w:val="single" w:color="auto"/>
        </w:rPr>
        <w:t>在缺陷责任期终止证书颁发后</w:t>
      </w:r>
      <w:r>
        <w:rPr>
          <w:rFonts w:hint="eastAsia" w:eastAsia="宋体"/>
          <w:color w:val="auto"/>
          <w:spacing w:val="-25"/>
          <w:sz w:val="24"/>
          <w:szCs w:val="24"/>
          <w:highlight w:val="none"/>
          <w:u w:val="single" w:color="auto"/>
          <w:lang w:val="en-US" w:eastAsia="zh-CN"/>
        </w:rPr>
        <w:t>7</w:t>
      </w:r>
      <w:r>
        <w:rPr>
          <w:color w:val="auto"/>
          <w:spacing w:val="-1"/>
          <w:sz w:val="24"/>
          <w:szCs w:val="24"/>
          <w:highlight w:val="none"/>
          <w:u w:val="single" w:color="auto"/>
        </w:rPr>
        <w:t>天内</w:t>
      </w:r>
      <w:r>
        <w:rPr>
          <w:rFonts w:hint="eastAsia" w:ascii="宋体" w:hAnsi="宋体" w:eastAsia="宋体" w:cs="宋体"/>
          <w:color w:val="auto"/>
          <w:spacing w:val="8"/>
          <w:sz w:val="24"/>
          <w:szCs w:val="24"/>
          <w:highlight w:val="none"/>
        </w:rPr>
        <w:t>。</w:t>
      </w:r>
    </w:p>
    <w:p w14:paraId="1C21C1BF">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14.4.2 最终结清证书和支付</w:t>
      </w:r>
    </w:p>
    <w:p w14:paraId="50CC61CD">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（1）发包人完成最终结清申请单的审批并颁发最终结清证书的期限：</w:t>
      </w:r>
      <w:r>
        <w:rPr>
          <w:color w:val="auto"/>
          <w:spacing w:val="-1"/>
          <w:sz w:val="24"/>
          <w:szCs w:val="24"/>
          <w:highlight w:val="none"/>
          <w:u w:val="single" w:color="auto"/>
        </w:rPr>
        <w:t>收到承包人申</w:t>
      </w:r>
      <w:r>
        <w:rPr>
          <w:color w:val="auto"/>
          <w:sz w:val="24"/>
          <w:szCs w:val="24"/>
          <w:highlight w:val="none"/>
        </w:rPr>
        <w:t xml:space="preserve"> </w:t>
      </w:r>
      <w:r>
        <w:rPr>
          <w:color w:val="auto"/>
          <w:spacing w:val="-10"/>
          <w:sz w:val="24"/>
          <w:szCs w:val="24"/>
          <w:highlight w:val="none"/>
          <w:u w:val="single" w:color="auto"/>
        </w:rPr>
        <w:t>请后</w:t>
      </w:r>
      <w:r>
        <w:rPr>
          <w:color w:val="auto"/>
          <w:spacing w:val="-26"/>
          <w:sz w:val="24"/>
          <w:szCs w:val="24"/>
          <w:highlight w:val="none"/>
          <w:u w:val="single" w:color="auto"/>
        </w:rPr>
        <w:t xml:space="preserve"> </w:t>
      </w:r>
      <w:r>
        <w:rPr>
          <w:rFonts w:hint="eastAsia" w:eastAsia="宋体"/>
          <w:color w:val="auto"/>
          <w:spacing w:val="-10"/>
          <w:sz w:val="24"/>
          <w:szCs w:val="24"/>
          <w:highlight w:val="none"/>
          <w:u w:val="single" w:color="auto"/>
          <w:lang w:val="en-US" w:eastAsia="zh-CN"/>
        </w:rPr>
        <w:t>28</w:t>
      </w:r>
      <w:r>
        <w:rPr>
          <w:color w:val="auto"/>
          <w:spacing w:val="-10"/>
          <w:sz w:val="24"/>
          <w:szCs w:val="24"/>
          <w:highlight w:val="none"/>
          <w:u w:val="single" w:color="auto"/>
        </w:rPr>
        <w:t xml:space="preserve"> 日内 </w:t>
      </w:r>
      <w:r>
        <w:rPr>
          <w:rFonts w:hint="eastAsia" w:ascii="宋体" w:hAnsi="宋体" w:eastAsia="宋体" w:cs="宋体"/>
          <w:color w:val="auto"/>
          <w:spacing w:val="9"/>
          <w:sz w:val="24"/>
          <w:szCs w:val="24"/>
          <w:highlight w:val="none"/>
        </w:rPr>
        <w:t>。</w:t>
      </w:r>
    </w:p>
    <w:p w14:paraId="08D7C14C">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（2）发包人完成支付的期限：</w:t>
      </w:r>
      <w:r>
        <w:rPr>
          <w:color w:val="auto"/>
          <w:spacing w:val="-1"/>
          <w:sz w:val="24"/>
          <w:szCs w:val="24"/>
          <w:highlight w:val="none"/>
          <w:u w:val="single" w:color="auto"/>
        </w:rPr>
        <w:t>承包人收到最终结清证</w:t>
      </w:r>
      <w:r>
        <w:rPr>
          <w:color w:val="auto"/>
          <w:spacing w:val="-2"/>
          <w:sz w:val="24"/>
          <w:szCs w:val="24"/>
          <w:highlight w:val="none"/>
          <w:u w:val="single" w:color="auto"/>
        </w:rPr>
        <w:t>书</w:t>
      </w:r>
      <w:r>
        <w:rPr>
          <w:rFonts w:hint="eastAsia" w:eastAsia="宋体"/>
          <w:color w:val="auto"/>
          <w:spacing w:val="-32"/>
          <w:sz w:val="24"/>
          <w:szCs w:val="24"/>
          <w:highlight w:val="none"/>
          <w:u w:val="single" w:color="auto"/>
          <w:lang w:val="en-US" w:eastAsia="zh-CN"/>
        </w:rPr>
        <w:t>7</w:t>
      </w:r>
      <w:r>
        <w:rPr>
          <w:color w:val="auto"/>
          <w:spacing w:val="-2"/>
          <w:sz w:val="24"/>
          <w:szCs w:val="24"/>
          <w:highlight w:val="none"/>
          <w:u w:val="single" w:color="auto"/>
        </w:rPr>
        <w:t xml:space="preserve">个工作日内 </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7"/>
          <w:sz w:val="24"/>
          <w:szCs w:val="24"/>
          <w:highlight w:val="none"/>
        </w:rPr>
        <w:t>。</w:t>
      </w:r>
    </w:p>
    <w:p w14:paraId="1BFB22A7">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1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15.</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缺陷责任期与保修</w:t>
      </w:r>
    </w:p>
    <w:p w14:paraId="453D6930">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15.2</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缺陷责任期</w:t>
      </w:r>
    </w:p>
    <w:p w14:paraId="19B8F354">
      <w:pPr>
        <w:keepNext w:val="0"/>
        <w:keepLines w:val="0"/>
        <w:pageBreakBefore w:val="0"/>
        <w:widowControl/>
        <w:kinsoku w:val="0"/>
        <w:wordWrap/>
        <w:overflowPunct/>
        <w:topLinePunct w:val="0"/>
        <w:autoSpaceDE w:val="0"/>
        <w:autoSpaceDN w:val="0"/>
        <w:bidi w:val="0"/>
        <w:adjustRightInd w:val="0"/>
        <w:snapToGrid w:val="0"/>
        <w:spacing w:before="133" w:line="500" w:lineRule="exact"/>
        <w:ind w:right="52" w:firstLine="512"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rPr>
        <w:t>缺陷责任期的具体期限：</w:t>
      </w:r>
      <w:r>
        <w:rPr>
          <w:rFonts w:hint="eastAsia" w:ascii="宋体" w:hAnsi="宋体" w:eastAsia="宋体" w:cs="宋体"/>
          <w:color w:val="auto"/>
          <w:spacing w:val="8"/>
          <w:sz w:val="24"/>
          <w:szCs w:val="24"/>
          <w:highlight w:val="none"/>
          <w:u w:val="single" w:color="auto"/>
        </w:rPr>
        <w:t>24</w:t>
      </w:r>
      <w:r>
        <w:rPr>
          <w:rFonts w:hint="eastAsia"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个月</w:t>
      </w:r>
      <w:r>
        <w:rPr>
          <w:rFonts w:hint="eastAsia" w:ascii="宋体" w:hAnsi="宋体" w:eastAsia="宋体" w:cs="宋体"/>
          <w:color w:val="auto"/>
          <w:spacing w:val="8"/>
          <w:sz w:val="24"/>
          <w:szCs w:val="24"/>
          <w:highlight w:val="none"/>
          <w:u w:val="single" w:color="auto"/>
          <w:lang w:eastAsia="zh-CN"/>
        </w:rPr>
        <w:t>。</w:t>
      </w:r>
    </w:p>
    <w:p w14:paraId="45FA69DF">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437"/>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15.3</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质量保证金</w:t>
      </w:r>
    </w:p>
    <w:p w14:paraId="75F9C996">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关于是否扣留质量保证金的约定：</w:t>
      </w:r>
      <w:r>
        <w:rPr>
          <w:rFonts w:hint="eastAsia" w:ascii="宋体" w:hAnsi="宋体" w:eastAsia="宋体" w:cs="宋体"/>
          <w:color w:val="auto"/>
          <w:spacing w:val="9"/>
          <w:sz w:val="24"/>
          <w:szCs w:val="24"/>
          <w:highlight w:val="none"/>
          <w:u w:val="single" w:color="auto"/>
        </w:rPr>
        <w:t>按工程</w:t>
      </w:r>
      <w:r>
        <w:rPr>
          <w:rFonts w:hint="eastAsia" w:ascii="宋体" w:hAnsi="宋体" w:eastAsia="宋体" w:cs="宋体"/>
          <w:color w:val="auto"/>
          <w:spacing w:val="8"/>
          <w:sz w:val="24"/>
          <w:szCs w:val="24"/>
          <w:highlight w:val="none"/>
          <w:u w:val="single" w:color="auto"/>
        </w:rPr>
        <w:t>价款结算总额的</w:t>
      </w:r>
      <w:r>
        <w:rPr>
          <w:rFonts w:hint="eastAsia" w:ascii="宋体" w:hAnsi="宋体" w:eastAsia="宋体" w:cs="宋体"/>
          <w:color w:val="auto"/>
          <w:spacing w:val="-35"/>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3%质保金 </w:t>
      </w:r>
      <w:r>
        <w:rPr>
          <w:rFonts w:hint="eastAsia" w:ascii="宋体" w:hAnsi="宋体" w:eastAsia="宋体" w:cs="宋体"/>
          <w:color w:val="auto"/>
          <w:spacing w:val="8"/>
          <w:sz w:val="24"/>
          <w:szCs w:val="24"/>
          <w:highlight w:val="none"/>
        </w:rPr>
        <w:t>。</w:t>
      </w:r>
    </w:p>
    <w:p w14:paraId="34F7BD4E">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15.3.1 承包人提供质量保证金的方式</w:t>
      </w:r>
    </w:p>
    <w:p w14:paraId="002AE3A0">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质量保证金采用以下第</w:t>
      </w:r>
      <w:r>
        <w:rPr>
          <w:rFonts w:hint="eastAsia" w:ascii="宋体" w:hAnsi="宋体" w:eastAsia="宋体" w:cs="宋体"/>
          <w:color w:val="auto"/>
          <w:spacing w:val="7"/>
          <w:sz w:val="24"/>
          <w:szCs w:val="24"/>
          <w:highlight w:val="none"/>
          <w:u w:val="single" w:color="auto"/>
        </w:rPr>
        <w:t xml:space="preserve">  （2）   </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7"/>
          <w:sz w:val="24"/>
          <w:szCs w:val="24"/>
          <w:highlight w:val="none"/>
        </w:rPr>
        <w:t>种方式：</w:t>
      </w:r>
    </w:p>
    <w:p w14:paraId="5B0E4443">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（1）质量保证金保函，保证金额为：</w:t>
      </w:r>
      <w:r>
        <w:rPr>
          <w:rFonts w:hint="eastAsia" w:ascii="宋体" w:hAnsi="宋体" w:eastAsia="宋体" w:cs="宋体"/>
          <w:color w:val="auto"/>
          <w:spacing w:val="7"/>
          <w:sz w:val="24"/>
          <w:szCs w:val="24"/>
          <w:highlight w:val="none"/>
          <w:u w:val="single" w:color="auto"/>
        </w:rPr>
        <w:t xml:space="preserve">  /   </w:t>
      </w:r>
      <w:r>
        <w:rPr>
          <w:rFonts w:hint="eastAsia" w:ascii="宋体" w:hAnsi="宋体" w:eastAsia="宋体" w:cs="宋体"/>
          <w:color w:val="auto"/>
          <w:spacing w:val="7"/>
          <w:sz w:val="24"/>
          <w:szCs w:val="24"/>
          <w:highlight w:val="none"/>
        </w:rPr>
        <w:t>；</w:t>
      </w:r>
    </w:p>
    <w:p w14:paraId="7DEFBFD0">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（2）发包人按工程价款结算总额的</w:t>
      </w:r>
      <w:r>
        <w:rPr>
          <w:rFonts w:hint="eastAsia" w:ascii="宋体" w:hAnsi="宋体" w:eastAsia="宋体" w:cs="宋体"/>
          <w:color w:val="auto"/>
          <w:spacing w:val="9"/>
          <w:sz w:val="24"/>
          <w:szCs w:val="24"/>
          <w:highlight w:val="none"/>
          <w:u w:val="single" w:color="auto"/>
        </w:rPr>
        <w:t xml:space="preserve"> 3 </w:t>
      </w:r>
      <w:r>
        <w:rPr>
          <w:rFonts w:hint="eastAsia" w:ascii="宋体" w:hAnsi="宋体" w:eastAsia="宋体" w:cs="宋体"/>
          <w:color w:val="auto"/>
          <w:spacing w:val="9"/>
          <w:sz w:val="24"/>
          <w:szCs w:val="24"/>
          <w:highlight w:val="none"/>
        </w:rPr>
        <w:t>%预留工程质量保</w:t>
      </w:r>
      <w:r>
        <w:rPr>
          <w:rFonts w:hint="eastAsia" w:ascii="宋体" w:hAnsi="宋体" w:eastAsia="宋体" w:cs="宋体"/>
          <w:color w:val="auto"/>
          <w:spacing w:val="8"/>
          <w:sz w:val="24"/>
          <w:szCs w:val="24"/>
          <w:highlight w:val="none"/>
        </w:rPr>
        <w:t>证金，待缺陷责任期满后返还</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无息）</w:t>
      </w:r>
      <w:r>
        <w:rPr>
          <w:rFonts w:hint="eastAsia" w:ascii="宋体" w:hAnsi="宋体" w:eastAsia="宋体" w:cs="宋体"/>
          <w:color w:val="auto"/>
          <w:spacing w:val="8"/>
          <w:sz w:val="24"/>
          <w:szCs w:val="24"/>
          <w:highlight w:val="none"/>
        </w:rPr>
        <w:t>；</w:t>
      </w:r>
    </w:p>
    <w:p w14:paraId="52F545AE">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（3）其他方式：</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5"/>
          <w:sz w:val="24"/>
          <w:szCs w:val="24"/>
          <w:highlight w:val="none"/>
        </w:rPr>
        <w:t>。</w:t>
      </w:r>
    </w:p>
    <w:p w14:paraId="5D0AC96C">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15.3.2 质量保证金的扣留</w:t>
      </w:r>
    </w:p>
    <w:p w14:paraId="3570CA86">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质量保证金的扣留采取以下第</w:t>
      </w:r>
      <w:r>
        <w:rPr>
          <w:rFonts w:hint="eastAsia" w:ascii="宋体" w:hAnsi="宋体" w:eastAsia="宋体" w:cs="宋体"/>
          <w:color w:val="auto"/>
          <w:spacing w:val="7"/>
          <w:sz w:val="24"/>
          <w:szCs w:val="24"/>
          <w:highlight w:val="none"/>
          <w:u w:val="single" w:color="auto"/>
        </w:rPr>
        <w:t xml:space="preserve">   （2）   </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7"/>
          <w:sz w:val="24"/>
          <w:szCs w:val="24"/>
          <w:highlight w:val="none"/>
        </w:rPr>
        <w:t>种方式：</w:t>
      </w:r>
    </w:p>
    <w:p w14:paraId="4420105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w:t>
      </w:r>
      <w:r>
        <w:rPr>
          <w:rFonts w:hint="eastAsia" w:ascii="宋体" w:hAnsi="宋体" w:eastAsia="宋体" w:cs="宋体"/>
          <w:color w:val="auto"/>
          <w:spacing w:val="5"/>
          <w:sz w:val="24"/>
          <w:szCs w:val="24"/>
          <w:highlight w:val="none"/>
        </w:rPr>
        <w:t>以及价格调整的金额；</w:t>
      </w:r>
    </w:p>
    <w:p w14:paraId="6BCA5225">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position w:val="13"/>
          <w:sz w:val="24"/>
          <w:szCs w:val="24"/>
          <w:highlight w:val="none"/>
        </w:rPr>
        <w:t>（2）工程竣工结算时一次性扣留质量保证金；</w:t>
      </w:r>
    </w:p>
    <w:p w14:paraId="74E0DAA0">
      <w:pPr>
        <w:keepNext w:val="0"/>
        <w:keepLines w:val="0"/>
        <w:pageBreakBefore w:val="0"/>
        <w:widowControl/>
        <w:kinsoku w:val="0"/>
        <w:wordWrap/>
        <w:overflowPunct/>
        <w:topLinePunct w:val="0"/>
        <w:autoSpaceDE w:val="0"/>
        <w:autoSpaceDN w:val="0"/>
        <w:bidi w:val="0"/>
        <w:adjustRightInd w:val="0"/>
        <w:snapToGrid w:val="0"/>
        <w:spacing w:line="500" w:lineRule="exact"/>
        <w:ind w:left="43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（3）其他扣留方式</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rPr>
        <w:t>/</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2"/>
          <w:sz w:val="24"/>
          <w:szCs w:val="24"/>
          <w:highlight w:val="none"/>
        </w:rPr>
        <w:t>。</w:t>
      </w:r>
    </w:p>
    <w:p w14:paraId="37181CAC">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3" w:firstLine="421"/>
        <w:jc w:val="both"/>
        <w:textAlignment w:val="baseline"/>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spacing w:val="10"/>
          <w:sz w:val="24"/>
          <w:szCs w:val="24"/>
          <w:highlight w:val="none"/>
        </w:rPr>
        <w:t>关于质量保证金的补充约定：</w:t>
      </w:r>
      <w:r>
        <w:rPr>
          <w:color w:val="auto"/>
          <w:sz w:val="24"/>
          <w:szCs w:val="24"/>
          <w:highlight w:val="none"/>
          <w:u w:val="single" w:color="auto"/>
        </w:rPr>
        <w:t xml:space="preserve"> 以</w:t>
      </w:r>
      <w:r>
        <w:rPr>
          <w:rFonts w:hint="eastAsia" w:eastAsia="宋体"/>
          <w:color w:val="auto"/>
          <w:sz w:val="24"/>
          <w:szCs w:val="24"/>
          <w:highlight w:val="none"/>
          <w:u w:val="single" w:color="auto"/>
          <w:lang w:val="en-US" w:eastAsia="zh-CN"/>
        </w:rPr>
        <w:t>荔浦市</w:t>
      </w:r>
      <w:r>
        <w:rPr>
          <w:color w:val="auto"/>
          <w:sz w:val="24"/>
          <w:szCs w:val="24"/>
          <w:highlight w:val="none"/>
          <w:u w:val="single" w:color="auto"/>
        </w:rPr>
        <w:t>财政投资评审</w:t>
      </w:r>
      <w:r>
        <w:rPr>
          <w:color w:val="auto"/>
          <w:spacing w:val="-1"/>
          <w:sz w:val="24"/>
          <w:szCs w:val="24"/>
          <w:highlight w:val="none"/>
          <w:u w:val="single" w:color="auto"/>
        </w:rPr>
        <w:t>中心单位审定工程结算价的</w:t>
      </w:r>
      <w:r>
        <w:rPr>
          <w:color w:val="auto"/>
          <w:spacing w:val="-41"/>
          <w:sz w:val="24"/>
          <w:szCs w:val="24"/>
          <w:highlight w:val="none"/>
          <w:u w:val="single" w:color="auto"/>
        </w:rPr>
        <w:t xml:space="preserve"> </w:t>
      </w:r>
      <w:r>
        <w:rPr>
          <w:rFonts w:ascii="Calibri" w:hAnsi="Calibri" w:eastAsia="Calibri" w:cs="Calibri"/>
          <w:color w:val="auto"/>
          <w:spacing w:val="-1"/>
          <w:sz w:val="24"/>
          <w:szCs w:val="24"/>
          <w:highlight w:val="none"/>
          <w:u w:val="single" w:color="auto"/>
        </w:rPr>
        <w:t>3%</w:t>
      </w:r>
      <w:r>
        <w:rPr>
          <w:color w:val="auto"/>
          <w:spacing w:val="-1"/>
          <w:sz w:val="24"/>
          <w:szCs w:val="24"/>
          <w:highlight w:val="none"/>
          <w:u w:val="single" w:color="auto"/>
        </w:rPr>
        <w:t>的扣</w:t>
      </w:r>
      <w:r>
        <w:rPr>
          <w:rFonts w:hint="eastAsia" w:eastAsia="宋体"/>
          <w:color w:val="auto"/>
          <w:spacing w:val="-1"/>
          <w:sz w:val="24"/>
          <w:szCs w:val="24"/>
          <w:highlight w:val="none"/>
          <w:u w:val="single" w:color="auto"/>
          <w:lang w:val="en-US" w:eastAsia="zh-CN"/>
        </w:rPr>
        <w:t>留</w:t>
      </w:r>
      <w:r>
        <w:rPr>
          <w:rFonts w:hint="eastAsia" w:ascii="宋体" w:hAnsi="宋体" w:eastAsia="宋体" w:cs="宋体"/>
          <w:color w:val="auto"/>
          <w:spacing w:val="-20"/>
          <w:sz w:val="24"/>
          <w:szCs w:val="24"/>
          <w:highlight w:val="none"/>
          <w:u w:val="single" w:color="auto"/>
          <w:lang w:eastAsia="zh-CN"/>
        </w:rPr>
        <w:t>。</w:t>
      </w:r>
    </w:p>
    <w:p w14:paraId="7B2AD580">
      <w:pPr>
        <w:keepNext w:val="0"/>
        <w:keepLines w:val="0"/>
        <w:pageBreakBefore w:val="0"/>
        <w:widowControl/>
        <w:kinsoku w:val="0"/>
        <w:wordWrap/>
        <w:overflowPunct/>
        <w:topLinePunct w:val="0"/>
        <w:autoSpaceDE w:val="0"/>
        <w:autoSpaceDN w:val="0"/>
        <w:bidi w:val="0"/>
        <w:adjustRightInd w:val="0"/>
        <w:snapToGrid w:val="0"/>
        <w:spacing w:before="110" w:line="50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15.4</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保修</w:t>
      </w:r>
    </w:p>
    <w:p w14:paraId="5C26DA4C">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15.4.1 保修责任</w:t>
      </w:r>
    </w:p>
    <w:p w14:paraId="5AE987B6">
      <w:pPr>
        <w:keepNext w:val="0"/>
        <w:keepLines w:val="0"/>
        <w:pageBreakBefore w:val="0"/>
        <w:widowControl/>
        <w:kinsoku w:val="0"/>
        <w:wordWrap/>
        <w:overflowPunct/>
        <w:topLinePunct w:val="0"/>
        <w:autoSpaceDE w:val="0"/>
        <w:autoSpaceDN w:val="0"/>
        <w:bidi w:val="0"/>
        <w:adjustRightInd w:val="0"/>
        <w:snapToGrid w:val="0"/>
        <w:spacing w:before="135" w:line="500" w:lineRule="exact"/>
        <w:ind w:right="12"/>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工程保修期为：</w:t>
      </w:r>
      <w:r>
        <w:rPr>
          <w:rFonts w:hint="eastAsia" w:ascii="宋体" w:hAnsi="宋体" w:eastAsia="宋体" w:cs="宋体"/>
          <w:color w:val="auto"/>
          <w:spacing w:val="10"/>
          <w:sz w:val="24"/>
          <w:szCs w:val="24"/>
          <w:highlight w:val="none"/>
          <w:u w:val="single" w:color="auto"/>
        </w:rPr>
        <w:t>根据《建设工程质量管理</w:t>
      </w:r>
      <w:r>
        <w:rPr>
          <w:rFonts w:hint="eastAsia" w:ascii="宋体" w:hAnsi="宋体" w:eastAsia="宋体" w:cs="宋体"/>
          <w:color w:val="auto"/>
          <w:spacing w:val="9"/>
          <w:sz w:val="24"/>
          <w:szCs w:val="24"/>
          <w:highlight w:val="none"/>
          <w:u w:val="single" w:color="auto"/>
        </w:rPr>
        <w:t>条例》及有关规定，约定本工程的保修期详见《工程质量</w:t>
      </w:r>
      <w:r>
        <w:rPr>
          <w:rFonts w:hint="eastAsia" w:ascii="宋体" w:hAnsi="宋体" w:eastAsia="宋体" w:cs="宋体"/>
          <w:color w:val="auto"/>
          <w:spacing w:val="11"/>
          <w:sz w:val="24"/>
          <w:szCs w:val="24"/>
          <w:highlight w:val="none"/>
          <w:u w:val="single" w:color="auto"/>
        </w:rPr>
        <w:t>保修书》。</w:t>
      </w:r>
    </w:p>
    <w:p w14:paraId="4745DBF1">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15.4.3 修复通知</w:t>
      </w:r>
    </w:p>
    <w:p w14:paraId="0AB86F1B">
      <w:pPr>
        <w:keepNext w:val="0"/>
        <w:keepLines w:val="0"/>
        <w:pageBreakBefore w:val="0"/>
        <w:widowControl/>
        <w:kinsoku w:val="0"/>
        <w:wordWrap/>
        <w:overflowPunct/>
        <w:topLinePunct w:val="0"/>
        <w:autoSpaceDE w:val="0"/>
        <w:autoSpaceDN w:val="0"/>
        <w:bidi w:val="0"/>
        <w:adjustRightInd w:val="0"/>
        <w:snapToGrid w:val="0"/>
        <w:spacing w:before="130" w:line="500" w:lineRule="exact"/>
        <w:ind w:firstLine="41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rPr>
        <w:t>承包人收到保修通知并到达工程现场的合理时间：</w:t>
      </w:r>
      <w:r>
        <w:rPr>
          <w:rFonts w:hint="eastAsia" w:eastAsia="宋体"/>
          <w:color w:val="auto"/>
          <w:spacing w:val="-1"/>
          <w:sz w:val="24"/>
          <w:szCs w:val="24"/>
          <w:highlight w:val="none"/>
          <w:u w:val="single" w:color="auto"/>
          <w:lang w:val="en-US" w:eastAsia="zh-CN"/>
        </w:rPr>
        <w:t>24小时内</w:t>
      </w:r>
      <w:r>
        <w:rPr>
          <w:rFonts w:hint="eastAsia" w:ascii="宋体" w:hAnsi="宋体" w:eastAsia="宋体" w:cs="宋体"/>
          <w:color w:val="auto"/>
          <w:spacing w:val="4"/>
          <w:sz w:val="24"/>
          <w:szCs w:val="24"/>
          <w:highlight w:val="none"/>
          <w:u w:val="single" w:color="auto"/>
          <w:lang w:eastAsia="zh-CN"/>
        </w:rPr>
        <w:t>。</w:t>
      </w:r>
    </w:p>
    <w:p w14:paraId="6DE4450E">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1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16.</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违约</w:t>
      </w:r>
    </w:p>
    <w:p w14:paraId="52991A75">
      <w:pPr>
        <w:keepNext w:val="0"/>
        <w:keepLines w:val="0"/>
        <w:pageBreakBefore w:val="0"/>
        <w:widowControl/>
        <w:kinsoku w:val="0"/>
        <w:wordWrap/>
        <w:overflowPunct/>
        <w:topLinePunct w:val="0"/>
        <w:autoSpaceDE w:val="0"/>
        <w:autoSpaceDN w:val="0"/>
        <w:bidi w:val="0"/>
        <w:adjustRightInd w:val="0"/>
        <w:snapToGrid w:val="0"/>
        <w:spacing w:before="128" w:line="50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16.1</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发包人违约</w:t>
      </w:r>
    </w:p>
    <w:p w14:paraId="0AB3FF8E">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16.1.1</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发包人违约的情形</w:t>
      </w:r>
    </w:p>
    <w:p w14:paraId="0DD45BB6">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发包人违约的其他情形：</w:t>
      </w:r>
      <w:r>
        <w:rPr>
          <w:rFonts w:hint="eastAsia" w:ascii="宋体" w:hAnsi="宋体" w:eastAsia="宋体" w:cs="宋体"/>
          <w:color w:val="auto"/>
          <w:spacing w:val="7"/>
          <w:sz w:val="24"/>
          <w:szCs w:val="24"/>
          <w:highlight w:val="none"/>
          <w:u w:val="single" w:color="auto"/>
        </w:rPr>
        <w:t xml:space="preserve">    无   </w:t>
      </w:r>
      <w:r>
        <w:rPr>
          <w:rFonts w:hint="eastAsia" w:ascii="宋体" w:hAnsi="宋体" w:eastAsia="宋体" w:cs="宋体"/>
          <w:color w:val="auto"/>
          <w:spacing w:val="7"/>
          <w:sz w:val="24"/>
          <w:szCs w:val="24"/>
          <w:highlight w:val="none"/>
        </w:rPr>
        <w:t>。</w:t>
      </w:r>
    </w:p>
    <w:p w14:paraId="45C995A5">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16.1.2 发包人违约的责任</w:t>
      </w:r>
    </w:p>
    <w:p w14:paraId="3A647BD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发包人违约责任的承担方式和计算方法：</w:t>
      </w:r>
    </w:p>
    <w:p w14:paraId="047A621B">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（1）因发包人原因未能在计划开工日期前</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8"/>
          <w:sz w:val="24"/>
          <w:szCs w:val="24"/>
          <w:highlight w:val="none"/>
        </w:rPr>
        <w:t>7</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8"/>
          <w:sz w:val="24"/>
          <w:szCs w:val="24"/>
          <w:highlight w:val="none"/>
        </w:rPr>
        <w:t>天内下达开工通知的违约责任：</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pacing w:val="8"/>
          <w:sz w:val="24"/>
          <w:szCs w:val="24"/>
          <w:highlight w:val="none"/>
        </w:rPr>
        <w:t>。</w:t>
      </w:r>
    </w:p>
    <w:p w14:paraId="46C07898">
      <w:pPr>
        <w:keepNext w:val="0"/>
        <w:keepLines w:val="0"/>
        <w:pageBreakBefore w:val="0"/>
        <w:widowControl/>
        <w:kinsoku w:val="0"/>
        <w:wordWrap/>
        <w:overflowPunct/>
        <w:topLinePunct w:val="0"/>
        <w:autoSpaceDE w:val="0"/>
        <w:autoSpaceDN w:val="0"/>
        <w:bidi w:val="0"/>
        <w:adjustRightInd w:val="0"/>
        <w:snapToGrid w:val="0"/>
        <w:spacing w:before="1" w:line="50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（2）因发包人原因未能按合同约定支付合同价款的违约责任：</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pacing w:val="8"/>
          <w:sz w:val="24"/>
          <w:szCs w:val="24"/>
          <w:highlight w:val="none"/>
          <w:u w:val="single" w:color="auto"/>
        </w:rPr>
        <w:t xml:space="preserve"> </w:t>
      </w:r>
    </w:p>
    <w:p w14:paraId="6263333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3）发包人违反第 10.1 款〔变更的范围〕第（2）项约定，自行实施被取消的工作或转由他人实施的违约责任：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z w:val="24"/>
          <w:szCs w:val="24"/>
          <w:highlight w:val="none"/>
        </w:rPr>
        <w:t>。</w:t>
      </w:r>
    </w:p>
    <w:p w14:paraId="07D46AD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position w:val="13"/>
          <w:sz w:val="24"/>
          <w:szCs w:val="24"/>
          <w:highlight w:val="none"/>
          <w:lang w:val="en-US" w:eastAsia="zh-CN"/>
        </w:rPr>
        <w:t xml:space="preserve">    </w:t>
      </w: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z w:val="24"/>
          <w:szCs w:val="24"/>
          <w:highlight w:val="none"/>
        </w:rPr>
        <w:t>。</w:t>
      </w:r>
    </w:p>
    <w:p w14:paraId="6C4A45C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z w:val="24"/>
          <w:szCs w:val="24"/>
          <w:highlight w:val="none"/>
        </w:rPr>
        <w:t>。</w:t>
      </w:r>
    </w:p>
    <w:p w14:paraId="5D9A9A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z w:val="24"/>
          <w:szCs w:val="24"/>
          <w:highlight w:val="none"/>
        </w:rPr>
        <w:t>。</w:t>
      </w:r>
    </w:p>
    <w:p w14:paraId="2FE516B9">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（7）其他：</w:t>
      </w:r>
      <w:r>
        <w:rPr>
          <w:rFonts w:hint="eastAsia" w:ascii="宋体" w:hAnsi="宋体" w:eastAsia="宋体" w:cs="宋体"/>
          <w:color w:val="auto"/>
          <w:spacing w:val="10"/>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 xml:space="preserve">/  </w:t>
      </w:r>
      <w:r>
        <w:rPr>
          <w:rFonts w:hint="eastAsia" w:ascii="宋体" w:hAnsi="宋体" w:eastAsia="宋体" w:cs="宋体"/>
          <w:color w:val="auto"/>
          <w:spacing w:val="4"/>
          <w:sz w:val="24"/>
          <w:szCs w:val="24"/>
          <w:highlight w:val="none"/>
        </w:rPr>
        <w:t>。</w:t>
      </w:r>
    </w:p>
    <w:p w14:paraId="3994F203">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16.1.3</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因发包人违约解除合同</w:t>
      </w:r>
    </w:p>
    <w:p w14:paraId="48044FE8">
      <w:pPr>
        <w:keepNext w:val="0"/>
        <w:keepLines w:val="0"/>
        <w:pageBreakBefore w:val="0"/>
        <w:widowControl/>
        <w:kinsoku w:val="0"/>
        <w:wordWrap/>
        <w:overflowPunct/>
        <w:topLinePunct w:val="0"/>
        <w:autoSpaceDE w:val="0"/>
        <w:autoSpaceDN w:val="0"/>
        <w:bidi w:val="0"/>
        <w:adjustRightInd w:val="0"/>
        <w:snapToGrid w:val="0"/>
        <w:spacing w:before="133" w:line="500" w:lineRule="exact"/>
        <w:ind w:firstLine="504"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承包人按16.1.1项〔发包人违约的情形〕约定暂停施工满</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rPr>
        <w:t>天后发包人仍不纠正其违约行为并致使</w:t>
      </w:r>
      <w:r>
        <w:rPr>
          <w:rFonts w:hint="eastAsia" w:ascii="宋体" w:hAnsi="宋体" w:eastAsia="宋体" w:cs="宋体"/>
          <w:color w:val="auto"/>
          <w:spacing w:val="8"/>
          <w:sz w:val="24"/>
          <w:szCs w:val="24"/>
          <w:highlight w:val="none"/>
        </w:rPr>
        <w:t>合同目的不能实现的，承包人有权解除合同。</w:t>
      </w:r>
    </w:p>
    <w:p w14:paraId="6968F82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16.2</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承包人违约</w:t>
      </w:r>
    </w:p>
    <w:p w14:paraId="1C97C5BA">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16.2.1 承包人违约的情形</w:t>
      </w:r>
    </w:p>
    <w:p w14:paraId="3D9D7259">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承包人违约的其他情形：</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pacing w:val="8"/>
          <w:sz w:val="24"/>
          <w:szCs w:val="24"/>
          <w:highlight w:val="none"/>
        </w:rPr>
        <w:t>。</w:t>
      </w:r>
    </w:p>
    <w:p w14:paraId="3A1ACAEA">
      <w:pPr>
        <w:keepNext w:val="0"/>
        <w:keepLines w:val="0"/>
        <w:pageBreakBefore w:val="0"/>
        <w:widowControl/>
        <w:kinsoku w:val="0"/>
        <w:wordWrap/>
        <w:overflowPunct/>
        <w:topLinePunct w:val="0"/>
        <w:autoSpaceDE w:val="0"/>
        <w:autoSpaceDN w:val="0"/>
        <w:bidi w:val="0"/>
        <w:adjustRightInd w:val="0"/>
        <w:snapToGrid w:val="0"/>
        <w:spacing w:before="110" w:line="50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16.2.2</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5"/>
          <w:sz w:val="24"/>
          <w:szCs w:val="24"/>
          <w:highlight w:val="none"/>
        </w:rPr>
        <w:t>承包人违约的责任</w:t>
      </w:r>
    </w:p>
    <w:p w14:paraId="19CDA652">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承包人违约责任的承担方式和计算方法：</w:t>
      </w:r>
    </w:p>
    <w:p w14:paraId="543FECA3">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6" w:right="68" w:firstLine="424"/>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pacing w:val="8"/>
          <w:sz w:val="24"/>
          <w:szCs w:val="24"/>
          <w:highlight w:val="none"/>
        </w:rPr>
        <w:t>（1）</w:t>
      </w:r>
      <w:r>
        <w:rPr>
          <w:rFonts w:hint="eastAsia" w:ascii="宋体" w:hAnsi="宋体" w:eastAsia="宋体" w:cs="宋体"/>
          <w:color w:val="auto"/>
          <w:spacing w:val="8"/>
          <w:sz w:val="24"/>
          <w:szCs w:val="24"/>
          <w:highlight w:val="none"/>
          <w:u w:val="single"/>
        </w:rPr>
        <w:t>承包人未按本合同通用条款第</w:t>
      </w:r>
      <w:r>
        <w:rPr>
          <w:rFonts w:hint="eastAsia" w:ascii="宋体" w:hAnsi="宋体" w:eastAsia="宋体" w:cs="宋体"/>
          <w:color w:val="auto"/>
          <w:spacing w:val="-19"/>
          <w:sz w:val="24"/>
          <w:szCs w:val="24"/>
          <w:highlight w:val="none"/>
          <w:u w:val="single"/>
        </w:rPr>
        <w:t xml:space="preserve"> </w:t>
      </w:r>
      <w:r>
        <w:rPr>
          <w:rFonts w:hint="eastAsia" w:ascii="宋体" w:hAnsi="宋体" w:eastAsia="宋体" w:cs="宋体"/>
          <w:color w:val="auto"/>
          <w:spacing w:val="8"/>
          <w:sz w:val="24"/>
          <w:szCs w:val="24"/>
          <w:highlight w:val="none"/>
          <w:u w:val="single"/>
        </w:rPr>
        <w:t>16.2.1（2）、（3）条内容完成的，承包人无条件返工处理，修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复至工程质量要求并承担相关费用，并在发包人规定的时间内完成返工</w:t>
      </w:r>
      <w:r>
        <w:rPr>
          <w:rFonts w:hint="eastAsia" w:ascii="宋体" w:hAnsi="宋体" w:eastAsia="宋体" w:cs="宋体"/>
          <w:color w:val="auto"/>
          <w:spacing w:val="10"/>
          <w:sz w:val="24"/>
          <w:szCs w:val="24"/>
          <w:highlight w:val="none"/>
          <w:u w:val="single"/>
          <w:lang w:eastAsia="zh-CN"/>
        </w:rPr>
        <w:t>，</w:t>
      </w:r>
      <w:r>
        <w:rPr>
          <w:rFonts w:hint="eastAsia" w:ascii="宋体" w:hAnsi="宋体" w:eastAsia="宋体" w:cs="宋体"/>
          <w:color w:val="auto"/>
          <w:spacing w:val="9"/>
          <w:sz w:val="24"/>
          <w:szCs w:val="24"/>
          <w:highlight w:val="none"/>
          <w:u w:val="single"/>
        </w:rPr>
        <w:t>否则发包人有权扣罚该分项工程</w:t>
      </w:r>
      <w:r>
        <w:rPr>
          <w:rFonts w:hint="eastAsia" w:ascii="宋体" w:hAnsi="宋体" w:eastAsia="宋体" w:cs="宋体"/>
          <w:color w:val="auto"/>
          <w:spacing w:val="5"/>
          <w:sz w:val="24"/>
          <w:szCs w:val="24"/>
          <w:highlight w:val="none"/>
          <w:u w:val="single"/>
        </w:rPr>
        <w:t>10%的工程款作为处罚。</w:t>
      </w:r>
    </w:p>
    <w:p w14:paraId="54DC96C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single"/>
        </w:rPr>
        <w:t>承包人有本合同通用条款第 16.2.1（6）条情形的，或经监理人检验认为修复质量不合格而承包人拒绝再进行修补的，发包人将扣除承包人全部质量保证金。</w:t>
      </w:r>
    </w:p>
    <w:p w14:paraId="377C3340">
      <w:pPr>
        <w:keepNext w:val="0"/>
        <w:keepLines w:val="0"/>
        <w:pageBreakBefore w:val="0"/>
        <w:widowControl/>
        <w:kinsoku w:val="0"/>
        <w:wordWrap/>
        <w:overflowPunct/>
        <w:topLinePunct w:val="0"/>
        <w:autoSpaceDE w:val="0"/>
        <w:autoSpaceDN w:val="0"/>
        <w:bidi w:val="0"/>
        <w:adjustRightInd w:val="0"/>
        <w:snapToGrid w:val="0"/>
        <w:spacing w:before="132" w:line="500" w:lineRule="exact"/>
        <w:ind w:right="68" w:firstLine="43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pacing w:val="8"/>
          <w:sz w:val="24"/>
          <w:szCs w:val="24"/>
          <w:highlight w:val="none"/>
          <w:u w:val="none"/>
        </w:rPr>
        <w:t>（3）</w:t>
      </w:r>
      <w:r>
        <w:rPr>
          <w:rFonts w:hint="eastAsia" w:ascii="宋体" w:hAnsi="宋体" w:eastAsia="宋体" w:cs="宋体"/>
          <w:color w:val="auto"/>
          <w:spacing w:val="8"/>
          <w:sz w:val="24"/>
          <w:szCs w:val="24"/>
          <w:highlight w:val="none"/>
          <w:u w:val="single"/>
        </w:rPr>
        <w:t>承包人有本专用合同条款</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8"/>
          <w:sz w:val="24"/>
          <w:szCs w:val="24"/>
          <w:highlight w:val="none"/>
          <w:u w:val="single"/>
        </w:rPr>
        <w:t>3.2、3.3</w:t>
      </w:r>
      <w:r>
        <w:rPr>
          <w:rFonts w:hint="eastAsia" w:ascii="宋体" w:hAnsi="宋体" w:eastAsia="宋体" w:cs="宋体"/>
          <w:color w:val="auto"/>
          <w:spacing w:val="-38"/>
          <w:sz w:val="24"/>
          <w:szCs w:val="24"/>
          <w:highlight w:val="none"/>
          <w:u w:val="single"/>
        </w:rPr>
        <w:t xml:space="preserve"> </w:t>
      </w:r>
      <w:r>
        <w:rPr>
          <w:rFonts w:hint="eastAsia" w:ascii="宋体" w:hAnsi="宋体" w:eastAsia="宋体" w:cs="宋体"/>
          <w:color w:val="auto"/>
          <w:spacing w:val="8"/>
          <w:sz w:val="24"/>
          <w:szCs w:val="24"/>
          <w:highlight w:val="none"/>
          <w:u w:val="single"/>
        </w:rPr>
        <w:t>条违约责任的，发包人有权扣除承包人的违约金。违约金金</w:t>
      </w:r>
      <w:r>
        <w:rPr>
          <w:rFonts w:hint="eastAsia" w:ascii="宋体" w:hAnsi="宋体" w:eastAsia="宋体" w:cs="宋体"/>
          <w:color w:val="auto"/>
          <w:spacing w:val="10"/>
          <w:sz w:val="24"/>
          <w:szCs w:val="24"/>
          <w:highlight w:val="none"/>
          <w:u w:val="single"/>
        </w:rPr>
        <w:t>额均在承包人的履约保证金及计量支付款内扣除。监理人预先下发含有罚款意向</w:t>
      </w:r>
      <w:r>
        <w:rPr>
          <w:rFonts w:hint="eastAsia" w:ascii="宋体" w:hAnsi="宋体" w:eastAsia="宋体" w:cs="宋体"/>
          <w:color w:val="auto"/>
          <w:spacing w:val="9"/>
          <w:sz w:val="24"/>
          <w:szCs w:val="24"/>
          <w:highlight w:val="none"/>
          <w:u w:val="single"/>
        </w:rPr>
        <w:t>的指令，如承包人不及时</w:t>
      </w:r>
      <w:r>
        <w:rPr>
          <w:rFonts w:hint="eastAsia" w:ascii="宋体" w:hAnsi="宋体" w:eastAsia="宋体" w:cs="宋体"/>
          <w:color w:val="auto"/>
          <w:spacing w:val="10"/>
          <w:sz w:val="24"/>
          <w:szCs w:val="24"/>
          <w:highlight w:val="none"/>
          <w:u w:val="single"/>
        </w:rPr>
        <w:t>采取措施纠正，则在指令下达后十五天下发罚款通知书（不再陈述罚款理由</w:t>
      </w:r>
      <w:r>
        <w:rPr>
          <w:rFonts w:hint="eastAsia" w:ascii="宋体" w:hAnsi="宋体" w:eastAsia="宋体" w:cs="宋体"/>
          <w:color w:val="auto"/>
          <w:spacing w:val="10"/>
          <w:sz w:val="24"/>
          <w:szCs w:val="24"/>
          <w:highlight w:val="none"/>
          <w:u w:val="single"/>
          <w:lang w:eastAsia="zh-CN"/>
        </w:rPr>
        <w:t>）。</w:t>
      </w:r>
      <w:r>
        <w:rPr>
          <w:rFonts w:hint="eastAsia" w:ascii="宋体" w:hAnsi="宋体" w:eastAsia="宋体" w:cs="宋体"/>
          <w:color w:val="auto"/>
          <w:spacing w:val="10"/>
          <w:sz w:val="24"/>
          <w:szCs w:val="24"/>
          <w:highlight w:val="none"/>
          <w:u w:val="single"/>
        </w:rPr>
        <w:t>承包</w:t>
      </w:r>
      <w:r>
        <w:rPr>
          <w:rFonts w:hint="eastAsia" w:ascii="宋体" w:hAnsi="宋体" w:eastAsia="宋体" w:cs="宋体"/>
          <w:color w:val="auto"/>
          <w:spacing w:val="9"/>
          <w:sz w:val="24"/>
          <w:szCs w:val="24"/>
          <w:highlight w:val="none"/>
          <w:u w:val="single"/>
        </w:rPr>
        <w:t>人在合同期内，完成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0"/>
          <w:sz w:val="24"/>
          <w:szCs w:val="24"/>
          <w:highlight w:val="none"/>
          <w:u w:val="single"/>
        </w:rPr>
        <w:t>合同规定的全部工程</w:t>
      </w:r>
      <w:r>
        <w:rPr>
          <w:rFonts w:hint="eastAsia" w:ascii="宋体" w:hAnsi="宋体" w:eastAsia="宋体" w:cs="宋体"/>
          <w:color w:val="auto"/>
          <w:spacing w:val="10"/>
          <w:sz w:val="24"/>
          <w:szCs w:val="24"/>
          <w:highlight w:val="none"/>
          <w:u w:val="single"/>
          <w:lang w:eastAsia="zh-CN"/>
        </w:rPr>
        <w:t>，</w:t>
      </w:r>
      <w:r>
        <w:rPr>
          <w:rFonts w:hint="eastAsia" w:ascii="宋体" w:hAnsi="宋体" w:eastAsia="宋体" w:cs="宋体"/>
          <w:color w:val="auto"/>
          <w:spacing w:val="10"/>
          <w:sz w:val="24"/>
          <w:szCs w:val="24"/>
          <w:highlight w:val="none"/>
          <w:u w:val="single"/>
        </w:rPr>
        <w:t>且质量合格，在本工程施工竣工验收后十五天内可申请返</w:t>
      </w:r>
      <w:r>
        <w:rPr>
          <w:rFonts w:hint="eastAsia" w:ascii="宋体" w:hAnsi="宋体" w:eastAsia="宋体" w:cs="宋体"/>
          <w:color w:val="auto"/>
          <w:spacing w:val="9"/>
          <w:sz w:val="24"/>
          <w:szCs w:val="24"/>
          <w:highlight w:val="none"/>
          <w:u w:val="single"/>
        </w:rPr>
        <w:t>还全部或部分罚款</w:t>
      </w:r>
      <w:r>
        <w:rPr>
          <w:rFonts w:hint="eastAsia" w:ascii="宋体" w:hAnsi="宋体" w:eastAsia="宋体" w:cs="宋体"/>
          <w:color w:val="auto"/>
          <w:spacing w:val="9"/>
          <w:sz w:val="24"/>
          <w:szCs w:val="24"/>
          <w:highlight w:val="none"/>
          <w:u w:val="single"/>
          <w:lang w:eastAsia="zh-CN"/>
        </w:rPr>
        <w:t>，</w:t>
      </w:r>
      <w:r>
        <w:rPr>
          <w:rFonts w:hint="eastAsia" w:ascii="宋体" w:hAnsi="宋体" w:eastAsia="宋体" w:cs="宋体"/>
          <w:color w:val="auto"/>
          <w:spacing w:val="9"/>
          <w:sz w:val="24"/>
          <w:szCs w:val="24"/>
          <w:highlight w:val="none"/>
          <w:u w:val="single"/>
        </w:rPr>
        <w:t>返还</w:t>
      </w:r>
      <w:r>
        <w:rPr>
          <w:rFonts w:hint="eastAsia" w:ascii="宋体" w:hAnsi="宋体" w:eastAsia="宋体" w:cs="宋体"/>
          <w:color w:val="auto"/>
          <w:spacing w:val="10"/>
          <w:sz w:val="24"/>
          <w:szCs w:val="24"/>
          <w:highlight w:val="none"/>
          <w:u w:val="single"/>
        </w:rPr>
        <w:t>金额由监理人审核</w:t>
      </w:r>
      <w:r>
        <w:rPr>
          <w:rFonts w:hint="eastAsia" w:ascii="宋体" w:hAnsi="宋体" w:eastAsia="宋体" w:cs="宋体"/>
          <w:color w:val="auto"/>
          <w:spacing w:val="10"/>
          <w:sz w:val="24"/>
          <w:szCs w:val="24"/>
          <w:highlight w:val="none"/>
          <w:u w:val="single"/>
          <w:lang w:eastAsia="zh-CN"/>
        </w:rPr>
        <w:t>，</w:t>
      </w:r>
      <w:r>
        <w:rPr>
          <w:rFonts w:hint="eastAsia" w:ascii="宋体" w:hAnsi="宋体" w:eastAsia="宋体" w:cs="宋体"/>
          <w:color w:val="auto"/>
          <w:spacing w:val="10"/>
          <w:sz w:val="24"/>
          <w:szCs w:val="24"/>
          <w:highlight w:val="none"/>
          <w:u w:val="single"/>
        </w:rPr>
        <w:t>发包人批准。罚款金额返还时不包括银行利息。承包人履约</w:t>
      </w:r>
      <w:r>
        <w:rPr>
          <w:rFonts w:hint="eastAsia" w:ascii="宋体" w:hAnsi="宋体" w:eastAsia="宋体" w:cs="宋体"/>
          <w:color w:val="auto"/>
          <w:spacing w:val="9"/>
          <w:sz w:val="24"/>
          <w:szCs w:val="24"/>
          <w:highlight w:val="none"/>
          <w:u w:val="single"/>
        </w:rPr>
        <w:t>保证金被罚款后由发包人从最后一次计量支付时扣除相应金额补足履约保证金。</w:t>
      </w:r>
    </w:p>
    <w:p w14:paraId="4F8F354E">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16.2.3</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4"/>
          <w:sz w:val="24"/>
          <w:szCs w:val="24"/>
          <w:highlight w:val="none"/>
        </w:rPr>
        <w:t>因承包人违约解除合同</w:t>
      </w:r>
    </w:p>
    <w:p w14:paraId="169DE3D0">
      <w:pPr>
        <w:keepNext w:val="0"/>
        <w:keepLines w:val="0"/>
        <w:pageBreakBefore w:val="0"/>
        <w:widowControl/>
        <w:kinsoku w:val="0"/>
        <w:wordWrap/>
        <w:overflowPunct/>
        <w:topLinePunct w:val="0"/>
        <w:autoSpaceDE w:val="0"/>
        <w:autoSpaceDN w:val="0"/>
        <w:bidi w:val="0"/>
        <w:adjustRightInd w:val="0"/>
        <w:snapToGrid w:val="0"/>
        <w:spacing w:before="135" w:line="50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关于承包人违约解除合同的特别约定：</w:t>
      </w:r>
      <w:r>
        <w:rPr>
          <w:rFonts w:hint="eastAsia" w:ascii="宋体" w:hAnsi="宋体" w:eastAsia="宋体" w:cs="宋体"/>
          <w:color w:val="auto"/>
          <w:spacing w:val="10"/>
          <w:sz w:val="24"/>
          <w:szCs w:val="24"/>
          <w:highlight w:val="none"/>
          <w:u w:val="single" w:color="auto"/>
        </w:rPr>
        <w:t>承包人有违反以下情况之一的，</w:t>
      </w:r>
      <w:r>
        <w:rPr>
          <w:rFonts w:hint="eastAsia" w:ascii="宋体" w:hAnsi="宋体" w:eastAsia="宋体" w:cs="宋体"/>
          <w:color w:val="auto"/>
          <w:spacing w:val="9"/>
          <w:sz w:val="24"/>
          <w:szCs w:val="24"/>
          <w:highlight w:val="none"/>
          <w:u w:val="single" w:color="auto"/>
        </w:rPr>
        <w:t>发包人有权解除合同，并没收</w:t>
      </w:r>
      <w:r>
        <w:rPr>
          <w:rFonts w:hint="eastAsia" w:ascii="宋体" w:hAnsi="宋体" w:eastAsia="宋体" w:cs="宋体"/>
          <w:color w:val="auto"/>
          <w:spacing w:val="7"/>
          <w:sz w:val="24"/>
          <w:szCs w:val="24"/>
          <w:highlight w:val="none"/>
          <w:u w:val="single" w:color="auto"/>
        </w:rPr>
        <w:t>其全部履约保证金</w:t>
      </w:r>
      <w:r>
        <w:rPr>
          <w:rFonts w:hint="eastAsia" w:ascii="宋体" w:hAnsi="宋体" w:eastAsia="宋体" w:cs="宋体"/>
          <w:color w:val="auto"/>
          <w:spacing w:val="7"/>
          <w:sz w:val="24"/>
          <w:szCs w:val="24"/>
          <w:highlight w:val="none"/>
        </w:rPr>
        <w:t>。</w:t>
      </w:r>
    </w:p>
    <w:p w14:paraId="4E49523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(1)承包人无正当理由不按开工通知的要求及时进场组织施工和不按签订协议书时商定的进度计划有效地开展施工准备，造成工期延误的；</w:t>
      </w:r>
    </w:p>
    <w:p w14:paraId="22254FC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(2)承包人违反本合同通用条款第 3.5 条规定私自将合同或合同的任何部分或任何权利转让给其他人，或私自将工程或工程的一部分分包出去的；</w:t>
      </w:r>
    </w:p>
    <w:p w14:paraId="5579B5D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(3)未经监理人批准，承包人私自将已按投标文件承诺进入工地的工程设备、施工设备、临时工程或材料撤离工地的；</w:t>
      </w:r>
    </w:p>
    <w:p w14:paraId="46B5913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(4)由于承包人原因拒绝按合同进度计划及时完成合同规定的工程，而又未采取有效措施赶上进度，造成工期延误的；</w:t>
      </w:r>
    </w:p>
    <w:p w14:paraId="0B327D2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(5)承包人否认合同有效或拒绝履行合同规定的承包人义务，或由于法律、财务等原因导致承包人无法继续履行或实质上已停止履行合同的义务的；</w:t>
      </w:r>
    </w:p>
    <w:p w14:paraId="7399432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(6)合同签订之日起十五日内，承包人无法按合同规定及投标文件的承诺进场经监理工程师认可的全部人员和机械的。</w:t>
      </w:r>
    </w:p>
    <w:p w14:paraId="3DB58CD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8"/>
          <w:sz w:val="24"/>
          <w:szCs w:val="24"/>
          <w:highlight w:val="none"/>
          <w:u w:val="single"/>
          <w:lang w:val="en-US" w:eastAsia="zh-CN"/>
        </w:rPr>
        <w:t>双方另行确定</w:t>
      </w:r>
      <w:r>
        <w:rPr>
          <w:rFonts w:hint="eastAsia" w:ascii="宋体" w:hAnsi="宋体" w:eastAsia="宋体" w:cs="宋体"/>
          <w:color w:val="auto"/>
          <w:sz w:val="24"/>
          <w:szCs w:val="24"/>
          <w:highlight w:val="none"/>
        </w:rPr>
        <w:t>。</w:t>
      </w:r>
    </w:p>
    <w:p w14:paraId="23FDDB96">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1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17.</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不可抗力</w:t>
      </w:r>
    </w:p>
    <w:p w14:paraId="3C18948A">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6"/>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17.1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不可抗力的确认</w:t>
      </w:r>
    </w:p>
    <w:p w14:paraId="659BD8EE">
      <w:pPr>
        <w:pStyle w:val="4"/>
        <w:keepNext w:val="0"/>
        <w:keepLines w:val="0"/>
        <w:pageBreakBefore w:val="0"/>
        <w:widowControl/>
        <w:kinsoku w:val="0"/>
        <w:wordWrap/>
        <w:overflowPunct/>
        <w:topLinePunct w:val="0"/>
        <w:autoSpaceDE w:val="0"/>
        <w:autoSpaceDN w:val="0"/>
        <w:bidi w:val="0"/>
        <w:adjustRightInd w:val="0"/>
        <w:snapToGrid w:val="0"/>
        <w:spacing w:before="76" w:line="500" w:lineRule="exact"/>
        <w:ind w:left="23" w:firstLine="448"/>
        <w:textAlignment w:val="baseline"/>
        <w:rPr>
          <w:rFonts w:hint="eastAsia" w:eastAsia="宋体"/>
          <w:color w:val="auto"/>
          <w:spacing w:val="-3"/>
          <w:sz w:val="24"/>
          <w:szCs w:val="24"/>
          <w:highlight w:val="none"/>
          <w:u w:val="single" w:color="auto"/>
          <w:lang w:val="en-US" w:eastAsia="zh-CN"/>
        </w:rPr>
      </w:pPr>
      <w:r>
        <w:rPr>
          <w:rFonts w:hint="eastAsia" w:ascii="宋体" w:hAnsi="宋体" w:eastAsia="宋体" w:cs="宋体"/>
          <w:color w:val="auto"/>
          <w:spacing w:val="9"/>
          <w:sz w:val="24"/>
          <w:szCs w:val="24"/>
          <w:highlight w:val="none"/>
        </w:rPr>
        <w:t>除通用合同条款约定的不可抗力事件之外，视为不可抗力的其他情形</w:t>
      </w:r>
      <w:r>
        <w:rPr>
          <w:rFonts w:hint="eastAsia" w:ascii="宋体" w:hAnsi="宋体" w:eastAsia="宋体" w:cs="宋体"/>
          <w:color w:val="auto"/>
          <w:spacing w:val="-12"/>
          <w:sz w:val="24"/>
          <w:szCs w:val="24"/>
          <w:highlight w:val="none"/>
        </w:rPr>
        <w:t>：</w:t>
      </w:r>
      <w:r>
        <w:rPr>
          <w:color w:val="auto"/>
          <w:spacing w:val="-87"/>
          <w:sz w:val="24"/>
          <w:szCs w:val="24"/>
          <w:highlight w:val="none"/>
          <w:u w:val="single" w:color="auto"/>
        </w:rPr>
        <w:t xml:space="preserve"> </w:t>
      </w:r>
      <w:r>
        <w:rPr>
          <w:color w:val="auto"/>
          <w:spacing w:val="-1"/>
          <w:sz w:val="24"/>
          <w:szCs w:val="24"/>
          <w:highlight w:val="none"/>
          <w:u w:val="single" w:color="auto"/>
        </w:rPr>
        <w:t>不可抗力包括</w:t>
      </w:r>
      <w:r>
        <w:rPr>
          <w:color w:val="auto"/>
          <w:spacing w:val="-2"/>
          <w:sz w:val="24"/>
          <w:szCs w:val="24"/>
          <w:highlight w:val="none"/>
          <w:u w:val="single" w:color="auto"/>
        </w:rPr>
        <w:t>因战争、恐怖主义、动乱、空中飞行物体坠落或其他非发包人、承包人责任造成的爆炸</w:t>
      </w:r>
      <w:r>
        <w:rPr>
          <w:rFonts w:hint="eastAsia" w:eastAsia="宋体"/>
          <w:color w:val="auto"/>
          <w:spacing w:val="-2"/>
          <w:sz w:val="24"/>
          <w:szCs w:val="24"/>
          <w:highlight w:val="none"/>
          <w:u w:val="single" w:color="auto"/>
          <w:lang w:eastAsia="zh-CN"/>
        </w:rPr>
        <w:t>、</w:t>
      </w:r>
      <w:r>
        <w:rPr>
          <w:color w:val="auto"/>
          <w:spacing w:val="-2"/>
          <w:sz w:val="24"/>
          <w:szCs w:val="24"/>
          <w:highlight w:val="none"/>
          <w:u w:val="single" w:color="auto"/>
        </w:rPr>
        <w:t>停工、</w:t>
      </w:r>
      <w:r>
        <w:rPr>
          <w:color w:val="auto"/>
          <w:spacing w:val="-3"/>
          <w:sz w:val="24"/>
          <w:szCs w:val="24"/>
          <w:highlight w:val="none"/>
          <w:u w:val="single" w:color="auto"/>
        </w:rPr>
        <w:t>火灾，以及：</w:t>
      </w:r>
      <w:r>
        <w:rPr>
          <w:rFonts w:ascii="Calibri" w:hAnsi="Calibri" w:eastAsia="Calibri" w:cs="Calibri"/>
          <w:color w:val="auto"/>
          <w:spacing w:val="-3"/>
          <w:sz w:val="24"/>
          <w:szCs w:val="24"/>
          <w:highlight w:val="none"/>
          <w:u w:val="single" w:color="auto"/>
        </w:rPr>
        <w:t>1</w:t>
      </w:r>
      <w:r>
        <w:rPr>
          <w:color w:val="auto"/>
          <w:spacing w:val="-3"/>
          <w:sz w:val="24"/>
          <w:szCs w:val="24"/>
          <w:highlight w:val="none"/>
          <w:u w:val="single" w:color="auto"/>
        </w:rPr>
        <w:t>、当地气象部门规定的情形；</w:t>
      </w:r>
      <w:r>
        <w:rPr>
          <w:rFonts w:ascii="Calibri" w:hAnsi="Calibri" w:eastAsia="Calibri" w:cs="Calibri"/>
          <w:color w:val="auto"/>
          <w:spacing w:val="-3"/>
          <w:sz w:val="24"/>
          <w:szCs w:val="24"/>
          <w:highlight w:val="none"/>
          <w:u w:val="single" w:color="auto"/>
        </w:rPr>
        <w:t>2</w:t>
      </w:r>
      <w:r>
        <w:rPr>
          <w:color w:val="auto"/>
          <w:spacing w:val="-3"/>
          <w:sz w:val="24"/>
          <w:szCs w:val="24"/>
          <w:highlight w:val="none"/>
          <w:u w:val="single" w:color="auto"/>
        </w:rPr>
        <w:t>、当地地震部门规定的情形</w:t>
      </w:r>
      <w:r>
        <w:rPr>
          <w:rFonts w:hint="eastAsia" w:eastAsia="宋体"/>
          <w:color w:val="auto"/>
          <w:spacing w:val="-3"/>
          <w:sz w:val="24"/>
          <w:szCs w:val="24"/>
          <w:highlight w:val="none"/>
          <w:u w:val="single" w:color="auto"/>
          <w:lang w:val="en-US" w:eastAsia="zh-CN"/>
        </w:rPr>
        <w:t xml:space="preserve"> </w:t>
      </w:r>
    </w:p>
    <w:p w14:paraId="75E99432">
      <w:pPr>
        <w:pStyle w:val="4"/>
        <w:keepNext w:val="0"/>
        <w:keepLines w:val="0"/>
        <w:pageBreakBefore w:val="0"/>
        <w:widowControl/>
        <w:kinsoku w:val="0"/>
        <w:wordWrap/>
        <w:overflowPunct/>
        <w:topLinePunct w:val="0"/>
        <w:autoSpaceDE w:val="0"/>
        <w:autoSpaceDN w:val="0"/>
        <w:bidi w:val="0"/>
        <w:adjustRightInd w:val="0"/>
        <w:snapToGrid w:val="0"/>
        <w:spacing w:before="76" w:line="500" w:lineRule="exact"/>
        <w:textAlignment w:val="baseline"/>
        <w:rPr>
          <w:rFonts w:hint="eastAsia" w:ascii="宋体" w:hAnsi="宋体" w:eastAsia="宋体" w:cs="宋体"/>
          <w:color w:val="auto"/>
          <w:sz w:val="24"/>
          <w:szCs w:val="24"/>
          <w:highlight w:val="none"/>
        </w:rPr>
      </w:pPr>
      <w:r>
        <w:rPr>
          <w:rFonts w:ascii="Calibri" w:hAnsi="Calibri" w:eastAsia="Calibri" w:cs="Calibri"/>
          <w:color w:val="auto"/>
          <w:spacing w:val="-3"/>
          <w:sz w:val="24"/>
          <w:szCs w:val="24"/>
          <w:highlight w:val="none"/>
          <w:u w:val="single" w:color="auto"/>
        </w:rPr>
        <w:t>3</w:t>
      </w:r>
      <w:r>
        <w:rPr>
          <w:color w:val="auto"/>
          <w:spacing w:val="-3"/>
          <w:sz w:val="24"/>
          <w:szCs w:val="24"/>
          <w:highlight w:val="none"/>
          <w:u w:val="single" w:color="auto"/>
        </w:rPr>
        <w:t>、当地卫生部门规定</w:t>
      </w:r>
      <w:r>
        <w:rPr>
          <w:color w:val="auto"/>
          <w:spacing w:val="-2"/>
          <w:sz w:val="24"/>
          <w:szCs w:val="24"/>
          <w:highlight w:val="none"/>
          <w:u w:val="single" w:color="auto"/>
        </w:rPr>
        <w:t>的情形</w:t>
      </w:r>
      <w:r>
        <w:rPr>
          <w:color w:val="auto"/>
          <w:spacing w:val="-2"/>
          <w:sz w:val="24"/>
          <w:szCs w:val="24"/>
          <w:highlight w:val="none"/>
        </w:rPr>
        <w:t>。</w:t>
      </w:r>
    </w:p>
    <w:p w14:paraId="480BB290">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17.4</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因不可抗力解除合同</w:t>
      </w:r>
    </w:p>
    <w:p w14:paraId="403BDAF3">
      <w:pPr>
        <w:keepNext w:val="0"/>
        <w:keepLines w:val="0"/>
        <w:pageBreakBefore w:val="0"/>
        <w:widowControl/>
        <w:kinsoku w:val="0"/>
        <w:wordWrap/>
        <w:overflowPunct/>
        <w:topLinePunct w:val="0"/>
        <w:autoSpaceDE w:val="0"/>
        <w:autoSpaceDN w:val="0"/>
        <w:bidi w:val="0"/>
        <w:adjustRightInd w:val="0"/>
        <w:snapToGrid w:val="0"/>
        <w:spacing w:before="132" w:line="500" w:lineRule="exact"/>
        <w:ind w:firstLine="258" w:firstLineChars="1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合同解除后，发包人应在商定或确定发包人应支付款项后</w:t>
      </w:r>
      <w:r>
        <w:rPr>
          <w:rFonts w:hint="eastAsia" w:ascii="宋体" w:hAnsi="宋体" w:eastAsia="宋体" w:cs="宋体"/>
          <w:color w:val="auto"/>
          <w:spacing w:val="9"/>
          <w:sz w:val="24"/>
          <w:szCs w:val="24"/>
          <w:highlight w:val="none"/>
          <w:u w:val="single" w:color="auto"/>
        </w:rPr>
        <w:t xml:space="preserve"> 30 </w:t>
      </w:r>
      <w:r>
        <w:rPr>
          <w:rFonts w:hint="eastAsia" w:ascii="宋体" w:hAnsi="宋体" w:eastAsia="宋体" w:cs="宋体"/>
          <w:color w:val="auto"/>
          <w:spacing w:val="9"/>
          <w:sz w:val="24"/>
          <w:szCs w:val="24"/>
          <w:highlight w:val="none"/>
        </w:rPr>
        <w:t>天内完成款项的支付</w:t>
      </w:r>
      <w:r>
        <w:rPr>
          <w:rFonts w:hint="eastAsia" w:ascii="宋体" w:hAnsi="宋体" w:eastAsia="宋体" w:cs="宋体"/>
          <w:color w:val="auto"/>
          <w:spacing w:val="9"/>
          <w:sz w:val="24"/>
          <w:szCs w:val="24"/>
          <w:highlight w:val="none"/>
          <w:lang w:eastAsia="zh-CN"/>
        </w:rPr>
        <w:t>。</w:t>
      </w:r>
    </w:p>
    <w:p w14:paraId="5168BBB1">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1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18.</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1"/>
          <w:sz w:val="24"/>
          <w:szCs w:val="24"/>
          <w:highlight w:val="none"/>
          <w14:textOutline w14:w="3795" w14:cap="sq" w14:cmpd="sng">
            <w14:solidFill>
              <w14:srgbClr w14:val="000000"/>
            </w14:solidFill>
            <w14:prstDash w14:val="solid"/>
            <w14:bevel/>
          </w14:textOutline>
        </w:rPr>
        <w:t>保险</w:t>
      </w:r>
    </w:p>
    <w:p w14:paraId="00367FC1">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5"/>
        <w:textAlignment w:val="baseline"/>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18.1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14:textOutline w14:w="3795" w14:cap="sq" w14:cmpd="sng">
            <w14:solidFill>
              <w14:srgbClr w14:val="000000"/>
            </w14:solidFill>
            <w14:prstDash w14:val="solid"/>
            <w14:bevel/>
          </w14:textOutline>
        </w:rPr>
        <w:t>工程保险</w:t>
      </w:r>
      <w:r>
        <w:rPr>
          <w:rFonts w:hint="eastAsia" w:ascii="宋体" w:hAnsi="宋体" w:eastAsia="宋体" w:cs="宋体"/>
          <w:color w:val="auto"/>
          <w:spacing w:val="3"/>
          <w:sz w:val="24"/>
          <w:szCs w:val="24"/>
          <w:highlight w:val="none"/>
          <w:lang w:val="en-US" w:eastAsia="zh-CN"/>
          <w14:textOutline w14:w="3795" w14:cap="sq" w14:cmpd="sng">
            <w14:solidFill>
              <w14:srgbClr w14:val="000000"/>
            </w14:solidFill>
            <w14:prstDash w14:val="solid"/>
            <w14:bevel/>
          </w14:textOutline>
        </w:rPr>
        <w:t xml:space="preserve"> </w:t>
      </w:r>
    </w:p>
    <w:p w14:paraId="41EAFD5F">
      <w:pPr>
        <w:keepNext w:val="0"/>
        <w:keepLines w:val="0"/>
        <w:pageBreakBefore w:val="0"/>
        <w:widowControl/>
        <w:kinsoku w:val="0"/>
        <w:wordWrap/>
        <w:overflowPunct/>
        <w:topLinePunct w:val="0"/>
        <w:autoSpaceDE w:val="0"/>
        <w:autoSpaceDN w:val="0"/>
        <w:bidi w:val="0"/>
        <w:adjustRightInd w:val="0"/>
        <w:snapToGrid w:val="0"/>
        <w:spacing w:before="131" w:line="50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关于工程保险的特别约定：</w:t>
      </w:r>
      <w:r>
        <w:rPr>
          <w:rFonts w:hint="eastAsia" w:ascii="宋体" w:hAnsi="宋体" w:eastAsia="宋体" w:cs="宋体"/>
          <w:color w:val="auto"/>
          <w:spacing w:val="9"/>
          <w:sz w:val="24"/>
          <w:szCs w:val="24"/>
          <w:highlight w:val="none"/>
          <w:u w:val="single"/>
          <w:lang w:val="en-US" w:eastAsia="zh-CN"/>
        </w:rPr>
        <w:t>按通用条款执行</w:t>
      </w:r>
      <w:r>
        <w:rPr>
          <w:rFonts w:hint="eastAsia" w:ascii="宋体" w:hAnsi="宋体" w:eastAsia="宋体" w:cs="宋体"/>
          <w:color w:val="auto"/>
          <w:spacing w:val="9"/>
          <w:sz w:val="24"/>
          <w:szCs w:val="24"/>
          <w:highlight w:val="none"/>
        </w:rPr>
        <w:t>。</w:t>
      </w:r>
    </w:p>
    <w:p w14:paraId="50440A1C">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18.3</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其他保险</w:t>
      </w:r>
    </w:p>
    <w:p w14:paraId="59C4EAFE">
      <w:pPr>
        <w:keepNext w:val="0"/>
        <w:keepLines w:val="0"/>
        <w:pageBreakBefore w:val="0"/>
        <w:widowControl/>
        <w:kinsoku w:val="0"/>
        <w:wordWrap/>
        <w:overflowPunct/>
        <w:topLinePunct w:val="0"/>
        <w:autoSpaceDE w:val="0"/>
        <w:autoSpaceDN w:val="0"/>
        <w:bidi w:val="0"/>
        <w:adjustRightInd w:val="0"/>
        <w:snapToGrid w:val="0"/>
        <w:spacing w:before="134" w:line="50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关于其他保险的约定：</w:t>
      </w:r>
      <w:r>
        <w:rPr>
          <w:rFonts w:hint="eastAsia" w:ascii="宋体" w:hAnsi="宋体" w:eastAsia="宋体" w:cs="宋体"/>
          <w:color w:val="auto"/>
          <w:spacing w:val="9"/>
          <w:sz w:val="24"/>
          <w:szCs w:val="24"/>
          <w:highlight w:val="none"/>
          <w:u w:val="single" w:color="auto"/>
          <w:lang w:val="en-US" w:eastAsia="zh-CN"/>
        </w:rPr>
        <w:t>按通用条款执行</w:t>
      </w:r>
      <w:r>
        <w:rPr>
          <w:rFonts w:hint="eastAsia" w:ascii="宋体" w:hAnsi="宋体" w:eastAsia="宋体" w:cs="宋体"/>
          <w:color w:val="auto"/>
          <w:spacing w:val="8"/>
          <w:sz w:val="24"/>
          <w:szCs w:val="24"/>
          <w:highlight w:val="none"/>
        </w:rPr>
        <w:t>。</w:t>
      </w:r>
    </w:p>
    <w:p w14:paraId="041AAD75">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承包人是否应为其施工设备等办理财产保险：</w:t>
      </w:r>
      <w:r>
        <w:rPr>
          <w:rFonts w:hint="eastAsia" w:ascii="宋体" w:hAnsi="宋体" w:eastAsia="宋体" w:cs="宋体"/>
          <w:color w:val="auto"/>
          <w:spacing w:val="9"/>
          <w:sz w:val="24"/>
          <w:szCs w:val="24"/>
          <w:highlight w:val="none"/>
          <w:u w:val="single" w:color="auto"/>
        </w:rPr>
        <w:t xml:space="preserve"> 按通用条款执行</w:t>
      </w:r>
      <w:r>
        <w:rPr>
          <w:rFonts w:hint="eastAsia" w:ascii="宋体" w:hAnsi="宋体" w:eastAsia="宋体" w:cs="宋体"/>
          <w:color w:val="auto"/>
          <w:spacing w:val="9"/>
          <w:sz w:val="24"/>
          <w:szCs w:val="24"/>
          <w:highlight w:val="none"/>
        </w:rPr>
        <w:t>。</w:t>
      </w:r>
    </w:p>
    <w:p w14:paraId="65C2B028">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35"/>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18.7</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通知义务</w:t>
      </w:r>
    </w:p>
    <w:p w14:paraId="40779923">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关于变更保险合同时的通知义务的约定：</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9"/>
          <w:sz w:val="24"/>
          <w:szCs w:val="24"/>
          <w:highlight w:val="none"/>
          <w:u w:val="single" w:color="auto"/>
        </w:rPr>
        <w:t>按通用条款执行</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1ECDDD09">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20.</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争议解决</w:t>
      </w:r>
    </w:p>
    <w:p w14:paraId="551FDF58">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20.3</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14:textOutline w14:w="3795" w14:cap="sq" w14:cmpd="sng">
            <w14:solidFill>
              <w14:srgbClr w14:val="000000"/>
            </w14:solidFill>
            <w14:prstDash w14:val="solid"/>
            <w14:bevel/>
          </w14:textOutline>
        </w:rPr>
        <w:t>争议评审</w:t>
      </w:r>
    </w:p>
    <w:p w14:paraId="54109E4D">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5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合同当事人是否同意将工程争议提交争议评审小组决定：</w:t>
      </w:r>
      <w:r>
        <w:rPr>
          <w:rFonts w:hint="eastAsia" w:ascii="宋体" w:hAnsi="宋体" w:eastAsia="宋体" w:cs="宋体"/>
          <w:color w:val="auto"/>
          <w:spacing w:val="9"/>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u w:val="single" w:color="auto"/>
          <w:lang w:val="en-US" w:eastAsia="zh-CN"/>
        </w:rPr>
        <w:t xml:space="preserve">/ </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8"/>
          <w:sz w:val="24"/>
          <w:szCs w:val="24"/>
          <w:highlight w:val="none"/>
        </w:rPr>
        <w:t>。</w:t>
      </w:r>
    </w:p>
    <w:p w14:paraId="75FD4457">
      <w:pPr>
        <w:keepNext w:val="0"/>
        <w:keepLines w:val="0"/>
        <w:pageBreakBefore w:val="0"/>
        <w:widowControl/>
        <w:kinsoku w:val="0"/>
        <w:wordWrap/>
        <w:overflowPunct/>
        <w:topLinePunct w:val="0"/>
        <w:autoSpaceDE w:val="0"/>
        <w:autoSpaceDN w:val="0"/>
        <w:bidi w:val="0"/>
        <w:adjustRightInd w:val="0"/>
        <w:snapToGrid w:val="0"/>
        <w:spacing w:before="1" w:line="50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20.3.1 争议评审小组的确定</w:t>
      </w:r>
    </w:p>
    <w:p w14:paraId="0132B982">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争议评审小组成员的确定：</w:t>
      </w:r>
      <w:r>
        <w:rPr>
          <w:rFonts w:hint="eastAsia" w:ascii="宋体" w:hAnsi="宋体" w:eastAsia="宋体" w:cs="宋体"/>
          <w:color w:val="auto"/>
          <w:spacing w:val="6"/>
          <w:sz w:val="24"/>
          <w:szCs w:val="24"/>
          <w:highlight w:val="none"/>
          <w:u w:val="single" w:color="auto"/>
        </w:rPr>
        <w:t xml:space="preserve">            /                 </w:t>
      </w:r>
      <w:r>
        <w:rPr>
          <w:rFonts w:hint="eastAsia" w:ascii="宋体" w:hAnsi="宋体" w:eastAsia="宋体" w:cs="宋体"/>
          <w:color w:val="auto"/>
          <w:spacing w:val="6"/>
          <w:sz w:val="24"/>
          <w:szCs w:val="24"/>
          <w:highlight w:val="none"/>
        </w:rPr>
        <w:t>。</w:t>
      </w:r>
    </w:p>
    <w:p w14:paraId="0D5C607F">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1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选定争议评审员的期限：</w:t>
      </w:r>
      <w:r>
        <w:rPr>
          <w:rFonts w:hint="eastAsia" w:ascii="宋体" w:hAnsi="宋体" w:eastAsia="宋体" w:cs="宋体"/>
          <w:color w:val="auto"/>
          <w:spacing w:val="6"/>
          <w:sz w:val="24"/>
          <w:szCs w:val="24"/>
          <w:highlight w:val="none"/>
          <w:u w:val="single" w:color="auto"/>
        </w:rPr>
        <w:t xml:space="preserve">              /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5"/>
          <w:sz w:val="24"/>
          <w:szCs w:val="24"/>
          <w:highlight w:val="none"/>
        </w:rPr>
        <w:t>。</w:t>
      </w:r>
    </w:p>
    <w:p w14:paraId="37830283">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争议评审小组成员的报酬承担方式：</w:t>
      </w:r>
      <w:r>
        <w:rPr>
          <w:rFonts w:hint="eastAsia" w:ascii="宋体" w:hAnsi="宋体" w:eastAsia="宋体" w:cs="宋体"/>
          <w:color w:val="auto"/>
          <w:spacing w:val="7"/>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 xml:space="preserve">   /           </w:t>
      </w:r>
      <w:r>
        <w:rPr>
          <w:rFonts w:hint="eastAsia" w:ascii="宋体" w:hAnsi="宋体" w:eastAsia="宋体" w:cs="宋体"/>
          <w:color w:val="auto"/>
          <w:spacing w:val="6"/>
          <w:sz w:val="24"/>
          <w:szCs w:val="24"/>
          <w:highlight w:val="none"/>
        </w:rPr>
        <w:t>。</w:t>
      </w:r>
    </w:p>
    <w:p w14:paraId="6851C96D">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其他事项的约定：</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5"/>
          <w:sz w:val="24"/>
          <w:szCs w:val="24"/>
          <w:highlight w:val="none"/>
          <w:u w:val="single" w:color="auto"/>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5"/>
          <w:sz w:val="24"/>
          <w:szCs w:val="24"/>
          <w:highlight w:val="none"/>
        </w:rPr>
        <w:t>。</w:t>
      </w:r>
    </w:p>
    <w:p w14:paraId="491EDF58">
      <w:pPr>
        <w:keepNext w:val="0"/>
        <w:keepLines w:val="0"/>
        <w:pageBreakBefore w:val="0"/>
        <w:widowControl/>
        <w:kinsoku w:val="0"/>
        <w:wordWrap/>
        <w:overflowPunct/>
        <w:topLinePunct w:val="0"/>
        <w:autoSpaceDE w:val="0"/>
        <w:autoSpaceDN w:val="0"/>
        <w:bidi w:val="0"/>
        <w:adjustRightInd w:val="0"/>
        <w:snapToGrid w:val="0"/>
        <w:spacing w:before="1" w:line="500" w:lineRule="exact"/>
        <w:ind w:left="42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20.3.2 争议评审小组的决定</w:t>
      </w:r>
    </w:p>
    <w:p w14:paraId="38BCC7CC">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合同当事人关于本项的约定：</w:t>
      </w:r>
      <w:r>
        <w:rPr>
          <w:rFonts w:hint="eastAsia" w:ascii="宋体" w:hAnsi="宋体" w:eastAsia="宋体" w:cs="宋体"/>
          <w:color w:val="auto"/>
          <w:spacing w:val="6"/>
          <w:sz w:val="24"/>
          <w:szCs w:val="24"/>
          <w:highlight w:val="none"/>
          <w:u w:val="single" w:color="auto"/>
        </w:rPr>
        <w:t xml:space="preserve">         /                  </w:t>
      </w:r>
      <w:r>
        <w:rPr>
          <w:rFonts w:hint="eastAsia" w:ascii="宋体" w:hAnsi="宋体" w:eastAsia="宋体" w:cs="宋体"/>
          <w:color w:val="auto"/>
          <w:spacing w:val="6"/>
          <w:sz w:val="24"/>
          <w:szCs w:val="24"/>
          <w:highlight w:val="none"/>
        </w:rPr>
        <w:t>。</w:t>
      </w:r>
    </w:p>
    <w:p w14:paraId="107F8F8A">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422"/>
        <w:textAlignment w:val="baseline"/>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20.4</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14:textOutline w14:w="3795" w14:cap="sq" w14:cmpd="sng">
            <w14:solidFill>
              <w14:srgbClr w14:val="000000"/>
            </w14:solidFill>
            <w14:prstDash w14:val="solid"/>
            <w14:bevel/>
          </w14:textOutline>
        </w:rPr>
        <w:t>仲裁或诉讼</w:t>
      </w:r>
    </w:p>
    <w:p w14:paraId="6D49B6C4">
      <w:pPr>
        <w:keepNext w:val="0"/>
        <w:keepLines w:val="0"/>
        <w:pageBreakBefore w:val="0"/>
        <w:widowControl/>
        <w:kinsoku w:val="0"/>
        <w:wordWrap/>
        <w:overflowPunct/>
        <w:topLinePunct w:val="0"/>
        <w:autoSpaceDE w:val="0"/>
        <w:autoSpaceDN w:val="0"/>
        <w:bidi w:val="0"/>
        <w:adjustRightInd w:val="0"/>
        <w:snapToGrid w:val="0"/>
        <w:spacing w:before="132" w:line="500" w:lineRule="exact"/>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因合同及合同有关事项发生的争议，按下列第</w:t>
      </w:r>
      <w:r>
        <w:rPr>
          <w:rFonts w:hint="eastAsia" w:ascii="宋体" w:hAnsi="宋体" w:eastAsia="宋体" w:cs="宋体"/>
          <w:color w:val="auto"/>
          <w:spacing w:val="8"/>
          <w:sz w:val="24"/>
          <w:szCs w:val="24"/>
          <w:highlight w:val="none"/>
          <w:u w:val="single" w:color="auto"/>
        </w:rPr>
        <w:t xml:space="preserve">  （</w:t>
      </w:r>
      <w:r>
        <w:rPr>
          <w:rFonts w:hint="eastAsia" w:ascii="宋体" w:hAnsi="宋体" w:eastAsia="宋体" w:cs="宋体"/>
          <w:color w:val="auto"/>
          <w:spacing w:val="7"/>
          <w:sz w:val="24"/>
          <w:szCs w:val="24"/>
          <w:highlight w:val="none"/>
          <w:u w:val="single" w:color="auto"/>
        </w:rPr>
        <w:t xml:space="preserve">2）    </w:t>
      </w:r>
      <w:r>
        <w:rPr>
          <w:rFonts w:hint="eastAsia" w:ascii="宋体" w:hAnsi="宋体" w:eastAsia="宋体" w:cs="宋体"/>
          <w:color w:val="auto"/>
          <w:spacing w:val="-91"/>
          <w:sz w:val="24"/>
          <w:szCs w:val="24"/>
          <w:highlight w:val="none"/>
        </w:rPr>
        <w:t xml:space="preserve"> </w:t>
      </w:r>
      <w:r>
        <w:rPr>
          <w:rFonts w:hint="eastAsia" w:ascii="宋体" w:hAnsi="宋体" w:eastAsia="宋体" w:cs="宋体"/>
          <w:color w:val="auto"/>
          <w:spacing w:val="7"/>
          <w:sz w:val="24"/>
          <w:szCs w:val="24"/>
          <w:highlight w:val="none"/>
        </w:rPr>
        <w:t>种方式解决：</w:t>
      </w:r>
    </w:p>
    <w:p w14:paraId="4DD6E553">
      <w:pPr>
        <w:keepNext w:val="0"/>
        <w:keepLines w:val="0"/>
        <w:pageBreakBefore w:val="0"/>
        <w:widowControl/>
        <w:kinsoku w:val="0"/>
        <w:wordWrap/>
        <w:overflowPunct/>
        <w:topLinePunct w:val="0"/>
        <w:autoSpaceDE w:val="0"/>
        <w:autoSpaceDN w:val="0"/>
        <w:bidi w:val="0"/>
        <w:adjustRightInd w:val="0"/>
        <w:snapToGrid w:val="0"/>
        <w:spacing w:before="133" w:line="500" w:lineRule="exact"/>
        <w:ind w:firstLine="504"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（1）提请</w:t>
      </w:r>
      <w:r>
        <w:rPr>
          <w:rFonts w:hint="eastAsia" w:ascii="宋体" w:hAnsi="宋体" w:eastAsia="宋体" w:cs="宋体"/>
          <w:color w:val="auto"/>
          <w:spacing w:val="-98"/>
          <w:sz w:val="24"/>
          <w:szCs w:val="24"/>
          <w:highlight w:val="none"/>
        </w:rPr>
        <w:t xml:space="preserve"> </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6"/>
          <w:sz w:val="24"/>
          <w:szCs w:val="24"/>
          <w:highlight w:val="none"/>
          <w:u w:val="single" w:color="auto"/>
        </w:rPr>
        <w:t>工程所在地</w:t>
      </w:r>
      <w:r>
        <w:rPr>
          <w:rFonts w:hint="eastAsia" w:ascii="宋体" w:hAnsi="宋体" w:eastAsia="宋体" w:cs="宋体"/>
          <w:color w:val="auto"/>
          <w:spacing w:val="5"/>
          <w:sz w:val="24"/>
          <w:szCs w:val="24"/>
          <w:highlight w:val="none"/>
          <w:u w:val="single" w:color="auto"/>
        </w:rPr>
        <w:t xml:space="preserve">  </w:t>
      </w:r>
      <w:r>
        <w:rPr>
          <w:rFonts w:hint="eastAsia" w:ascii="宋体" w:hAnsi="宋体" w:eastAsia="宋体" w:cs="宋体"/>
          <w:color w:val="auto"/>
          <w:spacing w:val="-92"/>
          <w:sz w:val="24"/>
          <w:szCs w:val="24"/>
          <w:highlight w:val="none"/>
        </w:rPr>
        <w:t xml:space="preserve"> </w:t>
      </w:r>
      <w:r>
        <w:rPr>
          <w:rFonts w:hint="eastAsia" w:ascii="宋体" w:hAnsi="宋体" w:eastAsia="宋体" w:cs="宋体"/>
          <w:color w:val="auto"/>
          <w:spacing w:val="6"/>
          <w:sz w:val="24"/>
          <w:szCs w:val="24"/>
          <w:highlight w:val="none"/>
        </w:rPr>
        <w:t>仲裁委员会按照该会仲裁规则进行仲裁，仲裁裁决是终局的，对合同双方均有</w:t>
      </w:r>
      <w:r>
        <w:rPr>
          <w:rFonts w:hint="eastAsia" w:ascii="宋体" w:hAnsi="宋体" w:eastAsia="宋体" w:cs="宋体"/>
          <w:color w:val="auto"/>
          <w:spacing w:val="5"/>
          <w:sz w:val="24"/>
          <w:szCs w:val="24"/>
          <w:highlight w:val="none"/>
        </w:rPr>
        <w:t>约束力。</w:t>
      </w:r>
    </w:p>
    <w:p w14:paraId="375825DF">
      <w:pPr>
        <w:keepNext w:val="0"/>
        <w:keepLines w:val="0"/>
        <w:pageBreakBefore w:val="0"/>
        <w:widowControl/>
        <w:kinsoku w:val="0"/>
        <w:wordWrap/>
        <w:overflowPunct/>
        <w:topLinePunct w:val="0"/>
        <w:autoSpaceDE w:val="0"/>
        <w:autoSpaceDN w:val="0"/>
        <w:bidi w:val="0"/>
        <w:adjustRightInd w:val="0"/>
        <w:snapToGrid w:val="0"/>
        <w:spacing w:line="500" w:lineRule="exact"/>
        <w:ind w:left="43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（2）向</w:t>
      </w:r>
      <w:r>
        <w:rPr>
          <w:rFonts w:hint="eastAsia" w:ascii="宋体" w:hAnsi="宋体" w:eastAsia="宋体" w:cs="宋体"/>
          <w:color w:val="auto"/>
          <w:spacing w:val="6"/>
          <w:sz w:val="24"/>
          <w:szCs w:val="24"/>
          <w:highlight w:val="none"/>
          <w:u w:val="single" w:color="auto"/>
        </w:rPr>
        <w:t xml:space="preserve">    工程所在地 </w:t>
      </w:r>
      <w:r>
        <w:rPr>
          <w:rFonts w:hint="eastAsia" w:ascii="宋体" w:hAnsi="宋体" w:eastAsia="宋体" w:cs="宋体"/>
          <w:color w:val="auto"/>
          <w:spacing w:val="6"/>
          <w:sz w:val="24"/>
          <w:szCs w:val="24"/>
          <w:highlight w:val="none"/>
          <w:u w:val="single" w:color="auto"/>
          <w:lang w:val="en-US" w:eastAsia="zh-CN"/>
        </w:rPr>
        <w:t xml:space="preserve"> </w:t>
      </w:r>
      <w:r>
        <w:rPr>
          <w:rFonts w:hint="eastAsia" w:ascii="宋体" w:hAnsi="宋体" w:eastAsia="宋体" w:cs="宋体"/>
          <w:color w:val="auto"/>
          <w:spacing w:val="6"/>
          <w:sz w:val="24"/>
          <w:szCs w:val="24"/>
          <w:highlight w:val="none"/>
          <w:u w:val="single" w:color="auto"/>
        </w:rPr>
        <w:t xml:space="preserve"> </w:t>
      </w:r>
      <w:r>
        <w:rPr>
          <w:rFonts w:hint="eastAsia" w:ascii="宋体" w:hAnsi="宋体" w:eastAsia="宋体" w:cs="宋体"/>
          <w:color w:val="auto"/>
          <w:spacing w:val="-81"/>
          <w:sz w:val="24"/>
          <w:szCs w:val="24"/>
          <w:highlight w:val="none"/>
        </w:rPr>
        <w:t xml:space="preserve"> </w:t>
      </w:r>
      <w:r>
        <w:rPr>
          <w:rFonts w:hint="eastAsia" w:ascii="宋体" w:hAnsi="宋体" w:eastAsia="宋体" w:cs="宋体"/>
          <w:color w:val="auto"/>
          <w:spacing w:val="6"/>
          <w:sz w:val="24"/>
          <w:szCs w:val="24"/>
          <w:highlight w:val="none"/>
        </w:rPr>
        <w:t>人民法院起诉。</w:t>
      </w:r>
    </w:p>
    <w:p w14:paraId="5C536B5E">
      <w:pPr>
        <w:pStyle w:val="4"/>
        <w:rPr>
          <w:rFonts w:hint="eastAsia" w:ascii="宋体" w:hAnsi="宋体" w:eastAsia="宋体" w:cs="宋体"/>
          <w:color w:val="auto"/>
          <w:spacing w:val="8"/>
          <w:sz w:val="32"/>
          <w:szCs w:val="32"/>
          <w:highlight w:val="none"/>
        </w:rPr>
      </w:pPr>
    </w:p>
    <w:p w14:paraId="09722D94">
      <w:pPr>
        <w:pStyle w:val="4"/>
        <w:rPr>
          <w:rFonts w:hint="eastAsia" w:ascii="宋体" w:hAnsi="宋体" w:eastAsia="宋体" w:cs="宋体"/>
          <w:color w:val="auto"/>
          <w:spacing w:val="8"/>
          <w:sz w:val="32"/>
          <w:szCs w:val="32"/>
          <w:highlight w:val="none"/>
        </w:rPr>
      </w:pPr>
    </w:p>
    <w:p w14:paraId="1EDCD06B">
      <w:pPr>
        <w:pStyle w:val="4"/>
        <w:rPr>
          <w:rFonts w:hint="eastAsia" w:ascii="宋体" w:hAnsi="宋体" w:eastAsia="宋体" w:cs="宋体"/>
          <w:color w:val="auto"/>
          <w:spacing w:val="8"/>
          <w:sz w:val="32"/>
          <w:szCs w:val="32"/>
          <w:highlight w:val="none"/>
        </w:rPr>
      </w:pPr>
    </w:p>
    <w:p w14:paraId="323A6BF7">
      <w:pPr>
        <w:pStyle w:val="4"/>
        <w:rPr>
          <w:rFonts w:hint="eastAsia" w:ascii="宋体" w:hAnsi="宋体" w:eastAsia="宋体" w:cs="宋体"/>
          <w:color w:val="auto"/>
          <w:spacing w:val="8"/>
          <w:sz w:val="32"/>
          <w:szCs w:val="32"/>
          <w:highlight w:val="none"/>
        </w:rPr>
      </w:pPr>
    </w:p>
    <w:p w14:paraId="6C589559">
      <w:pPr>
        <w:pStyle w:val="4"/>
        <w:rPr>
          <w:rFonts w:hint="eastAsia" w:ascii="宋体" w:hAnsi="宋体" w:eastAsia="宋体" w:cs="宋体"/>
          <w:color w:val="auto"/>
          <w:spacing w:val="8"/>
          <w:sz w:val="32"/>
          <w:szCs w:val="32"/>
          <w:highlight w:val="none"/>
        </w:rPr>
      </w:pPr>
    </w:p>
    <w:p w14:paraId="39A751A0">
      <w:pPr>
        <w:rPr>
          <w:rFonts w:hint="eastAsia" w:ascii="宋体" w:hAnsi="宋体" w:eastAsia="宋体" w:cs="宋体"/>
          <w:color w:val="auto"/>
          <w:spacing w:val="8"/>
          <w:sz w:val="32"/>
          <w:szCs w:val="32"/>
          <w:highlight w:val="none"/>
        </w:rPr>
      </w:pPr>
      <w:r>
        <w:rPr>
          <w:rFonts w:hint="eastAsia" w:ascii="宋体" w:hAnsi="宋体" w:eastAsia="宋体" w:cs="宋体"/>
          <w:color w:val="auto"/>
          <w:spacing w:val="8"/>
          <w:sz w:val="32"/>
          <w:szCs w:val="32"/>
          <w:highlight w:val="none"/>
        </w:rPr>
        <w:br w:type="page"/>
      </w:r>
    </w:p>
    <w:p w14:paraId="0A252F84">
      <w:pPr>
        <w:spacing w:before="114" w:line="227" w:lineRule="auto"/>
        <w:jc w:val="center"/>
        <w:rPr>
          <w:rFonts w:hint="eastAsia" w:ascii="宋体" w:hAnsi="宋体" w:eastAsia="宋体" w:cs="宋体"/>
          <w:color w:val="auto"/>
          <w:sz w:val="32"/>
          <w:szCs w:val="32"/>
          <w:highlight w:val="none"/>
        </w:rPr>
      </w:pPr>
      <w:r>
        <w:rPr>
          <w:rFonts w:hint="eastAsia" w:ascii="宋体" w:hAnsi="宋体" w:eastAsia="宋体" w:cs="宋体"/>
          <w:color w:val="auto"/>
          <w:spacing w:val="8"/>
          <w:sz w:val="32"/>
          <w:szCs w:val="32"/>
          <w:highlight w:val="none"/>
        </w:rPr>
        <w:t>发包人供应材料设备一览表</w:t>
      </w:r>
    </w:p>
    <w:p w14:paraId="37D5082A">
      <w:pPr>
        <w:spacing w:line="70" w:lineRule="auto"/>
        <w:rPr>
          <w:rFonts w:hint="eastAsia" w:ascii="宋体" w:hAnsi="宋体" w:eastAsia="宋体" w:cs="宋体"/>
          <w:color w:val="auto"/>
          <w:sz w:val="24"/>
          <w:szCs w:val="24"/>
          <w:highlight w:val="none"/>
        </w:rPr>
      </w:pPr>
    </w:p>
    <w:tbl>
      <w:tblPr>
        <w:tblStyle w:val="40"/>
        <w:tblW w:w="8697"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1096"/>
        <w:gridCol w:w="1131"/>
        <w:gridCol w:w="618"/>
        <w:gridCol w:w="688"/>
        <w:gridCol w:w="1041"/>
        <w:gridCol w:w="717"/>
        <w:gridCol w:w="714"/>
        <w:gridCol w:w="1482"/>
        <w:gridCol w:w="795"/>
      </w:tblGrid>
      <w:tr w14:paraId="4749B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15" w:type="dxa"/>
            <w:tcBorders>
              <w:top w:val="single" w:color="000000" w:sz="10" w:space="0"/>
              <w:left w:val="single" w:color="000000" w:sz="10" w:space="0"/>
            </w:tcBorders>
            <w:textDirection w:val="tbRlV"/>
            <w:vAlign w:val="top"/>
          </w:tcPr>
          <w:p w14:paraId="15A21A96">
            <w:pPr>
              <w:pStyle w:val="41"/>
              <w:spacing w:before="102" w:line="218" w:lineRule="auto"/>
              <w:ind w:left="113"/>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序</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8"/>
                <w:sz w:val="24"/>
                <w:szCs w:val="24"/>
                <w:highlight w:val="none"/>
              </w:rPr>
              <w:t>号</w:t>
            </w:r>
          </w:p>
        </w:tc>
        <w:tc>
          <w:tcPr>
            <w:tcW w:w="1096" w:type="dxa"/>
            <w:tcBorders>
              <w:top w:val="single" w:color="000000" w:sz="10" w:space="0"/>
            </w:tcBorders>
            <w:vAlign w:val="top"/>
          </w:tcPr>
          <w:p w14:paraId="46A17CEA">
            <w:pPr>
              <w:pStyle w:val="41"/>
              <w:spacing w:before="113" w:line="227" w:lineRule="auto"/>
              <w:ind w:left="329"/>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材料、</w:t>
            </w:r>
          </w:p>
          <w:p w14:paraId="4928B458">
            <w:pPr>
              <w:pStyle w:val="41"/>
              <w:spacing w:before="114" w:line="227" w:lineRule="auto"/>
              <w:ind w:left="23"/>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设备品种</w:t>
            </w:r>
          </w:p>
        </w:tc>
        <w:tc>
          <w:tcPr>
            <w:tcW w:w="1131" w:type="dxa"/>
            <w:tcBorders>
              <w:top w:val="single" w:color="000000" w:sz="10" w:space="0"/>
            </w:tcBorders>
            <w:vAlign w:val="top"/>
          </w:tcPr>
          <w:p w14:paraId="719C98C8">
            <w:pPr>
              <w:pStyle w:val="41"/>
              <w:spacing w:before="293" w:line="228" w:lineRule="auto"/>
              <w:ind w:left="141"/>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规格型号</w:t>
            </w:r>
          </w:p>
        </w:tc>
        <w:tc>
          <w:tcPr>
            <w:tcW w:w="618" w:type="dxa"/>
            <w:tcBorders>
              <w:top w:val="single" w:color="000000" w:sz="10" w:space="0"/>
            </w:tcBorders>
            <w:vAlign w:val="top"/>
          </w:tcPr>
          <w:p w14:paraId="7FFF6D0B">
            <w:pPr>
              <w:pStyle w:val="41"/>
              <w:spacing w:before="294" w:line="228" w:lineRule="auto"/>
              <w:ind w:left="98"/>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单位</w:t>
            </w:r>
          </w:p>
        </w:tc>
        <w:tc>
          <w:tcPr>
            <w:tcW w:w="688" w:type="dxa"/>
            <w:tcBorders>
              <w:top w:val="single" w:color="000000" w:sz="10" w:space="0"/>
            </w:tcBorders>
            <w:vAlign w:val="top"/>
          </w:tcPr>
          <w:p w14:paraId="792083F2">
            <w:pPr>
              <w:pStyle w:val="41"/>
              <w:spacing w:before="293" w:line="228" w:lineRule="auto"/>
              <w:ind w:left="136"/>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数量</w:t>
            </w:r>
          </w:p>
        </w:tc>
        <w:tc>
          <w:tcPr>
            <w:tcW w:w="1041" w:type="dxa"/>
            <w:tcBorders>
              <w:top w:val="single" w:color="000000" w:sz="10" w:space="0"/>
            </w:tcBorders>
            <w:vAlign w:val="top"/>
          </w:tcPr>
          <w:p w14:paraId="5BDC1EDB">
            <w:pPr>
              <w:pStyle w:val="41"/>
              <w:spacing w:before="293" w:line="226" w:lineRule="auto"/>
              <w:jc w:val="right"/>
              <w:outlineLvl w:val="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单价（元）</w:t>
            </w:r>
          </w:p>
        </w:tc>
        <w:tc>
          <w:tcPr>
            <w:tcW w:w="717" w:type="dxa"/>
            <w:tcBorders>
              <w:top w:val="single" w:color="000000" w:sz="10" w:space="0"/>
            </w:tcBorders>
            <w:vAlign w:val="top"/>
          </w:tcPr>
          <w:p w14:paraId="76C3BE9A">
            <w:pPr>
              <w:pStyle w:val="41"/>
              <w:spacing w:before="113" w:line="228" w:lineRule="auto"/>
              <w:ind w:left="50"/>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质量等</w:t>
            </w:r>
          </w:p>
          <w:p w14:paraId="6B71C2AF">
            <w:pPr>
              <w:pStyle w:val="41"/>
              <w:spacing w:before="113" w:line="227" w:lineRule="auto"/>
              <w:ind w:left="2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w:t>
            </w:r>
          </w:p>
        </w:tc>
        <w:tc>
          <w:tcPr>
            <w:tcW w:w="714" w:type="dxa"/>
            <w:tcBorders>
              <w:top w:val="single" w:color="000000" w:sz="10" w:space="0"/>
            </w:tcBorders>
            <w:vAlign w:val="top"/>
          </w:tcPr>
          <w:p w14:paraId="404A2DD9">
            <w:pPr>
              <w:pStyle w:val="41"/>
              <w:spacing w:before="113" w:line="227" w:lineRule="auto"/>
              <w:ind w:left="50"/>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供应时</w:t>
            </w:r>
          </w:p>
          <w:p w14:paraId="04302C15">
            <w:pPr>
              <w:pStyle w:val="41"/>
              <w:spacing w:before="114" w:line="227" w:lineRule="auto"/>
              <w:ind w:left="2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间</w:t>
            </w:r>
          </w:p>
        </w:tc>
        <w:tc>
          <w:tcPr>
            <w:tcW w:w="1482" w:type="dxa"/>
            <w:tcBorders>
              <w:top w:val="single" w:color="000000" w:sz="10" w:space="0"/>
            </w:tcBorders>
            <w:vAlign w:val="top"/>
          </w:tcPr>
          <w:p w14:paraId="33B49EE0">
            <w:pPr>
              <w:pStyle w:val="41"/>
              <w:spacing w:before="294" w:line="228" w:lineRule="auto"/>
              <w:ind w:left="330"/>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送达地点</w:t>
            </w:r>
          </w:p>
        </w:tc>
        <w:tc>
          <w:tcPr>
            <w:tcW w:w="795" w:type="dxa"/>
            <w:tcBorders>
              <w:top w:val="single" w:color="000000" w:sz="10" w:space="0"/>
              <w:right w:val="single" w:color="000000" w:sz="10" w:space="0"/>
            </w:tcBorders>
            <w:vAlign w:val="top"/>
          </w:tcPr>
          <w:p w14:paraId="5B790E4E">
            <w:pPr>
              <w:pStyle w:val="41"/>
              <w:spacing w:before="293" w:line="229" w:lineRule="auto"/>
              <w:ind w:left="196"/>
              <w:outlineLvl w:val="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630A3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15" w:type="dxa"/>
            <w:tcBorders>
              <w:left w:val="single" w:color="000000" w:sz="10" w:space="0"/>
            </w:tcBorders>
            <w:vAlign w:val="top"/>
          </w:tcPr>
          <w:p w14:paraId="2F4FE80C">
            <w:pPr>
              <w:spacing w:line="320" w:lineRule="exact"/>
              <w:jc w:val="center"/>
              <w:rPr>
                <w:rFonts w:hint="eastAsia" w:ascii="宋体" w:hAnsi="宋体" w:eastAsia="宋体" w:cs="宋体"/>
                <w:color w:val="auto"/>
                <w:sz w:val="24"/>
                <w:szCs w:val="24"/>
                <w:highlight w:val="none"/>
              </w:rPr>
            </w:pPr>
          </w:p>
        </w:tc>
        <w:tc>
          <w:tcPr>
            <w:tcW w:w="1096" w:type="dxa"/>
            <w:vAlign w:val="top"/>
          </w:tcPr>
          <w:p w14:paraId="4460ECA1">
            <w:pPr>
              <w:spacing w:line="320" w:lineRule="exact"/>
              <w:rPr>
                <w:rFonts w:hint="eastAsia" w:ascii="宋体" w:hAnsi="宋体" w:eastAsia="宋体" w:cs="宋体"/>
                <w:color w:val="auto"/>
                <w:sz w:val="24"/>
                <w:szCs w:val="24"/>
                <w:highlight w:val="none"/>
              </w:rPr>
            </w:pPr>
          </w:p>
        </w:tc>
        <w:tc>
          <w:tcPr>
            <w:tcW w:w="1131" w:type="dxa"/>
            <w:vAlign w:val="top"/>
          </w:tcPr>
          <w:p w14:paraId="1AD8571F">
            <w:pPr>
              <w:spacing w:line="320" w:lineRule="exact"/>
              <w:rPr>
                <w:rFonts w:hint="eastAsia" w:ascii="宋体" w:hAnsi="宋体" w:eastAsia="宋体" w:cs="宋体"/>
                <w:color w:val="auto"/>
                <w:sz w:val="24"/>
                <w:szCs w:val="24"/>
                <w:highlight w:val="none"/>
              </w:rPr>
            </w:pPr>
          </w:p>
        </w:tc>
        <w:tc>
          <w:tcPr>
            <w:tcW w:w="618" w:type="dxa"/>
            <w:vAlign w:val="top"/>
          </w:tcPr>
          <w:p w14:paraId="32035634">
            <w:pPr>
              <w:spacing w:line="320" w:lineRule="exact"/>
              <w:rPr>
                <w:rFonts w:hint="eastAsia" w:ascii="宋体" w:hAnsi="宋体" w:eastAsia="宋体" w:cs="宋体"/>
                <w:color w:val="auto"/>
                <w:sz w:val="24"/>
                <w:szCs w:val="24"/>
                <w:highlight w:val="none"/>
              </w:rPr>
            </w:pPr>
          </w:p>
        </w:tc>
        <w:tc>
          <w:tcPr>
            <w:tcW w:w="688" w:type="dxa"/>
            <w:vAlign w:val="top"/>
          </w:tcPr>
          <w:p w14:paraId="5D44BC82">
            <w:pPr>
              <w:spacing w:line="320" w:lineRule="exact"/>
              <w:rPr>
                <w:rFonts w:hint="eastAsia" w:ascii="宋体" w:hAnsi="宋体" w:eastAsia="宋体" w:cs="宋体"/>
                <w:color w:val="auto"/>
                <w:sz w:val="24"/>
                <w:szCs w:val="24"/>
                <w:highlight w:val="none"/>
              </w:rPr>
            </w:pPr>
          </w:p>
        </w:tc>
        <w:tc>
          <w:tcPr>
            <w:tcW w:w="1041" w:type="dxa"/>
            <w:vAlign w:val="top"/>
          </w:tcPr>
          <w:p w14:paraId="03A79536">
            <w:pPr>
              <w:spacing w:line="320" w:lineRule="exact"/>
              <w:rPr>
                <w:rFonts w:hint="eastAsia" w:ascii="宋体" w:hAnsi="宋体" w:eastAsia="宋体" w:cs="宋体"/>
                <w:color w:val="auto"/>
                <w:sz w:val="24"/>
                <w:szCs w:val="24"/>
                <w:highlight w:val="none"/>
              </w:rPr>
            </w:pPr>
          </w:p>
        </w:tc>
        <w:tc>
          <w:tcPr>
            <w:tcW w:w="717" w:type="dxa"/>
            <w:vAlign w:val="top"/>
          </w:tcPr>
          <w:p w14:paraId="3C416932">
            <w:pPr>
              <w:spacing w:line="320" w:lineRule="exact"/>
              <w:rPr>
                <w:rFonts w:hint="eastAsia" w:ascii="宋体" w:hAnsi="宋体" w:eastAsia="宋体" w:cs="宋体"/>
                <w:color w:val="auto"/>
                <w:sz w:val="24"/>
                <w:szCs w:val="24"/>
                <w:highlight w:val="none"/>
              </w:rPr>
            </w:pPr>
          </w:p>
        </w:tc>
        <w:tc>
          <w:tcPr>
            <w:tcW w:w="714" w:type="dxa"/>
            <w:vAlign w:val="top"/>
          </w:tcPr>
          <w:p w14:paraId="0FDC5387">
            <w:pPr>
              <w:spacing w:line="320" w:lineRule="exact"/>
              <w:rPr>
                <w:rFonts w:hint="eastAsia" w:ascii="宋体" w:hAnsi="宋体" w:eastAsia="宋体" w:cs="宋体"/>
                <w:color w:val="auto"/>
                <w:sz w:val="24"/>
                <w:szCs w:val="24"/>
                <w:highlight w:val="none"/>
              </w:rPr>
            </w:pPr>
          </w:p>
        </w:tc>
        <w:tc>
          <w:tcPr>
            <w:tcW w:w="1482" w:type="dxa"/>
            <w:vAlign w:val="top"/>
          </w:tcPr>
          <w:p w14:paraId="1B8B6643">
            <w:pPr>
              <w:spacing w:line="320" w:lineRule="exact"/>
              <w:rPr>
                <w:rFonts w:hint="eastAsia" w:ascii="宋体" w:hAnsi="宋体" w:eastAsia="宋体" w:cs="宋体"/>
                <w:color w:val="auto"/>
                <w:sz w:val="24"/>
                <w:szCs w:val="24"/>
                <w:highlight w:val="none"/>
              </w:rPr>
            </w:pPr>
          </w:p>
        </w:tc>
        <w:tc>
          <w:tcPr>
            <w:tcW w:w="795" w:type="dxa"/>
            <w:tcBorders>
              <w:right w:val="single" w:color="000000" w:sz="10" w:space="0"/>
            </w:tcBorders>
            <w:vAlign w:val="center"/>
          </w:tcPr>
          <w:p w14:paraId="49D55611">
            <w:pPr>
              <w:pStyle w:val="4"/>
              <w:keepNext/>
              <w:spacing w:after="0" w:line="440" w:lineRule="exact"/>
              <w:ind w:left="63" w:leftChars="0" w:right="63" w:rightChars="0"/>
              <w:rPr>
                <w:rFonts w:hint="eastAsia" w:ascii="宋体" w:hAnsi="宋体" w:eastAsia="宋体" w:cs="宋体"/>
                <w:color w:val="auto"/>
                <w:sz w:val="24"/>
                <w:szCs w:val="24"/>
                <w:highlight w:val="none"/>
              </w:rPr>
            </w:pPr>
          </w:p>
        </w:tc>
      </w:tr>
      <w:tr w14:paraId="22BF3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2277FDA9">
            <w:pPr>
              <w:spacing w:line="320" w:lineRule="exact"/>
              <w:jc w:val="center"/>
              <w:rPr>
                <w:rFonts w:hint="eastAsia" w:ascii="宋体" w:hAnsi="宋体" w:eastAsia="宋体" w:cs="宋体"/>
                <w:color w:val="auto"/>
                <w:sz w:val="24"/>
                <w:szCs w:val="24"/>
                <w:highlight w:val="none"/>
              </w:rPr>
            </w:pPr>
          </w:p>
        </w:tc>
        <w:tc>
          <w:tcPr>
            <w:tcW w:w="1096" w:type="dxa"/>
            <w:vAlign w:val="top"/>
          </w:tcPr>
          <w:p w14:paraId="7D5B517C">
            <w:pPr>
              <w:spacing w:line="320" w:lineRule="exact"/>
              <w:rPr>
                <w:rFonts w:hint="eastAsia" w:ascii="宋体" w:hAnsi="宋体" w:eastAsia="宋体" w:cs="宋体"/>
                <w:color w:val="auto"/>
                <w:sz w:val="24"/>
                <w:szCs w:val="24"/>
                <w:highlight w:val="none"/>
              </w:rPr>
            </w:pPr>
          </w:p>
        </w:tc>
        <w:tc>
          <w:tcPr>
            <w:tcW w:w="1131" w:type="dxa"/>
            <w:vAlign w:val="top"/>
          </w:tcPr>
          <w:p w14:paraId="65E747CC">
            <w:pPr>
              <w:spacing w:line="320" w:lineRule="exact"/>
              <w:rPr>
                <w:rFonts w:hint="eastAsia" w:ascii="宋体" w:hAnsi="宋体" w:eastAsia="宋体" w:cs="宋体"/>
                <w:color w:val="auto"/>
                <w:sz w:val="24"/>
                <w:szCs w:val="24"/>
                <w:highlight w:val="none"/>
              </w:rPr>
            </w:pPr>
          </w:p>
        </w:tc>
        <w:tc>
          <w:tcPr>
            <w:tcW w:w="618" w:type="dxa"/>
            <w:vAlign w:val="top"/>
          </w:tcPr>
          <w:p w14:paraId="228E9697">
            <w:pPr>
              <w:spacing w:line="320" w:lineRule="exact"/>
              <w:rPr>
                <w:rFonts w:hint="eastAsia" w:ascii="宋体" w:hAnsi="宋体" w:eastAsia="宋体" w:cs="宋体"/>
                <w:color w:val="auto"/>
                <w:sz w:val="24"/>
                <w:szCs w:val="24"/>
                <w:highlight w:val="none"/>
              </w:rPr>
            </w:pPr>
          </w:p>
        </w:tc>
        <w:tc>
          <w:tcPr>
            <w:tcW w:w="688" w:type="dxa"/>
            <w:vAlign w:val="top"/>
          </w:tcPr>
          <w:p w14:paraId="132DC7FA">
            <w:pPr>
              <w:spacing w:line="320" w:lineRule="exact"/>
              <w:rPr>
                <w:rFonts w:hint="eastAsia" w:ascii="宋体" w:hAnsi="宋体" w:eastAsia="宋体" w:cs="宋体"/>
                <w:color w:val="auto"/>
                <w:sz w:val="24"/>
                <w:szCs w:val="24"/>
                <w:highlight w:val="none"/>
              </w:rPr>
            </w:pPr>
          </w:p>
        </w:tc>
        <w:tc>
          <w:tcPr>
            <w:tcW w:w="1041" w:type="dxa"/>
            <w:vAlign w:val="top"/>
          </w:tcPr>
          <w:p w14:paraId="632C5543">
            <w:pPr>
              <w:spacing w:line="320" w:lineRule="exact"/>
              <w:rPr>
                <w:rFonts w:hint="eastAsia" w:ascii="宋体" w:hAnsi="宋体" w:eastAsia="宋体" w:cs="宋体"/>
                <w:color w:val="auto"/>
                <w:sz w:val="24"/>
                <w:szCs w:val="24"/>
                <w:highlight w:val="none"/>
              </w:rPr>
            </w:pPr>
          </w:p>
        </w:tc>
        <w:tc>
          <w:tcPr>
            <w:tcW w:w="717" w:type="dxa"/>
            <w:vAlign w:val="top"/>
          </w:tcPr>
          <w:p w14:paraId="6F9832CF">
            <w:pPr>
              <w:spacing w:line="320" w:lineRule="exact"/>
              <w:rPr>
                <w:rFonts w:hint="eastAsia" w:ascii="宋体" w:hAnsi="宋体" w:eastAsia="宋体" w:cs="宋体"/>
                <w:color w:val="auto"/>
                <w:sz w:val="24"/>
                <w:szCs w:val="24"/>
                <w:highlight w:val="none"/>
              </w:rPr>
            </w:pPr>
          </w:p>
        </w:tc>
        <w:tc>
          <w:tcPr>
            <w:tcW w:w="714" w:type="dxa"/>
            <w:vAlign w:val="top"/>
          </w:tcPr>
          <w:p w14:paraId="515C23BF">
            <w:pPr>
              <w:spacing w:line="320" w:lineRule="exact"/>
              <w:rPr>
                <w:rFonts w:hint="eastAsia" w:ascii="宋体" w:hAnsi="宋体" w:eastAsia="宋体" w:cs="宋体"/>
                <w:color w:val="auto"/>
                <w:sz w:val="24"/>
                <w:szCs w:val="24"/>
                <w:highlight w:val="none"/>
              </w:rPr>
            </w:pPr>
          </w:p>
        </w:tc>
        <w:tc>
          <w:tcPr>
            <w:tcW w:w="1482" w:type="dxa"/>
            <w:vAlign w:val="top"/>
          </w:tcPr>
          <w:p w14:paraId="33515B19">
            <w:pPr>
              <w:spacing w:line="320" w:lineRule="exact"/>
              <w:rPr>
                <w:rFonts w:hint="eastAsia" w:ascii="宋体" w:hAnsi="宋体" w:eastAsia="宋体" w:cs="宋体"/>
                <w:color w:val="auto"/>
                <w:sz w:val="24"/>
                <w:szCs w:val="24"/>
                <w:highlight w:val="none"/>
              </w:rPr>
            </w:pPr>
          </w:p>
        </w:tc>
        <w:tc>
          <w:tcPr>
            <w:tcW w:w="795" w:type="dxa"/>
            <w:tcBorders>
              <w:right w:val="single" w:color="000000" w:sz="10" w:space="0"/>
            </w:tcBorders>
            <w:vAlign w:val="center"/>
          </w:tcPr>
          <w:p w14:paraId="08940799">
            <w:pPr>
              <w:pStyle w:val="4"/>
              <w:keepNext/>
              <w:spacing w:after="0" w:line="440" w:lineRule="exact"/>
              <w:ind w:left="63" w:leftChars="0" w:right="63" w:rightChars="0"/>
              <w:rPr>
                <w:rFonts w:hint="eastAsia" w:ascii="宋体" w:hAnsi="宋体" w:eastAsia="宋体" w:cs="宋体"/>
                <w:color w:val="auto"/>
                <w:sz w:val="24"/>
                <w:szCs w:val="24"/>
                <w:highlight w:val="none"/>
              </w:rPr>
            </w:pPr>
          </w:p>
        </w:tc>
      </w:tr>
      <w:tr w14:paraId="04F3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center"/>
          </w:tcPr>
          <w:p w14:paraId="0BECF4EE">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1096" w:type="dxa"/>
            <w:vAlign w:val="center"/>
          </w:tcPr>
          <w:p w14:paraId="06CFF761">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1131" w:type="dxa"/>
            <w:vAlign w:val="center"/>
          </w:tcPr>
          <w:p w14:paraId="1449D6C2">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618" w:type="dxa"/>
            <w:vAlign w:val="center"/>
          </w:tcPr>
          <w:p w14:paraId="53582160">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688" w:type="dxa"/>
            <w:vAlign w:val="center"/>
          </w:tcPr>
          <w:p w14:paraId="27FFE3CB">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1041" w:type="dxa"/>
            <w:vAlign w:val="center"/>
          </w:tcPr>
          <w:p w14:paraId="421A8C04">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717" w:type="dxa"/>
            <w:vAlign w:val="center"/>
          </w:tcPr>
          <w:p w14:paraId="77A3CEA1">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714" w:type="dxa"/>
            <w:vAlign w:val="center"/>
          </w:tcPr>
          <w:p w14:paraId="610F1586">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1482" w:type="dxa"/>
            <w:vAlign w:val="center"/>
          </w:tcPr>
          <w:p w14:paraId="2EEB7407">
            <w:pPr>
              <w:pStyle w:val="4"/>
              <w:keepNext/>
              <w:spacing w:after="0" w:line="440" w:lineRule="exact"/>
              <w:ind w:left="63" w:leftChars="30" w:right="63" w:rightChars="30"/>
              <w:rPr>
                <w:rFonts w:hint="eastAsia" w:ascii="宋体" w:hAnsi="宋体" w:eastAsia="宋体" w:cs="宋体"/>
                <w:color w:val="auto"/>
                <w:sz w:val="24"/>
                <w:szCs w:val="24"/>
                <w:highlight w:val="none"/>
              </w:rPr>
            </w:pPr>
          </w:p>
        </w:tc>
        <w:tc>
          <w:tcPr>
            <w:tcW w:w="795" w:type="dxa"/>
            <w:tcBorders>
              <w:right w:val="single" w:color="000000" w:sz="10" w:space="0"/>
            </w:tcBorders>
            <w:vAlign w:val="center"/>
          </w:tcPr>
          <w:p w14:paraId="7F4318FF">
            <w:pPr>
              <w:pStyle w:val="4"/>
              <w:keepNext/>
              <w:spacing w:after="0" w:line="440" w:lineRule="exact"/>
              <w:ind w:left="63" w:leftChars="0" w:right="63" w:rightChars="0"/>
              <w:rPr>
                <w:rFonts w:hint="eastAsia" w:ascii="宋体" w:hAnsi="宋体" w:eastAsia="宋体" w:cs="宋体"/>
                <w:color w:val="auto"/>
                <w:sz w:val="24"/>
                <w:szCs w:val="24"/>
                <w:highlight w:val="none"/>
              </w:rPr>
            </w:pPr>
          </w:p>
        </w:tc>
      </w:tr>
      <w:tr w14:paraId="16EE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2D813E3B">
            <w:pPr>
              <w:rPr>
                <w:rFonts w:hint="eastAsia" w:ascii="宋体" w:hAnsi="宋体" w:eastAsia="宋体" w:cs="宋体"/>
                <w:color w:val="auto"/>
                <w:sz w:val="24"/>
                <w:szCs w:val="24"/>
                <w:highlight w:val="none"/>
              </w:rPr>
            </w:pPr>
          </w:p>
        </w:tc>
        <w:tc>
          <w:tcPr>
            <w:tcW w:w="1096" w:type="dxa"/>
            <w:vAlign w:val="top"/>
          </w:tcPr>
          <w:p w14:paraId="11A0A8BD">
            <w:pPr>
              <w:rPr>
                <w:rFonts w:hint="eastAsia" w:ascii="宋体" w:hAnsi="宋体" w:eastAsia="宋体" w:cs="宋体"/>
                <w:color w:val="auto"/>
                <w:sz w:val="24"/>
                <w:szCs w:val="24"/>
                <w:highlight w:val="none"/>
              </w:rPr>
            </w:pPr>
          </w:p>
        </w:tc>
        <w:tc>
          <w:tcPr>
            <w:tcW w:w="1131" w:type="dxa"/>
            <w:vAlign w:val="top"/>
          </w:tcPr>
          <w:p w14:paraId="17F3B6EF">
            <w:pPr>
              <w:rPr>
                <w:rFonts w:hint="eastAsia" w:ascii="宋体" w:hAnsi="宋体" w:eastAsia="宋体" w:cs="宋体"/>
                <w:color w:val="auto"/>
                <w:sz w:val="24"/>
                <w:szCs w:val="24"/>
                <w:highlight w:val="none"/>
              </w:rPr>
            </w:pPr>
          </w:p>
        </w:tc>
        <w:tc>
          <w:tcPr>
            <w:tcW w:w="618" w:type="dxa"/>
            <w:vAlign w:val="top"/>
          </w:tcPr>
          <w:p w14:paraId="2C10514E">
            <w:pPr>
              <w:rPr>
                <w:rFonts w:hint="eastAsia" w:ascii="宋体" w:hAnsi="宋体" w:eastAsia="宋体" w:cs="宋体"/>
                <w:color w:val="auto"/>
                <w:sz w:val="24"/>
                <w:szCs w:val="24"/>
                <w:highlight w:val="none"/>
              </w:rPr>
            </w:pPr>
          </w:p>
        </w:tc>
        <w:tc>
          <w:tcPr>
            <w:tcW w:w="688" w:type="dxa"/>
            <w:vAlign w:val="top"/>
          </w:tcPr>
          <w:p w14:paraId="6DA6FA81">
            <w:pPr>
              <w:rPr>
                <w:rFonts w:hint="eastAsia" w:ascii="宋体" w:hAnsi="宋体" w:eastAsia="宋体" w:cs="宋体"/>
                <w:color w:val="auto"/>
                <w:sz w:val="24"/>
                <w:szCs w:val="24"/>
                <w:highlight w:val="none"/>
              </w:rPr>
            </w:pPr>
          </w:p>
        </w:tc>
        <w:tc>
          <w:tcPr>
            <w:tcW w:w="1041" w:type="dxa"/>
            <w:vAlign w:val="top"/>
          </w:tcPr>
          <w:p w14:paraId="56437FBD">
            <w:pPr>
              <w:rPr>
                <w:rFonts w:hint="eastAsia" w:ascii="宋体" w:hAnsi="宋体" w:eastAsia="宋体" w:cs="宋体"/>
                <w:color w:val="auto"/>
                <w:sz w:val="24"/>
                <w:szCs w:val="24"/>
                <w:highlight w:val="none"/>
              </w:rPr>
            </w:pPr>
          </w:p>
        </w:tc>
        <w:tc>
          <w:tcPr>
            <w:tcW w:w="717" w:type="dxa"/>
            <w:vAlign w:val="top"/>
          </w:tcPr>
          <w:p w14:paraId="5F791D27">
            <w:pPr>
              <w:rPr>
                <w:rFonts w:hint="eastAsia" w:ascii="宋体" w:hAnsi="宋体" w:eastAsia="宋体" w:cs="宋体"/>
                <w:color w:val="auto"/>
                <w:sz w:val="24"/>
                <w:szCs w:val="24"/>
                <w:highlight w:val="none"/>
              </w:rPr>
            </w:pPr>
          </w:p>
        </w:tc>
        <w:tc>
          <w:tcPr>
            <w:tcW w:w="714" w:type="dxa"/>
            <w:vAlign w:val="top"/>
          </w:tcPr>
          <w:p w14:paraId="58AD7F14">
            <w:pPr>
              <w:rPr>
                <w:rFonts w:hint="eastAsia" w:ascii="宋体" w:hAnsi="宋体" w:eastAsia="宋体" w:cs="宋体"/>
                <w:color w:val="auto"/>
                <w:sz w:val="24"/>
                <w:szCs w:val="24"/>
                <w:highlight w:val="none"/>
              </w:rPr>
            </w:pPr>
          </w:p>
        </w:tc>
        <w:tc>
          <w:tcPr>
            <w:tcW w:w="1482" w:type="dxa"/>
            <w:vAlign w:val="top"/>
          </w:tcPr>
          <w:p w14:paraId="263718F4">
            <w:pPr>
              <w:rPr>
                <w:rFonts w:hint="eastAsia" w:ascii="宋体" w:hAnsi="宋体" w:eastAsia="宋体" w:cs="宋体"/>
                <w:color w:val="auto"/>
                <w:sz w:val="24"/>
                <w:szCs w:val="24"/>
                <w:highlight w:val="none"/>
              </w:rPr>
            </w:pPr>
          </w:p>
        </w:tc>
        <w:tc>
          <w:tcPr>
            <w:tcW w:w="795" w:type="dxa"/>
            <w:tcBorders>
              <w:right w:val="single" w:color="000000" w:sz="10" w:space="0"/>
            </w:tcBorders>
            <w:vAlign w:val="top"/>
          </w:tcPr>
          <w:p w14:paraId="56441E44">
            <w:pPr>
              <w:rPr>
                <w:rFonts w:hint="eastAsia" w:ascii="宋体" w:hAnsi="宋体" w:eastAsia="宋体" w:cs="宋体"/>
                <w:color w:val="auto"/>
                <w:sz w:val="24"/>
                <w:szCs w:val="24"/>
                <w:highlight w:val="none"/>
              </w:rPr>
            </w:pPr>
          </w:p>
        </w:tc>
      </w:tr>
      <w:tr w14:paraId="5004B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04357609">
            <w:pPr>
              <w:rPr>
                <w:rFonts w:hint="eastAsia" w:ascii="宋体" w:hAnsi="宋体" w:eastAsia="宋体" w:cs="宋体"/>
                <w:color w:val="auto"/>
                <w:sz w:val="24"/>
                <w:szCs w:val="24"/>
                <w:highlight w:val="none"/>
              </w:rPr>
            </w:pPr>
          </w:p>
        </w:tc>
        <w:tc>
          <w:tcPr>
            <w:tcW w:w="1096" w:type="dxa"/>
            <w:vAlign w:val="top"/>
          </w:tcPr>
          <w:p w14:paraId="6DCCC5BB">
            <w:pPr>
              <w:rPr>
                <w:rFonts w:hint="eastAsia" w:ascii="宋体" w:hAnsi="宋体" w:eastAsia="宋体" w:cs="宋体"/>
                <w:color w:val="auto"/>
                <w:sz w:val="24"/>
                <w:szCs w:val="24"/>
                <w:highlight w:val="none"/>
              </w:rPr>
            </w:pPr>
          </w:p>
        </w:tc>
        <w:tc>
          <w:tcPr>
            <w:tcW w:w="1131" w:type="dxa"/>
            <w:vAlign w:val="top"/>
          </w:tcPr>
          <w:p w14:paraId="1E2730B9">
            <w:pPr>
              <w:rPr>
                <w:rFonts w:hint="eastAsia" w:ascii="宋体" w:hAnsi="宋体" w:eastAsia="宋体" w:cs="宋体"/>
                <w:color w:val="auto"/>
                <w:sz w:val="24"/>
                <w:szCs w:val="24"/>
                <w:highlight w:val="none"/>
              </w:rPr>
            </w:pPr>
          </w:p>
        </w:tc>
        <w:tc>
          <w:tcPr>
            <w:tcW w:w="618" w:type="dxa"/>
            <w:vAlign w:val="top"/>
          </w:tcPr>
          <w:p w14:paraId="4C1E62AB">
            <w:pPr>
              <w:rPr>
                <w:rFonts w:hint="eastAsia" w:ascii="宋体" w:hAnsi="宋体" w:eastAsia="宋体" w:cs="宋体"/>
                <w:color w:val="auto"/>
                <w:sz w:val="24"/>
                <w:szCs w:val="24"/>
                <w:highlight w:val="none"/>
              </w:rPr>
            </w:pPr>
          </w:p>
        </w:tc>
        <w:tc>
          <w:tcPr>
            <w:tcW w:w="688" w:type="dxa"/>
            <w:vAlign w:val="top"/>
          </w:tcPr>
          <w:p w14:paraId="15466F0A">
            <w:pPr>
              <w:rPr>
                <w:rFonts w:hint="eastAsia" w:ascii="宋体" w:hAnsi="宋体" w:eastAsia="宋体" w:cs="宋体"/>
                <w:color w:val="auto"/>
                <w:sz w:val="24"/>
                <w:szCs w:val="24"/>
                <w:highlight w:val="none"/>
              </w:rPr>
            </w:pPr>
          </w:p>
        </w:tc>
        <w:tc>
          <w:tcPr>
            <w:tcW w:w="1041" w:type="dxa"/>
            <w:vAlign w:val="top"/>
          </w:tcPr>
          <w:p w14:paraId="629E2A70">
            <w:pPr>
              <w:rPr>
                <w:rFonts w:hint="eastAsia" w:ascii="宋体" w:hAnsi="宋体" w:eastAsia="宋体" w:cs="宋体"/>
                <w:color w:val="auto"/>
                <w:sz w:val="24"/>
                <w:szCs w:val="24"/>
                <w:highlight w:val="none"/>
              </w:rPr>
            </w:pPr>
          </w:p>
        </w:tc>
        <w:tc>
          <w:tcPr>
            <w:tcW w:w="717" w:type="dxa"/>
            <w:vAlign w:val="top"/>
          </w:tcPr>
          <w:p w14:paraId="77B4A284">
            <w:pPr>
              <w:rPr>
                <w:rFonts w:hint="eastAsia" w:ascii="宋体" w:hAnsi="宋体" w:eastAsia="宋体" w:cs="宋体"/>
                <w:color w:val="auto"/>
                <w:sz w:val="24"/>
                <w:szCs w:val="24"/>
                <w:highlight w:val="none"/>
              </w:rPr>
            </w:pPr>
          </w:p>
        </w:tc>
        <w:tc>
          <w:tcPr>
            <w:tcW w:w="714" w:type="dxa"/>
            <w:vAlign w:val="top"/>
          </w:tcPr>
          <w:p w14:paraId="311D13A2">
            <w:pPr>
              <w:rPr>
                <w:rFonts w:hint="eastAsia" w:ascii="宋体" w:hAnsi="宋体" w:eastAsia="宋体" w:cs="宋体"/>
                <w:color w:val="auto"/>
                <w:sz w:val="24"/>
                <w:szCs w:val="24"/>
                <w:highlight w:val="none"/>
              </w:rPr>
            </w:pPr>
          </w:p>
        </w:tc>
        <w:tc>
          <w:tcPr>
            <w:tcW w:w="1482" w:type="dxa"/>
            <w:vAlign w:val="top"/>
          </w:tcPr>
          <w:p w14:paraId="15EB048E">
            <w:pPr>
              <w:rPr>
                <w:rFonts w:hint="eastAsia" w:ascii="宋体" w:hAnsi="宋体" w:eastAsia="宋体" w:cs="宋体"/>
                <w:color w:val="auto"/>
                <w:sz w:val="24"/>
                <w:szCs w:val="24"/>
                <w:highlight w:val="none"/>
              </w:rPr>
            </w:pPr>
          </w:p>
        </w:tc>
        <w:tc>
          <w:tcPr>
            <w:tcW w:w="795" w:type="dxa"/>
            <w:tcBorders>
              <w:right w:val="single" w:color="000000" w:sz="10" w:space="0"/>
            </w:tcBorders>
            <w:vAlign w:val="top"/>
          </w:tcPr>
          <w:p w14:paraId="759FEB04">
            <w:pPr>
              <w:rPr>
                <w:rFonts w:hint="eastAsia" w:ascii="宋体" w:hAnsi="宋体" w:eastAsia="宋体" w:cs="宋体"/>
                <w:color w:val="auto"/>
                <w:sz w:val="24"/>
                <w:szCs w:val="24"/>
                <w:highlight w:val="none"/>
              </w:rPr>
            </w:pPr>
          </w:p>
        </w:tc>
      </w:tr>
      <w:tr w14:paraId="28A7D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632F20FF">
            <w:pPr>
              <w:rPr>
                <w:rFonts w:hint="eastAsia" w:ascii="宋体" w:hAnsi="宋体" w:eastAsia="宋体" w:cs="宋体"/>
                <w:color w:val="auto"/>
                <w:sz w:val="21"/>
                <w:highlight w:val="none"/>
              </w:rPr>
            </w:pPr>
          </w:p>
        </w:tc>
        <w:tc>
          <w:tcPr>
            <w:tcW w:w="1096" w:type="dxa"/>
            <w:vAlign w:val="top"/>
          </w:tcPr>
          <w:p w14:paraId="6EC05915">
            <w:pPr>
              <w:rPr>
                <w:rFonts w:hint="eastAsia" w:ascii="宋体" w:hAnsi="宋体" w:eastAsia="宋体" w:cs="宋体"/>
                <w:color w:val="auto"/>
                <w:sz w:val="21"/>
                <w:highlight w:val="none"/>
              </w:rPr>
            </w:pPr>
          </w:p>
        </w:tc>
        <w:tc>
          <w:tcPr>
            <w:tcW w:w="1131" w:type="dxa"/>
            <w:vAlign w:val="top"/>
          </w:tcPr>
          <w:p w14:paraId="1DC3290B">
            <w:pPr>
              <w:rPr>
                <w:rFonts w:hint="eastAsia" w:ascii="宋体" w:hAnsi="宋体" w:eastAsia="宋体" w:cs="宋体"/>
                <w:color w:val="auto"/>
                <w:sz w:val="21"/>
                <w:highlight w:val="none"/>
              </w:rPr>
            </w:pPr>
          </w:p>
        </w:tc>
        <w:tc>
          <w:tcPr>
            <w:tcW w:w="618" w:type="dxa"/>
            <w:vAlign w:val="top"/>
          </w:tcPr>
          <w:p w14:paraId="0B0A6D3A">
            <w:pPr>
              <w:rPr>
                <w:rFonts w:hint="eastAsia" w:ascii="宋体" w:hAnsi="宋体" w:eastAsia="宋体" w:cs="宋体"/>
                <w:color w:val="auto"/>
                <w:sz w:val="21"/>
                <w:highlight w:val="none"/>
              </w:rPr>
            </w:pPr>
          </w:p>
        </w:tc>
        <w:tc>
          <w:tcPr>
            <w:tcW w:w="688" w:type="dxa"/>
            <w:vAlign w:val="top"/>
          </w:tcPr>
          <w:p w14:paraId="4AC9F02E">
            <w:pPr>
              <w:rPr>
                <w:rFonts w:hint="eastAsia" w:ascii="宋体" w:hAnsi="宋体" w:eastAsia="宋体" w:cs="宋体"/>
                <w:color w:val="auto"/>
                <w:sz w:val="21"/>
                <w:highlight w:val="none"/>
              </w:rPr>
            </w:pPr>
          </w:p>
        </w:tc>
        <w:tc>
          <w:tcPr>
            <w:tcW w:w="1041" w:type="dxa"/>
            <w:vAlign w:val="top"/>
          </w:tcPr>
          <w:p w14:paraId="0A83C3A3">
            <w:pPr>
              <w:rPr>
                <w:rFonts w:hint="eastAsia" w:ascii="宋体" w:hAnsi="宋体" w:eastAsia="宋体" w:cs="宋体"/>
                <w:color w:val="auto"/>
                <w:sz w:val="21"/>
                <w:highlight w:val="none"/>
              </w:rPr>
            </w:pPr>
          </w:p>
        </w:tc>
        <w:tc>
          <w:tcPr>
            <w:tcW w:w="717" w:type="dxa"/>
            <w:vAlign w:val="top"/>
          </w:tcPr>
          <w:p w14:paraId="35DA2BEC">
            <w:pPr>
              <w:rPr>
                <w:rFonts w:hint="eastAsia" w:ascii="宋体" w:hAnsi="宋体" w:eastAsia="宋体" w:cs="宋体"/>
                <w:color w:val="auto"/>
                <w:sz w:val="21"/>
                <w:highlight w:val="none"/>
              </w:rPr>
            </w:pPr>
          </w:p>
        </w:tc>
        <w:tc>
          <w:tcPr>
            <w:tcW w:w="714" w:type="dxa"/>
            <w:vAlign w:val="top"/>
          </w:tcPr>
          <w:p w14:paraId="15AF97C1">
            <w:pPr>
              <w:rPr>
                <w:rFonts w:hint="eastAsia" w:ascii="宋体" w:hAnsi="宋体" w:eastAsia="宋体" w:cs="宋体"/>
                <w:color w:val="auto"/>
                <w:sz w:val="21"/>
                <w:highlight w:val="none"/>
              </w:rPr>
            </w:pPr>
          </w:p>
        </w:tc>
        <w:tc>
          <w:tcPr>
            <w:tcW w:w="1482" w:type="dxa"/>
            <w:vAlign w:val="top"/>
          </w:tcPr>
          <w:p w14:paraId="0CB1565B">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37FF2FD0">
            <w:pPr>
              <w:rPr>
                <w:rFonts w:hint="eastAsia" w:ascii="宋体" w:hAnsi="宋体" w:eastAsia="宋体" w:cs="宋体"/>
                <w:color w:val="auto"/>
                <w:sz w:val="21"/>
                <w:highlight w:val="none"/>
              </w:rPr>
            </w:pPr>
          </w:p>
        </w:tc>
      </w:tr>
      <w:tr w14:paraId="2556D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5BDCC6C5">
            <w:pPr>
              <w:rPr>
                <w:rFonts w:hint="eastAsia" w:ascii="宋体" w:hAnsi="宋体" w:eastAsia="宋体" w:cs="宋体"/>
                <w:color w:val="auto"/>
                <w:sz w:val="21"/>
                <w:highlight w:val="none"/>
              </w:rPr>
            </w:pPr>
          </w:p>
        </w:tc>
        <w:tc>
          <w:tcPr>
            <w:tcW w:w="1096" w:type="dxa"/>
            <w:vAlign w:val="top"/>
          </w:tcPr>
          <w:p w14:paraId="2B972DA3">
            <w:pPr>
              <w:rPr>
                <w:rFonts w:hint="eastAsia" w:ascii="宋体" w:hAnsi="宋体" w:eastAsia="宋体" w:cs="宋体"/>
                <w:color w:val="auto"/>
                <w:sz w:val="21"/>
                <w:highlight w:val="none"/>
              </w:rPr>
            </w:pPr>
          </w:p>
        </w:tc>
        <w:tc>
          <w:tcPr>
            <w:tcW w:w="1131" w:type="dxa"/>
            <w:vAlign w:val="top"/>
          </w:tcPr>
          <w:p w14:paraId="3A04637E">
            <w:pPr>
              <w:rPr>
                <w:rFonts w:hint="eastAsia" w:ascii="宋体" w:hAnsi="宋体" w:eastAsia="宋体" w:cs="宋体"/>
                <w:color w:val="auto"/>
                <w:sz w:val="21"/>
                <w:highlight w:val="none"/>
              </w:rPr>
            </w:pPr>
          </w:p>
        </w:tc>
        <w:tc>
          <w:tcPr>
            <w:tcW w:w="618" w:type="dxa"/>
            <w:vAlign w:val="top"/>
          </w:tcPr>
          <w:p w14:paraId="18472FB9">
            <w:pPr>
              <w:rPr>
                <w:rFonts w:hint="eastAsia" w:ascii="宋体" w:hAnsi="宋体" w:eastAsia="宋体" w:cs="宋体"/>
                <w:color w:val="auto"/>
                <w:sz w:val="21"/>
                <w:highlight w:val="none"/>
              </w:rPr>
            </w:pPr>
          </w:p>
        </w:tc>
        <w:tc>
          <w:tcPr>
            <w:tcW w:w="688" w:type="dxa"/>
            <w:vAlign w:val="top"/>
          </w:tcPr>
          <w:p w14:paraId="24126C83">
            <w:pPr>
              <w:rPr>
                <w:rFonts w:hint="eastAsia" w:ascii="宋体" w:hAnsi="宋体" w:eastAsia="宋体" w:cs="宋体"/>
                <w:color w:val="auto"/>
                <w:sz w:val="21"/>
                <w:highlight w:val="none"/>
              </w:rPr>
            </w:pPr>
          </w:p>
        </w:tc>
        <w:tc>
          <w:tcPr>
            <w:tcW w:w="1041" w:type="dxa"/>
            <w:vAlign w:val="top"/>
          </w:tcPr>
          <w:p w14:paraId="398045E8">
            <w:pPr>
              <w:rPr>
                <w:rFonts w:hint="eastAsia" w:ascii="宋体" w:hAnsi="宋体" w:eastAsia="宋体" w:cs="宋体"/>
                <w:color w:val="auto"/>
                <w:sz w:val="21"/>
                <w:highlight w:val="none"/>
              </w:rPr>
            </w:pPr>
          </w:p>
        </w:tc>
        <w:tc>
          <w:tcPr>
            <w:tcW w:w="717" w:type="dxa"/>
            <w:vAlign w:val="top"/>
          </w:tcPr>
          <w:p w14:paraId="4E2289C9">
            <w:pPr>
              <w:rPr>
                <w:rFonts w:hint="eastAsia" w:ascii="宋体" w:hAnsi="宋体" w:eastAsia="宋体" w:cs="宋体"/>
                <w:color w:val="auto"/>
                <w:sz w:val="21"/>
                <w:highlight w:val="none"/>
              </w:rPr>
            </w:pPr>
          </w:p>
        </w:tc>
        <w:tc>
          <w:tcPr>
            <w:tcW w:w="714" w:type="dxa"/>
            <w:vAlign w:val="top"/>
          </w:tcPr>
          <w:p w14:paraId="4A06C5CE">
            <w:pPr>
              <w:rPr>
                <w:rFonts w:hint="eastAsia" w:ascii="宋体" w:hAnsi="宋体" w:eastAsia="宋体" w:cs="宋体"/>
                <w:color w:val="auto"/>
                <w:sz w:val="21"/>
                <w:highlight w:val="none"/>
              </w:rPr>
            </w:pPr>
          </w:p>
        </w:tc>
        <w:tc>
          <w:tcPr>
            <w:tcW w:w="1482" w:type="dxa"/>
            <w:vAlign w:val="top"/>
          </w:tcPr>
          <w:p w14:paraId="59C58D1E">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3688208D">
            <w:pPr>
              <w:rPr>
                <w:rFonts w:hint="eastAsia" w:ascii="宋体" w:hAnsi="宋体" w:eastAsia="宋体" w:cs="宋体"/>
                <w:color w:val="auto"/>
                <w:sz w:val="21"/>
                <w:highlight w:val="none"/>
              </w:rPr>
            </w:pPr>
          </w:p>
        </w:tc>
      </w:tr>
      <w:tr w14:paraId="5F599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5" w:type="dxa"/>
            <w:tcBorders>
              <w:left w:val="single" w:color="000000" w:sz="10" w:space="0"/>
            </w:tcBorders>
            <w:vAlign w:val="top"/>
          </w:tcPr>
          <w:p w14:paraId="4B7ABC4A">
            <w:pPr>
              <w:rPr>
                <w:rFonts w:hint="eastAsia" w:ascii="宋体" w:hAnsi="宋体" w:eastAsia="宋体" w:cs="宋体"/>
                <w:color w:val="auto"/>
                <w:sz w:val="21"/>
                <w:highlight w:val="none"/>
              </w:rPr>
            </w:pPr>
          </w:p>
        </w:tc>
        <w:tc>
          <w:tcPr>
            <w:tcW w:w="1096" w:type="dxa"/>
            <w:vAlign w:val="top"/>
          </w:tcPr>
          <w:p w14:paraId="157A8993">
            <w:pPr>
              <w:rPr>
                <w:rFonts w:hint="eastAsia" w:ascii="宋体" w:hAnsi="宋体" w:eastAsia="宋体" w:cs="宋体"/>
                <w:color w:val="auto"/>
                <w:sz w:val="21"/>
                <w:highlight w:val="none"/>
              </w:rPr>
            </w:pPr>
          </w:p>
        </w:tc>
        <w:tc>
          <w:tcPr>
            <w:tcW w:w="1131" w:type="dxa"/>
            <w:vAlign w:val="top"/>
          </w:tcPr>
          <w:p w14:paraId="703D3855">
            <w:pPr>
              <w:rPr>
                <w:rFonts w:hint="eastAsia" w:ascii="宋体" w:hAnsi="宋体" w:eastAsia="宋体" w:cs="宋体"/>
                <w:color w:val="auto"/>
                <w:sz w:val="21"/>
                <w:highlight w:val="none"/>
              </w:rPr>
            </w:pPr>
          </w:p>
        </w:tc>
        <w:tc>
          <w:tcPr>
            <w:tcW w:w="618" w:type="dxa"/>
            <w:vAlign w:val="top"/>
          </w:tcPr>
          <w:p w14:paraId="67C52ADB">
            <w:pPr>
              <w:rPr>
                <w:rFonts w:hint="eastAsia" w:ascii="宋体" w:hAnsi="宋体" w:eastAsia="宋体" w:cs="宋体"/>
                <w:color w:val="auto"/>
                <w:sz w:val="21"/>
                <w:highlight w:val="none"/>
              </w:rPr>
            </w:pPr>
          </w:p>
        </w:tc>
        <w:tc>
          <w:tcPr>
            <w:tcW w:w="688" w:type="dxa"/>
            <w:vAlign w:val="top"/>
          </w:tcPr>
          <w:p w14:paraId="26C67670">
            <w:pPr>
              <w:rPr>
                <w:rFonts w:hint="eastAsia" w:ascii="宋体" w:hAnsi="宋体" w:eastAsia="宋体" w:cs="宋体"/>
                <w:color w:val="auto"/>
                <w:sz w:val="21"/>
                <w:highlight w:val="none"/>
              </w:rPr>
            </w:pPr>
          </w:p>
        </w:tc>
        <w:tc>
          <w:tcPr>
            <w:tcW w:w="1041" w:type="dxa"/>
            <w:vAlign w:val="top"/>
          </w:tcPr>
          <w:p w14:paraId="348FD2FA">
            <w:pPr>
              <w:rPr>
                <w:rFonts w:hint="eastAsia" w:ascii="宋体" w:hAnsi="宋体" w:eastAsia="宋体" w:cs="宋体"/>
                <w:color w:val="auto"/>
                <w:sz w:val="21"/>
                <w:highlight w:val="none"/>
              </w:rPr>
            </w:pPr>
          </w:p>
        </w:tc>
        <w:tc>
          <w:tcPr>
            <w:tcW w:w="717" w:type="dxa"/>
            <w:vAlign w:val="top"/>
          </w:tcPr>
          <w:p w14:paraId="5E9C5629">
            <w:pPr>
              <w:rPr>
                <w:rFonts w:hint="eastAsia" w:ascii="宋体" w:hAnsi="宋体" w:eastAsia="宋体" w:cs="宋体"/>
                <w:color w:val="auto"/>
                <w:sz w:val="21"/>
                <w:highlight w:val="none"/>
              </w:rPr>
            </w:pPr>
          </w:p>
        </w:tc>
        <w:tc>
          <w:tcPr>
            <w:tcW w:w="714" w:type="dxa"/>
            <w:vAlign w:val="top"/>
          </w:tcPr>
          <w:p w14:paraId="373A6887">
            <w:pPr>
              <w:rPr>
                <w:rFonts w:hint="eastAsia" w:ascii="宋体" w:hAnsi="宋体" w:eastAsia="宋体" w:cs="宋体"/>
                <w:color w:val="auto"/>
                <w:sz w:val="21"/>
                <w:highlight w:val="none"/>
              </w:rPr>
            </w:pPr>
          </w:p>
        </w:tc>
        <w:tc>
          <w:tcPr>
            <w:tcW w:w="1482" w:type="dxa"/>
            <w:vAlign w:val="top"/>
          </w:tcPr>
          <w:p w14:paraId="66778972">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7910B8E1">
            <w:pPr>
              <w:rPr>
                <w:rFonts w:hint="eastAsia" w:ascii="宋体" w:hAnsi="宋体" w:eastAsia="宋体" w:cs="宋体"/>
                <w:color w:val="auto"/>
                <w:sz w:val="21"/>
                <w:highlight w:val="none"/>
              </w:rPr>
            </w:pPr>
          </w:p>
        </w:tc>
      </w:tr>
      <w:tr w14:paraId="248C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63A377E0">
            <w:pPr>
              <w:rPr>
                <w:rFonts w:hint="eastAsia" w:ascii="宋体" w:hAnsi="宋体" w:eastAsia="宋体" w:cs="宋体"/>
                <w:color w:val="auto"/>
                <w:sz w:val="21"/>
                <w:highlight w:val="none"/>
              </w:rPr>
            </w:pPr>
          </w:p>
        </w:tc>
        <w:tc>
          <w:tcPr>
            <w:tcW w:w="1096" w:type="dxa"/>
            <w:vAlign w:val="top"/>
          </w:tcPr>
          <w:p w14:paraId="2DE11B52">
            <w:pPr>
              <w:rPr>
                <w:rFonts w:hint="eastAsia" w:ascii="宋体" w:hAnsi="宋体" w:eastAsia="宋体" w:cs="宋体"/>
                <w:color w:val="auto"/>
                <w:sz w:val="21"/>
                <w:highlight w:val="none"/>
              </w:rPr>
            </w:pPr>
          </w:p>
        </w:tc>
        <w:tc>
          <w:tcPr>
            <w:tcW w:w="1131" w:type="dxa"/>
            <w:vAlign w:val="top"/>
          </w:tcPr>
          <w:p w14:paraId="6843D578">
            <w:pPr>
              <w:rPr>
                <w:rFonts w:hint="eastAsia" w:ascii="宋体" w:hAnsi="宋体" w:eastAsia="宋体" w:cs="宋体"/>
                <w:color w:val="auto"/>
                <w:sz w:val="21"/>
                <w:highlight w:val="none"/>
              </w:rPr>
            </w:pPr>
          </w:p>
        </w:tc>
        <w:tc>
          <w:tcPr>
            <w:tcW w:w="618" w:type="dxa"/>
            <w:vAlign w:val="top"/>
          </w:tcPr>
          <w:p w14:paraId="0DB4516E">
            <w:pPr>
              <w:rPr>
                <w:rFonts w:hint="eastAsia" w:ascii="宋体" w:hAnsi="宋体" w:eastAsia="宋体" w:cs="宋体"/>
                <w:color w:val="auto"/>
                <w:sz w:val="21"/>
                <w:highlight w:val="none"/>
              </w:rPr>
            </w:pPr>
          </w:p>
        </w:tc>
        <w:tc>
          <w:tcPr>
            <w:tcW w:w="688" w:type="dxa"/>
            <w:vAlign w:val="top"/>
          </w:tcPr>
          <w:p w14:paraId="3CD262BF">
            <w:pPr>
              <w:rPr>
                <w:rFonts w:hint="eastAsia" w:ascii="宋体" w:hAnsi="宋体" w:eastAsia="宋体" w:cs="宋体"/>
                <w:color w:val="auto"/>
                <w:sz w:val="21"/>
                <w:highlight w:val="none"/>
              </w:rPr>
            </w:pPr>
          </w:p>
        </w:tc>
        <w:tc>
          <w:tcPr>
            <w:tcW w:w="1041" w:type="dxa"/>
            <w:vAlign w:val="top"/>
          </w:tcPr>
          <w:p w14:paraId="12EFD64F">
            <w:pPr>
              <w:rPr>
                <w:rFonts w:hint="eastAsia" w:ascii="宋体" w:hAnsi="宋体" w:eastAsia="宋体" w:cs="宋体"/>
                <w:color w:val="auto"/>
                <w:sz w:val="21"/>
                <w:highlight w:val="none"/>
              </w:rPr>
            </w:pPr>
          </w:p>
        </w:tc>
        <w:tc>
          <w:tcPr>
            <w:tcW w:w="717" w:type="dxa"/>
            <w:vAlign w:val="top"/>
          </w:tcPr>
          <w:p w14:paraId="72E60A14">
            <w:pPr>
              <w:rPr>
                <w:rFonts w:hint="eastAsia" w:ascii="宋体" w:hAnsi="宋体" w:eastAsia="宋体" w:cs="宋体"/>
                <w:color w:val="auto"/>
                <w:sz w:val="21"/>
                <w:highlight w:val="none"/>
              </w:rPr>
            </w:pPr>
          </w:p>
        </w:tc>
        <w:tc>
          <w:tcPr>
            <w:tcW w:w="714" w:type="dxa"/>
            <w:vAlign w:val="top"/>
          </w:tcPr>
          <w:p w14:paraId="60CBE735">
            <w:pPr>
              <w:rPr>
                <w:rFonts w:hint="eastAsia" w:ascii="宋体" w:hAnsi="宋体" w:eastAsia="宋体" w:cs="宋体"/>
                <w:color w:val="auto"/>
                <w:sz w:val="21"/>
                <w:highlight w:val="none"/>
              </w:rPr>
            </w:pPr>
          </w:p>
        </w:tc>
        <w:tc>
          <w:tcPr>
            <w:tcW w:w="1482" w:type="dxa"/>
            <w:vAlign w:val="top"/>
          </w:tcPr>
          <w:p w14:paraId="3AD36E0C">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736249B4">
            <w:pPr>
              <w:rPr>
                <w:rFonts w:hint="eastAsia" w:ascii="宋体" w:hAnsi="宋体" w:eastAsia="宋体" w:cs="宋体"/>
                <w:color w:val="auto"/>
                <w:sz w:val="21"/>
                <w:highlight w:val="none"/>
              </w:rPr>
            </w:pPr>
          </w:p>
        </w:tc>
      </w:tr>
      <w:tr w14:paraId="4C02C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3B26FE47">
            <w:pPr>
              <w:rPr>
                <w:rFonts w:hint="eastAsia" w:ascii="宋体" w:hAnsi="宋体" w:eastAsia="宋体" w:cs="宋体"/>
                <w:color w:val="auto"/>
                <w:sz w:val="21"/>
                <w:highlight w:val="none"/>
              </w:rPr>
            </w:pPr>
          </w:p>
        </w:tc>
        <w:tc>
          <w:tcPr>
            <w:tcW w:w="1096" w:type="dxa"/>
            <w:vAlign w:val="top"/>
          </w:tcPr>
          <w:p w14:paraId="5E7250FB">
            <w:pPr>
              <w:rPr>
                <w:rFonts w:hint="eastAsia" w:ascii="宋体" w:hAnsi="宋体" w:eastAsia="宋体" w:cs="宋体"/>
                <w:color w:val="auto"/>
                <w:sz w:val="21"/>
                <w:highlight w:val="none"/>
              </w:rPr>
            </w:pPr>
          </w:p>
        </w:tc>
        <w:tc>
          <w:tcPr>
            <w:tcW w:w="1131" w:type="dxa"/>
            <w:vAlign w:val="top"/>
          </w:tcPr>
          <w:p w14:paraId="7F332586">
            <w:pPr>
              <w:rPr>
                <w:rFonts w:hint="eastAsia" w:ascii="宋体" w:hAnsi="宋体" w:eastAsia="宋体" w:cs="宋体"/>
                <w:color w:val="auto"/>
                <w:sz w:val="21"/>
                <w:highlight w:val="none"/>
              </w:rPr>
            </w:pPr>
          </w:p>
        </w:tc>
        <w:tc>
          <w:tcPr>
            <w:tcW w:w="618" w:type="dxa"/>
            <w:vAlign w:val="top"/>
          </w:tcPr>
          <w:p w14:paraId="776F2C17">
            <w:pPr>
              <w:rPr>
                <w:rFonts w:hint="eastAsia" w:ascii="宋体" w:hAnsi="宋体" w:eastAsia="宋体" w:cs="宋体"/>
                <w:color w:val="auto"/>
                <w:sz w:val="21"/>
                <w:highlight w:val="none"/>
              </w:rPr>
            </w:pPr>
          </w:p>
        </w:tc>
        <w:tc>
          <w:tcPr>
            <w:tcW w:w="688" w:type="dxa"/>
            <w:vAlign w:val="top"/>
          </w:tcPr>
          <w:p w14:paraId="7E687F18">
            <w:pPr>
              <w:rPr>
                <w:rFonts w:hint="eastAsia" w:ascii="宋体" w:hAnsi="宋体" w:eastAsia="宋体" w:cs="宋体"/>
                <w:color w:val="auto"/>
                <w:sz w:val="21"/>
                <w:highlight w:val="none"/>
              </w:rPr>
            </w:pPr>
          </w:p>
        </w:tc>
        <w:tc>
          <w:tcPr>
            <w:tcW w:w="1041" w:type="dxa"/>
            <w:vAlign w:val="top"/>
          </w:tcPr>
          <w:p w14:paraId="4DB3F402">
            <w:pPr>
              <w:rPr>
                <w:rFonts w:hint="eastAsia" w:ascii="宋体" w:hAnsi="宋体" w:eastAsia="宋体" w:cs="宋体"/>
                <w:color w:val="auto"/>
                <w:sz w:val="21"/>
                <w:highlight w:val="none"/>
              </w:rPr>
            </w:pPr>
          </w:p>
        </w:tc>
        <w:tc>
          <w:tcPr>
            <w:tcW w:w="717" w:type="dxa"/>
            <w:vAlign w:val="top"/>
          </w:tcPr>
          <w:p w14:paraId="281C2B77">
            <w:pPr>
              <w:rPr>
                <w:rFonts w:hint="eastAsia" w:ascii="宋体" w:hAnsi="宋体" w:eastAsia="宋体" w:cs="宋体"/>
                <w:color w:val="auto"/>
                <w:sz w:val="21"/>
                <w:highlight w:val="none"/>
              </w:rPr>
            </w:pPr>
          </w:p>
        </w:tc>
        <w:tc>
          <w:tcPr>
            <w:tcW w:w="714" w:type="dxa"/>
            <w:vAlign w:val="top"/>
          </w:tcPr>
          <w:p w14:paraId="50251765">
            <w:pPr>
              <w:rPr>
                <w:rFonts w:hint="eastAsia" w:ascii="宋体" w:hAnsi="宋体" w:eastAsia="宋体" w:cs="宋体"/>
                <w:color w:val="auto"/>
                <w:sz w:val="21"/>
                <w:highlight w:val="none"/>
              </w:rPr>
            </w:pPr>
          </w:p>
        </w:tc>
        <w:tc>
          <w:tcPr>
            <w:tcW w:w="1482" w:type="dxa"/>
            <w:vAlign w:val="top"/>
          </w:tcPr>
          <w:p w14:paraId="63C85921">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2C84D1B2">
            <w:pPr>
              <w:rPr>
                <w:rFonts w:hint="eastAsia" w:ascii="宋体" w:hAnsi="宋体" w:eastAsia="宋体" w:cs="宋体"/>
                <w:color w:val="auto"/>
                <w:sz w:val="21"/>
                <w:highlight w:val="none"/>
              </w:rPr>
            </w:pPr>
          </w:p>
        </w:tc>
      </w:tr>
      <w:tr w14:paraId="570BF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415" w:type="dxa"/>
            <w:tcBorders>
              <w:left w:val="single" w:color="000000" w:sz="10" w:space="0"/>
            </w:tcBorders>
            <w:vAlign w:val="top"/>
          </w:tcPr>
          <w:p w14:paraId="1FD900A0">
            <w:pPr>
              <w:rPr>
                <w:rFonts w:hint="eastAsia" w:ascii="宋体" w:hAnsi="宋体" w:eastAsia="宋体" w:cs="宋体"/>
                <w:color w:val="auto"/>
                <w:sz w:val="21"/>
                <w:highlight w:val="none"/>
              </w:rPr>
            </w:pPr>
          </w:p>
        </w:tc>
        <w:tc>
          <w:tcPr>
            <w:tcW w:w="1096" w:type="dxa"/>
            <w:vAlign w:val="top"/>
          </w:tcPr>
          <w:p w14:paraId="668D3D35">
            <w:pPr>
              <w:rPr>
                <w:rFonts w:hint="eastAsia" w:ascii="宋体" w:hAnsi="宋体" w:eastAsia="宋体" w:cs="宋体"/>
                <w:color w:val="auto"/>
                <w:sz w:val="21"/>
                <w:highlight w:val="none"/>
              </w:rPr>
            </w:pPr>
          </w:p>
        </w:tc>
        <w:tc>
          <w:tcPr>
            <w:tcW w:w="1131" w:type="dxa"/>
            <w:vAlign w:val="top"/>
          </w:tcPr>
          <w:p w14:paraId="6AFA363F">
            <w:pPr>
              <w:rPr>
                <w:rFonts w:hint="eastAsia" w:ascii="宋体" w:hAnsi="宋体" w:eastAsia="宋体" w:cs="宋体"/>
                <w:color w:val="auto"/>
                <w:sz w:val="21"/>
                <w:highlight w:val="none"/>
              </w:rPr>
            </w:pPr>
          </w:p>
        </w:tc>
        <w:tc>
          <w:tcPr>
            <w:tcW w:w="618" w:type="dxa"/>
            <w:vAlign w:val="top"/>
          </w:tcPr>
          <w:p w14:paraId="79BB0BEB">
            <w:pPr>
              <w:rPr>
                <w:rFonts w:hint="eastAsia" w:ascii="宋体" w:hAnsi="宋体" w:eastAsia="宋体" w:cs="宋体"/>
                <w:color w:val="auto"/>
                <w:sz w:val="21"/>
                <w:highlight w:val="none"/>
              </w:rPr>
            </w:pPr>
          </w:p>
        </w:tc>
        <w:tc>
          <w:tcPr>
            <w:tcW w:w="688" w:type="dxa"/>
            <w:vAlign w:val="top"/>
          </w:tcPr>
          <w:p w14:paraId="31677A17">
            <w:pPr>
              <w:rPr>
                <w:rFonts w:hint="eastAsia" w:ascii="宋体" w:hAnsi="宋体" w:eastAsia="宋体" w:cs="宋体"/>
                <w:color w:val="auto"/>
                <w:sz w:val="21"/>
                <w:highlight w:val="none"/>
              </w:rPr>
            </w:pPr>
          </w:p>
        </w:tc>
        <w:tc>
          <w:tcPr>
            <w:tcW w:w="1041" w:type="dxa"/>
            <w:vAlign w:val="top"/>
          </w:tcPr>
          <w:p w14:paraId="39A95FD7">
            <w:pPr>
              <w:rPr>
                <w:rFonts w:hint="eastAsia" w:ascii="宋体" w:hAnsi="宋体" w:eastAsia="宋体" w:cs="宋体"/>
                <w:color w:val="auto"/>
                <w:sz w:val="21"/>
                <w:highlight w:val="none"/>
              </w:rPr>
            </w:pPr>
          </w:p>
        </w:tc>
        <w:tc>
          <w:tcPr>
            <w:tcW w:w="717" w:type="dxa"/>
            <w:vAlign w:val="top"/>
          </w:tcPr>
          <w:p w14:paraId="5D714944">
            <w:pPr>
              <w:rPr>
                <w:rFonts w:hint="eastAsia" w:ascii="宋体" w:hAnsi="宋体" w:eastAsia="宋体" w:cs="宋体"/>
                <w:color w:val="auto"/>
                <w:sz w:val="21"/>
                <w:highlight w:val="none"/>
              </w:rPr>
            </w:pPr>
          </w:p>
        </w:tc>
        <w:tc>
          <w:tcPr>
            <w:tcW w:w="714" w:type="dxa"/>
            <w:vAlign w:val="top"/>
          </w:tcPr>
          <w:p w14:paraId="23D991AB">
            <w:pPr>
              <w:rPr>
                <w:rFonts w:hint="eastAsia" w:ascii="宋体" w:hAnsi="宋体" w:eastAsia="宋体" w:cs="宋体"/>
                <w:color w:val="auto"/>
                <w:sz w:val="21"/>
                <w:highlight w:val="none"/>
              </w:rPr>
            </w:pPr>
          </w:p>
        </w:tc>
        <w:tc>
          <w:tcPr>
            <w:tcW w:w="1482" w:type="dxa"/>
            <w:vAlign w:val="top"/>
          </w:tcPr>
          <w:p w14:paraId="3304C093">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12F01CBB">
            <w:pPr>
              <w:rPr>
                <w:rFonts w:hint="eastAsia" w:ascii="宋体" w:hAnsi="宋体" w:eastAsia="宋体" w:cs="宋体"/>
                <w:color w:val="auto"/>
                <w:sz w:val="21"/>
                <w:highlight w:val="none"/>
              </w:rPr>
            </w:pPr>
          </w:p>
        </w:tc>
      </w:tr>
      <w:tr w14:paraId="0556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5E7067F6">
            <w:pPr>
              <w:rPr>
                <w:rFonts w:hint="eastAsia" w:ascii="宋体" w:hAnsi="宋体" w:eastAsia="宋体" w:cs="宋体"/>
                <w:color w:val="auto"/>
                <w:sz w:val="21"/>
                <w:highlight w:val="none"/>
              </w:rPr>
            </w:pPr>
          </w:p>
        </w:tc>
        <w:tc>
          <w:tcPr>
            <w:tcW w:w="1096" w:type="dxa"/>
            <w:vAlign w:val="top"/>
          </w:tcPr>
          <w:p w14:paraId="755ACC51">
            <w:pPr>
              <w:rPr>
                <w:rFonts w:hint="eastAsia" w:ascii="宋体" w:hAnsi="宋体" w:eastAsia="宋体" w:cs="宋体"/>
                <w:color w:val="auto"/>
                <w:sz w:val="21"/>
                <w:highlight w:val="none"/>
              </w:rPr>
            </w:pPr>
          </w:p>
        </w:tc>
        <w:tc>
          <w:tcPr>
            <w:tcW w:w="1131" w:type="dxa"/>
            <w:vAlign w:val="top"/>
          </w:tcPr>
          <w:p w14:paraId="06C6B8B9">
            <w:pPr>
              <w:rPr>
                <w:rFonts w:hint="eastAsia" w:ascii="宋体" w:hAnsi="宋体" w:eastAsia="宋体" w:cs="宋体"/>
                <w:color w:val="auto"/>
                <w:sz w:val="21"/>
                <w:highlight w:val="none"/>
              </w:rPr>
            </w:pPr>
          </w:p>
        </w:tc>
        <w:tc>
          <w:tcPr>
            <w:tcW w:w="618" w:type="dxa"/>
            <w:vAlign w:val="top"/>
          </w:tcPr>
          <w:p w14:paraId="4F2D476D">
            <w:pPr>
              <w:rPr>
                <w:rFonts w:hint="eastAsia" w:ascii="宋体" w:hAnsi="宋体" w:eastAsia="宋体" w:cs="宋体"/>
                <w:color w:val="auto"/>
                <w:sz w:val="21"/>
                <w:highlight w:val="none"/>
              </w:rPr>
            </w:pPr>
          </w:p>
        </w:tc>
        <w:tc>
          <w:tcPr>
            <w:tcW w:w="688" w:type="dxa"/>
            <w:vAlign w:val="top"/>
          </w:tcPr>
          <w:p w14:paraId="31AB9EA0">
            <w:pPr>
              <w:rPr>
                <w:rFonts w:hint="eastAsia" w:ascii="宋体" w:hAnsi="宋体" w:eastAsia="宋体" w:cs="宋体"/>
                <w:color w:val="auto"/>
                <w:sz w:val="21"/>
                <w:highlight w:val="none"/>
              </w:rPr>
            </w:pPr>
          </w:p>
        </w:tc>
        <w:tc>
          <w:tcPr>
            <w:tcW w:w="1041" w:type="dxa"/>
            <w:vAlign w:val="top"/>
          </w:tcPr>
          <w:p w14:paraId="512AD91A">
            <w:pPr>
              <w:rPr>
                <w:rFonts w:hint="eastAsia" w:ascii="宋体" w:hAnsi="宋体" w:eastAsia="宋体" w:cs="宋体"/>
                <w:color w:val="auto"/>
                <w:sz w:val="21"/>
                <w:highlight w:val="none"/>
              </w:rPr>
            </w:pPr>
          </w:p>
        </w:tc>
        <w:tc>
          <w:tcPr>
            <w:tcW w:w="717" w:type="dxa"/>
            <w:vAlign w:val="top"/>
          </w:tcPr>
          <w:p w14:paraId="1FBD09C2">
            <w:pPr>
              <w:rPr>
                <w:rFonts w:hint="eastAsia" w:ascii="宋体" w:hAnsi="宋体" w:eastAsia="宋体" w:cs="宋体"/>
                <w:color w:val="auto"/>
                <w:sz w:val="21"/>
                <w:highlight w:val="none"/>
              </w:rPr>
            </w:pPr>
          </w:p>
        </w:tc>
        <w:tc>
          <w:tcPr>
            <w:tcW w:w="714" w:type="dxa"/>
            <w:vAlign w:val="top"/>
          </w:tcPr>
          <w:p w14:paraId="6DBF12F6">
            <w:pPr>
              <w:rPr>
                <w:rFonts w:hint="eastAsia" w:ascii="宋体" w:hAnsi="宋体" w:eastAsia="宋体" w:cs="宋体"/>
                <w:color w:val="auto"/>
                <w:sz w:val="21"/>
                <w:highlight w:val="none"/>
              </w:rPr>
            </w:pPr>
          </w:p>
        </w:tc>
        <w:tc>
          <w:tcPr>
            <w:tcW w:w="1482" w:type="dxa"/>
            <w:vAlign w:val="top"/>
          </w:tcPr>
          <w:p w14:paraId="2FA6A75D">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7B83334C">
            <w:pPr>
              <w:rPr>
                <w:rFonts w:hint="eastAsia" w:ascii="宋体" w:hAnsi="宋体" w:eastAsia="宋体" w:cs="宋体"/>
                <w:color w:val="auto"/>
                <w:sz w:val="21"/>
                <w:highlight w:val="none"/>
              </w:rPr>
            </w:pPr>
          </w:p>
        </w:tc>
      </w:tr>
      <w:tr w14:paraId="3443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581FA40C">
            <w:pPr>
              <w:rPr>
                <w:rFonts w:hint="eastAsia" w:ascii="宋体" w:hAnsi="宋体" w:eastAsia="宋体" w:cs="宋体"/>
                <w:color w:val="auto"/>
                <w:sz w:val="21"/>
                <w:highlight w:val="none"/>
              </w:rPr>
            </w:pPr>
          </w:p>
        </w:tc>
        <w:tc>
          <w:tcPr>
            <w:tcW w:w="1096" w:type="dxa"/>
            <w:vAlign w:val="top"/>
          </w:tcPr>
          <w:p w14:paraId="2A97EE10">
            <w:pPr>
              <w:rPr>
                <w:rFonts w:hint="eastAsia" w:ascii="宋体" w:hAnsi="宋体" w:eastAsia="宋体" w:cs="宋体"/>
                <w:color w:val="auto"/>
                <w:sz w:val="21"/>
                <w:highlight w:val="none"/>
              </w:rPr>
            </w:pPr>
          </w:p>
        </w:tc>
        <w:tc>
          <w:tcPr>
            <w:tcW w:w="1131" w:type="dxa"/>
            <w:vAlign w:val="top"/>
          </w:tcPr>
          <w:p w14:paraId="684B8158">
            <w:pPr>
              <w:rPr>
                <w:rFonts w:hint="eastAsia" w:ascii="宋体" w:hAnsi="宋体" w:eastAsia="宋体" w:cs="宋体"/>
                <w:color w:val="auto"/>
                <w:sz w:val="21"/>
                <w:highlight w:val="none"/>
              </w:rPr>
            </w:pPr>
          </w:p>
        </w:tc>
        <w:tc>
          <w:tcPr>
            <w:tcW w:w="618" w:type="dxa"/>
            <w:vAlign w:val="top"/>
          </w:tcPr>
          <w:p w14:paraId="55E2C5F7">
            <w:pPr>
              <w:rPr>
                <w:rFonts w:hint="eastAsia" w:ascii="宋体" w:hAnsi="宋体" w:eastAsia="宋体" w:cs="宋体"/>
                <w:color w:val="auto"/>
                <w:sz w:val="21"/>
                <w:highlight w:val="none"/>
              </w:rPr>
            </w:pPr>
          </w:p>
        </w:tc>
        <w:tc>
          <w:tcPr>
            <w:tcW w:w="688" w:type="dxa"/>
            <w:vAlign w:val="top"/>
          </w:tcPr>
          <w:p w14:paraId="525C1307">
            <w:pPr>
              <w:rPr>
                <w:rFonts w:hint="eastAsia" w:ascii="宋体" w:hAnsi="宋体" w:eastAsia="宋体" w:cs="宋体"/>
                <w:color w:val="auto"/>
                <w:sz w:val="21"/>
                <w:highlight w:val="none"/>
              </w:rPr>
            </w:pPr>
          </w:p>
        </w:tc>
        <w:tc>
          <w:tcPr>
            <w:tcW w:w="1041" w:type="dxa"/>
            <w:vAlign w:val="top"/>
          </w:tcPr>
          <w:p w14:paraId="2FBE8409">
            <w:pPr>
              <w:rPr>
                <w:rFonts w:hint="eastAsia" w:ascii="宋体" w:hAnsi="宋体" w:eastAsia="宋体" w:cs="宋体"/>
                <w:color w:val="auto"/>
                <w:sz w:val="21"/>
                <w:highlight w:val="none"/>
              </w:rPr>
            </w:pPr>
          </w:p>
        </w:tc>
        <w:tc>
          <w:tcPr>
            <w:tcW w:w="717" w:type="dxa"/>
            <w:vAlign w:val="top"/>
          </w:tcPr>
          <w:p w14:paraId="0FDC9192">
            <w:pPr>
              <w:rPr>
                <w:rFonts w:hint="eastAsia" w:ascii="宋体" w:hAnsi="宋体" w:eastAsia="宋体" w:cs="宋体"/>
                <w:color w:val="auto"/>
                <w:sz w:val="21"/>
                <w:highlight w:val="none"/>
              </w:rPr>
            </w:pPr>
          </w:p>
        </w:tc>
        <w:tc>
          <w:tcPr>
            <w:tcW w:w="714" w:type="dxa"/>
            <w:vAlign w:val="top"/>
          </w:tcPr>
          <w:p w14:paraId="6E42811E">
            <w:pPr>
              <w:rPr>
                <w:rFonts w:hint="eastAsia" w:ascii="宋体" w:hAnsi="宋体" w:eastAsia="宋体" w:cs="宋体"/>
                <w:color w:val="auto"/>
                <w:sz w:val="21"/>
                <w:highlight w:val="none"/>
              </w:rPr>
            </w:pPr>
          </w:p>
        </w:tc>
        <w:tc>
          <w:tcPr>
            <w:tcW w:w="1482" w:type="dxa"/>
            <w:vAlign w:val="top"/>
          </w:tcPr>
          <w:p w14:paraId="5467A953">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11B81C0C">
            <w:pPr>
              <w:rPr>
                <w:rFonts w:hint="eastAsia" w:ascii="宋体" w:hAnsi="宋体" w:eastAsia="宋体" w:cs="宋体"/>
                <w:color w:val="auto"/>
                <w:sz w:val="21"/>
                <w:highlight w:val="none"/>
              </w:rPr>
            </w:pPr>
          </w:p>
        </w:tc>
      </w:tr>
      <w:tr w14:paraId="5412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70069019">
            <w:pPr>
              <w:rPr>
                <w:rFonts w:hint="eastAsia" w:ascii="宋体" w:hAnsi="宋体" w:eastAsia="宋体" w:cs="宋体"/>
                <w:color w:val="auto"/>
                <w:sz w:val="21"/>
                <w:highlight w:val="none"/>
              </w:rPr>
            </w:pPr>
          </w:p>
        </w:tc>
        <w:tc>
          <w:tcPr>
            <w:tcW w:w="1096" w:type="dxa"/>
            <w:vAlign w:val="top"/>
          </w:tcPr>
          <w:p w14:paraId="4199DEA8">
            <w:pPr>
              <w:rPr>
                <w:rFonts w:hint="eastAsia" w:ascii="宋体" w:hAnsi="宋体" w:eastAsia="宋体" w:cs="宋体"/>
                <w:color w:val="auto"/>
                <w:sz w:val="21"/>
                <w:highlight w:val="none"/>
              </w:rPr>
            </w:pPr>
          </w:p>
        </w:tc>
        <w:tc>
          <w:tcPr>
            <w:tcW w:w="1131" w:type="dxa"/>
            <w:vAlign w:val="top"/>
          </w:tcPr>
          <w:p w14:paraId="3C070A19">
            <w:pPr>
              <w:rPr>
                <w:rFonts w:hint="eastAsia" w:ascii="宋体" w:hAnsi="宋体" w:eastAsia="宋体" w:cs="宋体"/>
                <w:color w:val="auto"/>
                <w:sz w:val="21"/>
                <w:highlight w:val="none"/>
              </w:rPr>
            </w:pPr>
          </w:p>
        </w:tc>
        <w:tc>
          <w:tcPr>
            <w:tcW w:w="618" w:type="dxa"/>
            <w:vAlign w:val="top"/>
          </w:tcPr>
          <w:p w14:paraId="5B9D71A7">
            <w:pPr>
              <w:rPr>
                <w:rFonts w:hint="eastAsia" w:ascii="宋体" w:hAnsi="宋体" w:eastAsia="宋体" w:cs="宋体"/>
                <w:color w:val="auto"/>
                <w:sz w:val="21"/>
                <w:highlight w:val="none"/>
              </w:rPr>
            </w:pPr>
          </w:p>
        </w:tc>
        <w:tc>
          <w:tcPr>
            <w:tcW w:w="688" w:type="dxa"/>
            <w:vAlign w:val="top"/>
          </w:tcPr>
          <w:p w14:paraId="48BFC012">
            <w:pPr>
              <w:rPr>
                <w:rFonts w:hint="eastAsia" w:ascii="宋体" w:hAnsi="宋体" w:eastAsia="宋体" w:cs="宋体"/>
                <w:color w:val="auto"/>
                <w:sz w:val="21"/>
                <w:highlight w:val="none"/>
              </w:rPr>
            </w:pPr>
          </w:p>
        </w:tc>
        <w:tc>
          <w:tcPr>
            <w:tcW w:w="1041" w:type="dxa"/>
            <w:vAlign w:val="top"/>
          </w:tcPr>
          <w:p w14:paraId="414142A3">
            <w:pPr>
              <w:rPr>
                <w:rFonts w:hint="eastAsia" w:ascii="宋体" w:hAnsi="宋体" w:eastAsia="宋体" w:cs="宋体"/>
                <w:color w:val="auto"/>
                <w:sz w:val="21"/>
                <w:highlight w:val="none"/>
              </w:rPr>
            </w:pPr>
          </w:p>
        </w:tc>
        <w:tc>
          <w:tcPr>
            <w:tcW w:w="717" w:type="dxa"/>
            <w:vAlign w:val="top"/>
          </w:tcPr>
          <w:p w14:paraId="1CB3F48C">
            <w:pPr>
              <w:rPr>
                <w:rFonts w:hint="eastAsia" w:ascii="宋体" w:hAnsi="宋体" w:eastAsia="宋体" w:cs="宋体"/>
                <w:color w:val="auto"/>
                <w:sz w:val="21"/>
                <w:highlight w:val="none"/>
              </w:rPr>
            </w:pPr>
          </w:p>
        </w:tc>
        <w:tc>
          <w:tcPr>
            <w:tcW w:w="714" w:type="dxa"/>
            <w:vAlign w:val="top"/>
          </w:tcPr>
          <w:p w14:paraId="5819E092">
            <w:pPr>
              <w:rPr>
                <w:rFonts w:hint="eastAsia" w:ascii="宋体" w:hAnsi="宋体" w:eastAsia="宋体" w:cs="宋体"/>
                <w:color w:val="auto"/>
                <w:sz w:val="21"/>
                <w:highlight w:val="none"/>
              </w:rPr>
            </w:pPr>
          </w:p>
        </w:tc>
        <w:tc>
          <w:tcPr>
            <w:tcW w:w="1482" w:type="dxa"/>
            <w:vAlign w:val="top"/>
          </w:tcPr>
          <w:p w14:paraId="64958FBB">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2C8561D3">
            <w:pPr>
              <w:rPr>
                <w:rFonts w:hint="eastAsia" w:ascii="宋体" w:hAnsi="宋体" w:eastAsia="宋体" w:cs="宋体"/>
                <w:color w:val="auto"/>
                <w:sz w:val="21"/>
                <w:highlight w:val="none"/>
              </w:rPr>
            </w:pPr>
          </w:p>
        </w:tc>
      </w:tr>
      <w:tr w14:paraId="1870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415" w:type="dxa"/>
            <w:tcBorders>
              <w:left w:val="single" w:color="000000" w:sz="10" w:space="0"/>
            </w:tcBorders>
            <w:vAlign w:val="top"/>
          </w:tcPr>
          <w:p w14:paraId="6A304163">
            <w:pPr>
              <w:rPr>
                <w:rFonts w:hint="eastAsia" w:ascii="宋体" w:hAnsi="宋体" w:eastAsia="宋体" w:cs="宋体"/>
                <w:color w:val="auto"/>
                <w:sz w:val="21"/>
                <w:highlight w:val="none"/>
              </w:rPr>
            </w:pPr>
          </w:p>
        </w:tc>
        <w:tc>
          <w:tcPr>
            <w:tcW w:w="1096" w:type="dxa"/>
            <w:vAlign w:val="top"/>
          </w:tcPr>
          <w:p w14:paraId="585A4638">
            <w:pPr>
              <w:rPr>
                <w:rFonts w:hint="eastAsia" w:ascii="宋体" w:hAnsi="宋体" w:eastAsia="宋体" w:cs="宋体"/>
                <w:color w:val="auto"/>
                <w:sz w:val="21"/>
                <w:highlight w:val="none"/>
              </w:rPr>
            </w:pPr>
          </w:p>
        </w:tc>
        <w:tc>
          <w:tcPr>
            <w:tcW w:w="1131" w:type="dxa"/>
            <w:vAlign w:val="top"/>
          </w:tcPr>
          <w:p w14:paraId="7F4F67DC">
            <w:pPr>
              <w:rPr>
                <w:rFonts w:hint="eastAsia" w:ascii="宋体" w:hAnsi="宋体" w:eastAsia="宋体" w:cs="宋体"/>
                <w:color w:val="auto"/>
                <w:sz w:val="21"/>
                <w:highlight w:val="none"/>
              </w:rPr>
            </w:pPr>
          </w:p>
        </w:tc>
        <w:tc>
          <w:tcPr>
            <w:tcW w:w="618" w:type="dxa"/>
            <w:vAlign w:val="top"/>
          </w:tcPr>
          <w:p w14:paraId="58561A18">
            <w:pPr>
              <w:rPr>
                <w:rFonts w:hint="eastAsia" w:ascii="宋体" w:hAnsi="宋体" w:eastAsia="宋体" w:cs="宋体"/>
                <w:color w:val="auto"/>
                <w:sz w:val="21"/>
                <w:highlight w:val="none"/>
              </w:rPr>
            </w:pPr>
          </w:p>
        </w:tc>
        <w:tc>
          <w:tcPr>
            <w:tcW w:w="688" w:type="dxa"/>
            <w:vAlign w:val="top"/>
          </w:tcPr>
          <w:p w14:paraId="76799FF3">
            <w:pPr>
              <w:rPr>
                <w:rFonts w:hint="eastAsia" w:ascii="宋体" w:hAnsi="宋体" w:eastAsia="宋体" w:cs="宋体"/>
                <w:color w:val="auto"/>
                <w:sz w:val="21"/>
                <w:highlight w:val="none"/>
              </w:rPr>
            </w:pPr>
          </w:p>
        </w:tc>
        <w:tc>
          <w:tcPr>
            <w:tcW w:w="1041" w:type="dxa"/>
            <w:vAlign w:val="top"/>
          </w:tcPr>
          <w:p w14:paraId="47D0BEB5">
            <w:pPr>
              <w:rPr>
                <w:rFonts w:hint="eastAsia" w:ascii="宋体" w:hAnsi="宋体" w:eastAsia="宋体" w:cs="宋体"/>
                <w:color w:val="auto"/>
                <w:sz w:val="21"/>
                <w:highlight w:val="none"/>
              </w:rPr>
            </w:pPr>
          </w:p>
        </w:tc>
        <w:tc>
          <w:tcPr>
            <w:tcW w:w="717" w:type="dxa"/>
            <w:vAlign w:val="top"/>
          </w:tcPr>
          <w:p w14:paraId="36B74BF2">
            <w:pPr>
              <w:rPr>
                <w:rFonts w:hint="eastAsia" w:ascii="宋体" w:hAnsi="宋体" w:eastAsia="宋体" w:cs="宋体"/>
                <w:color w:val="auto"/>
                <w:sz w:val="21"/>
                <w:highlight w:val="none"/>
              </w:rPr>
            </w:pPr>
          </w:p>
        </w:tc>
        <w:tc>
          <w:tcPr>
            <w:tcW w:w="714" w:type="dxa"/>
            <w:vAlign w:val="top"/>
          </w:tcPr>
          <w:p w14:paraId="75854CA7">
            <w:pPr>
              <w:rPr>
                <w:rFonts w:hint="eastAsia" w:ascii="宋体" w:hAnsi="宋体" w:eastAsia="宋体" w:cs="宋体"/>
                <w:color w:val="auto"/>
                <w:sz w:val="21"/>
                <w:highlight w:val="none"/>
              </w:rPr>
            </w:pPr>
          </w:p>
        </w:tc>
        <w:tc>
          <w:tcPr>
            <w:tcW w:w="1482" w:type="dxa"/>
            <w:vAlign w:val="top"/>
          </w:tcPr>
          <w:p w14:paraId="7983F2B4">
            <w:pPr>
              <w:rPr>
                <w:rFonts w:hint="eastAsia" w:ascii="宋体" w:hAnsi="宋体" w:eastAsia="宋体" w:cs="宋体"/>
                <w:color w:val="auto"/>
                <w:sz w:val="21"/>
                <w:highlight w:val="none"/>
              </w:rPr>
            </w:pPr>
          </w:p>
        </w:tc>
        <w:tc>
          <w:tcPr>
            <w:tcW w:w="795" w:type="dxa"/>
            <w:tcBorders>
              <w:right w:val="single" w:color="000000" w:sz="10" w:space="0"/>
            </w:tcBorders>
            <w:vAlign w:val="top"/>
          </w:tcPr>
          <w:p w14:paraId="39CE7177">
            <w:pPr>
              <w:rPr>
                <w:rFonts w:hint="eastAsia" w:ascii="宋体" w:hAnsi="宋体" w:eastAsia="宋体" w:cs="宋体"/>
                <w:color w:val="auto"/>
                <w:sz w:val="21"/>
                <w:highlight w:val="none"/>
              </w:rPr>
            </w:pPr>
          </w:p>
        </w:tc>
      </w:tr>
    </w:tbl>
    <w:p w14:paraId="6F3763C4">
      <w:pPr>
        <w:rPr>
          <w:rFonts w:hint="eastAsia" w:ascii="宋体" w:hAnsi="宋体" w:eastAsia="宋体" w:cs="宋体"/>
          <w:color w:val="auto"/>
          <w:highlight w:val="none"/>
        </w:rPr>
        <w:sectPr>
          <w:footerReference r:id="rId3" w:type="default"/>
          <w:pgSz w:w="11906" w:h="16839"/>
          <w:pgMar w:top="1417" w:right="1417" w:bottom="1417" w:left="1417" w:header="0" w:footer="1202" w:gutter="0"/>
          <w:pgNumType w:fmt="decimal" w:start="1"/>
          <w:cols w:space="0" w:num="1"/>
          <w:rtlGutter w:val="0"/>
          <w:docGrid w:linePitch="0" w:charSpace="0"/>
        </w:sectPr>
      </w:pPr>
    </w:p>
    <w:p w14:paraId="24096B6C">
      <w:pPr>
        <w:spacing w:before="113" w:line="228" w:lineRule="auto"/>
        <w:ind w:left="3139"/>
        <w:rPr>
          <w:rFonts w:hint="eastAsia" w:ascii="宋体" w:hAnsi="宋体" w:eastAsia="宋体" w:cs="宋体"/>
          <w:color w:val="auto"/>
          <w:sz w:val="30"/>
          <w:szCs w:val="30"/>
          <w:highlight w:val="none"/>
        </w:rPr>
      </w:pPr>
      <w:r>
        <w:rPr>
          <w:rFonts w:hint="eastAsia" w:ascii="宋体" w:hAnsi="宋体" w:eastAsia="宋体" w:cs="宋体"/>
          <w:color w:val="auto"/>
          <w:spacing w:val="9"/>
          <w:sz w:val="30"/>
          <w:szCs w:val="30"/>
          <w:highlight w:val="none"/>
        </w:rPr>
        <w:t>承包人主要施工管理人员表</w:t>
      </w:r>
    </w:p>
    <w:p w14:paraId="6C639915">
      <w:pPr>
        <w:spacing w:line="61" w:lineRule="auto"/>
        <w:rPr>
          <w:rFonts w:hint="eastAsia" w:ascii="宋体" w:hAnsi="宋体" w:eastAsia="宋体" w:cs="宋体"/>
          <w:color w:val="auto"/>
          <w:sz w:val="2"/>
          <w:highlight w:val="none"/>
        </w:rPr>
      </w:pPr>
    </w:p>
    <w:tbl>
      <w:tblPr>
        <w:tblStyle w:val="40"/>
        <w:tblW w:w="875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144"/>
        <w:gridCol w:w="1387"/>
        <w:gridCol w:w="1012"/>
        <w:gridCol w:w="3334"/>
      </w:tblGrid>
      <w:tr w14:paraId="5F0E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880" w:type="dxa"/>
            <w:tcBorders>
              <w:top w:val="single" w:color="000000" w:sz="10" w:space="0"/>
              <w:left w:val="single" w:color="000000" w:sz="10" w:space="0"/>
            </w:tcBorders>
            <w:vAlign w:val="center"/>
          </w:tcPr>
          <w:p w14:paraId="26DB360C">
            <w:pPr>
              <w:pStyle w:val="41"/>
              <w:spacing w:before="113" w:line="230" w:lineRule="auto"/>
              <w:ind w:left="515"/>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z w:val="24"/>
                <w:szCs w:val="24"/>
                <w:highlight w:val="none"/>
              </w:rPr>
              <w:t>称</w:t>
            </w:r>
          </w:p>
        </w:tc>
        <w:tc>
          <w:tcPr>
            <w:tcW w:w="1144" w:type="dxa"/>
            <w:tcBorders>
              <w:top w:val="single" w:color="000000" w:sz="10" w:space="0"/>
            </w:tcBorders>
            <w:vAlign w:val="center"/>
          </w:tcPr>
          <w:p w14:paraId="786A5200">
            <w:pPr>
              <w:pStyle w:val="41"/>
              <w:spacing w:before="113" w:line="228" w:lineRule="auto"/>
              <w:ind w:left="358"/>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387" w:type="dxa"/>
            <w:tcBorders>
              <w:top w:val="single" w:color="000000" w:sz="10" w:space="0"/>
            </w:tcBorders>
            <w:vAlign w:val="center"/>
          </w:tcPr>
          <w:p w14:paraId="0EC70456">
            <w:pPr>
              <w:pStyle w:val="41"/>
              <w:spacing w:before="113" w:line="228" w:lineRule="auto"/>
              <w:ind w:left="259"/>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职务</w:t>
            </w:r>
          </w:p>
        </w:tc>
        <w:tc>
          <w:tcPr>
            <w:tcW w:w="1012" w:type="dxa"/>
            <w:tcBorders>
              <w:top w:val="single" w:color="000000" w:sz="10" w:space="0"/>
            </w:tcBorders>
            <w:vAlign w:val="center"/>
          </w:tcPr>
          <w:p w14:paraId="072CD199">
            <w:pPr>
              <w:pStyle w:val="41"/>
              <w:spacing w:before="113" w:line="230" w:lineRule="auto"/>
              <w:ind w:left="36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3334" w:type="dxa"/>
            <w:tcBorders>
              <w:top w:val="single" w:color="000000" w:sz="10" w:space="0"/>
              <w:right w:val="single" w:color="000000" w:sz="10" w:space="0"/>
            </w:tcBorders>
            <w:vAlign w:val="center"/>
          </w:tcPr>
          <w:p w14:paraId="340C7E96">
            <w:pPr>
              <w:pStyle w:val="41"/>
              <w:spacing w:before="113" w:line="228" w:lineRule="auto"/>
              <w:ind w:left="368"/>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主要资历、经验及承担过的项目</w:t>
            </w:r>
          </w:p>
        </w:tc>
      </w:tr>
      <w:tr w14:paraId="7694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757" w:type="dxa"/>
            <w:gridSpan w:val="5"/>
            <w:tcBorders>
              <w:left w:val="single" w:color="000000" w:sz="10" w:space="0"/>
              <w:right w:val="single" w:color="000000" w:sz="10" w:space="0"/>
            </w:tcBorders>
            <w:vAlign w:val="center"/>
          </w:tcPr>
          <w:p w14:paraId="33566B5E">
            <w:pPr>
              <w:pStyle w:val="41"/>
              <w:spacing w:before="110" w:line="226" w:lineRule="auto"/>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一、总部人员</w:t>
            </w:r>
          </w:p>
        </w:tc>
      </w:tr>
      <w:tr w14:paraId="4E8D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80" w:type="dxa"/>
            <w:tcBorders>
              <w:left w:val="single" w:color="000000" w:sz="10" w:space="0"/>
            </w:tcBorders>
            <w:vAlign w:val="center"/>
          </w:tcPr>
          <w:p w14:paraId="73794E31">
            <w:pPr>
              <w:pStyle w:val="41"/>
              <w:spacing w:before="109" w:line="225"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项目主管</w:t>
            </w:r>
          </w:p>
        </w:tc>
        <w:tc>
          <w:tcPr>
            <w:tcW w:w="1144" w:type="dxa"/>
            <w:vAlign w:val="center"/>
          </w:tcPr>
          <w:p w14:paraId="3B0E91EC">
            <w:pPr>
              <w:jc w:val="center"/>
              <w:rPr>
                <w:rFonts w:hint="eastAsia" w:ascii="宋体" w:hAnsi="宋体" w:eastAsia="宋体" w:cs="宋体"/>
                <w:color w:val="auto"/>
                <w:sz w:val="24"/>
                <w:szCs w:val="24"/>
                <w:highlight w:val="none"/>
              </w:rPr>
            </w:pPr>
          </w:p>
        </w:tc>
        <w:tc>
          <w:tcPr>
            <w:tcW w:w="1387" w:type="dxa"/>
            <w:vAlign w:val="center"/>
          </w:tcPr>
          <w:p w14:paraId="0A507DF3">
            <w:pPr>
              <w:jc w:val="center"/>
              <w:rPr>
                <w:rFonts w:hint="eastAsia" w:ascii="宋体" w:hAnsi="宋体" w:eastAsia="宋体" w:cs="宋体"/>
                <w:color w:val="auto"/>
                <w:sz w:val="24"/>
                <w:szCs w:val="24"/>
                <w:highlight w:val="none"/>
              </w:rPr>
            </w:pPr>
          </w:p>
        </w:tc>
        <w:tc>
          <w:tcPr>
            <w:tcW w:w="1012" w:type="dxa"/>
            <w:vAlign w:val="center"/>
          </w:tcPr>
          <w:p w14:paraId="380789E9">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478A35B4">
            <w:pPr>
              <w:jc w:val="center"/>
              <w:rPr>
                <w:rFonts w:hint="eastAsia" w:ascii="宋体" w:hAnsi="宋体" w:eastAsia="宋体" w:cs="宋体"/>
                <w:color w:val="auto"/>
                <w:sz w:val="24"/>
                <w:szCs w:val="24"/>
                <w:highlight w:val="none"/>
              </w:rPr>
            </w:pPr>
          </w:p>
        </w:tc>
      </w:tr>
      <w:tr w14:paraId="31F63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80" w:type="dxa"/>
            <w:vMerge w:val="restart"/>
            <w:tcBorders>
              <w:left w:val="single" w:color="000000" w:sz="10" w:space="0"/>
              <w:bottom w:val="nil"/>
            </w:tcBorders>
            <w:vAlign w:val="center"/>
          </w:tcPr>
          <w:p w14:paraId="265AA5E5">
            <w:pPr>
              <w:pStyle w:val="41"/>
              <w:spacing w:before="65" w:line="228"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其他人员</w:t>
            </w:r>
          </w:p>
        </w:tc>
        <w:tc>
          <w:tcPr>
            <w:tcW w:w="1144" w:type="dxa"/>
            <w:vAlign w:val="center"/>
          </w:tcPr>
          <w:p w14:paraId="4FB20554">
            <w:pPr>
              <w:jc w:val="center"/>
              <w:rPr>
                <w:rFonts w:hint="eastAsia" w:ascii="宋体" w:hAnsi="宋体" w:eastAsia="宋体" w:cs="宋体"/>
                <w:color w:val="auto"/>
                <w:sz w:val="24"/>
                <w:szCs w:val="24"/>
                <w:highlight w:val="none"/>
              </w:rPr>
            </w:pPr>
          </w:p>
        </w:tc>
        <w:tc>
          <w:tcPr>
            <w:tcW w:w="1387" w:type="dxa"/>
            <w:vAlign w:val="center"/>
          </w:tcPr>
          <w:p w14:paraId="60597AC7">
            <w:pPr>
              <w:jc w:val="center"/>
              <w:rPr>
                <w:rFonts w:hint="eastAsia" w:ascii="宋体" w:hAnsi="宋体" w:eastAsia="宋体" w:cs="宋体"/>
                <w:color w:val="auto"/>
                <w:sz w:val="24"/>
                <w:szCs w:val="24"/>
                <w:highlight w:val="none"/>
              </w:rPr>
            </w:pPr>
          </w:p>
        </w:tc>
        <w:tc>
          <w:tcPr>
            <w:tcW w:w="1012" w:type="dxa"/>
            <w:vAlign w:val="center"/>
          </w:tcPr>
          <w:p w14:paraId="44D7F88A">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6AF958C3">
            <w:pPr>
              <w:jc w:val="center"/>
              <w:rPr>
                <w:rFonts w:hint="eastAsia" w:ascii="宋体" w:hAnsi="宋体" w:eastAsia="宋体" w:cs="宋体"/>
                <w:color w:val="auto"/>
                <w:sz w:val="24"/>
                <w:szCs w:val="24"/>
                <w:highlight w:val="none"/>
              </w:rPr>
            </w:pPr>
          </w:p>
        </w:tc>
      </w:tr>
      <w:tr w14:paraId="24532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880" w:type="dxa"/>
            <w:vMerge w:val="continue"/>
            <w:tcBorders>
              <w:top w:val="nil"/>
              <w:left w:val="single" w:color="000000" w:sz="10" w:space="0"/>
              <w:bottom w:val="nil"/>
            </w:tcBorders>
            <w:vAlign w:val="center"/>
          </w:tcPr>
          <w:p w14:paraId="230EA1EB">
            <w:pPr>
              <w:jc w:val="center"/>
              <w:rPr>
                <w:rFonts w:hint="eastAsia" w:ascii="宋体" w:hAnsi="宋体" w:eastAsia="宋体" w:cs="宋体"/>
                <w:color w:val="auto"/>
                <w:sz w:val="24"/>
                <w:szCs w:val="24"/>
                <w:highlight w:val="none"/>
              </w:rPr>
            </w:pPr>
          </w:p>
        </w:tc>
        <w:tc>
          <w:tcPr>
            <w:tcW w:w="1144" w:type="dxa"/>
            <w:vAlign w:val="center"/>
          </w:tcPr>
          <w:p w14:paraId="3536F70A">
            <w:pPr>
              <w:jc w:val="center"/>
              <w:rPr>
                <w:rFonts w:hint="eastAsia" w:ascii="宋体" w:hAnsi="宋体" w:eastAsia="宋体" w:cs="宋体"/>
                <w:color w:val="auto"/>
                <w:sz w:val="24"/>
                <w:szCs w:val="24"/>
                <w:highlight w:val="none"/>
              </w:rPr>
            </w:pPr>
          </w:p>
        </w:tc>
        <w:tc>
          <w:tcPr>
            <w:tcW w:w="1387" w:type="dxa"/>
            <w:vAlign w:val="center"/>
          </w:tcPr>
          <w:p w14:paraId="34A07379">
            <w:pPr>
              <w:jc w:val="center"/>
              <w:rPr>
                <w:rFonts w:hint="eastAsia" w:ascii="宋体" w:hAnsi="宋体" w:eastAsia="宋体" w:cs="宋体"/>
                <w:color w:val="auto"/>
                <w:sz w:val="24"/>
                <w:szCs w:val="24"/>
                <w:highlight w:val="none"/>
              </w:rPr>
            </w:pPr>
          </w:p>
        </w:tc>
        <w:tc>
          <w:tcPr>
            <w:tcW w:w="1012" w:type="dxa"/>
            <w:vAlign w:val="center"/>
          </w:tcPr>
          <w:p w14:paraId="2031B056">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6C0BE305">
            <w:pPr>
              <w:jc w:val="center"/>
              <w:rPr>
                <w:rFonts w:hint="eastAsia" w:ascii="宋体" w:hAnsi="宋体" w:eastAsia="宋体" w:cs="宋体"/>
                <w:color w:val="auto"/>
                <w:sz w:val="24"/>
                <w:szCs w:val="24"/>
                <w:highlight w:val="none"/>
              </w:rPr>
            </w:pPr>
          </w:p>
        </w:tc>
      </w:tr>
      <w:tr w14:paraId="2B4D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tcBorders>
            <w:vAlign w:val="center"/>
          </w:tcPr>
          <w:p w14:paraId="44510A1D">
            <w:pPr>
              <w:jc w:val="center"/>
              <w:rPr>
                <w:rFonts w:hint="eastAsia" w:ascii="宋体" w:hAnsi="宋体" w:eastAsia="宋体" w:cs="宋体"/>
                <w:color w:val="auto"/>
                <w:sz w:val="24"/>
                <w:szCs w:val="24"/>
                <w:highlight w:val="none"/>
              </w:rPr>
            </w:pPr>
          </w:p>
        </w:tc>
        <w:tc>
          <w:tcPr>
            <w:tcW w:w="1144" w:type="dxa"/>
            <w:vAlign w:val="center"/>
          </w:tcPr>
          <w:p w14:paraId="47D581A6">
            <w:pPr>
              <w:jc w:val="center"/>
              <w:rPr>
                <w:rFonts w:hint="eastAsia" w:ascii="宋体" w:hAnsi="宋体" w:eastAsia="宋体" w:cs="宋体"/>
                <w:color w:val="auto"/>
                <w:sz w:val="24"/>
                <w:szCs w:val="24"/>
                <w:highlight w:val="none"/>
              </w:rPr>
            </w:pPr>
          </w:p>
        </w:tc>
        <w:tc>
          <w:tcPr>
            <w:tcW w:w="1387" w:type="dxa"/>
            <w:vAlign w:val="center"/>
          </w:tcPr>
          <w:p w14:paraId="049AB0C3">
            <w:pPr>
              <w:jc w:val="center"/>
              <w:rPr>
                <w:rFonts w:hint="eastAsia" w:ascii="宋体" w:hAnsi="宋体" w:eastAsia="宋体" w:cs="宋体"/>
                <w:color w:val="auto"/>
                <w:sz w:val="24"/>
                <w:szCs w:val="24"/>
                <w:highlight w:val="none"/>
              </w:rPr>
            </w:pPr>
          </w:p>
        </w:tc>
        <w:tc>
          <w:tcPr>
            <w:tcW w:w="1012" w:type="dxa"/>
            <w:vAlign w:val="center"/>
          </w:tcPr>
          <w:p w14:paraId="0F5DC38F">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48C39CDE">
            <w:pPr>
              <w:jc w:val="center"/>
              <w:rPr>
                <w:rFonts w:hint="eastAsia" w:ascii="宋体" w:hAnsi="宋体" w:eastAsia="宋体" w:cs="宋体"/>
                <w:color w:val="auto"/>
                <w:sz w:val="24"/>
                <w:szCs w:val="24"/>
                <w:highlight w:val="none"/>
              </w:rPr>
            </w:pPr>
          </w:p>
        </w:tc>
      </w:tr>
      <w:tr w14:paraId="72FE7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757" w:type="dxa"/>
            <w:gridSpan w:val="5"/>
            <w:tcBorders>
              <w:left w:val="single" w:color="000000" w:sz="10" w:space="0"/>
              <w:right w:val="single" w:color="000000" w:sz="10" w:space="0"/>
            </w:tcBorders>
            <w:vAlign w:val="center"/>
          </w:tcPr>
          <w:p w14:paraId="7612551E">
            <w:pPr>
              <w:pStyle w:val="41"/>
              <w:spacing w:before="116" w:line="219" w:lineRule="auto"/>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二、现场人员</w:t>
            </w:r>
          </w:p>
        </w:tc>
      </w:tr>
      <w:tr w14:paraId="1C8E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0938EC13">
            <w:pPr>
              <w:pStyle w:val="41"/>
              <w:spacing w:before="116" w:line="219" w:lineRule="auto"/>
              <w:ind w:left="516"/>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144" w:type="dxa"/>
            <w:vAlign w:val="center"/>
          </w:tcPr>
          <w:p w14:paraId="6A34EA83">
            <w:pPr>
              <w:jc w:val="center"/>
              <w:rPr>
                <w:rFonts w:hint="default" w:ascii="宋体" w:hAnsi="宋体" w:eastAsia="宋体" w:cs="宋体"/>
                <w:color w:val="auto"/>
                <w:sz w:val="24"/>
                <w:szCs w:val="24"/>
                <w:highlight w:val="none"/>
                <w:lang w:val="en-US" w:eastAsia="zh-CN"/>
              </w:rPr>
            </w:pPr>
          </w:p>
        </w:tc>
        <w:tc>
          <w:tcPr>
            <w:tcW w:w="1387" w:type="dxa"/>
            <w:vAlign w:val="center"/>
          </w:tcPr>
          <w:p w14:paraId="019BA6B7">
            <w:pPr>
              <w:jc w:val="center"/>
              <w:rPr>
                <w:rFonts w:hint="default" w:ascii="宋体" w:hAnsi="宋体" w:eastAsia="宋体" w:cs="宋体"/>
                <w:color w:val="auto"/>
                <w:sz w:val="24"/>
                <w:szCs w:val="24"/>
                <w:highlight w:val="none"/>
                <w:lang w:val="en-US" w:eastAsia="zh-CN"/>
              </w:rPr>
            </w:pPr>
          </w:p>
        </w:tc>
        <w:tc>
          <w:tcPr>
            <w:tcW w:w="1012" w:type="dxa"/>
            <w:vAlign w:val="center"/>
          </w:tcPr>
          <w:p w14:paraId="737565AB">
            <w:pPr>
              <w:jc w:val="center"/>
              <w:rPr>
                <w:rFonts w:hint="default" w:ascii="宋体" w:hAnsi="宋体" w:eastAsia="宋体" w:cs="宋体"/>
                <w:color w:val="auto"/>
                <w:sz w:val="24"/>
                <w:szCs w:val="24"/>
                <w:highlight w:val="none"/>
                <w:lang w:val="en-US" w:eastAsia="zh-CN"/>
              </w:rPr>
            </w:pPr>
          </w:p>
        </w:tc>
        <w:tc>
          <w:tcPr>
            <w:tcW w:w="3334" w:type="dxa"/>
            <w:tcBorders>
              <w:right w:val="single" w:color="000000" w:sz="10" w:space="0"/>
            </w:tcBorders>
            <w:vAlign w:val="center"/>
          </w:tcPr>
          <w:p w14:paraId="1BF8C74B">
            <w:pPr>
              <w:jc w:val="center"/>
              <w:rPr>
                <w:rFonts w:hint="eastAsia" w:ascii="宋体" w:hAnsi="宋体" w:eastAsia="宋体" w:cs="宋体"/>
                <w:color w:val="auto"/>
                <w:sz w:val="24"/>
                <w:szCs w:val="24"/>
                <w:highlight w:val="none"/>
              </w:rPr>
            </w:pPr>
          </w:p>
        </w:tc>
      </w:tr>
      <w:tr w14:paraId="7A2A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0" w:type="dxa"/>
            <w:tcBorders>
              <w:left w:val="single" w:color="000000" w:sz="10" w:space="0"/>
            </w:tcBorders>
            <w:vAlign w:val="center"/>
          </w:tcPr>
          <w:p w14:paraId="34971BE3">
            <w:pPr>
              <w:pStyle w:val="41"/>
              <w:spacing w:before="117" w:line="218" w:lineRule="auto"/>
              <w:ind w:left="410"/>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项目副经理</w:t>
            </w:r>
          </w:p>
        </w:tc>
        <w:tc>
          <w:tcPr>
            <w:tcW w:w="1144" w:type="dxa"/>
            <w:vAlign w:val="center"/>
          </w:tcPr>
          <w:p w14:paraId="29A5EDC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1387" w:type="dxa"/>
            <w:vAlign w:val="center"/>
          </w:tcPr>
          <w:p w14:paraId="0376B409">
            <w:pPr>
              <w:jc w:val="center"/>
              <w:rPr>
                <w:rFonts w:hint="eastAsia" w:ascii="宋体" w:hAnsi="宋体" w:eastAsia="宋体" w:cs="宋体"/>
                <w:color w:val="auto"/>
                <w:sz w:val="24"/>
                <w:szCs w:val="24"/>
                <w:highlight w:val="none"/>
              </w:rPr>
            </w:pPr>
          </w:p>
        </w:tc>
        <w:tc>
          <w:tcPr>
            <w:tcW w:w="1012" w:type="dxa"/>
            <w:vAlign w:val="center"/>
          </w:tcPr>
          <w:p w14:paraId="65D4D7EB">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143BCDC2">
            <w:pPr>
              <w:jc w:val="center"/>
              <w:rPr>
                <w:rFonts w:hint="eastAsia" w:ascii="宋体" w:hAnsi="宋体" w:eastAsia="宋体" w:cs="宋体"/>
                <w:color w:val="auto"/>
                <w:sz w:val="24"/>
                <w:szCs w:val="24"/>
                <w:highlight w:val="none"/>
              </w:rPr>
            </w:pPr>
          </w:p>
        </w:tc>
      </w:tr>
      <w:tr w14:paraId="3C74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4FB3CAD4">
            <w:pPr>
              <w:pStyle w:val="41"/>
              <w:spacing w:before="120" w:line="216" w:lineRule="auto"/>
              <w:ind w:left="408"/>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技术负责人</w:t>
            </w:r>
          </w:p>
        </w:tc>
        <w:tc>
          <w:tcPr>
            <w:tcW w:w="1144" w:type="dxa"/>
            <w:vAlign w:val="center"/>
          </w:tcPr>
          <w:p w14:paraId="708A3C96">
            <w:pPr>
              <w:jc w:val="center"/>
              <w:rPr>
                <w:rFonts w:hint="default" w:ascii="宋体" w:hAnsi="宋体" w:eastAsia="宋体" w:cs="宋体"/>
                <w:color w:val="auto"/>
                <w:sz w:val="24"/>
                <w:szCs w:val="24"/>
                <w:highlight w:val="none"/>
                <w:lang w:val="en-US" w:eastAsia="zh-CN"/>
              </w:rPr>
            </w:pPr>
          </w:p>
        </w:tc>
        <w:tc>
          <w:tcPr>
            <w:tcW w:w="1387" w:type="dxa"/>
            <w:vAlign w:val="center"/>
          </w:tcPr>
          <w:p w14:paraId="54186C35">
            <w:pPr>
              <w:jc w:val="center"/>
              <w:rPr>
                <w:rFonts w:hint="eastAsia" w:ascii="宋体" w:hAnsi="宋体" w:eastAsia="宋体" w:cs="宋体"/>
                <w:color w:val="auto"/>
                <w:sz w:val="24"/>
                <w:szCs w:val="24"/>
                <w:highlight w:val="none"/>
                <w:lang w:eastAsia="zh-CN"/>
              </w:rPr>
            </w:pPr>
          </w:p>
        </w:tc>
        <w:tc>
          <w:tcPr>
            <w:tcW w:w="1012" w:type="dxa"/>
            <w:vAlign w:val="center"/>
          </w:tcPr>
          <w:p w14:paraId="4F25D744">
            <w:pPr>
              <w:jc w:val="center"/>
              <w:rPr>
                <w:rFonts w:hint="default" w:ascii="宋体" w:hAnsi="宋体" w:eastAsia="宋体" w:cs="宋体"/>
                <w:color w:val="auto"/>
                <w:sz w:val="24"/>
                <w:szCs w:val="24"/>
                <w:highlight w:val="none"/>
                <w:lang w:val="en-US" w:eastAsia="zh-CN"/>
              </w:rPr>
            </w:pPr>
          </w:p>
        </w:tc>
        <w:tc>
          <w:tcPr>
            <w:tcW w:w="3334" w:type="dxa"/>
            <w:tcBorders>
              <w:right w:val="single" w:color="000000" w:sz="10" w:space="0"/>
            </w:tcBorders>
            <w:vAlign w:val="center"/>
          </w:tcPr>
          <w:p w14:paraId="3303006B">
            <w:pPr>
              <w:jc w:val="center"/>
              <w:rPr>
                <w:rFonts w:hint="eastAsia" w:ascii="宋体" w:hAnsi="宋体" w:eastAsia="宋体" w:cs="宋体"/>
                <w:color w:val="auto"/>
                <w:sz w:val="24"/>
                <w:szCs w:val="24"/>
                <w:highlight w:val="none"/>
              </w:rPr>
            </w:pPr>
          </w:p>
        </w:tc>
      </w:tr>
      <w:tr w14:paraId="3226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0" w:type="dxa"/>
            <w:tcBorders>
              <w:left w:val="single" w:color="000000" w:sz="10" w:space="0"/>
            </w:tcBorders>
            <w:vAlign w:val="center"/>
          </w:tcPr>
          <w:p w14:paraId="40EAC06D">
            <w:pPr>
              <w:pStyle w:val="41"/>
              <w:spacing w:before="121" w:line="215" w:lineRule="auto"/>
              <w:ind w:left="512"/>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造价管理</w:t>
            </w:r>
          </w:p>
        </w:tc>
        <w:tc>
          <w:tcPr>
            <w:tcW w:w="1144" w:type="dxa"/>
            <w:vAlign w:val="center"/>
          </w:tcPr>
          <w:p w14:paraId="5D4C1D68">
            <w:pPr>
              <w:jc w:val="center"/>
              <w:rPr>
                <w:rFonts w:hint="default" w:ascii="宋体" w:hAnsi="宋体" w:eastAsia="宋体" w:cs="宋体"/>
                <w:color w:val="auto"/>
                <w:sz w:val="24"/>
                <w:szCs w:val="24"/>
                <w:highlight w:val="none"/>
                <w:lang w:val="en-US" w:eastAsia="zh-CN"/>
              </w:rPr>
            </w:pPr>
          </w:p>
        </w:tc>
        <w:tc>
          <w:tcPr>
            <w:tcW w:w="1387" w:type="dxa"/>
            <w:vAlign w:val="center"/>
          </w:tcPr>
          <w:p w14:paraId="38B25E06">
            <w:pPr>
              <w:jc w:val="center"/>
              <w:rPr>
                <w:rFonts w:hint="eastAsia" w:ascii="宋体" w:hAnsi="宋体" w:eastAsia="宋体" w:cs="宋体"/>
                <w:color w:val="auto"/>
                <w:sz w:val="24"/>
                <w:szCs w:val="24"/>
                <w:highlight w:val="none"/>
                <w:lang w:eastAsia="zh-CN"/>
              </w:rPr>
            </w:pPr>
          </w:p>
        </w:tc>
        <w:tc>
          <w:tcPr>
            <w:tcW w:w="1012" w:type="dxa"/>
            <w:vAlign w:val="center"/>
          </w:tcPr>
          <w:p w14:paraId="40381078">
            <w:pPr>
              <w:jc w:val="center"/>
              <w:rPr>
                <w:rFonts w:hint="default" w:ascii="宋体" w:hAnsi="宋体" w:eastAsia="宋体" w:cs="宋体"/>
                <w:color w:val="auto"/>
                <w:sz w:val="24"/>
                <w:szCs w:val="24"/>
                <w:highlight w:val="none"/>
                <w:lang w:val="en-US" w:eastAsia="zh-CN"/>
              </w:rPr>
            </w:pPr>
          </w:p>
        </w:tc>
        <w:tc>
          <w:tcPr>
            <w:tcW w:w="3334" w:type="dxa"/>
            <w:tcBorders>
              <w:right w:val="single" w:color="000000" w:sz="10" w:space="0"/>
            </w:tcBorders>
            <w:vAlign w:val="center"/>
          </w:tcPr>
          <w:p w14:paraId="5EF38AC5">
            <w:pPr>
              <w:jc w:val="center"/>
              <w:rPr>
                <w:rFonts w:hint="eastAsia" w:ascii="宋体" w:hAnsi="宋体" w:eastAsia="宋体" w:cs="宋体"/>
                <w:color w:val="auto"/>
                <w:sz w:val="24"/>
                <w:szCs w:val="24"/>
                <w:highlight w:val="none"/>
              </w:rPr>
            </w:pPr>
          </w:p>
        </w:tc>
      </w:tr>
      <w:tr w14:paraId="72FD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880" w:type="dxa"/>
            <w:tcBorders>
              <w:left w:val="single" w:color="000000" w:sz="10" w:space="0"/>
            </w:tcBorders>
            <w:vAlign w:val="center"/>
          </w:tcPr>
          <w:p w14:paraId="6935F45D">
            <w:pPr>
              <w:pStyle w:val="41"/>
              <w:spacing w:before="121" w:line="215" w:lineRule="auto"/>
              <w:ind w:left="513"/>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质量管理</w:t>
            </w:r>
          </w:p>
        </w:tc>
        <w:tc>
          <w:tcPr>
            <w:tcW w:w="1144" w:type="dxa"/>
            <w:vAlign w:val="center"/>
          </w:tcPr>
          <w:p w14:paraId="6ECD1CC2">
            <w:pPr>
              <w:jc w:val="center"/>
              <w:rPr>
                <w:rFonts w:hint="default" w:ascii="宋体" w:hAnsi="宋体" w:eastAsia="宋体" w:cs="宋体"/>
                <w:color w:val="auto"/>
                <w:sz w:val="24"/>
                <w:szCs w:val="24"/>
                <w:highlight w:val="none"/>
                <w:lang w:val="en-US" w:eastAsia="zh-CN"/>
              </w:rPr>
            </w:pPr>
          </w:p>
        </w:tc>
        <w:tc>
          <w:tcPr>
            <w:tcW w:w="1387" w:type="dxa"/>
            <w:vAlign w:val="center"/>
          </w:tcPr>
          <w:p w14:paraId="1ABFB78A">
            <w:pPr>
              <w:jc w:val="center"/>
              <w:rPr>
                <w:rFonts w:hint="eastAsia" w:ascii="宋体" w:hAnsi="宋体" w:eastAsia="宋体" w:cs="宋体"/>
                <w:color w:val="auto"/>
                <w:sz w:val="24"/>
                <w:szCs w:val="24"/>
                <w:highlight w:val="none"/>
                <w:lang w:eastAsia="zh-CN"/>
              </w:rPr>
            </w:pPr>
          </w:p>
        </w:tc>
        <w:tc>
          <w:tcPr>
            <w:tcW w:w="1012" w:type="dxa"/>
            <w:vAlign w:val="center"/>
          </w:tcPr>
          <w:p w14:paraId="1D55B185">
            <w:pPr>
              <w:jc w:val="center"/>
              <w:rPr>
                <w:rFonts w:hint="default" w:ascii="宋体" w:hAnsi="宋体" w:eastAsia="宋体" w:cs="宋体"/>
                <w:color w:val="auto"/>
                <w:sz w:val="24"/>
                <w:szCs w:val="24"/>
                <w:highlight w:val="none"/>
                <w:lang w:val="en-US" w:eastAsia="zh-CN"/>
              </w:rPr>
            </w:pPr>
          </w:p>
        </w:tc>
        <w:tc>
          <w:tcPr>
            <w:tcW w:w="3334" w:type="dxa"/>
            <w:tcBorders>
              <w:right w:val="single" w:color="000000" w:sz="10" w:space="0"/>
            </w:tcBorders>
            <w:vAlign w:val="center"/>
          </w:tcPr>
          <w:p w14:paraId="6D5C3F83">
            <w:pPr>
              <w:jc w:val="center"/>
              <w:rPr>
                <w:rFonts w:hint="eastAsia" w:ascii="宋体" w:hAnsi="宋体" w:eastAsia="宋体" w:cs="宋体"/>
                <w:color w:val="auto"/>
                <w:sz w:val="24"/>
                <w:szCs w:val="24"/>
                <w:highlight w:val="none"/>
              </w:rPr>
            </w:pPr>
          </w:p>
        </w:tc>
      </w:tr>
      <w:tr w14:paraId="42C23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44A720F2">
            <w:pPr>
              <w:pStyle w:val="41"/>
              <w:spacing w:before="121" w:line="215" w:lineRule="auto"/>
              <w:ind w:left="512"/>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材料管理</w:t>
            </w:r>
          </w:p>
        </w:tc>
        <w:tc>
          <w:tcPr>
            <w:tcW w:w="1144" w:type="dxa"/>
            <w:vAlign w:val="center"/>
          </w:tcPr>
          <w:p w14:paraId="767FED49">
            <w:pPr>
              <w:jc w:val="center"/>
              <w:rPr>
                <w:rFonts w:hint="default" w:ascii="宋体" w:hAnsi="宋体" w:eastAsia="宋体" w:cs="宋体"/>
                <w:color w:val="auto"/>
                <w:sz w:val="24"/>
                <w:szCs w:val="24"/>
                <w:highlight w:val="none"/>
                <w:lang w:val="en-US" w:eastAsia="zh-CN"/>
              </w:rPr>
            </w:pPr>
          </w:p>
        </w:tc>
        <w:tc>
          <w:tcPr>
            <w:tcW w:w="1387" w:type="dxa"/>
            <w:vAlign w:val="center"/>
          </w:tcPr>
          <w:p w14:paraId="5C7F5FA6">
            <w:pPr>
              <w:jc w:val="center"/>
              <w:rPr>
                <w:rFonts w:hint="eastAsia" w:ascii="宋体" w:hAnsi="宋体" w:eastAsia="宋体" w:cs="宋体"/>
                <w:color w:val="auto"/>
                <w:sz w:val="24"/>
                <w:szCs w:val="24"/>
                <w:highlight w:val="none"/>
                <w:lang w:eastAsia="zh-CN"/>
              </w:rPr>
            </w:pPr>
          </w:p>
        </w:tc>
        <w:tc>
          <w:tcPr>
            <w:tcW w:w="1012" w:type="dxa"/>
            <w:vAlign w:val="center"/>
          </w:tcPr>
          <w:p w14:paraId="62E6E08A">
            <w:pPr>
              <w:jc w:val="center"/>
              <w:rPr>
                <w:rFonts w:hint="default" w:ascii="宋体" w:hAnsi="宋体" w:eastAsia="宋体" w:cs="宋体"/>
                <w:color w:val="auto"/>
                <w:sz w:val="24"/>
                <w:szCs w:val="24"/>
                <w:highlight w:val="none"/>
                <w:lang w:val="en-US" w:eastAsia="zh-CN"/>
              </w:rPr>
            </w:pPr>
          </w:p>
        </w:tc>
        <w:tc>
          <w:tcPr>
            <w:tcW w:w="3334" w:type="dxa"/>
            <w:tcBorders>
              <w:right w:val="single" w:color="000000" w:sz="10" w:space="0"/>
            </w:tcBorders>
            <w:vAlign w:val="center"/>
          </w:tcPr>
          <w:p w14:paraId="644E8E90">
            <w:pPr>
              <w:jc w:val="center"/>
              <w:rPr>
                <w:rFonts w:hint="eastAsia" w:ascii="宋体" w:hAnsi="宋体" w:eastAsia="宋体" w:cs="宋体"/>
                <w:color w:val="auto"/>
                <w:sz w:val="24"/>
                <w:szCs w:val="24"/>
                <w:highlight w:val="none"/>
              </w:rPr>
            </w:pPr>
          </w:p>
        </w:tc>
      </w:tr>
      <w:tr w14:paraId="67D7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0AFD93E9">
            <w:pPr>
              <w:pStyle w:val="41"/>
              <w:spacing w:before="124" w:line="212" w:lineRule="auto"/>
              <w:ind w:left="512"/>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计划管理</w:t>
            </w:r>
          </w:p>
        </w:tc>
        <w:tc>
          <w:tcPr>
            <w:tcW w:w="1144" w:type="dxa"/>
            <w:vAlign w:val="center"/>
          </w:tcPr>
          <w:p w14:paraId="222C8776">
            <w:pPr>
              <w:jc w:val="center"/>
              <w:rPr>
                <w:rFonts w:hint="eastAsia" w:ascii="宋体" w:hAnsi="宋体" w:eastAsia="宋体" w:cs="宋体"/>
                <w:color w:val="auto"/>
                <w:sz w:val="24"/>
                <w:szCs w:val="24"/>
                <w:highlight w:val="none"/>
                <w:lang w:val="en-US" w:eastAsia="zh-CN"/>
              </w:rPr>
            </w:pPr>
          </w:p>
        </w:tc>
        <w:tc>
          <w:tcPr>
            <w:tcW w:w="1387" w:type="dxa"/>
            <w:vAlign w:val="center"/>
          </w:tcPr>
          <w:p w14:paraId="7AC817A9">
            <w:pPr>
              <w:jc w:val="center"/>
              <w:rPr>
                <w:rFonts w:hint="eastAsia" w:ascii="宋体" w:hAnsi="宋体" w:eastAsia="宋体" w:cs="宋体"/>
                <w:color w:val="auto"/>
                <w:sz w:val="24"/>
                <w:szCs w:val="24"/>
                <w:highlight w:val="none"/>
              </w:rPr>
            </w:pPr>
          </w:p>
        </w:tc>
        <w:tc>
          <w:tcPr>
            <w:tcW w:w="1012" w:type="dxa"/>
            <w:vAlign w:val="center"/>
          </w:tcPr>
          <w:p w14:paraId="51FFC680">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3EBC0111">
            <w:pPr>
              <w:jc w:val="center"/>
              <w:rPr>
                <w:rFonts w:hint="eastAsia" w:ascii="宋体" w:hAnsi="宋体" w:eastAsia="宋体" w:cs="宋体"/>
                <w:color w:val="auto"/>
                <w:sz w:val="24"/>
                <w:szCs w:val="24"/>
                <w:highlight w:val="none"/>
              </w:rPr>
            </w:pPr>
          </w:p>
        </w:tc>
      </w:tr>
      <w:tr w14:paraId="1E954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tcBorders>
              <w:left w:val="single" w:color="000000" w:sz="10" w:space="0"/>
            </w:tcBorders>
            <w:vAlign w:val="center"/>
          </w:tcPr>
          <w:p w14:paraId="1C0224FD">
            <w:pPr>
              <w:pStyle w:val="41"/>
              <w:spacing w:before="124" w:line="212" w:lineRule="auto"/>
              <w:ind w:left="517"/>
              <w:jc w:val="both"/>
              <w:outlineLvl w:val="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安全管理</w:t>
            </w:r>
          </w:p>
        </w:tc>
        <w:tc>
          <w:tcPr>
            <w:tcW w:w="1144" w:type="dxa"/>
            <w:vAlign w:val="center"/>
          </w:tcPr>
          <w:p w14:paraId="7D5917D9">
            <w:pPr>
              <w:jc w:val="center"/>
              <w:rPr>
                <w:rFonts w:hint="default" w:ascii="宋体" w:hAnsi="宋体" w:eastAsia="宋体" w:cs="宋体"/>
                <w:color w:val="auto"/>
                <w:sz w:val="24"/>
                <w:szCs w:val="24"/>
                <w:highlight w:val="none"/>
                <w:lang w:val="en-US" w:eastAsia="zh-CN"/>
              </w:rPr>
            </w:pPr>
          </w:p>
        </w:tc>
        <w:tc>
          <w:tcPr>
            <w:tcW w:w="1387" w:type="dxa"/>
            <w:vAlign w:val="center"/>
          </w:tcPr>
          <w:p w14:paraId="15168C59">
            <w:pPr>
              <w:jc w:val="center"/>
              <w:rPr>
                <w:rFonts w:hint="eastAsia" w:ascii="宋体" w:hAnsi="宋体" w:eastAsia="宋体" w:cs="宋体"/>
                <w:color w:val="auto"/>
                <w:sz w:val="24"/>
                <w:szCs w:val="24"/>
                <w:highlight w:val="none"/>
                <w:lang w:eastAsia="zh-CN"/>
              </w:rPr>
            </w:pPr>
          </w:p>
        </w:tc>
        <w:tc>
          <w:tcPr>
            <w:tcW w:w="1012" w:type="dxa"/>
            <w:vAlign w:val="center"/>
          </w:tcPr>
          <w:p w14:paraId="2A9355CF">
            <w:pPr>
              <w:jc w:val="center"/>
              <w:rPr>
                <w:rFonts w:hint="default" w:ascii="宋体" w:hAnsi="宋体" w:eastAsia="宋体" w:cs="宋体"/>
                <w:color w:val="auto"/>
                <w:sz w:val="24"/>
                <w:szCs w:val="24"/>
                <w:highlight w:val="none"/>
                <w:lang w:val="en-US" w:eastAsia="zh-CN"/>
              </w:rPr>
            </w:pPr>
          </w:p>
        </w:tc>
        <w:tc>
          <w:tcPr>
            <w:tcW w:w="3334" w:type="dxa"/>
            <w:tcBorders>
              <w:right w:val="single" w:color="000000" w:sz="10" w:space="0"/>
            </w:tcBorders>
            <w:vAlign w:val="center"/>
          </w:tcPr>
          <w:p w14:paraId="19197165">
            <w:pPr>
              <w:jc w:val="center"/>
              <w:rPr>
                <w:rFonts w:hint="eastAsia" w:ascii="宋体" w:hAnsi="宋体" w:eastAsia="宋体" w:cs="宋体"/>
                <w:color w:val="auto"/>
                <w:sz w:val="24"/>
                <w:szCs w:val="24"/>
                <w:highlight w:val="none"/>
              </w:rPr>
            </w:pPr>
          </w:p>
        </w:tc>
      </w:tr>
      <w:tr w14:paraId="08614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restart"/>
            <w:tcBorders>
              <w:left w:val="single" w:color="000000" w:sz="10" w:space="0"/>
              <w:bottom w:val="nil"/>
            </w:tcBorders>
            <w:vAlign w:val="center"/>
          </w:tcPr>
          <w:p w14:paraId="00E66E4D">
            <w:pPr>
              <w:pStyle w:val="41"/>
              <w:spacing w:before="65" w:line="228"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其他人员</w:t>
            </w:r>
          </w:p>
        </w:tc>
        <w:tc>
          <w:tcPr>
            <w:tcW w:w="1144" w:type="dxa"/>
            <w:vAlign w:val="center"/>
          </w:tcPr>
          <w:p w14:paraId="576B83B9">
            <w:pPr>
              <w:jc w:val="center"/>
              <w:rPr>
                <w:rFonts w:hint="default" w:ascii="宋体" w:hAnsi="宋体" w:eastAsia="宋体" w:cs="宋体"/>
                <w:color w:val="auto"/>
                <w:sz w:val="24"/>
                <w:szCs w:val="24"/>
                <w:highlight w:val="none"/>
                <w:lang w:val="en-US" w:eastAsia="zh-CN"/>
              </w:rPr>
            </w:pPr>
          </w:p>
        </w:tc>
        <w:tc>
          <w:tcPr>
            <w:tcW w:w="1387" w:type="dxa"/>
            <w:vAlign w:val="center"/>
          </w:tcPr>
          <w:p w14:paraId="01FA9DA4">
            <w:pPr>
              <w:jc w:val="center"/>
              <w:rPr>
                <w:rFonts w:hint="eastAsia" w:ascii="宋体" w:hAnsi="宋体" w:eastAsia="宋体" w:cs="宋体"/>
                <w:color w:val="auto"/>
                <w:sz w:val="24"/>
                <w:szCs w:val="24"/>
                <w:highlight w:val="none"/>
                <w:lang w:eastAsia="zh-CN"/>
              </w:rPr>
            </w:pPr>
          </w:p>
        </w:tc>
        <w:tc>
          <w:tcPr>
            <w:tcW w:w="1012" w:type="dxa"/>
            <w:vAlign w:val="center"/>
          </w:tcPr>
          <w:p w14:paraId="76B089D7">
            <w:pPr>
              <w:jc w:val="center"/>
              <w:rPr>
                <w:rFonts w:hint="eastAsia" w:ascii="宋体" w:hAnsi="宋体" w:eastAsia="宋体" w:cs="宋体"/>
                <w:color w:val="auto"/>
                <w:sz w:val="24"/>
                <w:szCs w:val="24"/>
                <w:highlight w:val="none"/>
                <w:lang w:eastAsia="zh-CN"/>
              </w:rPr>
            </w:pPr>
          </w:p>
        </w:tc>
        <w:tc>
          <w:tcPr>
            <w:tcW w:w="3334" w:type="dxa"/>
            <w:tcBorders>
              <w:right w:val="single" w:color="000000" w:sz="10" w:space="0"/>
            </w:tcBorders>
            <w:vAlign w:val="center"/>
          </w:tcPr>
          <w:p w14:paraId="79391A18">
            <w:pPr>
              <w:jc w:val="center"/>
              <w:rPr>
                <w:rFonts w:hint="eastAsia" w:ascii="宋体" w:hAnsi="宋体" w:eastAsia="宋体" w:cs="宋体"/>
                <w:color w:val="auto"/>
                <w:sz w:val="24"/>
                <w:szCs w:val="24"/>
                <w:highlight w:val="none"/>
              </w:rPr>
            </w:pPr>
          </w:p>
        </w:tc>
      </w:tr>
      <w:tr w14:paraId="4304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80" w:type="dxa"/>
            <w:vMerge w:val="continue"/>
            <w:tcBorders>
              <w:top w:val="nil"/>
              <w:left w:val="single" w:color="000000" w:sz="10" w:space="0"/>
              <w:bottom w:val="nil"/>
            </w:tcBorders>
            <w:vAlign w:val="center"/>
          </w:tcPr>
          <w:p w14:paraId="2CF91F4F">
            <w:pPr>
              <w:jc w:val="center"/>
              <w:rPr>
                <w:rFonts w:hint="eastAsia" w:ascii="宋体" w:hAnsi="宋体" w:eastAsia="宋体" w:cs="宋体"/>
                <w:color w:val="auto"/>
                <w:sz w:val="24"/>
                <w:szCs w:val="24"/>
                <w:highlight w:val="none"/>
              </w:rPr>
            </w:pPr>
          </w:p>
        </w:tc>
        <w:tc>
          <w:tcPr>
            <w:tcW w:w="1144" w:type="dxa"/>
            <w:vAlign w:val="center"/>
          </w:tcPr>
          <w:p w14:paraId="161AC2B8">
            <w:pPr>
              <w:jc w:val="center"/>
              <w:rPr>
                <w:rFonts w:hint="eastAsia" w:ascii="宋体" w:hAnsi="宋体" w:eastAsia="宋体" w:cs="宋体"/>
                <w:color w:val="auto"/>
                <w:sz w:val="24"/>
                <w:szCs w:val="24"/>
                <w:highlight w:val="none"/>
              </w:rPr>
            </w:pPr>
          </w:p>
        </w:tc>
        <w:tc>
          <w:tcPr>
            <w:tcW w:w="1387" w:type="dxa"/>
            <w:vAlign w:val="center"/>
          </w:tcPr>
          <w:p w14:paraId="3A12BAAE">
            <w:pPr>
              <w:jc w:val="center"/>
              <w:rPr>
                <w:rFonts w:hint="eastAsia" w:ascii="宋体" w:hAnsi="宋体" w:eastAsia="宋体" w:cs="宋体"/>
                <w:color w:val="auto"/>
                <w:sz w:val="24"/>
                <w:szCs w:val="24"/>
                <w:highlight w:val="none"/>
              </w:rPr>
            </w:pPr>
          </w:p>
        </w:tc>
        <w:tc>
          <w:tcPr>
            <w:tcW w:w="1012" w:type="dxa"/>
            <w:vAlign w:val="center"/>
          </w:tcPr>
          <w:p w14:paraId="3092C4CE">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1E1D2419">
            <w:pPr>
              <w:jc w:val="center"/>
              <w:rPr>
                <w:rFonts w:hint="eastAsia" w:ascii="宋体" w:hAnsi="宋体" w:eastAsia="宋体" w:cs="宋体"/>
                <w:color w:val="auto"/>
                <w:sz w:val="24"/>
                <w:szCs w:val="24"/>
                <w:highlight w:val="none"/>
              </w:rPr>
            </w:pPr>
          </w:p>
        </w:tc>
      </w:tr>
      <w:tr w14:paraId="0103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bottom w:val="nil"/>
            </w:tcBorders>
            <w:vAlign w:val="center"/>
          </w:tcPr>
          <w:p w14:paraId="159B99AD">
            <w:pPr>
              <w:jc w:val="center"/>
              <w:rPr>
                <w:rFonts w:hint="eastAsia" w:ascii="宋体" w:hAnsi="宋体" w:eastAsia="宋体" w:cs="宋体"/>
                <w:color w:val="auto"/>
                <w:sz w:val="24"/>
                <w:szCs w:val="24"/>
                <w:highlight w:val="none"/>
              </w:rPr>
            </w:pPr>
          </w:p>
        </w:tc>
        <w:tc>
          <w:tcPr>
            <w:tcW w:w="1144" w:type="dxa"/>
            <w:vAlign w:val="center"/>
          </w:tcPr>
          <w:p w14:paraId="38F2AF21">
            <w:pPr>
              <w:jc w:val="center"/>
              <w:rPr>
                <w:rFonts w:hint="eastAsia" w:ascii="宋体" w:hAnsi="宋体" w:eastAsia="宋体" w:cs="宋体"/>
                <w:color w:val="auto"/>
                <w:sz w:val="24"/>
                <w:szCs w:val="24"/>
                <w:highlight w:val="none"/>
              </w:rPr>
            </w:pPr>
          </w:p>
        </w:tc>
        <w:tc>
          <w:tcPr>
            <w:tcW w:w="1387" w:type="dxa"/>
            <w:vAlign w:val="center"/>
          </w:tcPr>
          <w:p w14:paraId="774942BF">
            <w:pPr>
              <w:jc w:val="center"/>
              <w:rPr>
                <w:rFonts w:hint="eastAsia" w:ascii="宋体" w:hAnsi="宋体" w:eastAsia="宋体" w:cs="宋体"/>
                <w:color w:val="auto"/>
                <w:sz w:val="24"/>
                <w:szCs w:val="24"/>
                <w:highlight w:val="none"/>
              </w:rPr>
            </w:pPr>
          </w:p>
        </w:tc>
        <w:tc>
          <w:tcPr>
            <w:tcW w:w="1012" w:type="dxa"/>
            <w:vAlign w:val="center"/>
          </w:tcPr>
          <w:p w14:paraId="6784188D">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0AF307C5">
            <w:pPr>
              <w:jc w:val="center"/>
              <w:rPr>
                <w:rFonts w:hint="eastAsia" w:ascii="宋体" w:hAnsi="宋体" w:eastAsia="宋体" w:cs="宋体"/>
                <w:color w:val="auto"/>
                <w:sz w:val="24"/>
                <w:szCs w:val="24"/>
                <w:highlight w:val="none"/>
              </w:rPr>
            </w:pPr>
          </w:p>
        </w:tc>
      </w:tr>
      <w:tr w14:paraId="7746B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bottom w:val="nil"/>
            </w:tcBorders>
            <w:vAlign w:val="center"/>
          </w:tcPr>
          <w:p w14:paraId="305F6BD6">
            <w:pPr>
              <w:jc w:val="center"/>
              <w:rPr>
                <w:rFonts w:hint="eastAsia" w:ascii="宋体" w:hAnsi="宋体" w:eastAsia="宋体" w:cs="宋体"/>
                <w:color w:val="auto"/>
                <w:sz w:val="24"/>
                <w:szCs w:val="24"/>
                <w:highlight w:val="none"/>
              </w:rPr>
            </w:pPr>
          </w:p>
        </w:tc>
        <w:tc>
          <w:tcPr>
            <w:tcW w:w="1144" w:type="dxa"/>
            <w:vAlign w:val="center"/>
          </w:tcPr>
          <w:p w14:paraId="230FC453">
            <w:pPr>
              <w:jc w:val="center"/>
              <w:rPr>
                <w:rFonts w:hint="eastAsia" w:ascii="宋体" w:hAnsi="宋体" w:eastAsia="宋体" w:cs="宋体"/>
                <w:color w:val="auto"/>
                <w:sz w:val="24"/>
                <w:szCs w:val="24"/>
                <w:highlight w:val="none"/>
              </w:rPr>
            </w:pPr>
          </w:p>
        </w:tc>
        <w:tc>
          <w:tcPr>
            <w:tcW w:w="1387" w:type="dxa"/>
            <w:vAlign w:val="center"/>
          </w:tcPr>
          <w:p w14:paraId="658DB9D2">
            <w:pPr>
              <w:jc w:val="center"/>
              <w:rPr>
                <w:rFonts w:hint="eastAsia" w:ascii="宋体" w:hAnsi="宋体" w:eastAsia="宋体" w:cs="宋体"/>
                <w:color w:val="auto"/>
                <w:sz w:val="24"/>
                <w:szCs w:val="24"/>
                <w:highlight w:val="none"/>
              </w:rPr>
            </w:pPr>
          </w:p>
        </w:tc>
        <w:tc>
          <w:tcPr>
            <w:tcW w:w="1012" w:type="dxa"/>
            <w:vAlign w:val="center"/>
          </w:tcPr>
          <w:p w14:paraId="638D98B1">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144ECC05">
            <w:pPr>
              <w:jc w:val="center"/>
              <w:rPr>
                <w:rFonts w:hint="eastAsia" w:ascii="宋体" w:hAnsi="宋体" w:eastAsia="宋体" w:cs="宋体"/>
                <w:color w:val="auto"/>
                <w:sz w:val="24"/>
                <w:szCs w:val="24"/>
                <w:highlight w:val="none"/>
              </w:rPr>
            </w:pPr>
          </w:p>
        </w:tc>
      </w:tr>
      <w:tr w14:paraId="5225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880" w:type="dxa"/>
            <w:vMerge w:val="continue"/>
            <w:tcBorders>
              <w:top w:val="nil"/>
              <w:left w:val="single" w:color="000000" w:sz="10" w:space="0"/>
              <w:bottom w:val="nil"/>
            </w:tcBorders>
            <w:vAlign w:val="center"/>
          </w:tcPr>
          <w:p w14:paraId="18FB3C37">
            <w:pPr>
              <w:jc w:val="center"/>
              <w:rPr>
                <w:rFonts w:hint="eastAsia" w:ascii="宋体" w:hAnsi="宋体" w:eastAsia="宋体" w:cs="宋体"/>
                <w:color w:val="auto"/>
                <w:sz w:val="24"/>
                <w:szCs w:val="24"/>
                <w:highlight w:val="none"/>
              </w:rPr>
            </w:pPr>
          </w:p>
        </w:tc>
        <w:tc>
          <w:tcPr>
            <w:tcW w:w="1144" w:type="dxa"/>
            <w:vAlign w:val="center"/>
          </w:tcPr>
          <w:p w14:paraId="6F83DA95">
            <w:pPr>
              <w:jc w:val="center"/>
              <w:rPr>
                <w:rFonts w:hint="eastAsia" w:ascii="宋体" w:hAnsi="宋体" w:eastAsia="宋体" w:cs="宋体"/>
                <w:color w:val="auto"/>
                <w:sz w:val="24"/>
                <w:szCs w:val="24"/>
                <w:highlight w:val="none"/>
              </w:rPr>
            </w:pPr>
          </w:p>
        </w:tc>
        <w:tc>
          <w:tcPr>
            <w:tcW w:w="1387" w:type="dxa"/>
            <w:vAlign w:val="center"/>
          </w:tcPr>
          <w:p w14:paraId="222845D3">
            <w:pPr>
              <w:jc w:val="center"/>
              <w:rPr>
                <w:rFonts w:hint="eastAsia" w:ascii="宋体" w:hAnsi="宋体" w:eastAsia="宋体" w:cs="宋体"/>
                <w:color w:val="auto"/>
                <w:sz w:val="24"/>
                <w:szCs w:val="24"/>
                <w:highlight w:val="none"/>
              </w:rPr>
            </w:pPr>
          </w:p>
        </w:tc>
        <w:tc>
          <w:tcPr>
            <w:tcW w:w="1012" w:type="dxa"/>
            <w:vAlign w:val="center"/>
          </w:tcPr>
          <w:p w14:paraId="235D3538">
            <w:pPr>
              <w:jc w:val="center"/>
              <w:rPr>
                <w:rFonts w:hint="eastAsia" w:ascii="宋体" w:hAnsi="宋体" w:eastAsia="宋体" w:cs="宋体"/>
                <w:color w:val="auto"/>
                <w:sz w:val="24"/>
                <w:szCs w:val="24"/>
                <w:highlight w:val="none"/>
              </w:rPr>
            </w:pPr>
          </w:p>
        </w:tc>
        <w:tc>
          <w:tcPr>
            <w:tcW w:w="3334" w:type="dxa"/>
            <w:tcBorders>
              <w:right w:val="single" w:color="000000" w:sz="10" w:space="0"/>
            </w:tcBorders>
            <w:vAlign w:val="center"/>
          </w:tcPr>
          <w:p w14:paraId="46C15412">
            <w:pPr>
              <w:jc w:val="center"/>
              <w:rPr>
                <w:rFonts w:hint="eastAsia" w:ascii="宋体" w:hAnsi="宋体" w:eastAsia="宋体" w:cs="宋体"/>
                <w:color w:val="auto"/>
                <w:sz w:val="24"/>
                <w:szCs w:val="24"/>
                <w:highlight w:val="none"/>
              </w:rPr>
            </w:pPr>
          </w:p>
        </w:tc>
      </w:tr>
      <w:tr w14:paraId="64FF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880" w:type="dxa"/>
            <w:vMerge w:val="continue"/>
            <w:tcBorders>
              <w:top w:val="nil"/>
              <w:left w:val="single" w:color="000000" w:sz="10" w:space="0"/>
              <w:bottom w:val="single" w:color="000000" w:sz="10" w:space="0"/>
            </w:tcBorders>
            <w:vAlign w:val="center"/>
          </w:tcPr>
          <w:p w14:paraId="0F3F17A2">
            <w:pPr>
              <w:jc w:val="center"/>
              <w:rPr>
                <w:rFonts w:hint="eastAsia" w:ascii="宋体" w:hAnsi="宋体" w:eastAsia="宋体" w:cs="宋体"/>
                <w:color w:val="auto"/>
                <w:sz w:val="24"/>
                <w:szCs w:val="24"/>
                <w:highlight w:val="none"/>
              </w:rPr>
            </w:pPr>
          </w:p>
        </w:tc>
        <w:tc>
          <w:tcPr>
            <w:tcW w:w="1144" w:type="dxa"/>
            <w:tcBorders>
              <w:bottom w:val="single" w:color="000000" w:sz="10" w:space="0"/>
            </w:tcBorders>
            <w:vAlign w:val="center"/>
          </w:tcPr>
          <w:p w14:paraId="06103BCE">
            <w:pPr>
              <w:jc w:val="center"/>
              <w:rPr>
                <w:rFonts w:hint="eastAsia" w:ascii="宋体" w:hAnsi="宋体" w:eastAsia="宋体" w:cs="宋体"/>
                <w:color w:val="auto"/>
                <w:sz w:val="24"/>
                <w:szCs w:val="24"/>
                <w:highlight w:val="none"/>
              </w:rPr>
            </w:pPr>
          </w:p>
        </w:tc>
        <w:tc>
          <w:tcPr>
            <w:tcW w:w="1387" w:type="dxa"/>
            <w:tcBorders>
              <w:bottom w:val="single" w:color="000000" w:sz="10" w:space="0"/>
            </w:tcBorders>
            <w:vAlign w:val="center"/>
          </w:tcPr>
          <w:p w14:paraId="4A156CA7">
            <w:pPr>
              <w:jc w:val="center"/>
              <w:rPr>
                <w:rFonts w:hint="eastAsia" w:ascii="宋体" w:hAnsi="宋体" w:eastAsia="宋体" w:cs="宋体"/>
                <w:color w:val="auto"/>
                <w:sz w:val="24"/>
                <w:szCs w:val="24"/>
                <w:highlight w:val="none"/>
              </w:rPr>
            </w:pPr>
          </w:p>
        </w:tc>
        <w:tc>
          <w:tcPr>
            <w:tcW w:w="1012" w:type="dxa"/>
            <w:tcBorders>
              <w:bottom w:val="single" w:color="000000" w:sz="10" w:space="0"/>
            </w:tcBorders>
            <w:vAlign w:val="center"/>
          </w:tcPr>
          <w:p w14:paraId="7BCAAC2A">
            <w:pPr>
              <w:jc w:val="center"/>
              <w:rPr>
                <w:rFonts w:hint="eastAsia" w:ascii="宋体" w:hAnsi="宋体" w:eastAsia="宋体" w:cs="宋体"/>
                <w:color w:val="auto"/>
                <w:sz w:val="24"/>
                <w:szCs w:val="24"/>
                <w:highlight w:val="none"/>
              </w:rPr>
            </w:pPr>
          </w:p>
        </w:tc>
        <w:tc>
          <w:tcPr>
            <w:tcW w:w="3334" w:type="dxa"/>
            <w:tcBorders>
              <w:bottom w:val="single" w:color="000000" w:sz="10" w:space="0"/>
              <w:right w:val="single" w:color="000000" w:sz="10" w:space="0"/>
            </w:tcBorders>
            <w:vAlign w:val="center"/>
          </w:tcPr>
          <w:p w14:paraId="2A3369B8">
            <w:pPr>
              <w:jc w:val="center"/>
              <w:rPr>
                <w:rFonts w:hint="eastAsia" w:ascii="宋体" w:hAnsi="宋体" w:eastAsia="宋体" w:cs="宋体"/>
                <w:color w:val="auto"/>
                <w:sz w:val="24"/>
                <w:szCs w:val="24"/>
                <w:highlight w:val="none"/>
              </w:rPr>
            </w:pPr>
          </w:p>
        </w:tc>
      </w:tr>
    </w:tbl>
    <w:p w14:paraId="34D3998F">
      <w:pPr>
        <w:pStyle w:val="4"/>
        <w:rPr>
          <w:rFonts w:hint="eastAsia" w:ascii="宋体" w:hAnsi="宋体" w:eastAsia="宋体" w:cs="宋体"/>
          <w:color w:val="auto"/>
          <w:highlight w:val="none"/>
        </w:rPr>
      </w:pPr>
    </w:p>
    <w:p w14:paraId="77115E7B">
      <w:pPr>
        <w:spacing w:before="185" w:line="221" w:lineRule="auto"/>
        <w:jc w:val="center"/>
        <w:rPr>
          <w:rFonts w:ascii="Times New Roman" w:hAnsi="Times New Roman" w:eastAsia="黑体"/>
          <w:color w:val="auto"/>
          <w:sz w:val="36"/>
          <w:szCs w:val="36"/>
          <w:highlight w:val="none"/>
        </w:rPr>
      </w:pPr>
    </w:p>
    <w:p w14:paraId="0D7D119F">
      <w:pPr>
        <w:spacing w:before="185" w:line="221" w:lineRule="auto"/>
        <w:jc w:val="center"/>
        <w:rPr>
          <w:rFonts w:ascii="Times New Roman" w:hAnsi="Times New Roman" w:eastAsia="黑体"/>
          <w:color w:val="auto"/>
          <w:sz w:val="36"/>
          <w:szCs w:val="36"/>
          <w:highlight w:val="none"/>
        </w:rPr>
      </w:pPr>
    </w:p>
    <w:p w14:paraId="75189589">
      <w:pPr>
        <w:spacing w:before="185" w:line="221" w:lineRule="auto"/>
        <w:jc w:val="center"/>
        <w:rPr>
          <w:rFonts w:ascii="Times New Roman" w:hAnsi="Times New Roman" w:eastAsia="黑体"/>
          <w:color w:val="auto"/>
          <w:sz w:val="36"/>
          <w:szCs w:val="36"/>
          <w:highlight w:val="none"/>
        </w:rPr>
      </w:pPr>
    </w:p>
    <w:p w14:paraId="1119099C">
      <w:pPr>
        <w:spacing w:before="185" w:line="221" w:lineRule="auto"/>
        <w:jc w:val="center"/>
        <w:rPr>
          <w:rFonts w:ascii="Times New Roman" w:hAnsi="Times New Roman" w:eastAsia="黑体"/>
          <w:color w:val="auto"/>
          <w:sz w:val="36"/>
          <w:szCs w:val="36"/>
          <w:highlight w:val="none"/>
        </w:rPr>
      </w:pPr>
    </w:p>
    <w:p w14:paraId="5B0D89F9">
      <w:pPr>
        <w:spacing w:before="185" w:line="221" w:lineRule="auto"/>
        <w:jc w:val="center"/>
        <w:rPr>
          <w:rFonts w:ascii="Times New Roman" w:hAnsi="Times New Roman" w:eastAsia="黑体"/>
          <w:color w:val="auto"/>
          <w:sz w:val="36"/>
          <w:szCs w:val="36"/>
          <w:highlight w:val="none"/>
        </w:rPr>
      </w:pPr>
    </w:p>
    <w:p w14:paraId="482553A9">
      <w:pPr>
        <w:spacing w:before="185" w:line="221" w:lineRule="auto"/>
        <w:jc w:val="center"/>
        <w:rPr>
          <w:rFonts w:ascii="Times New Roman" w:hAnsi="Times New Roman" w:eastAsia="黑体"/>
          <w:color w:val="auto"/>
          <w:sz w:val="36"/>
          <w:szCs w:val="36"/>
          <w:highlight w:val="none"/>
        </w:rPr>
      </w:pPr>
    </w:p>
    <w:p w14:paraId="5844270E">
      <w:pPr>
        <w:spacing w:before="185" w:line="221" w:lineRule="auto"/>
        <w:jc w:val="center"/>
        <w:rPr>
          <w:rFonts w:ascii="Times New Roman" w:hAnsi="Times New Roman" w:eastAsia="黑体"/>
          <w:color w:val="auto"/>
          <w:sz w:val="36"/>
          <w:szCs w:val="36"/>
          <w:highlight w:val="none"/>
        </w:rPr>
      </w:pPr>
    </w:p>
    <w:p w14:paraId="52FA2085">
      <w:pPr>
        <w:spacing w:before="185" w:line="221" w:lineRule="auto"/>
        <w:jc w:val="center"/>
        <w:rPr>
          <w:rFonts w:ascii="Times New Roman" w:hAnsi="Times New Roman" w:eastAsia="黑体"/>
          <w:color w:val="auto"/>
          <w:sz w:val="36"/>
          <w:szCs w:val="36"/>
          <w:highlight w:val="none"/>
        </w:rPr>
      </w:pPr>
    </w:p>
    <w:p w14:paraId="01A842CC">
      <w:pPr>
        <w:keepNext w:val="0"/>
        <w:keepLines w:val="0"/>
        <w:pageBreakBefore w:val="0"/>
        <w:wordWrap/>
        <w:overflowPunct/>
        <w:topLinePunct w:val="0"/>
        <w:bidi w:val="0"/>
        <w:spacing w:before="185" w:line="500" w:lineRule="atLeast"/>
        <w:jc w:val="center"/>
        <w:rPr>
          <w:rFonts w:ascii="黑体" w:hAnsi="黑体" w:eastAsia="黑体" w:cs="黑体"/>
          <w:color w:val="auto"/>
          <w:sz w:val="31"/>
          <w:szCs w:val="31"/>
          <w:highlight w:val="none"/>
        </w:rPr>
      </w:pPr>
      <w:r>
        <w:rPr>
          <w:rFonts w:ascii="Times New Roman" w:hAnsi="Times New Roman" w:eastAsia="黑体"/>
          <w:color w:val="auto"/>
          <w:sz w:val="36"/>
          <w:szCs w:val="36"/>
          <w:highlight w:val="none"/>
        </w:rPr>
        <w:t>工程质量保修书</w:t>
      </w:r>
      <w:r>
        <w:rPr>
          <w:rFonts w:ascii="黑体" w:hAnsi="黑体" w:eastAsia="黑体" w:cs="黑体"/>
          <w:color w:val="auto"/>
          <w:spacing w:val="11"/>
          <w:sz w:val="31"/>
          <w:szCs w:val="31"/>
          <w:highlight w:val="none"/>
        </w:rPr>
        <w:t>（</w:t>
      </w:r>
      <w:r>
        <w:rPr>
          <w:rFonts w:hint="eastAsia" w:ascii="黑体" w:hAnsi="黑体" w:eastAsia="黑体" w:cs="黑体"/>
          <w:color w:val="auto"/>
          <w:spacing w:val="11"/>
          <w:sz w:val="31"/>
          <w:szCs w:val="31"/>
          <w:highlight w:val="none"/>
          <w:lang w:val="en-US" w:eastAsia="zh-CN"/>
        </w:rPr>
        <w:t>市政公用</w:t>
      </w:r>
      <w:r>
        <w:rPr>
          <w:rFonts w:ascii="黑体" w:hAnsi="黑体" w:eastAsia="黑体" w:cs="黑体"/>
          <w:color w:val="auto"/>
          <w:spacing w:val="11"/>
          <w:sz w:val="31"/>
          <w:szCs w:val="31"/>
          <w:highlight w:val="none"/>
        </w:rPr>
        <w:t>工程）</w:t>
      </w:r>
    </w:p>
    <w:p w14:paraId="2217D67C">
      <w:pPr>
        <w:pStyle w:val="4"/>
        <w:keepNext w:val="0"/>
        <w:keepLines w:val="0"/>
        <w:pageBreakBefore w:val="0"/>
        <w:widowControl w:val="0"/>
        <w:kinsoku/>
        <w:wordWrap/>
        <w:overflowPunct/>
        <w:topLinePunct w:val="0"/>
        <w:autoSpaceDE/>
        <w:autoSpaceDN/>
        <w:bidi w:val="0"/>
        <w:snapToGrid/>
        <w:spacing w:before="204" w:line="500" w:lineRule="atLeast"/>
        <w:ind w:left="463"/>
        <w:jc w:val="left"/>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发包人（全称</w:t>
      </w:r>
      <w:r>
        <w:rPr>
          <w:rFonts w:hint="eastAsia" w:ascii="宋体" w:hAnsi="宋体" w:eastAsia="宋体" w:cs="宋体"/>
          <w:color w:val="auto"/>
          <w:spacing w:val="-7"/>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eastAsia="zh-CN"/>
        </w:rPr>
        <w:t>荔浦市财政局</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14:paraId="0A4071E6">
      <w:pPr>
        <w:pStyle w:val="4"/>
        <w:keepNext w:val="0"/>
        <w:keepLines w:val="0"/>
        <w:pageBreakBefore w:val="0"/>
        <w:widowControl w:val="0"/>
        <w:kinsoku/>
        <w:wordWrap/>
        <w:overflowPunct/>
        <w:topLinePunct w:val="0"/>
        <w:autoSpaceDE/>
        <w:autoSpaceDN/>
        <w:bidi w:val="0"/>
        <w:snapToGrid/>
        <w:spacing w:line="500" w:lineRule="atLeast"/>
        <w:ind w:left="462"/>
        <w:jc w:val="left"/>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承包人（全称</w:t>
      </w:r>
      <w:r>
        <w:rPr>
          <w:rFonts w:hint="eastAsia" w:ascii="宋体" w:hAnsi="宋体" w:eastAsia="宋体" w:cs="宋体"/>
          <w:color w:val="auto"/>
          <w:spacing w:val="-23"/>
          <w:sz w:val="24"/>
          <w:szCs w:val="24"/>
          <w:highlight w:val="none"/>
        </w:rPr>
        <w:t>）：</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p w14:paraId="43AC6235">
      <w:pPr>
        <w:keepNext w:val="0"/>
        <w:keepLines w:val="0"/>
        <w:pageBreakBefore w:val="0"/>
        <w:widowControl w:val="0"/>
        <w:kinsoku/>
        <w:wordWrap/>
        <w:overflowPunct/>
        <w:topLinePunct w:val="0"/>
        <w:autoSpaceDE/>
        <w:autoSpaceDN/>
        <w:bidi w:val="0"/>
        <w:snapToGrid/>
        <w:spacing w:line="5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发包人和承包人根据《中华人民共和国建筑法》和《建设工程质量管理条例》，经协商一致就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9"/>
          <w:sz w:val="24"/>
          <w:szCs w:val="24"/>
          <w:highlight w:val="none"/>
          <w:u w:val="single"/>
          <w:lang w:eastAsia="zh-CN"/>
        </w:rPr>
        <w:t>荔浦市荔城镇沙街社区洋洞河堤顶路健身步道建设项目</w:t>
      </w:r>
      <w:r>
        <w:rPr>
          <w:rFonts w:hint="eastAsia" w:ascii="宋体" w:hAnsi="宋体" w:eastAsia="宋体" w:cs="宋体"/>
          <w:color w:val="auto"/>
          <w:sz w:val="24"/>
          <w:szCs w:val="24"/>
          <w:highlight w:val="none"/>
        </w:rPr>
        <w:t>（工程全称）签订工程质量保修书。</w:t>
      </w:r>
    </w:p>
    <w:p w14:paraId="7A252DC7">
      <w:pPr>
        <w:keepNext w:val="0"/>
        <w:keepLines w:val="0"/>
        <w:pageBreakBefore w:val="0"/>
        <w:widowControl w:val="0"/>
        <w:kinsoku/>
        <w:wordWrap/>
        <w:overflowPunct/>
        <w:topLinePunct w:val="0"/>
        <w:autoSpaceDE/>
        <w:autoSpaceDN/>
        <w:bidi w:val="0"/>
        <w:snapToGrid/>
        <w:spacing w:line="500" w:lineRule="atLeas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一、工程质量保修范围和内容</w:t>
      </w:r>
    </w:p>
    <w:p w14:paraId="1D889E82">
      <w:pPr>
        <w:pStyle w:val="42"/>
        <w:keepNext w:val="0"/>
        <w:keepLines w:val="0"/>
        <w:pageBreakBefore w:val="0"/>
        <w:widowControl/>
        <w:kinsoku/>
        <w:wordWrap/>
        <w:overflowPunct/>
        <w:topLinePunct w:val="0"/>
        <w:bidi w:val="0"/>
        <w:snapToGrid/>
        <w:spacing w:after="0" w:line="500" w:lineRule="atLeast"/>
        <w:textAlignment w:val="auto"/>
        <w:rPr>
          <w:rStyle w:val="1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Style w:val="15"/>
          <w:rFonts w:hint="eastAsia" w:ascii="宋体" w:hAnsi="宋体" w:eastAsia="宋体" w:cs="宋体"/>
          <w:color w:val="auto"/>
          <w:sz w:val="24"/>
          <w:szCs w:val="24"/>
          <w:highlight w:val="none"/>
        </w:rPr>
        <w:t>　　承包人在质量保修期内，按照有关法律规定和合同约定，承担工程质量保修责任。</w:t>
      </w:r>
    </w:p>
    <w:p w14:paraId="1C8E18B3">
      <w:pPr>
        <w:pStyle w:val="42"/>
        <w:keepNext w:val="0"/>
        <w:keepLines w:val="0"/>
        <w:pageBreakBefore w:val="0"/>
        <w:widowControl/>
        <w:kinsoku/>
        <w:wordWrap/>
        <w:overflowPunct/>
        <w:topLinePunct w:val="0"/>
        <w:bidi w:val="0"/>
        <w:snapToGrid/>
        <w:spacing w:after="0" w:line="500" w:lineRule="atLeast"/>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质量保修范围包括</w:t>
      </w:r>
      <w:r>
        <w:rPr>
          <w:rStyle w:val="15"/>
          <w:rFonts w:hint="eastAsia" w:ascii="宋体" w:hAnsi="宋体" w:eastAsia="宋体" w:cs="宋体"/>
          <w:color w:val="auto"/>
          <w:sz w:val="24"/>
          <w:szCs w:val="24"/>
          <w:highlight w:val="none"/>
          <w:u w:val="single"/>
          <w:lang w:eastAsia="zh-CN"/>
        </w:rPr>
        <w:t>排水渠疏浚、渠堤顶路面硬化、路灯、健身广场、健身器材、绿化等</w:t>
      </w:r>
      <w:r>
        <w:rPr>
          <w:rFonts w:hint="eastAsia"/>
          <w:color w:val="auto"/>
          <w:spacing w:val="-1"/>
          <w:sz w:val="24"/>
          <w:szCs w:val="24"/>
          <w:highlight w:val="none"/>
          <w:u w:val="single" w:color="auto"/>
          <w:lang w:val="en-US" w:eastAsia="zh-CN"/>
        </w:rPr>
        <w:t xml:space="preserve"> </w:t>
      </w:r>
      <w:r>
        <w:rPr>
          <w:rStyle w:val="15"/>
          <w:rFonts w:hint="eastAsia" w:ascii="宋体" w:hAnsi="宋体" w:eastAsia="宋体" w:cs="宋体"/>
          <w:color w:val="auto"/>
          <w:sz w:val="24"/>
          <w:szCs w:val="24"/>
          <w:highlight w:val="none"/>
        </w:rPr>
        <w:t>以及双方约定的其他项目。具体保修的内容，双方约定如下：</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u w:val="single"/>
          <w:lang w:eastAsia="zh-CN"/>
        </w:rPr>
        <w:t>经审查备案的施工图范围内包含的施工内容</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rPr>
        <w:t>。</w:t>
      </w:r>
    </w:p>
    <w:p w14:paraId="6532E6EC">
      <w:pPr>
        <w:pStyle w:val="42"/>
        <w:keepNext w:val="0"/>
        <w:keepLines w:val="0"/>
        <w:pageBreakBefore w:val="0"/>
        <w:widowControl/>
        <w:kinsoku/>
        <w:wordWrap/>
        <w:overflowPunct/>
        <w:topLinePunct w:val="0"/>
        <w:bidi w:val="0"/>
        <w:snapToGrid/>
        <w:spacing w:after="0" w:line="500" w:lineRule="atLeast"/>
        <w:textAlignment w:val="auto"/>
        <w:outlineLvl w:val="0"/>
        <w:rPr>
          <w:rStyle w:val="15"/>
          <w:rFonts w:hint="eastAsia" w:ascii="宋体" w:hAnsi="宋体" w:eastAsia="宋体" w:cs="宋体"/>
          <w:color w:val="auto"/>
          <w:sz w:val="24"/>
          <w:szCs w:val="24"/>
          <w:highlight w:val="none"/>
        </w:rPr>
      </w:pPr>
      <w:r>
        <w:rPr>
          <w:rStyle w:val="15"/>
          <w:rFonts w:hint="eastAsia" w:ascii="宋体" w:hAnsi="宋体" w:eastAsia="宋体" w:cs="宋体"/>
          <w:b/>
          <w:color w:val="auto"/>
          <w:sz w:val="24"/>
          <w:szCs w:val="24"/>
          <w:highlight w:val="none"/>
        </w:rPr>
        <w:t>　　</w:t>
      </w:r>
      <w:bookmarkStart w:id="233" w:name="_Toc31072"/>
      <w:bookmarkStart w:id="234" w:name="_Toc4182"/>
      <w:r>
        <w:rPr>
          <w:rStyle w:val="15"/>
          <w:rFonts w:hint="eastAsia" w:ascii="宋体" w:hAnsi="宋体" w:eastAsia="宋体" w:cs="宋体"/>
          <w:color w:val="auto"/>
          <w:sz w:val="24"/>
          <w:szCs w:val="24"/>
          <w:highlight w:val="none"/>
        </w:rPr>
        <w:t>二、质量保修期</w:t>
      </w:r>
      <w:bookmarkEnd w:id="233"/>
      <w:bookmarkEnd w:id="234"/>
    </w:p>
    <w:p w14:paraId="688FE3EE">
      <w:pPr>
        <w:pStyle w:val="42"/>
        <w:keepNext w:val="0"/>
        <w:keepLines w:val="0"/>
        <w:pageBreakBefore w:val="0"/>
        <w:widowControl/>
        <w:kinsoku/>
        <w:wordWrap/>
        <w:overflowPunct/>
        <w:topLinePunct w:val="0"/>
        <w:bidi w:val="0"/>
        <w:snapToGrid/>
        <w:spacing w:after="0" w:line="500" w:lineRule="atLeast"/>
        <w:ind w:firstLine="480" w:firstLineChars="20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根据《建设工程质量管理条例》及有关规定，工程的质量保修期如下：</w:t>
      </w:r>
    </w:p>
    <w:p w14:paraId="5C4B0762">
      <w:pPr>
        <w:pStyle w:val="4"/>
        <w:spacing w:before="157" w:line="234" w:lineRule="auto"/>
        <w:ind w:left="463"/>
        <w:rPr>
          <w:color w:val="auto"/>
          <w:sz w:val="24"/>
          <w:szCs w:val="24"/>
          <w:highlight w:val="none"/>
        </w:rPr>
      </w:pPr>
      <w:r>
        <w:rPr>
          <w:color w:val="auto"/>
          <w:spacing w:val="-2"/>
          <w:sz w:val="24"/>
          <w:szCs w:val="24"/>
          <w:highlight w:val="none"/>
        </w:rPr>
        <w:t>1．桥梁工程为</w:t>
      </w:r>
      <w:r>
        <w:rPr>
          <w:rFonts w:ascii="Calibri" w:hAnsi="Calibri" w:eastAsia="Calibri" w:cs="Calibri"/>
          <w:color w:val="auto"/>
          <w:spacing w:val="-2"/>
          <w:sz w:val="24"/>
          <w:szCs w:val="24"/>
          <w:highlight w:val="none"/>
          <w:u w:val="single" w:color="auto"/>
        </w:rPr>
        <w:t xml:space="preserve">      /     </w:t>
      </w:r>
      <w:r>
        <w:rPr>
          <w:rFonts w:ascii="Calibri" w:hAnsi="Calibri" w:eastAsia="Calibri" w:cs="Calibri"/>
          <w:color w:val="auto"/>
          <w:spacing w:val="-39"/>
          <w:sz w:val="24"/>
          <w:szCs w:val="24"/>
          <w:highlight w:val="none"/>
        </w:rPr>
        <w:t xml:space="preserve"> </w:t>
      </w:r>
      <w:r>
        <w:rPr>
          <w:color w:val="auto"/>
          <w:spacing w:val="-2"/>
          <w:sz w:val="24"/>
          <w:szCs w:val="24"/>
          <w:highlight w:val="none"/>
        </w:rPr>
        <w:t>年（建议桥梁隧道主体结构工程为设计文件规定的合理使用年限</w:t>
      </w:r>
      <w:r>
        <w:rPr>
          <w:color w:val="auto"/>
          <w:spacing w:val="-25"/>
          <w:sz w:val="24"/>
          <w:szCs w:val="24"/>
          <w:highlight w:val="none"/>
        </w:rPr>
        <w:t>）；</w:t>
      </w:r>
    </w:p>
    <w:p w14:paraId="03B8C81E">
      <w:pPr>
        <w:pStyle w:val="4"/>
        <w:spacing w:before="144" w:line="241" w:lineRule="auto"/>
        <w:ind w:left="451"/>
        <w:rPr>
          <w:color w:val="auto"/>
          <w:sz w:val="24"/>
          <w:szCs w:val="24"/>
          <w:highlight w:val="none"/>
        </w:rPr>
      </w:pPr>
      <w:r>
        <w:rPr>
          <w:rFonts w:ascii="Calibri" w:hAnsi="Calibri" w:eastAsia="Calibri" w:cs="Calibri"/>
          <w:color w:val="auto"/>
          <w:spacing w:val="-1"/>
          <w:sz w:val="24"/>
          <w:szCs w:val="24"/>
          <w:highlight w:val="none"/>
        </w:rPr>
        <w:t>2</w:t>
      </w:r>
      <w:r>
        <w:rPr>
          <w:color w:val="auto"/>
          <w:spacing w:val="-1"/>
          <w:sz w:val="24"/>
          <w:szCs w:val="24"/>
          <w:highlight w:val="none"/>
        </w:rPr>
        <w:t>．道路工程为</w:t>
      </w:r>
      <w:r>
        <w:rPr>
          <w:rFonts w:ascii="Calibri" w:hAnsi="Calibri" w:eastAsia="Calibri" w:cs="Calibri"/>
          <w:color w:val="auto"/>
          <w:spacing w:val="7"/>
          <w:sz w:val="24"/>
          <w:szCs w:val="24"/>
          <w:highlight w:val="none"/>
          <w:u w:val="single" w:color="auto"/>
        </w:rPr>
        <w:t xml:space="preserve">      </w:t>
      </w:r>
      <w:r>
        <w:rPr>
          <w:rFonts w:ascii="Calibri" w:hAnsi="Calibri" w:eastAsia="Calibri" w:cs="Calibri"/>
          <w:color w:val="auto"/>
          <w:spacing w:val="-1"/>
          <w:sz w:val="24"/>
          <w:szCs w:val="24"/>
          <w:highlight w:val="none"/>
          <w:u w:val="single" w:color="auto"/>
        </w:rPr>
        <w:t xml:space="preserve">2    </w:t>
      </w:r>
      <w:r>
        <w:rPr>
          <w:rFonts w:ascii="Calibri" w:hAnsi="Calibri" w:eastAsia="Calibri" w:cs="Calibri"/>
          <w:color w:val="auto"/>
          <w:spacing w:val="-38"/>
          <w:sz w:val="24"/>
          <w:szCs w:val="24"/>
          <w:highlight w:val="none"/>
        </w:rPr>
        <w:t xml:space="preserve"> </w:t>
      </w:r>
      <w:r>
        <w:rPr>
          <w:color w:val="auto"/>
          <w:spacing w:val="-1"/>
          <w:sz w:val="24"/>
          <w:szCs w:val="24"/>
          <w:highlight w:val="none"/>
        </w:rPr>
        <w:t>年（建议路基、路面、桥面</w:t>
      </w:r>
      <w:r>
        <w:rPr>
          <w:color w:val="auto"/>
          <w:spacing w:val="-2"/>
          <w:sz w:val="24"/>
          <w:szCs w:val="24"/>
          <w:highlight w:val="none"/>
        </w:rPr>
        <w:t>为</w:t>
      </w:r>
      <w:r>
        <w:rPr>
          <w:color w:val="auto"/>
          <w:spacing w:val="-43"/>
          <w:sz w:val="24"/>
          <w:szCs w:val="24"/>
          <w:highlight w:val="none"/>
        </w:rPr>
        <w:t xml:space="preserve"> </w:t>
      </w:r>
      <w:r>
        <w:rPr>
          <w:rFonts w:ascii="Calibri" w:hAnsi="Calibri" w:eastAsia="Calibri" w:cs="Calibri"/>
          <w:color w:val="auto"/>
          <w:spacing w:val="-2"/>
          <w:sz w:val="24"/>
          <w:szCs w:val="24"/>
          <w:highlight w:val="none"/>
        </w:rPr>
        <w:t>2</w:t>
      </w:r>
      <w:r>
        <w:rPr>
          <w:rFonts w:ascii="Calibri" w:hAnsi="Calibri" w:eastAsia="Calibri" w:cs="Calibri"/>
          <w:color w:val="auto"/>
          <w:spacing w:val="15"/>
          <w:w w:val="101"/>
          <w:sz w:val="24"/>
          <w:szCs w:val="24"/>
          <w:highlight w:val="none"/>
        </w:rPr>
        <w:t xml:space="preserve"> </w:t>
      </w:r>
      <w:r>
        <w:rPr>
          <w:color w:val="auto"/>
          <w:spacing w:val="-2"/>
          <w:sz w:val="24"/>
          <w:szCs w:val="24"/>
          <w:highlight w:val="none"/>
        </w:rPr>
        <w:t>年</w:t>
      </w:r>
      <w:r>
        <w:rPr>
          <w:color w:val="auto"/>
          <w:spacing w:val="-54"/>
          <w:w w:val="97"/>
          <w:sz w:val="24"/>
          <w:szCs w:val="24"/>
          <w:highlight w:val="none"/>
        </w:rPr>
        <w:t>）；</w:t>
      </w:r>
    </w:p>
    <w:p w14:paraId="38490C04">
      <w:pPr>
        <w:pStyle w:val="4"/>
        <w:spacing w:before="134" w:line="241" w:lineRule="auto"/>
        <w:ind w:left="449"/>
        <w:rPr>
          <w:color w:val="auto"/>
          <w:sz w:val="24"/>
          <w:szCs w:val="24"/>
          <w:highlight w:val="none"/>
        </w:rPr>
      </w:pPr>
      <w:r>
        <w:rPr>
          <w:rFonts w:ascii="Calibri" w:hAnsi="Calibri" w:eastAsia="Calibri" w:cs="Calibri"/>
          <w:color w:val="auto"/>
          <w:spacing w:val="-1"/>
          <w:sz w:val="24"/>
          <w:szCs w:val="24"/>
          <w:highlight w:val="none"/>
        </w:rPr>
        <w:t>3</w:t>
      </w:r>
      <w:r>
        <w:rPr>
          <w:color w:val="auto"/>
          <w:spacing w:val="-1"/>
          <w:sz w:val="24"/>
          <w:szCs w:val="24"/>
          <w:highlight w:val="none"/>
        </w:rPr>
        <w:t>．排水（雨水）工程为</w:t>
      </w:r>
      <w:r>
        <w:rPr>
          <w:rFonts w:ascii="Calibri" w:hAnsi="Calibri" w:eastAsia="Calibri" w:cs="Calibri"/>
          <w:color w:val="auto"/>
          <w:spacing w:val="-1"/>
          <w:sz w:val="24"/>
          <w:szCs w:val="24"/>
          <w:highlight w:val="none"/>
          <w:u w:val="single" w:color="auto"/>
        </w:rPr>
        <w:t xml:space="preserve">      3     </w:t>
      </w:r>
      <w:r>
        <w:rPr>
          <w:rFonts w:ascii="Calibri" w:hAnsi="Calibri" w:eastAsia="Calibri" w:cs="Calibri"/>
          <w:color w:val="auto"/>
          <w:spacing w:val="-38"/>
          <w:sz w:val="24"/>
          <w:szCs w:val="24"/>
          <w:highlight w:val="none"/>
        </w:rPr>
        <w:t xml:space="preserve"> </w:t>
      </w:r>
      <w:r>
        <w:rPr>
          <w:color w:val="auto"/>
          <w:spacing w:val="-1"/>
          <w:sz w:val="24"/>
          <w:szCs w:val="24"/>
          <w:highlight w:val="none"/>
        </w:rPr>
        <w:t>年（建议道路工程中的排水工程为</w:t>
      </w:r>
      <w:r>
        <w:rPr>
          <w:color w:val="auto"/>
          <w:spacing w:val="-44"/>
          <w:sz w:val="24"/>
          <w:szCs w:val="24"/>
          <w:highlight w:val="none"/>
        </w:rPr>
        <w:t xml:space="preserve"> </w:t>
      </w:r>
      <w:r>
        <w:rPr>
          <w:rFonts w:ascii="Calibri" w:hAnsi="Calibri" w:eastAsia="Calibri" w:cs="Calibri"/>
          <w:color w:val="auto"/>
          <w:spacing w:val="-1"/>
          <w:sz w:val="24"/>
          <w:szCs w:val="24"/>
          <w:highlight w:val="none"/>
        </w:rPr>
        <w:t>3</w:t>
      </w:r>
      <w:r>
        <w:rPr>
          <w:rFonts w:ascii="Calibri" w:hAnsi="Calibri" w:eastAsia="Calibri" w:cs="Calibri"/>
          <w:color w:val="auto"/>
          <w:spacing w:val="16"/>
          <w:sz w:val="24"/>
          <w:szCs w:val="24"/>
          <w:highlight w:val="none"/>
        </w:rPr>
        <w:t xml:space="preserve"> </w:t>
      </w:r>
      <w:r>
        <w:rPr>
          <w:color w:val="auto"/>
          <w:spacing w:val="-1"/>
          <w:sz w:val="24"/>
          <w:szCs w:val="24"/>
          <w:highlight w:val="none"/>
        </w:rPr>
        <w:t>年</w:t>
      </w:r>
      <w:r>
        <w:rPr>
          <w:color w:val="auto"/>
          <w:spacing w:val="-57"/>
          <w:sz w:val="24"/>
          <w:szCs w:val="24"/>
          <w:highlight w:val="none"/>
        </w:rPr>
        <w:t>）；</w:t>
      </w:r>
    </w:p>
    <w:p w14:paraId="62778178">
      <w:pPr>
        <w:pStyle w:val="4"/>
        <w:spacing w:before="134" w:line="241" w:lineRule="auto"/>
        <w:ind w:left="444"/>
        <w:rPr>
          <w:color w:val="auto"/>
          <w:sz w:val="24"/>
          <w:szCs w:val="24"/>
          <w:highlight w:val="none"/>
        </w:rPr>
      </w:pPr>
      <w:r>
        <w:rPr>
          <w:rFonts w:ascii="Calibri" w:hAnsi="Calibri" w:eastAsia="Calibri" w:cs="Calibri"/>
          <w:color w:val="auto"/>
          <w:spacing w:val="-1"/>
          <w:sz w:val="24"/>
          <w:szCs w:val="24"/>
          <w:highlight w:val="none"/>
        </w:rPr>
        <w:t>4</w:t>
      </w:r>
      <w:r>
        <w:rPr>
          <w:color w:val="auto"/>
          <w:spacing w:val="-1"/>
          <w:sz w:val="24"/>
          <w:szCs w:val="24"/>
          <w:highlight w:val="none"/>
        </w:rPr>
        <w:t xml:space="preserve">．绿化工程为 </w:t>
      </w:r>
      <w:r>
        <w:rPr>
          <w:color w:val="auto"/>
          <w:spacing w:val="-1"/>
          <w:sz w:val="24"/>
          <w:szCs w:val="24"/>
          <w:highlight w:val="none"/>
          <w:u w:val="none" w:color="auto"/>
        </w:rPr>
        <w:t>单位工程竣工验收合格后</w:t>
      </w:r>
      <w:r>
        <w:rPr>
          <w:color w:val="auto"/>
          <w:spacing w:val="-1"/>
          <w:sz w:val="24"/>
          <w:szCs w:val="24"/>
          <w:highlight w:val="none"/>
          <w:u w:val="single" w:color="auto"/>
        </w:rPr>
        <w:t xml:space="preserve">  </w:t>
      </w:r>
      <w:r>
        <w:rPr>
          <w:rFonts w:ascii="Calibri" w:hAnsi="Calibri" w:eastAsia="Calibri" w:cs="Calibri"/>
          <w:color w:val="auto"/>
          <w:spacing w:val="-1"/>
          <w:sz w:val="24"/>
          <w:szCs w:val="24"/>
          <w:highlight w:val="none"/>
          <w:u w:val="single" w:color="auto"/>
        </w:rPr>
        <w:t xml:space="preserve">2    </w:t>
      </w:r>
      <w:r>
        <w:rPr>
          <w:rFonts w:ascii="Calibri" w:hAnsi="Calibri" w:eastAsia="Calibri" w:cs="Calibri"/>
          <w:color w:val="auto"/>
          <w:spacing w:val="-1"/>
          <w:sz w:val="24"/>
          <w:szCs w:val="24"/>
          <w:highlight w:val="none"/>
          <w:u w:val="none" w:color="auto"/>
        </w:rPr>
        <w:t xml:space="preserve"> </w:t>
      </w:r>
      <w:r>
        <w:rPr>
          <w:color w:val="auto"/>
          <w:spacing w:val="-2"/>
          <w:sz w:val="24"/>
          <w:szCs w:val="24"/>
          <w:highlight w:val="none"/>
          <w:u w:val="none" w:color="auto"/>
        </w:rPr>
        <w:t>年</w:t>
      </w:r>
      <w:r>
        <w:rPr>
          <w:color w:val="auto"/>
          <w:spacing w:val="-2"/>
          <w:sz w:val="24"/>
          <w:szCs w:val="24"/>
          <w:highlight w:val="none"/>
        </w:rPr>
        <w:t>；</w:t>
      </w:r>
    </w:p>
    <w:p w14:paraId="1681E2F3">
      <w:pPr>
        <w:pStyle w:val="4"/>
        <w:spacing w:before="134" w:line="241" w:lineRule="auto"/>
        <w:ind w:left="449"/>
        <w:rPr>
          <w:color w:val="auto"/>
          <w:sz w:val="24"/>
          <w:szCs w:val="24"/>
          <w:highlight w:val="none"/>
        </w:rPr>
      </w:pPr>
      <w:r>
        <w:rPr>
          <w:rFonts w:ascii="Calibri" w:hAnsi="Calibri" w:eastAsia="Calibri" w:cs="Calibri"/>
          <w:color w:val="auto"/>
          <w:spacing w:val="-7"/>
          <w:sz w:val="24"/>
          <w:szCs w:val="24"/>
          <w:highlight w:val="none"/>
        </w:rPr>
        <w:t>5.</w:t>
      </w:r>
      <w:r>
        <w:rPr>
          <w:rFonts w:ascii="Calibri" w:hAnsi="Calibri" w:eastAsia="Calibri" w:cs="Calibri"/>
          <w:color w:val="auto"/>
          <w:spacing w:val="6"/>
          <w:sz w:val="24"/>
          <w:szCs w:val="24"/>
          <w:highlight w:val="none"/>
        </w:rPr>
        <w:t xml:space="preserve">    </w:t>
      </w:r>
      <w:r>
        <w:rPr>
          <w:color w:val="auto"/>
          <w:spacing w:val="-7"/>
          <w:sz w:val="24"/>
          <w:szCs w:val="24"/>
          <w:highlight w:val="none"/>
        </w:rPr>
        <w:t>地下防水工程为</w:t>
      </w:r>
      <w:r>
        <w:rPr>
          <w:rFonts w:ascii="Calibri" w:hAnsi="Calibri" w:eastAsia="Calibri" w:cs="Calibri"/>
          <w:color w:val="auto"/>
          <w:spacing w:val="8"/>
          <w:sz w:val="24"/>
          <w:szCs w:val="24"/>
          <w:highlight w:val="none"/>
          <w:u w:val="single" w:color="auto"/>
        </w:rPr>
        <w:t xml:space="preserve">    </w:t>
      </w:r>
      <w:r>
        <w:rPr>
          <w:rFonts w:ascii="Calibri" w:hAnsi="Calibri" w:eastAsia="Calibri" w:cs="Calibri"/>
          <w:color w:val="auto"/>
          <w:spacing w:val="-7"/>
          <w:sz w:val="24"/>
          <w:szCs w:val="24"/>
          <w:highlight w:val="none"/>
          <w:u w:val="single" w:color="auto"/>
        </w:rPr>
        <w:t>5</w:t>
      </w:r>
      <w:r>
        <w:rPr>
          <w:rFonts w:ascii="Calibri" w:hAnsi="Calibri" w:eastAsia="Calibri" w:cs="Calibri"/>
          <w:color w:val="auto"/>
          <w:spacing w:val="5"/>
          <w:sz w:val="24"/>
          <w:szCs w:val="24"/>
          <w:highlight w:val="none"/>
          <w:u w:val="single" w:color="auto"/>
        </w:rPr>
        <w:t xml:space="preserve">      </w:t>
      </w:r>
      <w:r>
        <w:rPr>
          <w:rFonts w:ascii="Calibri" w:hAnsi="Calibri" w:eastAsia="Calibri" w:cs="Calibri"/>
          <w:color w:val="auto"/>
          <w:spacing w:val="-37"/>
          <w:sz w:val="24"/>
          <w:szCs w:val="24"/>
          <w:highlight w:val="none"/>
        </w:rPr>
        <w:t xml:space="preserve"> </w:t>
      </w:r>
      <w:r>
        <w:rPr>
          <w:color w:val="auto"/>
          <w:spacing w:val="-7"/>
          <w:sz w:val="24"/>
          <w:szCs w:val="24"/>
          <w:highlight w:val="none"/>
        </w:rPr>
        <w:t>年（建议为</w:t>
      </w:r>
      <w:r>
        <w:rPr>
          <w:color w:val="auto"/>
          <w:spacing w:val="-44"/>
          <w:sz w:val="24"/>
          <w:szCs w:val="24"/>
          <w:highlight w:val="none"/>
        </w:rPr>
        <w:t xml:space="preserve"> </w:t>
      </w:r>
      <w:r>
        <w:rPr>
          <w:rFonts w:ascii="Calibri" w:hAnsi="Calibri" w:eastAsia="Calibri" w:cs="Calibri"/>
          <w:color w:val="auto"/>
          <w:spacing w:val="-7"/>
          <w:sz w:val="24"/>
          <w:szCs w:val="24"/>
          <w:highlight w:val="none"/>
        </w:rPr>
        <w:t>5</w:t>
      </w:r>
      <w:r>
        <w:rPr>
          <w:rFonts w:ascii="Calibri" w:hAnsi="Calibri" w:eastAsia="Calibri" w:cs="Calibri"/>
          <w:color w:val="auto"/>
          <w:spacing w:val="15"/>
          <w:w w:val="101"/>
          <w:sz w:val="24"/>
          <w:szCs w:val="24"/>
          <w:highlight w:val="none"/>
        </w:rPr>
        <w:t xml:space="preserve"> </w:t>
      </w:r>
      <w:r>
        <w:rPr>
          <w:color w:val="auto"/>
          <w:spacing w:val="-7"/>
          <w:sz w:val="24"/>
          <w:szCs w:val="24"/>
          <w:highlight w:val="none"/>
        </w:rPr>
        <w:t>年</w:t>
      </w:r>
      <w:r>
        <w:rPr>
          <w:color w:val="auto"/>
          <w:spacing w:val="-26"/>
          <w:sz w:val="24"/>
          <w:szCs w:val="24"/>
          <w:highlight w:val="none"/>
        </w:rPr>
        <w:t>）；</w:t>
      </w:r>
    </w:p>
    <w:p w14:paraId="3B720438">
      <w:pPr>
        <w:pStyle w:val="4"/>
        <w:spacing w:before="136"/>
        <w:ind w:left="450"/>
        <w:rPr>
          <w:color w:val="auto"/>
          <w:sz w:val="24"/>
          <w:szCs w:val="24"/>
          <w:highlight w:val="none"/>
        </w:rPr>
      </w:pPr>
      <w:r>
        <w:rPr>
          <w:rFonts w:ascii="Calibri" w:hAnsi="Calibri" w:eastAsia="Calibri" w:cs="Calibri"/>
          <w:color w:val="auto"/>
          <w:spacing w:val="-3"/>
          <w:sz w:val="24"/>
          <w:szCs w:val="24"/>
          <w:highlight w:val="none"/>
        </w:rPr>
        <w:t>6</w:t>
      </w:r>
      <w:r>
        <w:rPr>
          <w:color w:val="auto"/>
          <w:spacing w:val="-3"/>
          <w:sz w:val="24"/>
          <w:szCs w:val="24"/>
          <w:highlight w:val="none"/>
        </w:rPr>
        <w:t>．其他附属工程为</w:t>
      </w:r>
      <w:r>
        <w:rPr>
          <w:rFonts w:ascii="Calibri" w:hAnsi="Calibri" w:eastAsia="Calibri" w:cs="Calibri"/>
          <w:color w:val="auto"/>
          <w:spacing w:val="-3"/>
          <w:sz w:val="24"/>
          <w:szCs w:val="24"/>
          <w:highlight w:val="none"/>
          <w:u w:val="single" w:color="auto"/>
        </w:rPr>
        <w:t xml:space="preserve">       2</w:t>
      </w:r>
      <w:r>
        <w:rPr>
          <w:rFonts w:ascii="Calibri" w:hAnsi="Calibri" w:eastAsia="Calibri" w:cs="Calibri"/>
          <w:color w:val="auto"/>
          <w:spacing w:val="5"/>
          <w:sz w:val="24"/>
          <w:szCs w:val="24"/>
          <w:highlight w:val="none"/>
          <w:u w:val="single" w:color="auto"/>
        </w:rPr>
        <w:t xml:space="preserve">      </w:t>
      </w:r>
      <w:r>
        <w:rPr>
          <w:rFonts w:ascii="Calibri" w:hAnsi="Calibri" w:eastAsia="Calibri" w:cs="Calibri"/>
          <w:color w:val="auto"/>
          <w:spacing w:val="-37"/>
          <w:sz w:val="24"/>
          <w:szCs w:val="24"/>
          <w:highlight w:val="none"/>
        </w:rPr>
        <w:t xml:space="preserve"> </w:t>
      </w:r>
      <w:r>
        <w:rPr>
          <w:color w:val="auto"/>
          <w:spacing w:val="-3"/>
          <w:sz w:val="24"/>
          <w:szCs w:val="24"/>
          <w:highlight w:val="none"/>
        </w:rPr>
        <w:t>年；</w:t>
      </w:r>
    </w:p>
    <w:p w14:paraId="1F9CDFB5">
      <w:pPr>
        <w:pStyle w:val="4"/>
        <w:spacing w:before="135" w:line="221" w:lineRule="auto"/>
        <w:ind w:left="445"/>
        <w:rPr>
          <w:rFonts w:hint="default" w:eastAsia="宋体"/>
          <w:color w:val="auto"/>
          <w:sz w:val="24"/>
          <w:szCs w:val="24"/>
          <w:highlight w:val="none"/>
          <w:u w:val="single"/>
          <w:lang w:val="en-US" w:eastAsia="zh-CN"/>
        </w:rPr>
      </w:pPr>
      <w:r>
        <w:rPr>
          <w:color w:val="auto"/>
          <w:spacing w:val="-3"/>
          <w:sz w:val="24"/>
          <w:szCs w:val="24"/>
          <w:highlight w:val="none"/>
        </w:rPr>
        <w:t>7．其他项目保修期限约定如下：</w:t>
      </w:r>
      <w:r>
        <w:rPr>
          <w:rFonts w:hint="eastAsia"/>
          <w:color w:val="auto"/>
          <w:spacing w:val="-3"/>
          <w:sz w:val="24"/>
          <w:szCs w:val="24"/>
          <w:highlight w:val="none"/>
          <w:u w:val="single"/>
          <w:lang w:val="en-US" w:eastAsia="zh-CN"/>
        </w:rPr>
        <w:t xml:space="preserve">   /  。</w:t>
      </w:r>
    </w:p>
    <w:p w14:paraId="34019B5A">
      <w:pPr>
        <w:pStyle w:val="4"/>
        <w:spacing w:before="166" w:line="221" w:lineRule="auto"/>
        <w:ind w:left="441"/>
        <w:rPr>
          <w:rStyle w:val="15"/>
          <w:rFonts w:hint="eastAsia" w:ascii="宋体" w:hAnsi="宋体" w:eastAsia="宋体" w:cs="宋体"/>
          <w:color w:val="auto"/>
          <w:sz w:val="24"/>
          <w:szCs w:val="24"/>
          <w:highlight w:val="none"/>
        </w:rPr>
      </w:pPr>
      <w:r>
        <w:rPr>
          <w:color w:val="auto"/>
          <w:spacing w:val="-1"/>
          <w:sz w:val="24"/>
          <w:szCs w:val="24"/>
          <w:highlight w:val="none"/>
        </w:rPr>
        <w:t>质量保修期自工程竣工验收合格之日起计算。</w:t>
      </w:r>
    </w:p>
    <w:p w14:paraId="146DBB01">
      <w:pPr>
        <w:pStyle w:val="42"/>
        <w:keepNext w:val="0"/>
        <w:keepLines w:val="0"/>
        <w:pageBreakBefore w:val="0"/>
        <w:widowControl/>
        <w:kinsoku/>
        <w:wordWrap/>
        <w:overflowPunct/>
        <w:topLinePunct w:val="0"/>
        <w:bidi w:val="0"/>
        <w:snapToGrid/>
        <w:spacing w:after="0" w:line="500" w:lineRule="atLeast"/>
        <w:ind w:firstLine="480" w:firstLineChars="200"/>
        <w:textAlignment w:val="auto"/>
        <w:outlineLvl w:val="0"/>
        <w:rPr>
          <w:rStyle w:val="15"/>
          <w:rFonts w:hint="eastAsia" w:ascii="宋体" w:hAnsi="宋体" w:eastAsia="宋体" w:cs="宋体"/>
          <w:color w:val="auto"/>
          <w:sz w:val="24"/>
          <w:szCs w:val="24"/>
          <w:highlight w:val="none"/>
        </w:rPr>
      </w:pPr>
      <w:bookmarkStart w:id="235" w:name="_Toc12716"/>
      <w:bookmarkStart w:id="236" w:name="_Toc11849"/>
      <w:r>
        <w:rPr>
          <w:rStyle w:val="15"/>
          <w:rFonts w:hint="eastAsia" w:ascii="宋体" w:hAnsi="宋体" w:eastAsia="宋体" w:cs="宋体"/>
          <w:color w:val="auto"/>
          <w:sz w:val="24"/>
          <w:szCs w:val="24"/>
          <w:highlight w:val="none"/>
        </w:rPr>
        <w:t>三、缺陷责任期</w:t>
      </w:r>
      <w:bookmarkEnd w:id="235"/>
      <w:bookmarkEnd w:id="236"/>
    </w:p>
    <w:p w14:paraId="0B8A2DAE">
      <w:pPr>
        <w:pStyle w:val="42"/>
        <w:keepNext w:val="0"/>
        <w:keepLines w:val="0"/>
        <w:pageBreakBefore w:val="0"/>
        <w:widowControl/>
        <w:kinsoku/>
        <w:wordWrap/>
        <w:overflowPunct/>
        <w:topLinePunct w:val="0"/>
        <w:bidi w:val="0"/>
        <w:snapToGrid/>
        <w:spacing w:after="0" w:line="500" w:lineRule="atLeast"/>
        <w:ind w:firstLine="480" w:firstLineChars="20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工程缺陷责任期为</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u w:val="single"/>
          <w:lang w:val="en-US" w:eastAsia="zh-CN"/>
        </w:rPr>
        <w:t>24</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rPr>
        <w:t>个月，缺陷责任期自工程通过竣工验收之日起计算。单位工程先于全部工程进行验收，单位工程缺陷责任期自单位工程验收合格之日起算。</w:t>
      </w:r>
    </w:p>
    <w:p w14:paraId="3F411B69">
      <w:pPr>
        <w:pStyle w:val="42"/>
        <w:keepNext w:val="0"/>
        <w:keepLines w:val="0"/>
        <w:pageBreakBefore w:val="0"/>
        <w:widowControl/>
        <w:kinsoku/>
        <w:wordWrap/>
        <w:overflowPunct/>
        <w:topLinePunct w:val="0"/>
        <w:bidi w:val="0"/>
        <w:snapToGrid/>
        <w:spacing w:after="0" w:line="500" w:lineRule="atLeast"/>
        <w:ind w:firstLine="480" w:firstLineChars="20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缺陷责任期终止后，发包人应退还剩余的质量保证金。</w:t>
      </w:r>
    </w:p>
    <w:p w14:paraId="7D690538">
      <w:pPr>
        <w:pStyle w:val="42"/>
        <w:keepNext w:val="0"/>
        <w:keepLines w:val="0"/>
        <w:pageBreakBefore w:val="0"/>
        <w:widowControl/>
        <w:kinsoku/>
        <w:wordWrap/>
        <w:overflowPunct/>
        <w:topLinePunct w:val="0"/>
        <w:bidi w:val="0"/>
        <w:snapToGrid/>
        <w:spacing w:after="0" w:line="500" w:lineRule="atLeast"/>
        <w:textAlignment w:val="auto"/>
        <w:outlineLvl w:val="0"/>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xml:space="preserve">    </w:t>
      </w:r>
      <w:bookmarkStart w:id="237" w:name="_Toc4358"/>
      <w:bookmarkStart w:id="238" w:name="_Toc8605"/>
      <w:r>
        <w:rPr>
          <w:rStyle w:val="15"/>
          <w:rFonts w:hint="eastAsia" w:ascii="宋体" w:hAnsi="宋体" w:eastAsia="宋体" w:cs="宋体"/>
          <w:color w:val="auto"/>
          <w:sz w:val="24"/>
          <w:szCs w:val="24"/>
          <w:highlight w:val="none"/>
        </w:rPr>
        <w:t>四、质量保修责任</w:t>
      </w:r>
      <w:bookmarkEnd w:id="237"/>
      <w:bookmarkEnd w:id="238"/>
    </w:p>
    <w:p w14:paraId="16D3BB1A">
      <w:pPr>
        <w:pStyle w:val="42"/>
        <w:keepNext w:val="0"/>
        <w:keepLines w:val="0"/>
        <w:pageBreakBefore w:val="0"/>
        <w:widowControl/>
        <w:kinsoku/>
        <w:wordWrap/>
        <w:overflowPunct/>
        <w:topLinePunct w:val="0"/>
        <w:bidi w:val="0"/>
        <w:snapToGrid/>
        <w:spacing w:after="0" w:line="500" w:lineRule="atLeast"/>
        <w:ind w:left="105" w:leftChars="50" w:firstLine="491" w:firstLineChars="205"/>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1．属于保修范围、内容的项目，承包人应当在接到保修通知之日起</w:t>
      </w:r>
      <w:r>
        <w:rPr>
          <w:rStyle w:val="15"/>
          <w:rFonts w:hint="eastAsia" w:ascii="宋体" w:hAnsi="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天内派人保修。承包人不在约定期限内派人保修的，发包人可以委托他人修理。</w:t>
      </w:r>
    </w:p>
    <w:p w14:paraId="20CA6471">
      <w:pPr>
        <w:pStyle w:val="42"/>
        <w:keepNext w:val="0"/>
        <w:keepLines w:val="0"/>
        <w:pageBreakBefore w:val="0"/>
        <w:widowControl/>
        <w:kinsoku/>
        <w:wordWrap/>
        <w:overflowPunct/>
        <w:topLinePunct w:val="0"/>
        <w:bidi w:val="0"/>
        <w:snapToGrid/>
        <w:spacing w:after="0" w:line="500" w:lineRule="atLeast"/>
        <w:ind w:left="105" w:leftChars="50" w:firstLine="491" w:firstLineChars="205"/>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2．发生紧急事故需抢修的，承包人在接到事故通知后，应当立即到达事故现场抢修。</w:t>
      </w:r>
    </w:p>
    <w:p w14:paraId="6015DA13">
      <w:pPr>
        <w:pStyle w:val="42"/>
        <w:keepNext w:val="0"/>
        <w:keepLines w:val="0"/>
        <w:pageBreakBefore w:val="0"/>
        <w:widowControl/>
        <w:kinsoku/>
        <w:wordWrap/>
        <w:overflowPunct/>
        <w:topLinePunct w:val="0"/>
        <w:bidi w:val="0"/>
        <w:snapToGrid/>
        <w:spacing w:after="0" w:line="500" w:lineRule="atLeast"/>
        <w:ind w:left="105" w:leftChars="50" w:firstLine="491" w:firstLineChars="205"/>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C03906">
      <w:pPr>
        <w:pStyle w:val="42"/>
        <w:keepNext w:val="0"/>
        <w:keepLines w:val="0"/>
        <w:pageBreakBefore w:val="0"/>
        <w:widowControl/>
        <w:kinsoku/>
        <w:wordWrap/>
        <w:overflowPunct/>
        <w:topLinePunct w:val="0"/>
        <w:bidi w:val="0"/>
        <w:snapToGrid/>
        <w:spacing w:after="0" w:line="500" w:lineRule="atLeast"/>
        <w:ind w:left="420" w:leftChars="200" w:firstLine="120" w:firstLineChars="5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4．质量保修完成后，由发包人组织验收。</w:t>
      </w:r>
    </w:p>
    <w:p w14:paraId="524283E6">
      <w:pPr>
        <w:pStyle w:val="42"/>
        <w:keepNext w:val="0"/>
        <w:keepLines w:val="0"/>
        <w:pageBreakBefore w:val="0"/>
        <w:widowControl/>
        <w:kinsoku/>
        <w:wordWrap/>
        <w:overflowPunct/>
        <w:topLinePunct w:val="0"/>
        <w:bidi w:val="0"/>
        <w:snapToGrid/>
        <w:spacing w:after="0" w:line="500" w:lineRule="atLeast"/>
        <w:textAlignment w:val="auto"/>
        <w:outlineLvl w:val="0"/>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w:t>
      </w:r>
      <w:bookmarkStart w:id="239" w:name="_Toc12863"/>
      <w:bookmarkStart w:id="240" w:name="_Toc11647"/>
      <w:r>
        <w:rPr>
          <w:rStyle w:val="15"/>
          <w:rFonts w:hint="eastAsia" w:ascii="宋体" w:hAnsi="宋体" w:eastAsia="宋体" w:cs="宋体"/>
          <w:color w:val="auto"/>
          <w:sz w:val="24"/>
          <w:szCs w:val="24"/>
          <w:highlight w:val="none"/>
        </w:rPr>
        <w:t>五、保修费用</w:t>
      </w:r>
      <w:bookmarkEnd w:id="239"/>
      <w:bookmarkEnd w:id="240"/>
    </w:p>
    <w:p w14:paraId="7481627C">
      <w:pPr>
        <w:pStyle w:val="42"/>
        <w:keepNext w:val="0"/>
        <w:keepLines w:val="0"/>
        <w:pageBreakBefore w:val="0"/>
        <w:widowControl/>
        <w:kinsoku/>
        <w:wordWrap/>
        <w:overflowPunct/>
        <w:topLinePunct w:val="0"/>
        <w:bidi w:val="0"/>
        <w:snapToGrid/>
        <w:spacing w:after="0" w:line="500" w:lineRule="atLeast"/>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　　保修费用由造成质量缺陷的责任方承担。</w:t>
      </w:r>
    </w:p>
    <w:p w14:paraId="3AE03E34">
      <w:pPr>
        <w:pStyle w:val="42"/>
        <w:keepNext w:val="0"/>
        <w:keepLines w:val="0"/>
        <w:pageBreakBefore w:val="0"/>
        <w:widowControl/>
        <w:kinsoku/>
        <w:wordWrap/>
        <w:overflowPunct/>
        <w:topLinePunct w:val="0"/>
        <w:bidi w:val="0"/>
        <w:snapToGrid/>
        <w:spacing w:after="0" w:line="500" w:lineRule="atLeast"/>
        <w:jc w:val="left"/>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b/>
          <w:color w:val="auto"/>
          <w:sz w:val="24"/>
          <w:szCs w:val="24"/>
          <w:highlight w:val="none"/>
        </w:rPr>
        <w:t>六</w:t>
      </w:r>
      <w:r>
        <w:rPr>
          <w:rStyle w:val="15"/>
          <w:rFonts w:hint="eastAsia" w:ascii="宋体" w:hAnsi="宋体" w:eastAsia="宋体" w:cs="宋体"/>
          <w:color w:val="auto"/>
          <w:sz w:val="24"/>
          <w:szCs w:val="24"/>
          <w:highlight w:val="none"/>
        </w:rPr>
        <w:t>、双方约定的其他工程质量保修事项：</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u w:val="single"/>
          <w:lang w:val="en-US" w:eastAsia="zh-CN"/>
        </w:rPr>
        <w:t>/</w:t>
      </w:r>
      <w:r>
        <w:rPr>
          <w:rStyle w:val="15"/>
          <w:rFonts w:hint="eastAsia" w:ascii="宋体" w:hAnsi="宋体" w:eastAsia="宋体" w:cs="宋体"/>
          <w:color w:val="auto"/>
          <w:sz w:val="24"/>
          <w:szCs w:val="24"/>
          <w:highlight w:val="none"/>
          <w:u w:val="single"/>
        </w:rPr>
        <w:t xml:space="preserve">              </w:t>
      </w:r>
      <w:r>
        <w:rPr>
          <w:rStyle w:val="15"/>
          <w:rFonts w:hint="eastAsia" w:ascii="宋体" w:hAnsi="宋体" w:eastAsia="宋体" w:cs="宋体"/>
          <w:color w:val="auto"/>
          <w:sz w:val="24"/>
          <w:szCs w:val="24"/>
          <w:highlight w:val="none"/>
        </w:rPr>
        <w:t>。</w:t>
      </w:r>
    </w:p>
    <w:p w14:paraId="3BFF4DB0">
      <w:pPr>
        <w:pStyle w:val="42"/>
        <w:keepNext w:val="0"/>
        <w:keepLines w:val="0"/>
        <w:pageBreakBefore w:val="0"/>
        <w:widowControl/>
        <w:kinsoku/>
        <w:wordWrap/>
        <w:overflowPunct/>
        <w:topLinePunct w:val="0"/>
        <w:bidi w:val="0"/>
        <w:snapToGrid/>
        <w:spacing w:after="0" w:line="500" w:lineRule="atLeast"/>
        <w:ind w:firstLine="456" w:firstLineChars="190"/>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25994C20">
      <w:pPr>
        <w:pStyle w:val="43"/>
        <w:spacing w:line="360" w:lineRule="auto"/>
        <w:rPr>
          <w:rFonts w:hint="eastAsia" w:ascii="宋体" w:hAnsi="宋体" w:eastAsia="宋体" w:cs="宋体"/>
          <w:color w:val="auto"/>
          <w:sz w:val="24"/>
          <w:szCs w:val="24"/>
          <w:highlight w:val="none"/>
        </w:rPr>
      </w:pPr>
    </w:p>
    <w:p w14:paraId="4CAFB91C">
      <w:pPr>
        <w:pStyle w:val="43"/>
        <w:rPr>
          <w:rFonts w:hint="eastAsia" w:ascii="宋体" w:hAnsi="宋体" w:eastAsia="宋体" w:cs="宋体"/>
          <w:color w:val="auto"/>
          <w:sz w:val="24"/>
          <w:szCs w:val="24"/>
          <w:highlight w:val="none"/>
        </w:rPr>
      </w:pPr>
    </w:p>
    <w:p w14:paraId="46386992">
      <w:pPr>
        <w:pStyle w:val="43"/>
        <w:rPr>
          <w:rFonts w:hint="eastAsia" w:ascii="宋体" w:hAnsi="宋体" w:eastAsia="宋体" w:cs="宋体"/>
          <w:color w:val="auto"/>
          <w:sz w:val="24"/>
          <w:szCs w:val="24"/>
          <w:highlight w:val="none"/>
        </w:rPr>
      </w:pPr>
    </w:p>
    <w:tbl>
      <w:tblPr>
        <w:tblStyle w:val="40"/>
        <w:tblpPr w:leftFromText="180" w:rightFromText="180" w:vertAnchor="text" w:horzAnchor="page" w:tblpX="1035" w:tblpY="216"/>
        <w:tblOverlap w:val="never"/>
        <w:tblW w:w="9836"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691"/>
        <w:gridCol w:w="5145"/>
      </w:tblGrid>
      <w:tr w14:paraId="27D3869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481" w:hRule="atLeast"/>
        </w:trPr>
        <w:tc>
          <w:tcPr>
            <w:tcW w:w="4691" w:type="dxa"/>
            <w:noWrap w:val="0"/>
            <w:vAlign w:val="top"/>
          </w:tcPr>
          <w:p w14:paraId="5D0034EB">
            <w:pPr>
              <w:keepNext w:val="0"/>
              <w:keepLines w:val="0"/>
              <w:pageBreakBefore w:val="0"/>
              <w:widowControl/>
              <w:kinsoku w:val="0"/>
              <w:wordWrap/>
              <w:overflowPunct/>
              <w:topLinePunct w:val="0"/>
              <w:autoSpaceDE w:val="0"/>
              <w:autoSpaceDN w:val="0"/>
              <w:bidi w:val="0"/>
              <w:adjustRightInd w:val="0"/>
              <w:snapToGrid w:val="0"/>
              <w:spacing w:line="600" w:lineRule="auto"/>
              <w:ind w:left="5"/>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6"/>
                <w:sz w:val="24"/>
                <w:szCs w:val="24"/>
                <w:highlight w:val="none"/>
              </w:rPr>
              <w:t>发</w:t>
            </w:r>
            <w:r>
              <w:rPr>
                <w:rFonts w:hint="eastAsia" w:ascii="宋体" w:hAnsi="宋体" w:eastAsia="宋体" w:cs="宋体"/>
                <w:color w:val="auto"/>
                <w:spacing w:val="-9"/>
                <w:sz w:val="24"/>
                <w:szCs w:val="24"/>
                <w:highlight w:val="none"/>
              </w:rPr>
              <w:t>包人：</w:t>
            </w:r>
            <w:r>
              <w:rPr>
                <w:rFonts w:hint="eastAsia" w:ascii="宋体" w:hAnsi="宋体" w:eastAsia="宋体" w:cs="宋体"/>
                <w:color w:val="auto"/>
                <w:spacing w:val="-9"/>
                <w:sz w:val="24"/>
                <w:szCs w:val="24"/>
                <w:highlight w:val="none"/>
                <w:lang w:val="en-US" w:eastAsia="zh-CN"/>
              </w:rPr>
              <w:t>荔浦市财政</w:t>
            </w:r>
            <w:r>
              <w:rPr>
                <w:rFonts w:hint="eastAsia" w:ascii="宋体" w:hAnsi="宋体" w:eastAsia="宋体" w:cs="宋体"/>
                <w:color w:val="auto"/>
                <w:spacing w:val="-9"/>
                <w:sz w:val="24"/>
                <w:szCs w:val="24"/>
                <w:highlight w:val="none"/>
                <w:lang w:eastAsia="zh-CN"/>
              </w:rPr>
              <w:t>局</w:t>
            </w:r>
          </w:p>
          <w:p w14:paraId="689F92D5">
            <w:pPr>
              <w:keepNext w:val="0"/>
              <w:keepLines w:val="0"/>
              <w:pageBreakBefore w:val="0"/>
              <w:widowControl/>
              <w:kinsoku w:val="0"/>
              <w:wordWrap/>
              <w:overflowPunct/>
              <w:topLinePunct w:val="0"/>
              <w:autoSpaceDE w:val="0"/>
              <w:autoSpaceDN w:val="0"/>
              <w:bidi w:val="0"/>
              <w:adjustRightInd w:val="0"/>
              <w:snapToGrid w:val="0"/>
              <w:spacing w:line="600" w:lineRule="auto"/>
              <w:ind w:left="5" w:firstLine="1332"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(公章)</w:t>
            </w:r>
          </w:p>
        </w:tc>
        <w:tc>
          <w:tcPr>
            <w:tcW w:w="5145" w:type="dxa"/>
            <w:noWrap w:val="0"/>
            <w:vAlign w:val="top"/>
          </w:tcPr>
          <w:p w14:paraId="62C31428">
            <w:pPr>
              <w:keepNext w:val="0"/>
              <w:keepLines w:val="0"/>
              <w:pageBreakBefore w:val="0"/>
              <w:widowControl/>
              <w:kinsoku w:val="0"/>
              <w:wordWrap/>
              <w:overflowPunct/>
              <w:topLinePunct w:val="0"/>
              <w:autoSpaceDE w:val="0"/>
              <w:autoSpaceDN w:val="0"/>
              <w:bidi w:val="0"/>
              <w:adjustRightInd w:val="0"/>
              <w:snapToGrid w:val="0"/>
              <w:spacing w:line="600" w:lineRule="auto"/>
              <w:textAlignment w:val="baseline"/>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12"/>
                <w:sz w:val="24"/>
                <w:szCs w:val="24"/>
                <w:highlight w:val="none"/>
              </w:rPr>
              <w:t>承</w:t>
            </w:r>
            <w:r>
              <w:rPr>
                <w:rFonts w:hint="eastAsia" w:ascii="宋体" w:hAnsi="宋体" w:eastAsia="宋体" w:cs="宋体"/>
                <w:color w:val="auto"/>
                <w:spacing w:val="-9"/>
                <w:sz w:val="24"/>
                <w:szCs w:val="24"/>
                <w:highlight w:val="none"/>
              </w:rPr>
              <w:t>包人：</w:t>
            </w:r>
            <w:r>
              <w:rPr>
                <w:rFonts w:hint="eastAsia" w:ascii="宋体" w:hAnsi="宋体" w:eastAsia="宋体" w:cs="宋体"/>
                <w:color w:val="auto"/>
                <w:spacing w:val="-9"/>
                <w:sz w:val="24"/>
                <w:szCs w:val="24"/>
                <w:highlight w:val="none"/>
                <w:lang w:val="en-US" w:eastAsia="zh-CN"/>
              </w:rPr>
              <w:t xml:space="preserve">                       </w:t>
            </w:r>
          </w:p>
          <w:p w14:paraId="569AA3A4">
            <w:pPr>
              <w:keepNext w:val="0"/>
              <w:keepLines w:val="0"/>
              <w:pageBreakBefore w:val="0"/>
              <w:widowControl/>
              <w:kinsoku w:val="0"/>
              <w:wordWrap/>
              <w:overflowPunct/>
              <w:topLinePunct w:val="0"/>
              <w:autoSpaceDE w:val="0"/>
              <w:autoSpaceDN w:val="0"/>
              <w:bidi w:val="0"/>
              <w:adjustRightInd w:val="0"/>
              <w:snapToGrid w:val="0"/>
              <w:spacing w:line="600" w:lineRule="auto"/>
              <w:ind w:firstLine="1776" w:firstLineChars="8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(公章)</w:t>
            </w:r>
          </w:p>
        </w:tc>
      </w:tr>
      <w:tr w14:paraId="156E229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691" w:type="dxa"/>
            <w:noWrap w:val="0"/>
            <w:vAlign w:val="top"/>
          </w:tcPr>
          <w:p w14:paraId="19BFF7B5">
            <w:pPr>
              <w:keepNext w:val="0"/>
              <w:keepLines w:val="0"/>
              <w:pageBreakBefore w:val="0"/>
              <w:widowControl/>
              <w:kinsoku w:val="0"/>
              <w:wordWrap/>
              <w:overflowPunct/>
              <w:topLinePunct w:val="0"/>
              <w:autoSpaceDE w:val="0"/>
              <w:autoSpaceDN w:val="0"/>
              <w:bidi w:val="0"/>
              <w:adjustRightInd w:val="0"/>
              <w:snapToGrid w:val="0"/>
              <w:spacing w:before="96" w:line="360" w:lineRule="auto"/>
              <w:ind w:left="1"/>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9"/>
                <w:sz w:val="24"/>
                <w:szCs w:val="24"/>
                <w:highlight w:val="none"/>
              </w:rPr>
              <w:t>地</w:t>
            </w:r>
            <w:r>
              <w:rPr>
                <w:rFonts w:hint="eastAsia" w:ascii="宋体" w:hAnsi="宋体" w:eastAsia="宋体" w:cs="宋体"/>
                <w:color w:val="auto"/>
                <w:spacing w:val="-15"/>
                <w:sz w:val="24"/>
                <w:szCs w:val="24"/>
                <w:highlight w:val="none"/>
              </w:rPr>
              <w:t xml:space="preserve">  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tc>
        <w:tc>
          <w:tcPr>
            <w:tcW w:w="5145" w:type="dxa"/>
            <w:noWrap w:val="0"/>
            <w:vAlign w:val="top"/>
          </w:tcPr>
          <w:p w14:paraId="3D2DA00E">
            <w:pPr>
              <w:keepNext w:val="0"/>
              <w:keepLines w:val="0"/>
              <w:pageBreakBefore w:val="0"/>
              <w:widowControl/>
              <w:kinsoku w:val="0"/>
              <w:wordWrap/>
              <w:overflowPunct/>
              <w:topLinePunct w:val="0"/>
              <w:autoSpaceDE w:val="0"/>
              <w:autoSpaceDN w:val="0"/>
              <w:bidi w:val="0"/>
              <w:adjustRightInd w:val="0"/>
              <w:snapToGrid w:val="0"/>
              <w:spacing w:before="96"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地  址：</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0C3AC83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8" w:hRule="atLeast"/>
        </w:trPr>
        <w:tc>
          <w:tcPr>
            <w:tcW w:w="4691" w:type="dxa"/>
            <w:noWrap w:val="0"/>
            <w:vAlign w:val="top"/>
          </w:tcPr>
          <w:p w14:paraId="436D1BEA">
            <w:pPr>
              <w:keepNext w:val="0"/>
              <w:keepLines w:val="0"/>
              <w:pageBreakBefore w:val="0"/>
              <w:widowControl/>
              <w:kinsoku w:val="0"/>
              <w:wordWrap/>
              <w:overflowPunct/>
              <w:topLinePunct w:val="0"/>
              <w:autoSpaceDE w:val="0"/>
              <w:autoSpaceDN w:val="0"/>
              <w:bidi w:val="0"/>
              <w:adjustRightInd w:val="0"/>
              <w:snapToGrid w:val="0"/>
              <w:spacing w:before="96" w:line="360" w:lineRule="auto"/>
              <w:ind w:left="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w:t>
            </w:r>
            <w:r>
              <w:rPr>
                <w:rFonts w:hint="eastAsia" w:ascii="宋体" w:hAnsi="宋体" w:eastAsia="宋体" w:cs="宋体"/>
                <w:color w:val="auto"/>
                <w:spacing w:val="-1"/>
                <w:sz w:val="24"/>
                <w:szCs w:val="24"/>
                <w:highlight w:val="none"/>
              </w:rPr>
              <w:t>代表人</w:t>
            </w:r>
            <w:r>
              <w:rPr>
                <w:rFonts w:hint="eastAsia" w:ascii="宋体" w:hAnsi="宋体" w:eastAsia="宋体" w:cs="宋体"/>
                <w:color w:val="auto"/>
                <w:spacing w:val="-1"/>
                <w:sz w:val="24"/>
                <w:szCs w:val="24"/>
                <w:highlight w:val="none"/>
                <w:lang w:eastAsia="zh-CN"/>
              </w:rPr>
              <w:t>（签字）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5145" w:type="dxa"/>
            <w:noWrap w:val="0"/>
            <w:vAlign w:val="top"/>
          </w:tcPr>
          <w:p w14:paraId="4A5E76D0">
            <w:pPr>
              <w:keepNext w:val="0"/>
              <w:keepLines w:val="0"/>
              <w:pageBreakBefore w:val="0"/>
              <w:widowControl/>
              <w:kinsoku w:val="0"/>
              <w:wordWrap/>
              <w:overflowPunct/>
              <w:topLinePunct w:val="0"/>
              <w:autoSpaceDE w:val="0"/>
              <w:autoSpaceDN w:val="0"/>
              <w:bidi w:val="0"/>
              <w:adjustRightInd w:val="0"/>
              <w:snapToGrid w:val="0"/>
              <w:spacing w:before="96"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法定代表人</w:t>
            </w:r>
            <w:r>
              <w:rPr>
                <w:rFonts w:hint="eastAsia" w:ascii="宋体" w:hAnsi="宋体" w:eastAsia="宋体" w:cs="宋体"/>
                <w:color w:val="auto"/>
                <w:spacing w:val="-1"/>
                <w:sz w:val="24"/>
                <w:szCs w:val="24"/>
                <w:highlight w:val="none"/>
                <w:lang w:eastAsia="zh-CN"/>
              </w:rPr>
              <w:t>（签字）</w:t>
            </w:r>
            <w:r>
              <w:rPr>
                <w:rFonts w:hint="eastAsia" w:ascii="宋体" w:hAnsi="宋体" w:eastAsia="宋体" w:cs="宋体"/>
                <w:color w:val="auto"/>
                <w:spacing w:val="-14"/>
                <w:sz w:val="24"/>
                <w:szCs w:val="24"/>
                <w:highlight w:val="none"/>
              </w:rPr>
              <w:t>：</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71365F2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10" w:hRule="atLeast"/>
        </w:trPr>
        <w:tc>
          <w:tcPr>
            <w:tcW w:w="4691" w:type="dxa"/>
            <w:noWrap w:val="0"/>
            <w:vAlign w:val="top"/>
          </w:tcPr>
          <w:p w14:paraId="0FCE21B4">
            <w:pPr>
              <w:keepNext w:val="0"/>
              <w:keepLines w:val="0"/>
              <w:pageBreakBefore w:val="0"/>
              <w:widowControl/>
              <w:kinsoku w:val="0"/>
              <w:wordWrap/>
              <w:overflowPunct/>
              <w:topLinePunct w:val="0"/>
              <w:autoSpaceDE w:val="0"/>
              <w:autoSpaceDN w:val="0"/>
              <w:bidi w:val="0"/>
              <w:adjustRightInd w:val="0"/>
              <w:snapToGrid w:val="0"/>
              <w:spacing w:before="97"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w:t>
            </w:r>
            <w:r>
              <w:rPr>
                <w:rFonts w:hint="eastAsia" w:ascii="宋体" w:hAnsi="宋体" w:eastAsia="宋体" w:cs="宋体"/>
                <w:color w:val="auto"/>
                <w:spacing w:val="-1"/>
                <w:sz w:val="24"/>
                <w:szCs w:val="24"/>
                <w:highlight w:val="none"/>
                <w:lang w:eastAsia="zh-CN"/>
              </w:rPr>
              <w:t>（签字）</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5145" w:type="dxa"/>
            <w:noWrap w:val="0"/>
            <w:vAlign w:val="top"/>
          </w:tcPr>
          <w:p w14:paraId="4D766097">
            <w:pPr>
              <w:keepNext w:val="0"/>
              <w:keepLines w:val="0"/>
              <w:pageBreakBefore w:val="0"/>
              <w:widowControl/>
              <w:kinsoku w:val="0"/>
              <w:wordWrap/>
              <w:overflowPunct/>
              <w:topLinePunct w:val="0"/>
              <w:autoSpaceDE w:val="0"/>
              <w:autoSpaceDN w:val="0"/>
              <w:bidi w:val="0"/>
              <w:adjustRightInd w:val="0"/>
              <w:snapToGrid w:val="0"/>
              <w:spacing w:before="97"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委</w:t>
            </w:r>
            <w:r>
              <w:rPr>
                <w:rFonts w:hint="eastAsia" w:ascii="宋体" w:hAnsi="宋体" w:eastAsia="宋体" w:cs="宋体"/>
                <w:color w:val="auto"/>
                <w:spacing w:val="-13"/>
                <w:sz w:val="24"/>
                <w:szCs w:val="24"/>
                <w:highlight w:val="none"/>
              </w:rPr>
              <w:t>托代理人</w:t>
            </w:r>
            <w:r>
              <w:rPr>
                <w:rFonts w:hint="eastAsia" w:ascii="宋体" w:hAnsi="宋体" w:eastAsia="宋体" w:cs="宋体"/>
                <w:color w:val="auto"/>
                <w:spacing w:val="-1"/>
                <w:sz w:val="24"/>
                <w:szCs w:val="24"/>
                <w:highlight w:val="none"/>
                <w:lang w:eastAsia="zh-CN"/>
              </w:rPr>
              <w:t>（签字）</w:t>
            </w:r>
            <w:r>
              <w:rPr>
                <w:rFonts w:hint="eastAsia" w:ascii="宋体" w:hAnsi="宋体" w:eastAsia="宋体" w:cs="宋体"/>
                <w:color w:val="auto"/>
                <w:spacing w:val="-13"/>
                <w:sz w:val="24"/>
                <w:szCs w:val="24"/>
                <w:highlight w:val="none"/>
              </w:rPr>
              <w:t>：</w:t>
            </w:r>
            <w:r>
              <w:rPr>
                <w:rFonts w:hint="eastAsia" w:ascii="宋体" w:hAnsi="宋体" w:eastAsia="宋体" w:cs="宋体"/>
                <w:color w:val="auto"/>
                <w:sz w:val="24"/>
                <w:szCs w:val="24"/>
                <w:highlight w:val="none"/>
                <w:u w:val="single" w:color="auto"/>
              </w:rPr>
              <w:t xml:space="preserve">                         </w:t>
            </w:r>
          </w:p>
        </w:tc>
      </w:tr>
      <w:tr w14:paraId="316D385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691" w:type="dxa"/>
            <w:noWrap w:val="0"/>
            <w:vAlign w:val="top"/>
          </w:tcPr>
          <w:p w14:paraId="497ED80F">
            <w:pPr>
              <w:keepNext w:val="0"/>
              <w:keepLines w:val="0"/>
              <w:pageBreakBefore w:val="0"/>
              <w:widowControl/>
              <w:kinsoku w:val="0"/>
              <w:wordWrap/>
              <w:overflowPunct/>
              <w:topLinePunct w:val="0"/>
              <w:autoSpaceDE w:val="0"/>
              <w:autoSpaceDN w:val="0"/>
              <w:bidi w:val="0"/>
              <w:adjustRightInd w:val="0"/>
              <w:snapToGrid w:val="0"/>
              <w:spacing w:before="97" w:line="360" w:lineRule="auto"/>
              <w:ind w:left="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4"/>
                <w:sz w:val="24"/>
                <w:szCs w:val="24"/>
                <w:highlight w:val="none"/>
              </w:rPr>
              <w:t>电</w:t>
            </w:r>
            <w:r>
              <w:rPr>
                <w:rFonts w:hint="eastAsia" w:ascii="宋体" w:hAnsi="宋体" w:eastAsia="宋体" w:cs="宋体"/>
                <w:color w:val="auto"/>
                <w:spacing w:val="-20"/>
                <w:sz w:val="24"/>
                <w:szCs w:val="24"/>
                <w:highlight w:val="none"/>
              </w:rPr>
              <w:t xml:space="preserve">  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5145" w:type="dxa"/>
            <w:noWrap w:val="0"/>
            <w:vAlign w:val="top"/>
          </w:tcPr>
          <w:p w14:paraId="58FE5822">
            <w:pPr>
              <w:keepNext w:val="0"/>
              <w:keepLines w:val="0"/>
              <w:pageBreakBefore w:val="0"/>
              <w:widowControl/>
              <w:kinsoku w:val="0"/>
              <w:wordWrap/>
              <w:overflowPunct/>
              <w:topLinePunct w:val="0"/>
              <w:autoSpaceDE w:val="0"/>
              <w:autoSpaceDN w:val="0"/>
              <w:bidi w:val="0"/>
              <w:adjustRightInd w:val="0"/>
              <w:snapToGrid w:val="0"/>
              <w:spacing w:before="97"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1"/>
                <w:sz w:val="24"/>
                <w:szCs w:val="24"/>
                <w:highlight w:val="none"/>
              </w:rPr>
              <w:t>电  话：</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r>
      <w:tr w14:paraId="57953F4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9" w:hRule="atLeast"/>
        </w:trPr>
        <w:tc>
          <w:tcPr>
            <w:tcW w:w="4691" w:type="dxa"/>
            <w:noWrap w:val="0"/>
            <w:vAlign w:val="top"/>
          </w:tcPr>
          <w:p w14:paraId="4F504715">
            <w:pPr>
              <w:keepNext w:val="0"/>
              <w:keepLines w:val="0"/>
              <w:pageBreakBefore w:val="0"/>
              <w:widowControl/>
              <w:kinsoku w:val="0"/>
              <w:wordWrap/>
              <w:overflowPunct/>
              <w:topLinePunct w:val="0"/>
              <w:autoSpaceDE w:val="0"/>
              <w:autoSpaceDN w:val="0"/>
              <w:bidi w:val="0"/>
              <w:adjustRightInd w:val="0"/>
              <w:snapToGrid w:val="0"/>
              <w:spacing w:before="96" w:line="360" w:lineRule="auto"/>
              <w:ind w:left="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开</w:t>
            </w:r>
            <w:r>
              <w:rPr>
                <w:rFonts w:hint="eastAsia" w:ascii="宋体" w:hAnsi="宋体" w:eastAsia="宋体" w:cs="宋体"/>
                <w:color w:val="auto"/>
                <w:spacing w:val="-16"/>
                <w:sz w:val="24"/>
                <w:szCs w:val="24"/>
                <w:highlight w:val="none"/>
              </w:rPr>
              <w:t>户银行：</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auto"/>
              </w:rPr>
              <w:t xml:space="preserve">         </w:t>
            </w:r>
          </w:p>
        </w:tc>
        <w:tc>
          <w:tcPr>
            <w:tcW w:w="5145" w:type="dxa"/>
            <w:noWrap w:val="0"/>
            <w:vAlign w:val="top"/>
          </w:tcPr>
          <w:p w14:paraId="6069B3F8">
            <w:pPr>
              <w:keepNext w:val="0"/>
              <w:keepLines w:val="0"/>
              <w:pageBreakBefore w:val="0"/>
              <w:widowControl/>
              <w:kinsoku w:val="0"/>
              <w:wordWrap/>
              <w:overflowPunct/>
              <w:topLinePunct w:val="0"/>
              <w:autoSpaceDE w:val="0"/>
              <w:autoSpaceDN w:val="0"/>
              <w:bidi w:val="0"/>
              <w:adjustRightInd w:val="0"/>
              <w:snapToGrid w:val="0"/>
              <w:spacing w:before="96" w:line="360" w:lineRule="auto"/>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开户银行</w:t>
            </w:r>
            <w:r>
              <w:rPr>
                <w:rFonts w:hint="eastAsia" w:ascii="宋体" w:hAnsi="宋体" w:eastAsia="宋体" w:cs="宋体"/>
                <w:color w:val="auto"/>
                <w:spacing w:val="-1"/>
                <w:sz w:val="24"/>
                <w:szCs w:val="24"/>
                <w:highlight w:val="none"/>
              </w:rPr>
              <w:t>：</w:t>
            </w:r>
            <w:r>
              <w:rPr>
                <w:rFonts w:hint="eastAsia" w:ascii="宋体" w:hAnsi="宋体" w:eastAsia="宋体" w:cs="宋体"/>
                <w:color w:val="auto"/>
                <w:sz w:val="24"/>
                <w:szCs w:val="24"/>
                <w:highlight w:val="none"/>
                <w:u w:val="single"/>
                <w:lang w:val="en-US" w:eastAsia="zh-CN"/>
              </w:rPr>
              <w:t xml:space="preserve">                                  </w:t>
            </w:r>
          </w:p>
        </w:tc>
      </w:tr>
      <w:tr w14:paraId="3EF7397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13" w:hRule="atLeast"/>
        </w:trPr>
        <w:tc>
          <w:tcPr>
            <w:tcW w:w="4691" w:type="dxa"/>
            <w:noWrap w:val="0"/>
            <w:vAlign w:val="top"/>
          </w:tcPr>
          <w:p w14:paraId="576F6FB0">
            <w:pPr>
              <w:keepNext w:val="0"/>
              <w:keepLines w:val="0"/>
              <w:pageBreakBefore w:val="0"/>
              <w:widowControl/>
              <w:kinsoku w:val="0"/>
              <w:wordWrap/>
              <w:overflowPunct/>
              <w:topLinePunct w:val="0"/>
              <w:autoSpaceDE w:val="0"/>
              <w:autoSpaceDN w:val="0"/>
              <w:bidi w:val="0"/>
              <w:adjustRightInd w:val="0"/>
              <w:snapToGrid w:val="0"/>
              <w:spacing w:before="98" w:line="360" w:lineRule="auto"/>
              <w:ind w:left="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账  号：</w:t>
            </w:r>
            <w:r>
              <w:rPr>
                <w:rFonts w:hint="eastAsia" w:ascii="宋体" w:hAnsi="宋体" w:eastAsia="宋体" w:cs="宋体"/>
                <w:color w:val="auto"/>
                <w:sz w:val="24"/>
                <w:szCs w:val="24"/>
                <w:highlight w:val="none"/>
                <w:u w:val="single" w:color="auto"/>
              </w:rPr>
              <w:t xml:space="preserve">                      </w:t>
            </w:r>
          </w:p>
        </w:tc>
        <w:tc>
          <w:tcPr>
            <w:tcW w:w="5145" w:type="dxa"/>
            <w:noWrap w:val="0"/>
            <w:vAlign w:val="top"/>
          </w:tcPr>
          <w:p w14:paraId="35B1FD2D">
            <w:pPr>
              <w:keepNext w:val="0"/>
              <w:keepLines w:val="0"/>
              <w:pageBreakBefore w:val="0"/>
              <w:widowControl/>
              <w:kinsoku w:val="0"/>
              <w:wordWrap/>
              <w:overflowPunct/>
              <w:topLinePunct w:val="0"/>
              <w:autoSpaceDE w:val="0"/>
              <w:autoSpaceDN w:val="0"/>
              <w:bidi w:val="0"/>
              <w:adjustRightInd w:val="0"/>
              <w:snapToGrid w:val="0"/>
              <w:spacing w:before="98"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账</w:t>
            </w:r>
            <w:r>
              <w:rPr>
                <w:rFonts w:hint="eastAsia" w:ascii="宋体" w:hAnsi="宋体" w:eastAsia="宋体" w:cs="宋体"/>
                <w:color w:val="auto"/>
                <w:spacing w:val="-16"/>
                <w:sz w:val="24"/>
                <w:szCs w:val="24"/>
                <w:highlight w:val="none"/>
              </w:rPr>
              <w:t xml:space="preserve">  号：</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color="auto"/>
              </w:rPr>
              <w:t xml:space="preserve">     </w:t>
            </w:r>
          </w:p>
        </w:tc>
      </w:tr>
    </w:tbl>
    <w:p w14:paraId="578B62A3">
      <w:pPr>
        <w:pStyle w:val="4"/>
        <w:spacing w:line="350" w:lineRule="auto"/>
        <w:rPr>
          <w:rFonts w:hint="eastAsia" w:ascii="宋体" w:hAnsi="宋体" w:eastAsia="宋体" w:cs="宋体"/>
          <w:color w:val="auto"/>
          <w:highlight w:val="none"/>
        </w:rPr>
      </w:pPr>
    </w:p>
    <w:p w14:paraId="678DC57B">
      <w:pPr>
        <w:pStyle w:val="4"/>
        <w:rPr>
          <w:rFonts w:hint="eastAsia" w:ascii="宋体" w:hAnsi="宋体" w:eastAsia="宋体" w:cs="宋体"/>
          <w:color w:val="auto"/>
          <w:highlight w:val="none"/>
        </w:rPr>
      </w:pPr>
    </w:p>
    <w:p w14:paraId="59688E4E">
      <w:pPr>
        <w:rPr>
          <w:color w:val="auto"/>
          <w:highlight w:val="none"/>
        </w:rPr>
      </w:pPr>
    </w:p>
    <w:p w14:paraId="0FCD56B0">
      <w:pPr>
        <w:pStyle w:val="7"/>
        <w:rPr>
          <w:color w:val="auto"/>
          <w:highlight w:val="none"/>
        </w:rPr>
      </w:pPr>
      <w:r>
        <w:rPr>
          <w:rFonts w:hint="eastAsia" w:hAnsi="宋体" w:cs="宋体"/>
          <w:b/>
          <w:color w:val="auto"/>
          <w:kern w:val="44"/>
          <w:sz w:val="32"/>
          <w:highlight w:val="none"/>
        </w:rPr>
        <w:br w:type="page"/>
      </w:r>
    </w:p>
    <w:p w14:paraId="25F78E19">
      <w:pPr>
        <w:pStyle w:val="12"/>
        <w:spacing w:after="60"/>
        <w:ind w:firstLine="0"/>
        <w:rPr>
          <w:color w:val="auto"/>
          <w:kern w:val="0"/>
          <w:highlight w:val="none"/>
          <w:lang w:val="zh-CN"/>
        </w:rPr>
      </w:pPr>
      <w:bookmarkStart w:id="241" w:name="_Toc10014"/>
      <w:bookmarkStart w:id="242" w:name="_Toc24269"/>
      <w:bookmarkStart w:id="243" w:name="_Toc4230"/>
      <w:bookmarkStart w:id="244" w:name="_Toc14351"/>
      <w:bookmarkStart w:id="245" w:name="_Toc2274"/>
      <w:r>
        <w:rPr>
          <w:rFonts w:hint="eastAsia"/>
          <w:color w:val="auto"/>
          <w:kern w:val="0"/>
          <w:highlight w:val="none"/>
          <w:lang w:val="zh-CN"/>
        </w:rPr>
        <w:t>第六章</w:t>
      </w:r>
      <w:bookmarkEnd w:id="241"/>
      <w:bookmarkEnd w:id="242"/>
      <w:bookmarkStart w:id="246" w:name="_Toc13185"/>
      <w:r>
        <w:rPr>
          <w:color w:val="auto"/>
          <w:kern w:val="0"/>
          <w:highlight w:val="none"/>
          <w:lang w:val="zh-CN"/>
        </w:rPr>
        <w:t xml:space="preserve">  </w:t>
      </w:r>
      <w:r>
        <w:rPr>
          <w:rFonts w:hint="eastAsia"/>
          <w:color w:val="auto"/>
          <w:kern w:val="0"/>
          <w:highlight w:val="none"/>
          <w:lang w:val="zh-CN"/>
        </w:rPr>
        <w:t>响应文件（格式）</w:t>
      </w:r>
      <w:bookmarkEnd w:id="243"/>
      <w:bookmarkEnd w:id="244"/>
      <w:bookmarkEnd w:id="245"/>
      <w:bookmarkEnd w:id="246"/>
    </w:p>
    <w:p w14:paraId="09E25102">
      <w:pPr>
        <w:rPr>
          <w:rFonts w:ascii="宋体" w:hAnsi="宋体" w:eastAsia="宋体" w:cs="宋体"/>
          <w:color w:val="auto"/>
          <w:szCs w:val="24"/>
          <w:highlight w:val="none"/>
        </w:rPr>
      </w:pPr>
    </w:p>
    <w:p w14:paraId="4A12ED81">
      <w:pPr>
        <w:rPr>
          <w:rFonts w:ascii="宋体" w:hAnsi="宋体" w:eastAsia="宋体" w:cs="Times New Roman"/>
          <w:b/>
          <w:color w:val="auto"/>
          <w:sz w:val="32"/>
          <w:szCs w:val="20"/>
          <w:highlight w:val="none"/>
        </w:rPr>
      </w:pPr>
      <w:bookmarkStart w:id="247" w:name="_Toc18351"/>
      <w:bookmarkStart w:id="248" w:name="_Toc497927069"/>
      <w:bookmarkStart w:id="249" w:name="_Toc21496"/>
      <w:r>
        <w:rPr>
          <w:rFonts w:hint="eastAsia" w:ascii="宋体" w:hAnsi="宋体" w:eastAsia="宋体" w:cs="Times New Roman"/>
          <w:b/>
          <w:color w:val="auto"/>
          <w:sz w:val="32"/>
          <w:szCs w:val="20"/>
          <w:highlight w:val="none"/>
        </w:rPr>
        <w:t>一、响应文件</w:t>
      </w:r>
      <w:bookmarkEnd w:id="247"/>
      <w:bookmarkEnd w:id="248"/>
      <w:bookmarkEnd w:id="249"/>
      <w:r>
        <w:rPr>
          <w:rFonts w:hint="eastAsia" w:ascii="宋体" w:hAnsi="宋体" w:eastAsia="宋体" w:cs="Times New Roman"/>
          <w:b/>
          <w:color w:val="auto"/>
          <w:sz w:val="32"/>
          <w:szCs w:val="20"/>
          <w:highlight w:val="none"/>
        </w:rPr>
        <w:t>封面格式：</w:t>
      </w:r>
    </w:p>
    <w:p w14:paraId="1E54EBDE">
      <w:pPr>
        <w:adjustRightInd w:val="0"/>
        <w:snapToGrid w:val="0"/>
        <w:rPr>
          <w:rFonts w:ascii="宋体" w:hAnsi="宋体" w:eastAsia="宋体" w:cs="宋体"/>
          <w:b/>
          <w:color w:val="auto"/>
          <w:sz w:val="44"/>
          <w:szCs w:val="44"/>
          <w:highlight w:val="none"/>
        </w:rPr>
      </w:pPr>
    </w:p>
    <w:p w14:paraId="1CB6A129">
      <w:pPr>
        <w:autoSpaceDE w:val="0"/>
        <w:autoSpaceDN w:val="0"/>
        <w:adjustRightInd w:val="0"/>
        <w:jc w:val="left"/>
        <w:rPr>
          <w:rFonts w:ascii="Times New Roman" w:hAnsi="Times New Roman" w:eastAsia="宋体" w:cs="Times New Roman"/>
          <w:color w:val="auto"/>
          <w:kern w:val="0"/>
          <w:sz w:val="24"/>
          <w:szCs w:val="24"/>
          <w:highlight w:val="none"/>
        </w:rPr>
      </w:pPr>
    </w:p>
    <w:p w14:paraId="724C70D7">
      <w:pPr>
        <w:autoSpaceDE w:val="0"/>
        <w:autoSpaceDN w:val="0"/>
        <w:adjustRightInd w:val="0"/>
        <w:jc w:val="left"/>
        <w:rPr>
          <w:rFonts w:ascii="Times New Roman" w:hAnsi="Times New Roman" w:eastAsia="宋体" w:cs="Times New Roman"/>
          <w:color w:val="auto"/>
          <w:kern w:val="0"/>
          <w:sz w:val="24"/>
          <w:szCs w:val="24"/>
          <w:highlight w:val="none"/>
        </w:rPr>
      </w:pPr>
    </w:p>
    <w:p w14:paraId="62FF26DF">
      <w:pPr>
        <w:autoSpaceDE w:val="0"/>
        <w:autoSpaceDN w:val="0"/>
        <w:adjustRightInd w:val="0"/>
        <w:jc w:val="left"/>
        <w:rPr>
          <w:rFonts w:ascii="Times New Roman" w:hAnsi="Times New Roman" w:eastAsia="宋体" w:cs="Times New Roman"/>
          <w:color w:val="auto"/>
          <w:kern w:val="0"/>
          <w:sz w:val="24"/>
          <w:szCs w:val="24"/>
          <w:highlight w:val="none"/>
        </w:rPr>
      </w:pPr>
    </w:p>
    <w:p w14:paraId="2C36AFD6">
      <w:pPr>
        <w:snapToGrid w:val="0"/>
        <w:spacing w:before="120" w:beforeLines="50" w:after="50"/>
        <w:jc w:val="center"/>
        <w:rPr>
          <w:rFonts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响应文件</w:t>
      </w:r>
    </w:p>
    <w:p w14:paraId="1D853E05">
      <w:pPr>
        <w:snapToGrid w:val="0"/>
        <w:spacing w:before="120" w:beforeLines="50" w:after="50"/>
        <w:ind w:firstLine="422" w:firstLineChars="150"/>
        <w:rPr>
          <w:rFonts w:ascii="宋体" w:hAnsi="宋体" w:eastAsia="宋体" w:cs="宋体"/>
          <w:b/>
          <w:color w:val="auto"/>
          <w:sz w:val="28"/>
          <w:szCs w:val="28"/>
          <w:highlight w:val="none"/>
        </w:rPr>
      </w:pPr>
    </w:p>
    <w:p w14:paraId="464A79B1">
      <w:pPr>
        <w:snapToGrid w:val="0"/>
        <w:spacing w:before="120" w:beforeLines="50" w:after="50"/>
        <w:ind w:firstLine="422" w:firstLineChars="150"/>
        <w:rPr>
          <w:rFonts w:ascii="宋体" w:hAnsi="宋体" w:eastAsia="宋体" w:cs="宋体"/>
          <w:b/>
          <w:color w:val="auto"/>
          <w:sz w:val="28"/>
          <w:szCs w:val="28"/>
          <w:highlight w:val="none"/>
        </w:rPr>
      </w:pPr>
    </w:p>
    <w:p w14:paraId="4285ED1A">
      <w:pPr>
        <w:snapToGrid w:val="0"/>
        <w:spacing w:before="120" w:beforeLines="50" w:after="50"/>
        <w:ind w:firstLine="2249" w:firstLineChars="800"/>
        <w:jc w:val="left"/>
        <w:rPr>
          <w:rFonts w:ascii="宋体" w:hAnsi="宋体" w:eastAsia="宋体" w:cs="宋体"/>
          <w:b/>
          <w:color w:val="auto"/>
          <w:sz w:val="28"/>
          <w:szCs w:val="28"/>
          <w:highlight w:val="none"/>
        </w:rPr>
      </w:pPr>
    </w:p>
    <w:p w14:paraId="0660F334">
      <w:pPr>
        <w:snapToGrid w:val="0"/>
        <w:spacing w:before="120" w:beforeLines="50" w:after="50"/>
        <w:ind w:firstLine="2249" w:firstLineChars="800"/>
        <w:jc w:val="left"/>
        <w:rPr>
          <w:rFonts w:ascii="宋体" w:hAnsi="宋体" w:eastAsia="宋体" w:cs="宋体"/>
          <w:b/>
          <w:color w:val="auto"/>
          <w:sz w:val="28"/>
          <w:szCs w:val="28"/>
          <w:highlight w:val="none"/>
        </w:rPr>
      </w:pPr>
    </w:p>
    <w:p w14:paraId="5F5FD600">
      <w:pPr>
        <w:snapToGrid w:val="0"/>
        <w:spacing w:before="120" w:beforeLines="50" w:after="50"/>
        <w:jc w:val="center"/>
        <w:rPr>
          <w:rFonts w:hint="eastAsia" w:ascii="宋体" w:hAnsi="宋体" w:eastAsia="宋体" w:cs="宋体"/>
          <w:bCs/>
          <w:color w:val="auto"/>
          <w:sz w:val="28"/>
          <w:szCs w:val="28"/>
          <w:highlight w:val="none"/>
          <w:u w:val="single"/>
          <w:lang w:eastAsia="zh-CN"/>
        </w:rPr>
      </w:pP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u w:val="single"/>
          <w:lang w:eastAsia="zh-CN"/>
        </w:rPr>
        <w:t>荔浦市荔城镇沙街社区洋洞河堤顶路健身步道建设项目</w:t>
      </w:r>
    </w:p>
    <w:p w14:paraId="4C2FA083">
      <w:pPr>
        <w:snapToGrid w:val="0"/>
        <w:spacing w:before="120" w:beforeLines="50" w:after="50"/>
        <w:jc w:val="center"/>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项目编号：</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eastAsia="zh-CN"/>
        </w:rPr>
        <w:t>GLZC2026-C2-310024-GLJG</w:t>
      </w:r>
    </w:p>
    <w:p w14:paraId="5C43B3F5">
      <w:pPr>
        <w:rPr>
          <w:rFonts w:ascii="宋体" w:hAnsi="宋体" w:eastAsia="宋体" w:cs="宋体"/>
          <w:bCs/>
          <w:color w:val="auto"/>
          <w:szCs w:val="24"/>
          <w:highlight w:val="none"/>
        </w:rPr>
      </w:pPr>
    </w:p>
    <w:p w14:paraId="21C16E7F">
      <w:pPr>
        <w:spacing w:line="400" w:lineRule="exact"/>
        <w:ind w:firstLine="2693" w:firstLineChars="962"/>
        <w:rPr>
          <w:rFonts w:ascii="宋体" w:hAnsi="宋体" w:eastAsia="宋体" w:cs="宋体"/>
          <w:bCs/>
          <w:color w:val="auto"/>
          <w:sz w:val="28"/>
          <w:szCs w:val="28"/>
          <w:highlight w:val="none"/>
        </w:rPr>
      </w:pPr>
    </w:p>
    <w:p w14:paraId="05600B50">
      <w:pPr>
        <w:spacing w:line="400" w:lineRule="exact"/>
        <w:ind w:firstLine="2693" w:firstLineChars="962"/>
        <w:rPr>
          <w:rFonts w:ascii="宋体" w:hAnsi="宋体" w:eastAsia="宋体" w:cs="宋体"/>
          <w:bCs/>
          <w:color w:val="auto"/>
          <w:sz w:val="28"/>
          <w:szCs w:val="28"/>
          <w:highlight w:val="none"/>
        </w:rPr>
      </w:pPr>
    </w:p>
    <w:p w14:paraId="723E2086">
      <w:pPr>
        <w:spacing w:line="400" w:lineRule="exact"/>
        <w:ind w:firstLine="2693" w:firstLineChars="962"/>
        <w:rPr>
          <w:rFonts w:ascii="宋体" w:hAnsi="宋体" w:eastAsia="宋体" w:cs="宋体"/>
          <w:bCs/>
          <w:color w:val="auto"/>
          <w:sz w:val="28"/>
          <w:szCs w:val="28"/>
          <w:highlight w:val="none"/>
        </w:rPr>
      </w:pPr>
    </w:p>
    <w:p w14:paraId="7B6D878D">
      <w:pPr>
        <w:autoSpaceDE w:val="0"/>
        <w:autoSpaceDN w:val="0"/>
        <w:adjustRightInd w:val="0"/>
        <w:jc w:val="left"/>
        <w:rPr>
          <w:rFonts w:ascii="宋体" w:hAnsi="宋体" w:eastAsia="宋体" w:cs="宋体"/>
          <w:bCs/>
          <w:color w:val="auto"/>
          <w:kern w:val="0"/>
          <w:sz w:val="28"/>
          <w:szCs w:val="28"/>
          <w:highlight w:val="none"/>
        </w:rPr>
      </w:pPr>
    </w:p>
    <w:p w14:paraId="74A0EF2F">
      <w:pPr>
        <w:autoSpaceDE w:val="0"/>
        <w:autoSpaceDN w:val="0"/>
        <w:adjustRightInd w:val="0"/>
        <w:ind w:firstLine="1960" w:firstLineChars="700"/>
        <w:jc w:val="left"/>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 w:val="28"/>
          <w:szCs w:val="28"/>
          <w:highlight w:val="none"/>
        </w:rPr>
        <w:t>采购人：</w:t>
      </w:r>
      <w:r>
        <w:rPr>
          <w:rFonts w:hint="eastAsia" w:ascii="宋体" w:hAnsi="宋体" w:eastAsia="宋体" w:cs="宋体"/>
          <w:bCs/>
          <w:color w:val="auto"/>
          <w:kern w:val="0"/>
          <w:sz w:val="28"/>
          <w:szCs w:val="28"/>
          <w:highlight w:val="none"/>
          <w:u w:val="single"/>
          <w:lang w:eastAsia="zh-CN"/>
        </w:rPr>
        <w:t>荔浦市财政局</w:t>
      </w:r>
    </w:p>
    <w:p w14:paraId="210F47B7">
      <w:pPr>
        <w:snapToGrid w:val="0"/>
        <w:spacing w:before="120" w:beforeLines="50" w:after="50"/>
        <w:ind w:firstLine="1960" w:firstLineChars="700"/>
        <w:jc w:val="left"/>
        <w:rPr>
          <w:rFonts w:hint="eastAsia" w:ascii="宋体" w:hAnsi="宋体" w:eastAsia="宋体" w:cs="宋体"/>
          <w:bCs/>
          <w:color w:val="auto"/>
          <w:sz w:val="28"/>
          <w:szCs w:val="28"/>
          <w:highlight w:val="none"/>
          <w:u w:val="single"/>
          <w:lang w:eastAsia="zh-CN"/>
        </w:rPr>
      </w:pPr>
      <w:r>
        <w:rPr>
          <w:rFonts w:hint="eastAsia" w:ascii="宋体" w:hAnsi="宋体" w:eastAsia="宋体" w:cs="宋体"/>
          <w:bCs/>
          <w:color w:val="auto"/>
          <w:sz w:val="28"/>
          <w:szCs w:val="28"/>
          <w:highlight w:val="none"/>
        </w:rPr>
        <w:t>采购代理机构：</w:t>
      </w:r>
      <w:r>
        <w:rPr>
          <w:rFonts w:hint="eastAsia" w:ascii="宋体" w:hAnsi="宋体" w:eastAsia="宋体" w:cs="宋体"/>
          <w:bCs/>
          <w:color w:val="auto"/>
          <w:sz w:val="28"/>
          <w:szCs w:val="28"/>
          <w:highlight w:val="none"/>
          <w:u w:val="single"/>
          <w:lang w:eastAsia="zh-CN"/>
        </w:rPr>
        <w:t>桂林聚格项目管理有限公司</w:t>
      </w:r>
    </w:p>
    <w:p w14:paraId="64A8E6E1">
      <w:pPr>
        <w:spacing w:after="120"/>
        <w:ind w:left="980" w:leftChars="200" w:hanging="560" w:hangingChars="200"/>
        <w:rPr>
          <w:rFonts w:ascii="宋体" w:hAnsi="宋体" w:eastAsia="宋体" w:cs="宋体"/>
          <w:bCs/>
          <w:color w:val="auto"/>
          <w:sz w:val="28"/>
          <w:szCs w:val="28"/>
          <w:highlight w:val="none"/>
        </w:rPr>
      </w:pPr>
      <w:bookmarkStart w:id="250" w:name="_Toc20319_WPSOffice_Level2"/>
      <w:bookmarkStart w:id="251" w:name="_Toc4932_WPSOffice_Level2"/>
    </w:p>
    <w:p w14:paraId="4EBB8692">
      <w:pPr>
        <w:spacing w:after="120"/>
        <w:ind w:left="980" w:leftChars="200" w:hanging="560" w:hangingChars="200"/>
        <w:rPr>
          <w:rFonts w:ascii="宋体" w:hAnsi="宋体" w:eastAsia="宋体" w:cs="宋体"/>
          <w:bCs/>
          <w:color w:val="auto"/>
          <w:sz w:val="28"/>
          <w:szCs w:val="28"/>
          <w:highlight w:val="none"/>
        </w:rPr>
      </w:pPr>
    </w:p>
    <w:bookmarkEnd w:id="250"/>
    <w:bookmarkEnd w:id="251"/>
    <w:p w14:paraId="4425E6CD">
      <w:pPr>
        <w:spacing w:line="440" w:lineRule="exact"/>
        <w:ind w:left="980" w:leftChars="200" w:hanging="560" w:hanging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供应商[公章（CA签章）、自然人除外]：</w:t>
      </w:r>
      <w:r>
        <w:rPr>
          <w:rFonts w:hint="eastAsia" w:ascii="宋体" w:hAnsi="宋体" w:eastAsia="宋体" w:cs="宋体"/>
          <w:bCs/>
          <w:color w:val="auto"/>
          <w:sz w:val="28"/>
          <w:szCs w:val="28"/>
          <w:highlight w:val="none"/>
          <w:u w:val="single"/>
        </w:rPr>
        <w:t xml:space="preserve">             </w:t>
      </w:r>
      <w:r>
        <w:rPr>
          <w:rFonts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rPr>
        <w:t xml:space="preserve">               </w:t>
      </w:r>
    </w:p>
    <w:p w14:paraId="5E491914">
      <w:pPr>
        <w:spacing w:line="440" w:lineRule="exact"/>
        <w:ind w:left="980" w:leftChars="200" w:hanging="560" w:hanging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法定代表人、负责人、自然人或相应的委托代理人签字[或盖章（CA签章）]</w:t>
      </w:r>
    </w:p>
    <w:p w14:paraId="41E96F8B">
      <w:pPr>
        <w:spacing w:line="440" w:lineRule="exact"/>
        <w:ind w:left="980" w:leftChars="200" w:hanging="560" w:hangingChars="200"/>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（属自然人的应在签名处加盖大拇指指印或个人CA签章）：</w:t>
      </w:r>
      <w:r>
        <w:rPr>
          <w:rFonts w:hint="eastAsia" w:ascii="宋体" w:hAnsi="宋体" w:eastAsia="宋体" w:cs="宋体"/>
          <w:bCs/>
          <w:color w:val="auto"/>
          <w:sz w:val="28"/>
          <w:szCs w:val="28"/>
          <w:highlight w:val="none"/>
          <w:u w:val="single"/>
        </w:rPr>
        <w:t xml:space="preserve">        </w:t>
      </w:r>
      <w:r>
        <w:rPr>
          <w:rFonts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rPr>
        <w:t xml:space="preserve">   </w:t>
      </w:r>
    </w:p>
    <w:p w14:paraId="77EBE24A">
      <w:pPr>
        <w:spacing w:line="440" w:lineRule="exact"/>
        <w:ind w:left="980" w:leftChars="200" w:hanging="560" w:hangingChars="200"/>
        <w:rPr>
          <w:rFonts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u w:val="single"/>
        </w:rPr>
        <w:t xml:space="preserve">                                                </w:t>
      </w:r>
    </w:p>
    <w:p w14:paraId="50C9418C">
      <w:pPr>
        <w:spacing w:line="440" w:lineRule="exact"/>
        <w:ind w:left="980" w:leftChars="200" w:hanging="560" w:hangingChars="200"/>
        <w:rPr>
          <w:rFonts w:ascii="宋体" w:hAnsi="宋体" w:eastAsia="宋体" w:cs="宋体"/>
          <w:b/>
          <w:bCs/>
          <w:color w:val="auto"/>
          <w:sz w:val="28"/>
          <w:szCs w:val="28"/>
          <w:highlight w:val="none"/>
        </w:rPr>
      </w:pPr>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07EA70F0">
      <w:pPr>
        <w:spacing w:line="440" w:lineRule="exact"/>
        <w:ind w:left="980" w:leftChars="200" w:hanging="560" w:hangingChars="200"/>
        <w:rPr>
          <w:rFonts w:ascii="宋体" w:hAnsi="宋体" w:eastAsia="宋体" w:cs="宋体"/>
          <w:bCs/>
          <w:color w:val="auto"/>
          <w:sz w:val="28"/>
          <w:szCs w:val="28"/>
          <w:highlight w:val="none"/>
        </w:rPr>
      </w:pPr>
    </w:p>
    <w:p w14:paraId="1043E16C">
      <w:pPr>
        <w:autoSpaceDE w:val="0"/>
        <w:autoSpaceDN w:val="0"/>
        <w:adjustRightInd w:val="0"/>
        <w:jc w:val="left"/>
        <w:rPr>
          <w:rFonts w:ascii="Times New Roman" w:hAnsi="Times New Roman" w:eastAsia="宋体" w:cs="Calibri"/>
          <w:color w:val="auto"/>
          <w:kern w:val="0"/>
          <w:sz w:val="24"/>
          <w:szCs w:val="24"/>
          <w:highlight w:val="none"/>
        </w:rPr>
      </w:pPr>
    </w:p>
    <w:p w14:paraId="2BA24A5E">
      <w:pPr>
        <w:spacing w:after="120" w:line="440" w:lineRule="exact"/>
        <w:ind w:left="900" w:leftChars="200" w:hanging="480" w:hangingChars="200"/>
        <w:rPr>
          <w:rFonts w:ascii="宋体" w:hAnsi="宋体" w:eastAsia="宋体" w:cs="宋体"/>
          <w:bCs/>
          <w:color w:val="auto"/>
          <w:sz w:val="24"/>
          <w:szCs w:val="24"/>
          <w:highlight w:val="none"/>
        </w:rPr>
      </w:pPr>
    </w:p>
    <w:p w14:paraId="6A3F7238">
      <w:pPr>
        <w:outlineLvl w:val="1"/>
        <w:rPr>
          <w:rFonts w:ascii="宋体" w:hAnsi="宋体" w:eastAsia="宋体" w:cs="宋体"/>
          <w:b/>
          <w:bCs/>
          <w:color w:val="auto"/>
          <w:sz w:val="32"/>
          <w:szCs w:val="32"/>
          <w:highlight w:val="none"/>
        </w:rPr>
      </w:pPr>
      <w:bookmarkStart w:id="252" w:name="_Toc497927070"/>
      <w:bookmarkStart w:id="253" w:name="_Toc19430"/>
      <w:bookmarkStart w:id="254" w:name="_Toc21615"/>
      <w:r>
        <w:rPr>
          <w:rFonts w:hint="eastAsia" w:ascii="宋体" w:hAnsi="宋体" w:eastAsia="宋体" w:cs="宋体"/>
          <w:b/>
          <w:bCs/>
          <w:color w:val="auto"/>
          <w:sz w:val="32"/>
          <w:szCs w:val="32"/>
          <w:highlight w:val="none"/>
        </w:rPr>
        <w:br w:type="page"/>
      </w:r>
      <w:bookmarkStart w:id="255" w:name="_Toc5945"/>
      <w:bookmarkStart w:id="256" w:name="_Toc12538"/>
      <w:r>
        <w:rPr>
          <w:rFonts w:hint="eastAsia" w:ascii="宋体" w:hAnsi="宋体" w:eastAsia="宋体" w:cs="宋体"/>
          <w:b/>
          <w:bCs/>
          <w:color w:val="auto"/>
          <w:sz w:val="32"/>
          <w:szCs w:val="32"/>
          <w:highlight w:val="none"/>
        </w:rPr>
        <w:t>二、响应文件组成</w:t>
      </w:r>
      <w:bookmarkEnd w:id="252"/>
      <w:bookmarkEnd w:id="253"/>
      <w:bookmarkEnd w:id="254"/>
      <w:bookmarkEnd w:id="255"/>
      <w:bookmarkEnd w:id="256"/>
    </w:p>
    <w:p w14:paraId="51546A04">
      <w:pPr>
        <w:spacing w:after="120"/>
        <w:rPr>
          <w:rFonts w:ascii="宋体" w:hAnsi="宋体" w:eastAsia="宋体" w:cs="宋体"/>
          <w:color w:val="auto"/>
          <w:szCs w:val="24"/>
          <w:highlight w:val="none"/>
        </w:rPr>
      </w:pPr>
    </w:p>
    <w:p w14:paraId="74954C42">
      <w:pPr>
        <w:spacing w:after="120"/>
        <w:rPr>
          <w:rFonts w:ascii="宋体" w:hAnsi="宋体" w:eastAsia="宋体" w:cs="宋体"/>
          <w:b/>
          <w:bCs/>
          <w:color w:val="auto"/>
          <w:sz w:val="28"/>
          <w:szCs w:val="28"/>
          <w:highlight w:val="none"/>
        </w:rPr>
      </w:pPr>
    </w:p>
    <w:p w14:paraId="5F2EA77A">
      <w:pPr>
        <w:numPr>
          <w:ilvl w:val="0"/>
          <w:numId w:val="6"/>
        </w:numPr>
        <w:spacing w:line="400" w:lineRule="exact"/>
        <w:ind w:firstLine="568" w:firstLineChars="20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5E7DC33A">
      <w:pPr>
        <w:spacing w:after="120"/>
        <w:rPr>
          <w:rFonts w:ascii="宋体" w:hAnsi="宋体" w:eastAsia="宋体" w:cs="宋体"/>
          <w:b/>
          <w:bCs/>
          <w:color w:val="auto"/>
          <w:sz w:val="28"/>
          <w:szCs w:val="28"/>
          <w:highlight w:val="none"/>
        </w:rPr>
      </w:pPr>
    </w:p>
    <w:p w14:paraId="563F174E">
      <w:pPr>
        <w:spacing w:after="120"/>
        <w:rPr>
          <w:rFonts w:ascii="宋体" w:hAnsi="宋体" w:eastAsia="宋体" w:cs="宋体"/>
          <w:b/>
          <w:bCs/>
          <w:color w:val="auto"/>
          <w:sz w:val="28"/>
          <w:szCs w:val="28"/>
          <w:highlight w:val="none"/>
        </w:rPr>
      </w:pPr>
    </w:p>
    <w:p w14:paraId="366BD033">
      <w:pPr>
        <w:numPr>
          <w:ilvl w:val="0"/>
          <w:numId w:val="6"/>
        </w:numPr>
        <w:spacing w:line="400" w:lineRule="exact"/>
        <w:ind w:firstLine="568" w:firstLineChars="20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70E3E1CB">
      <w:pPr>
        <w:spacing w:after="120"/>
        <w:rPr>
          <w:rFonts w:ascii="宋体" w:hAnsi="宋体" w:eastAsia="宋体" w:cs="宋体"/>
          <w:b/>
          <w:bCs/>
          <w:color w:val="auto"/>
          <w:sz w:val="28"/>
          <w:szCs w:val="28"/>
          <w:highlight w:val="none"/>
        </w:rPr>
      </w:pPr>
    </w:p>
    <w:p w14:paraId="54AD4B20">
      <w:pPr>
        <w:spacing w:after="120"/>
        <w:rPr>
          <w:rFonts w:ascii="宋体" w:hAnsi="宋体" w:eastAsia="宋体" w:cs="宋体"/>
          <w:b/>
          <w:bCs/>
          <w:color w:val="auto"/>
          <w:sz w:val="28"/>
          <w:szCs w:val="28"/>
          <w:highlight w:val="none"/>
        </w:rPr>
      </w:pPr>
    </w:p>
    <w:p w14:paraId="2844DD16">
      <w:pPr>
        <w:numPr>
          <w:ilvl w:val="0"/>
          <w:numId w:val="6"/>
        </w:numPr>
        <w:spacing w:line="400" w:lineRule="exact"/>
        <w:ind w:firstLine="568" w:firstLineChars="202"/>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其他有效证明材料</w:t>
      </w:r>
    </w:p>
    <w:p w14:paraId="60C3FEBC">
      <w:pPr>
        <w:autoSpaceDE w:val="0"/>
        <w:autoSpaceDN w:val="0"/>
        <w:adjustRightInd w:val="0"/>
        <w:jc w:val="left"/>
        <w:rPr>
          <w:rFonts w:ascii="宋体" w:hAnsi="宋体" w:eastAsia="宋体" w:cs="宋体"/>
          <w:color w:val="auto"/>
          <w:kern w:val="0"/>
          <w:sz w:val="24"/>
          <w:szCs w:val="24"/>
          <w:highlight w:val="none"/>
        </w:rPr>
      </w:pPr>
    </w:p>
    <w:p w14:paraId="4A32ADA0">
      <w:pPr>
        <w:tabs>
          <w:tab w:val="left" w:pos="5040"/>
        </w:tabs>
        <w:spacing w:line="400" w:lineRule="exact"/>
        <w:rPr>
          <w:rFonts w:ascii="宋体" w:hAnsi="宋体" w:eastAsia="宋体" w:cs="宋体"/>
          <w:color w:val="auto"/>
          <w:szCs w:val="21"/>
          <w:highlight w:val="none"/>
        </w:rPr>
      </w:pPr>
    </w:p>
    <w:p w14:paraId="6ADAD3CA">
      <w:pPr>
        <w:autoSpaceDE w:val="0"/>
        <w:autoSpaceDN w:val="0"/>
        <w:adjustRightInd w:val="0"/>
        <w:jc w:val="left"/>
        <w:rPr>
          <w:rFonts w:ascii="宋体" w:hAnsi="宋体" w:eastAsia="宋体" w:cs="宋体"/>
          <w:color w:val="auto"/>
          <w:kern w:val="0"/>
          <w:sz w:val="24"/>
          <w:szCs w:val="21"/>
          <w:highlight w:val="none"/>
        </w:rPr>
      </w:pPr>
    </w:p>
    <w:p w14:paraId="005A5787">
      <w:pPr>
        <w:autoSpaceDE w:val="0"/>
        <w:autoSpaceDN w:val="0"/>
        <w:adjustRightInd w:val="0"/>
        <w:jc w:val="left"/>
        <w:rPr>
          <w:rFonts w:ascii="宋体" w:hAnsi="宋体" w:eastAsia="宋体" w:cs="宋体"/>
          <w:color w:val="auto"/>
          <w:kern w:val="0"/>
          <w:sz w:val="24"/>
          <w:szCs w:val="21"/>
          <w:highlight w:val="none"/>
        </w:rPr>
      </w:pPr>
    </w:p>
    <w:p w14:paraId="2B1DDB70">
      <w:pPr>
        <w:autoSpaceDE w:val="0"/>
        <w:autoSpaceDN w:val="0"/>
        <w:adjustRightInd w:val="0"/>
        <w:jc w:val="left"/>
        <w:rPr>
          <w:rFonts w:ascii="宋体" w:hAnsi="宋体" w:eastAsia="宋体" w:cs="宋体"/>
          <w:color w:val="auto"/>
          <w:kern w:val="0"/>
          <w:sz w:val="24"/>
          <w:szCs w:val="21"/>
          <w:highlight w:val="none"/>
        </w:rPr>
      </w:pPr>
    </w:p>
    <w:p w14:paraId="2C919203">
      <w:pPr>
        <w:autoSpaceDE w:val="0"/>
        <w:autoSpaceDN w:val="0"/>
        <w:adjustRightInd w:val="0"/>
        <w:jc w:val="left"/>
        <w:rPr>
          <w:rFonts w:ascii="宋体" w:hAnsi="宋体" w:eastAsia="宋体" w:cs="宋体"/>
          <w:color w:val="auto"/>
          <w:kern w:val="0"/>
          <w:sz w:val="24"/>
          <w:szCs w:val="21"/>
          <w:highlight w:val="none"/>
        </w:rPr>
      </w:pPr>
    </w:p>
    <w:p w14:paraId="6ED70818">
      <w:pPr>
        <w:numPr>
          <w:ilvl w:val="0"/>
          <w:numId w:val="7"/>
        </w:numPr>
        <w:tabs>
          <w:tab w:val="left" w:pos="3570"/>
        </w:tabs>
        <w:spacing w:line="400" w:lineRule="exact"/>
        <w:jc w:val="center"/>
        <w:outlineLvl w:val="1"/>
        <w:rPr>
          <w:rFonts w:ascii="宋体" w:hAnsi="宋体" w:eastAsia="宋体" w:cs="华文中宋"/>
          <w:b/>
          <w:bCs/>
          <w:color w:val="auto"/>
          <w:sz w:val="28"/>
          <w:szCs w:val="28"/>
          <w:highlight w:val="none"/>
        </w:rPr>
      </w:pPr>
      <w:bookmarkStart w:id="257" w:name="_Toc7185"/>
      <w:bookmarkStart w:id="258" w:name="_Toc497927071"/>
      <w:bookmarkStart w:id="259" w:name="_Toc11067"/>
      <w:r>
        <w:rPr>
          <w:rFonts w:hint="eastAsia" w:ascii="宋体" w:hAnsi="宋体" w:eastAsia="宋体" w:cs="宋体"/>
          <w:color w:val="auto"/>
          <w:sz w:val="32"/>
          <w:szCs w:val="32"/>
          <w:highlight w:val="none"/>
        </w:rPr>
        <w:br w:type="page"/>
      </w:r>
      <w:bookmarkStart w:id="260" w:name="_Toc12268"/>
      <w:bookmarkStart w:id="261" w:name="_Toc21677"/>
      <w:r>
        <w:rPr>
          <w:rFonts w:hint="eastAsia" w:ascii="宋体" w:hAnsi="宋体" w:eastAsia="宋体" w:cs="华文中宋"/>
          <w:b/>
          <w:bCs/>
          <w:color w:val="auto"/>
          <w:sz w:val="28"/>
          <w:szCs w:val="28"/>
          <w:highlight w:val="none"/>
        </w:rPr>
        <w:t>资格性响应证明材料目录</w:t>
      </w:r>
      <w:bookmarkEnd w:id="257"/>
      <w:bookmarkEnd w:id="258"/>
      <w:bookmarkEnd w:id="259"/>
      <w:bookmarkEnd w:id="260"/>
      <w:bookmarkEnd w:id="261"/>
    </w:p>
    <w:p w14:paraId="1F1DD63A">
      <w:pPr>
        <w:spacing w:line="360" w:lineRule="exact"/>
        <w:ind w:firstLine="480" w:firstLineChars="200"/>
        <w:rPr>
          <w:rFonts w:ascii="宋体" w:hAnsi="宋体" w:eastAsia="宋体" w:cs="宋体"/>
          <w:color w:val="auto"/>
          <w:sz w:val="24"/>
          <w:szCs w:val="24"/>
          <w:highlight w:val="none"/>
        </w:rPr>
      </w:pPr>
    </w:p>
    <w:p w14:paraId="69A902B0">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供应商相应的法定代表人、负责人、自然人身份证正反两面扫描件（必须提供）；</w:t>
      </w:r>
    </w:p>
    <w:p w14:paraId="487EC6BF">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p>
    <w:p w14:paraId="3996BCB0">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①如供应商为截标时间前60日以内成立的公司，可以提供供应商与委托代理人签订的劳动合同扫描件代替养老保险证明扫描件；</w:t>
      </w:r>
    </w:p>
    <w:p w14:paraId="392E9CCE">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②如供应商为事业单位，可以提供事业单位机构编制管理证扫描件或事业单位机构为其发放工资的工资条扫描件代替养老保险证明扫描件；</w:t>
      </w:r>
    </w:p>
    <w:p w14:paraId="756BD142">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③如委托代理人为免缴纳养老保险人员，提供免缴纳养老保险的证明材料扫描件及供应商与委托代理人签订的劳动合同扫描件代替养老保险证明扫描件。</w:t>
      </w:r>
    </w:p>
    <w:p w14:paraId="1F1326B2">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8C5BDF7">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05DB6DD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供应商参加政府采购活动前3年内在经营活动中没有重大违法记录及有关信用信息的书面声明（必须提供）；</w:t>
      </w:r>
    </w:p>
    <w:p w14:paraId="26B83A8A">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供应商的法人或者其他组织营业执照等证明文件扫描件（必须提供，自然人除外）；</w:t>
      </w:r>
    </w:p>
    <w:p w14:paraId="3D0BA38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1EB819E">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5</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供应商有效的资质证书、</w:t>
      </w:r>
      <w:r>
        <w:rPr>
          <w:rFonts w:hint="eastAsia" w:ascii="宋体" w:hAnsi="宋体" w:eastAsia="宋体" w:cs="宋体"/>
          <w:bCs/>
          <w:color w:val="auto"/>
          <w:szCs w:val="21"/>
          <w:highlight w:val="none"/>
        </w:rPr>
        <w:t>安全生产许可证书</w:t>
      </w:r>
      <w:r>
        <w:rPr>
          <w:rFonts w:hint="eastAsia" w:ascii="宋体" w:hAnsi="宋体" w:eastAsia="宋体" w:cs="宋体"/>
          <w:color w:val="auto"/>
          <w:szCs w:val="21"/>
          <w:highlight w:val="none"/>
        </w:rPr>
        <w:t>扫描件（必须提供）；</w:t>
      </w:r>
    </w:p>
    <w:p w14:paraId="3A521D4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6</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拟派项目经理的</w:t>
      </w:r>
      <w:r>
        <w:rPr>
          <w:rFonts w:hint="eastAsia" w:ascii="宋体" w:hAnsi="宋体" w:eastAsia="宋体" w:cs="宋体"/>
          <w:color w:val="auto"/>
          <w:kern w:val="0"/>
          <w:szCs w:val="21"/>
          <w:highlight w:val="none"/>
          <w:lang w:val="en-US" w:eastAsia="zh-CN"/>
        </w:rPr>
        <w:t>市政公用工程</w:t>
      </w:r>
      <w:r>
        <w:rPr>
          <w:rFonts w:hint="eastAsia" w:ascii="宋体" w:hAnsi="宋体" w:eastAsia="宋体" w:cs="宋体"/>
          <w:color w:val="auto"/>
          <w:kern w:val="0"/>
          <w:szCs w:val="21"/>
          <w:highlight w:val="none"/>
        </w:rPr>
        <w:t>专业二级及以上注册建造师证和安全生产考核合格证书（B类）扫描件</w:t>
      </w:r>
      <w:r>
        <w:rPr>
          <w:rFonts w:hint="eastAsia" w:ascii="宋体" w:hAnsi="宋体" w:eastAsia="宋体" w:cs="宋体"/>
          <w:color w:val="auto"/>
          <w:szCs w:val="21"/>
          <w:highlight w:val="none"/>
        </w:rPr>
        <w:t>（必须提供）；</w:t>
      </w:r>
    </w:p>
    <w:p w14:paraId="74154F45">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w:t>
      </w:r>
      <w:r>
        <w:rPr>
          <w:rFonts w:hint="eastAsia" w:ascii="宋体" w:hAnsi="宋体" w:eastAsia="宋体" w:cs="宋体"/>
          <w:color w:val="auto"/>
          <w:szCs w:val="21"/>
          <w:highlight w:val="none"/>
        </w:rPr>
        <w:t>项目经理无在建工程承诺书（格式自拟）（必须提供）；</w:t>
      </w:r>
    </w:p>
    <w:p w14:paraId="4B3A8BDC">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8</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供应商202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年以来任意年度内的财务状况报告（或银行出具的资信证明）</w:t>
      </w:r>
      <w:r>
        <w:rPr>
          <w:rFonts w:hint="eastAsia" w:ascii="宋体" w:hAnsi="宋体" w:eastAsia="宋体" w:cs="宋体"/>
          <w:color w:val="auto"/>
          <w:szCs w:val="21"/>
          <w:highlight w:val="none"/>
        </w:rPr>
        <w:t>扫描件</w:t>
      </w:r>
      <w:r>
        <w:rPr>
          <w:rFonts w:hint="eastAsia" w:ascii="宋体" w:hAnsi="宋体" w:eastAsia="宋体" w:cs="宋体"/>
          <w:color w:val="auto"/>
          <w:kern w:val="0"/>
          <w:szCs w:val="21"/>
          <w:highlight w:val="none"/>
        </w:rPr>
        <w:t>（必须提供）</w:t>
      </w:r>
      <w:r>
        <w:rPr>
          <w:rFonts w:hint="eastAsia" w:ascii="宋体" w:hAnsi="宋体" w:eastAsia="宋体" w:cs="宋体"/>
          <w:color w:val="auto"/>
          <w:szCs w:val="21"/>
          <w:highlight w:val="none"/>
        </w:rPr>
        <w:t>；</w:t>
      </w:r>
    </w:p>
    <w:p w14:paraId="404F7F96">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供应商在响应文件递交截止时间前半年内任意一个月或任一季度依法缴纳税收的证明材料【增值税发票(税收完税证明)或企业所得税完税证明或税务部门出具的免税证明】扫描件（必须提供）；</w:t>
      </w:r>
    </w:p>
    <w:p w14:paraId="5B165275">
      <w:pPr>
        <w:spacing w:line="360" w:lineRule="exact"/>
        <w:ind w:firstLine="420" w:firstLineChars="200"/>
        <w:rPr>
          <w:rFonts w:ascii="宋体" w:hAnsi="宋体" w:eastAsia="宋体" w:cs="宋体"/>
          <w:b/>
          <w:color w:val="auto"/>
          <w:sz w:val="36"/>
          <w:szCs w:val="36"/>
          <w:highlight w:val="none"/>
        </w:rPr>
      </w:pPr>
      <w:r>
        <w:rPr>
          <w:rFonts w:hint="eastAsia" w:ascii="宋体" w:hAnsi="宋体" w:eastAsia="宋体" w:cs="宋体"/>
          <w:color w:val="auto"/>
          <w:szCs w:val="21"/>
          <w:highlight w:val="none"/>
        </w:rPr>
        <w:t>10</w:t>
      </w:r>
      <w:r>
        <w:rPr>
          <w:rFonts w:ascii="宋体" w:hAnsi="宋体" w:eastAsia="宋体" w:cs="宋体"/>
          <w:color w:val="auto"/>
          <w:szCs w:val="21"/>
          <w:highlight w:val="none"/>
        </w:rPr>
        <w:t>.</w:t>
      </w:r>
      <w:r>
        <w:rPr>
          <w:rFonts w:hint="eastAsia" w:ascii="宋体" w:hAnsi="宋体" w:eastAsia="宋体" w:cs="宋体"/>
          <w:color w:val="auto"/>
          <w:szCs w:val="21"/>
          <w:highlight w:val="none"/>
        </w:rPr>
        <w:t>中小企业声明函或残疾人福利性单位声明函或供应商属于监狱企业的，提供由省级以上监狱管理局、戒毒管理局（含新疆生产建设兵团）出具的属于监狱企业的证明文件（必须提供）。</w:t>
      </w:r>
    </w:p>
    <w:p w14:paraId="2A0B556E">
      <w:pPr>
        <w:spacing w:line="440" w:lineRule="atLeast"/>
        <w:outlineLvl w:val="1"/>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262" w:name="_Toc6697"/>
      <w:bookmarkStart w:id="263" w:name="_Toc22703"/>
      <w:bookmarkStart w:id="264" w:name="_Toc4819"/>
      <w:bookmarkStart w:id="265" w:name="_Toc28594"/>
      <w:bookmarkStart w:id="266" w:name="_Toc19265"/>
      <w:bookmarkStart w:id="267" w:name="_Toc4009"/>
      <w:r>
        <w:rPr>
          <w:rFonts w:hint="eastAsia" w:ascii="宋体" w:hAnsi="宋体" w:eastAsia="宋体" w:cs="宋体"/>
          <w:b/>
          <w:color w:val="auto"/>
          <w:sz w:val="28"/>
          <w:szCs w:val="28"/>
          <w:highlight w:val="none"/>
        </w:rPr>
        <w:t>1.</w:t>
      </w:r>
      <w:bookmarkEnd w:id="262"/>
      <w:bookmarkEnd w:id="263"/>
      <w:bookmarkEnd w:id="264"/>
      <w:bookmarkEnd w:id="265"/>
      <w:bookmarkEnd w:id="266"/>
      <w:r>
        <w:rPr>
          <w:rFonts w:hint="eastAsia" w:ascii="宋体" w:hAnsi="宋体" w:eastAsia="宋体" w:cs="宋体"/>
          <w:b/>
          <w:color w:val="auto"/>
          <w:sz w:val="28"/>
          <w:szCs w:val="28"/>
          <w:highlight w:val="none"/>
        </w:rPr>
        <w:t>供应商相应的法定代表人、负责人、自然人身份证正反两面扫描件（必须提供）</w:t>
      </w:r>
      <w:bookmarkEnd w:id="267"/>
    </w:p>
    <w:p w14:paraId="045FC88D">
      <w:pPr>
        <w:spacing w:line="440" w:lineRule="atLeast"/>
        <w:rPr>
          <w:rFonts w:ascii="Times New Roman" w:hAnsi="Times New Roman" w:eastAsia="宋体" w:cs="Times New Roman"/>
          <w:color w:val="auto"/>
          <w:szCs w:val="24"/>
          <w:highlight w:val="none"/>
        </w:rPr>
      </w:pPr>
    </w:p>
    <w:p w14:paraId="5A278FEE">
      <w:pPr>
        <w:rPr>
          <w:rFonts w:ascii="Times New Roman" w:hAnsi="Times New Roman" w:eastAsia="宋体" w:cs="Times New Roman"/>
          <w:color w:val="auto"/>
          <w:szCs w:val="24"/>
          <w:highlight w:val="none"/>
        </w:rPr>
      </w:pPr>
    </w:p>
    <w:p w14:paraId="41351D38">
      <w:pPr>
        <w:spacing w:line="440" w:lineRule="atLeast"/>
        <w:rPr>
          <w:rFonts w:ascii="宋体" w:hAnsi="宋体" w:eastAsia="宋体" w:cs="宋体"/>
          <w:b/>
          <w:color w:val="auto"/>
          <w:sz w:val="28"/>
          <w:szCs w:val="28"/>
          <w:highlight w:val="none"/>
        </w:rPr>
      </w:pPr>
    </w:p>
    <w:p w14:paraId="0B2146EC">
      <w:pPr>
        <w:spacing w:line="440" w:lineRule="atLeast"/>
        <w:outlineLvl w:val="1"/>
        <w:rPr>
          <w:rFonts w:ascii="宋体" w:hAnsi="宋体" w:eastAsia="宋体" w:cs="宋体"/>
          <w:b/>
          <w:color w:val="auto"/>
          <w:sz w:val="28"/>
          <w:szCs w:val="28"/>
          <w:highlight w:val="none"/>
        </w:rPr>
      </w:pPr>
      <w:bookmarkStart w:id="268" w:name="_Toc1213"/>
      <w:bookmarkStart w:id="269" w:name="_Toc29198"/>
      <w:bookmarkStart w:id="270" w:name="_Toc16573"/>
      <w:bookmarkStart w:id="271" w:name="_Toc3592"/>
      <w:bookmarkStart w:id="272" w:name="_Toc15990"/>
      <w:bookmarkStart w:id="273" w:name="_Toc14370"/>
      <w:r>
        <w:rPr>
          <w:rFonts w:hint="eastAsia" w:ascii="宋体" w:hAnsi="宋体" w:eastAsia="宋体" w:cs="宋体"/>
          <w:b/>
          <w:color w:val="auto"/>
          <w:sz w:val="28"/>
          <w:szCs w:val="28"/>
          <w:highlight w:val="none"/>
        </w:rPr>
        <w:t>2.</w:t>
      </w:r>
      <w:bookmarkEnd w:id="268"/>
      <w:bookmarkEnd w:id="269"/>
      <w:bookmarkEnd w:id="270"/>
      <w:bookmarkEnd w:id="271"/>
      <w:bookmarkEnd w:id="272"/>
      <w:r>
        <w:rPr>
          <w:rFonts w:hint="eastAsia" w:ascii="宋体" w:hAnsi="宋体" w:eastAsia="宋体" w:cs="宋体"/>
          <w:b/>
          <w:color w:val="auto"/>
          <w:sz w:val="28"/>
          <w:szCs w:val="28"/>
          <w:highlight w:val="none"/>
        </w:rPr>
        <w:t>供应商的授权委托书原件、委托代理人身份证正反两面扫描件以及由县级以上（含县级）社会养老保险经办机构出具的供应商为委托代理人交纳的响应文件递交截止时间前三个月内任意一个月养老保险证明扫描件，除供应商为以下四种情形的：</w:t>
      </w:r>
      <w:bookmarkEnd w:id="273"/>
    </w:p>
    <w:p w14:paraId="0E93FD72">
      <w:pPr>
        <w:spacing w:line="440" w:lineRule="atLeast"/>
        <w:rPr>
          <w:rFonts w:ascii="宋体" w:hAnsi="宋体" w:eastAsia="宋体" w:cs="宋体"/>
          <w:b/>
          <w:color w:val="auto"/>
          <w:szCs w:val="21"/>
          <w:highlight w:val="none"/>
        </w:rPr>
      </w:pPr>
      <w:r>
        <w:rPr>
          <w:rFonts w:hint="eastAsia" w:ascii="宋体" w:hAnsi="宋体" w:eastAsia="宋体" w:cs="宋体"/>
          <w:b/>
          <w:color w:val="auto"/>
          <w:szCs w:val="21"/>
          <w:highlight w:val="none"/>
        </w:rPr>
        <w:t>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3B512194">
      <w:pPr>
        <w:spacing w:line="440" w:lineRule="atLeast"/>
        <w:rPr>
          <w:rFonts w:ascii="宋体" w:hAnsi="宋体" w:eastAsia="宋体" w:cs="宋体"/>
          <w:b/>
          <w:color w:val="auto"/>
          <w:szCs w:val="21"/>
          <w:highlight w:val="none"/>
        </w:rPr>
      </w:pPr>
    </w:p>
    <w:p w14:paraId="5ECAF779">
      <w:pPr>
        <w:spacing w:line="440" w:lineRule="atLeast"/>
        <w:rPr>
          <w:rFonts w:ascii="宋体" w:hAnsi="宋体" w:eastAsia="宋体" w:cs="宋体"/>
          <w:b/>
          <w:color w:val="auto"/>
          <w:szCs w:val="21"/>
          <w:highlight w:val="none"/>
        </w:rPr>
      </w:pPr>
    </w:p>
    <w:p w14:paraId="3AB85FFD">
      <w:pPr>
        <w:spacing w:line="440" w:lineRule="atLeast"/>
        <w:rPr>
          <w:rFonts w:ascii="宋体" w:hAnsi="宋体" w:eastAsia="宋体" w:cs="宋体"/>
          <w:b/>
          <w:color w:val="auto"/>
          <w:szCs w:val="21"/>
          <w:highlight w:val="none"/>
        </w:rPr>
      </w:pPr>
    </w:p>
    <w:p w14:paraId="62938054">
      <w:pPr>
        <w:spacing w:line="440" w:lineRule="atLeast"/>
        <w:rPr>
          <w:rFonts w:ascii="宋体" w:hAnsi="宋体" w:eastAsia="宋体" w:cs="宋体"/>
          <w:b/>
          <w:color w:val="auto"/>
          <w:szCs w:val="21"/>
          <w:highlight w:val="none"/>
        </w:rPr>
      </w:pPr>
    </w:p>
    <w:p w14:paraId="5EF45633">
      <w:pPr>
        <w:spacing w:line="440" w:lineRule="atLeast"/>
        <w:rPr>
          <w:rFonts w:ascii="宋体" w:hAnsi="宋体" w:eastAsia="宋体" w:cs="宋体"/>
          <w:b/>
          <w:color w:val="auto"/>
          <w:szCs w:val="21"/>
          <w:highlight w:val="none"/>
        </w:rPr>
      </w:pPr>
    </w:p>
    <w:p w14:paraId="4E20A53D">
      <w:pPr>
        <w:spacing w:line="440" w:lineRule="atLeast"/>
        <w:rPr>
          <w:rFonts w:ascii="宋体" w:hAnsi="宋体" w:eastAsia="宋体" w:cs="宋体"/>
          <w:b/>
          <w:color w:val="auto"/>
          <w:szCs w:val="21"/>
          <w:highlight w:val="none"/>
        </w:rPr>
      </w:pPr>
    </w:p>
    <w:p w14:paraId="7D3B1355">
      <w:pPr>
        <w:spacing w:line="440" w:lineRule="atLeast"/>
        <w:rPr>
          <w:rFonts w:ascii="宋体" w:hAnsi="宋体" w:eastAsia="宋体" w:cs="宋体"/>
          <w:b/>
          <w:color w:val="auto"/>
          <w:szCs w:val="21"/>
          <w:highlight w:val="none"/>
        </w:rPr>
      </w:pPr>
    </w:p>
    <w:p w14:paraId="5A14EBEE">
      <w:pPr>
        <w:spacing w:line="440" w:lineRule="atLeast"/>
        <w:rPr>
          <w:rFonts w:ascii="宋体" w:hAnsi="宋体" w:eastAsia="宋体" w:cs="宋体"/>
          <w:b/>
          <w:color w:val="auto"/>
          <w:szCs w:val="21"/>
          <w:highlight w:val="none"/>
        </w:rPr>
      </w:pPr>
    </w:p>
    <w:p w14:paraId="1CF2ADEB">
      <w:pPr>
        <w:spacing w:line="440" w:lineRule="atLeast"/>
        <w:rPr>
          <w:rFonts w:ascii="宋体" w:hAnsi="宋体" w:eastAsia="宋体" w:cs="宋体"/>
          <w:b/>
          <w:color w:val="auto"/>
          <w:szCs w:val="21"/>
          <w:highlight w:val="none"/>
        </w:rPr>
      </w:pPr>
    </w:p>
    <w:p w14:paraId="1375C235">
      <w:pPr>
        <w:spacing w:line="440" w:lineRule="atLeast"/>
        <w:rPr>
          <w:rFonts w:ascii="宋体" w:hAnsi="宋体" w:eastAsia="宋体" w:cs="宋体"/>
          <w:b/>
          <w:color w:val="auto"/>
          <w:szCs w:val="21"/>
          <w:highlight w:val="none"/>
        </w:rPr>
      </w:pPr>
    </w:p>
    <w:p w14:paraId="7AD470FE">
      <w:pPr>
        <w:spacing w:line="440" w:lineRule="atLeast"/>
        <w:rPr>
          <w:rFonts w:ascii="宋体" w:hAnsi="宋体" w:eastAsia="宋体" w:cs="宋体"/>
          <w:b/>
          <w:color w:val="auto"/>
          <w:szCs w:val="21"/>
          <w:highlight w:val="none"/>
        </w:rPr>
      </w:pPr>
    </w:p>
    <w:p w14:paraId="379B1C87">
      <w:pPr>
        <w:rPr>
          <w:rFonts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38589F36">
      <w:pPr>
        <w:jc w:val="center"/>
        <w:rPr>
          <w:rFonts w:ascii="宋体" w:hAnsi="宋体" w:eastAsia="宋体" w:cs="宋体"/>
          <w:b/>
          <w:color w:val="auto"/>
          <w:sz w:val="32"/>
          <w:highlight w:val="none"/>
        </w:rPr>
      </w:pPr>
      <w:bookmarkStart w:id="274" w:name="_Toc5420_WPSOffice_Level1"/>
      <w:bookmarkStart w:id="275" w:name="_Toc964_WPSOffice_Level1"/>
      <w:r>
        <w:rPr>
          <w:rFonts w:hint="eastAsia" w:ascii="宋体" w:hAnsi="宋体" w:eastAsia="宋体" w:cs="宋体"/>
          <w:b/>
          <w:color w:val="auto"/>
          <w:sz w:val="32"/>
          <w:highlight w:val="none"/>
        </w:rPr>
        <w:t>授权委托书（格式一）</w:t>
      </w:r>
      <w:bookmarkEnd w:id="274"/>
      <w:bookmarkEnd w:id="275"/>
    </w:p>
    <w:p w14:paraId="0A7A6696">
      <w:pPr>
        <w:rPr>
          <w:rFonts w:ascii="宋体" w:hAnsi="宋体" w:eastAsia="宋体" w:cs="宋体"/>
          <w:color w:val="auto"/>
          <w:highlight w:val="none"/>
        </w:rPr>
      </w:pPr>
    </w:p>
    <w:p w14:paraId="0E30E463">
      <w:pPr>
        <w:spacing w:line="40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eastAsia="zh-CN"/>
        </w:rPr>
        <w:t>桂林聚格项目管理有限公司</w:t>
      </w:r>
    </w:p>
    <w:p w14:paraId="61F52256">
      <w:pPr>
        <w:spacing w:line="400" w:lineRule="exact"/>
        <w:rPr>
          <w:rFonts w:ascii="宋体" w:hAnsi="宋体" w:eastAsia="宋体" w:cs="宋体"/>
          <w:color w:val="auto"/>
          <w:szCs w:val="21"/>
          <w:highlight w:val="none"/>
        </w:rPr>
      </w:pPr>
    </w:p>
    <w:p w14:paraId="45722554">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0E18D460">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4ECDF7FE">
      <w:pPr>
        <w:spacing w:line="400" w:lineRule="exact"/>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365DAC13">
      <w:pPr>
        <w:spacing w:line="400" w:lineRule="exact"/>
        <w:rPr>
          <w:rFonts w:ascii="宋体" w:hAnsi="宋体" w:eastAsia="宋体" w:cs="宋体"/>
          <w:color w:val="auto"/>
          <w:highlight w:val="none"/>
          <w:u w:val="single"/>
        </w:rPr>
      </w:pPr>
      <w:r>
        <w:rPr>
          <w:rFonts w:hint="eastAsia" w:ascii="宋体" w:hAnsi="宋体" w:eastAsia="宋体" w:cs="宋体"/>
          <w:color w:val="auto"/>
          <w:highlight w:val="none"/>
        </w:rPr>
        <w:t xml:space="preserve">                                                                                             </w:t>
      </w:r>
    </w:p>
    <w:p w14:paraId="4168FC46">
      <w:pPr>
        <w:spacing w:line="400" w:lineRule="exact"/>
        <w:ind w:firstLine="42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代理人无转委托权,特此委托。 </w:t>
      </w:r>
    </w:p>
    <w:p w14:paraId="46588867">
      <w:pPr>
        <w:spacing w:line="400" w:lineRule="exact"/>
        <w:ind w:firstLine="420" w:firstLineChars="200"/>
        <w:rPr>
          <w:rFonts w:ascii="宋体" w:hAnsi="宋体" w:eastAsia="宋体" w:cs="宋体"/>
          <w:color w:val="auto"/>
          <w:kern w:val="0"/>
          <w:szCs w:val="24"/>
          <w:highlight w:val="none"/>
        </w:rPr>
      </w:pPr>
    </w:p>
    <w:p w14:paraId="0CEBA4F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6C77A0D9">
      <w:pPr>
        <w:spacing w:line="400" w:lineRule="exact"/>
        <w:ind w:firstLine="420" w:firstLineChars="200"/>
        <w:rPr>
          <w:rFonts w:ascii="宋体" w:hAnsi="宋体" w:eastAsia="宋体" w:cs="宋体"/>
          <w:color w:val="auto"/>
          <w:szCs w:val="21"/>
          <w:highlight w:val="none"/>
        </w:rPr>
      </w:pPr>
    </w:p>
    <w:p w14:paraId="32F7D9C4">
      <w:pPr>
        <w:snapToGrid w:val="0"/>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7F2DAC38">
      <w:pPr>
        <w:snapToGrid w:val="0"/>
        <w:spacing w:line="400" w:lineRule="exact"/>
        <w:ind w:firstLine="420"/>
        <w:rPr>
          <w:rFonts w:ascii="宋体" w:hAnsi="宋体" w:eastAsia="宋体" w:cs="宋体"/>
          <w:color w:val="auto"/>
          <w:szCs w:val="21"/>
          <w:highlight w:val="none"/>
        </w:rPr>
      </w:pPr>
    </w:p>
    <w:p w14:paraId="7F40B10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BEB9E9B">
      <w:pPr>
        <w:spacing w:after="120"/>
        <w:rPr>
          <w:rFonts w:ascii="宋体" w:hAnsi="宋体" w:eastAsia="宋体" w:cs="宋体"/>
          <w:color w:val="auto"/>
          <w:szCs w:val="24"/>
          <w:highlight w:val="none"/>
        </w:rPr>
      </w:pPr>
    </w:p>
    <w:p w14:paraId="22BAD257">
      <w:pPr>
        <w:spacing w:line="340" w:lineRule="exact"/>
        <w:ind w:firstLine="420" w:firstLineChars="200"/>
        <w:rPr>
          <w:rFonts w:ascii="宋体" w:hAnsi="宋体" w:eastAsia="宋体" w:cs="宋体"/>
          <w:color w:val="auto"/>
          <w:highlight w:val="none"/>
        </w:rPr>
      </w:pPr>
    </w:p>
    <w:p w14:paraId="1CD5D85D">
      <w:pPr>
        <w:ind w:left="2940" w:leftChars="1400"/>
        <w:rPr>
          <w:rFonts w:ascii="Times New Roman" w:hAnsi="Times New Roman" w:eastAsia="宋体" w:cs="Times New Roman"/>
          <w:color w:val="auto"/>
          <w:szCs w:val="24"/>
          <w:highlight w:val="none"/>
        </w:rPr>
      </w:pPr>
    </w:p>
    <w:p w14:paraId="0396E979">
      <w:pPr>
        <w:jc w:val="center"/>
        <w:rPr>
          <w:rFonts w:ascii="宋体" w:hAnsi="宋体" w:eastAsia="宋体" w:cs="宋体"/>
          <w:b/>
          <w:color w:val="auto"/>
          <w:sz w:val="32"/>
          <w:highlight w:val="none"/>
        </w:rPr>
      </w:pPr>
      <w:bookmarkStart w:id="276" w:name="_Toc6975_WPSOffice_Level1"/>
      <w:bookmarkStart w:id="277" w:name="_Toc21370_WPSOffice_Level1"/>
      <w:r>
        <w:rPr>
          <w:rFonts w:hint="eastAsia" w:ascii="宋体" w:hAnsi="宋体" w:eastAsia="宋体" w:cs="宋体"/>
          <w:b/>
          <w:color w:val="auto"/>
          <w:sz w:val="32"/>
          <w:highlight w:val="none"/>
        </w:rPr>
        <w:t>授权委托书（格式二）</w:t>
      </w:r>
    </w:p>
    <w:bookmarkEnd w:id="276"/>
    <w:bookmarkEnd w:id="277"/>
    <w:p w14:paraId="065CBB7F">
      <w:pPr>
        <w:rPr>
          <w:rFonts w:ascii="宋体" w:hAnsi="宋体" w:eastAsia="宋体" w:cs="宋体"/>
          <w:b/>
          <w:color w:val="auto"/>
          <w:sz w:val="32"/>
          <w:highlight w:val="none"/>
        </w:rPr>
      </w:pPr>
    </w:p>
    <w:p w14:paraId="5ACD1C10">
      <w:pPr>
        <w:rPr>
          <w:rFonts w:hint="eastAsia" w:ascii="宋体" w:hAnsi="宋体" w:eastAsia="宋体" w:cs="宋体"/>
          <w:color w:val="auto"/>
          <w:szCs w:val="21"/>
          <w:highlight w:val="none"/>
          <w:u w:val="single"/>
          <w:lang w:eastAsia="zh-CN"/>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lang w:eastAsia="zh-CN"/>
        </w:rPr>
        <w:t>桂林聚格项目管理有限公司</w:t>
      </w:r>
    </w:p>
    <w:p w14:paraId="31588908">
      <w:pPr>
        <w:rPr>
          <w:rFonts w:ascii="宋体" w:hAnsi="宋体" w:eastAsia="宋体" w:cs="宋体"/>
          <w:color w:val="auto"/>
          <w:szCs w:val="24"/>
          <w:highlight w:val="none"/>
        </w:rPr>
      </w:pPr>
    </w:p>
    <w:p w14:paraId="7D74352C">
      <w:pPr>
        <w:spacing w:line="340" w:lineRule="exact"/>
        <w:ind w:firstLine="420" w:firstLineChars="200"/>
        <w:rPr>
          <w:rFonts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4ABFB076">
      <w:pPr>
        <w:spacing w:line="34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0D45C985">
      <w:pPr>
        <w:spacing w:line="340" w:lineRule="exact"/>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064BFC51">
      <w:pPr>
        <w:spacing w:line="340" w:lineRule="exact"/>
        <w:rPr>
          <w:rFonts w:ascii="宋体" w:hAnsi="宋体" w:eastAsia="宋体" w:cs="宋体"/>
          <w:color w:val="auto"/>
          <w:highlight w:val="none"/>
          <w:u w:val="single"/>
        </w:rPr>
      </w:pPr>
      <w:r>
        <w:rPr>
          <w:rFonts w:hint="eastAsia" w:ascii="宋体" w:hAnsi="宋体" w:eastAsia="宋体" w:cs="宋体"/>
          <w:color w:val="auto"/>
          <w:highlight w:val="none"/>
        </w:rPr>
        <w:t xml:space="preserve">                                                                                             </w:t>
      </w:r>
    </w:p>
    <w:p w14:paraId="77B866BF">
      <w:pPr>
        <w:spacing w:line="340" w:lineRule="exact"/>
        <w:ind w:firstLine="420" w:firstLineChars="200"/>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代理人无转委托权,特此委托。 </w:t>
      </w:r>
    </w:p>
    <w:p w14:paraId="72FA95DA">
      <w:pPr>
        <w:spacing w:line="340" w:lineRule="exact"/>
        <w:ind w:firstLine="420" w:firstLineChars="200"/>
        <w:rPr>
          <w:rFonts w:ascii="宋体" w:hAnsi="宋体" w:eastAsia="宋体" w:cs="宋体"/>
          <w:color w:val="auto"/>
          <w:kern w:val="0"/>
          <w:szCs w:val="24"/>
          <w:highlight w:val="none"/>
        </w:rPr>
      </w:pPr>
    </w:p>
    <w:p w14:paraId="1FAE8A62">
      <w:pPr>
        <w:spacing w:line="3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04A0BC3">
      <w:pPr>
        <w:spacing w:line="340" w:lineRule="exact"/>
        <w:ind w:firstLine="420" w:firstLineChars="200"/>
        <w:rPr>
          <w:rFonts w:ascii="宋体" w:hAnsi="宋体" w:eastAsia="宋体" w:cs="宋体"/>
          <w:color w:val="auto"/>
          <w:szCs w:val="21"/>
          <w:highlight w:val="none"/>
        </w:rPr>
      </w:pPr>
    </w:p>
    <w:p w14:paraId="69231974">
      <w:pPr>
        <w:snapToGrid w:val="0"/>
        <w:spacing w:line="34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53CAF2">
      <w:pPr>
        <w:outlineLvl w:val="1"/>
        <w:rPr>
          <w:rFonts w:ascii="宋体" w:hAnsi="宋体" w:eastAsia="宋体" w:cs="宋体"/>
          <w:b/>
          <w:color w:val="auto"/>
          <w:sz w:val="28"/>
          <w:szCs w:val="28"/>
          <w:highlight w:val="none"/>
        </w:rPr>
      </w:pPr>
      <w:bookmarkStart w:id="278" w:name="_Toc2550"/>
      <w:bookmarkStart w:id="279" w:name="_Toc24664"/>
      <w:bookmarkStart w:id="280" w:name="_Toc2683"/>
      <w:bookmarkStart w:id="281" w:name="_Toc2998"/>
      <w:bookmarkStart w:id="282" w:name="_Toc27156"/>
    </w:p>
    <w:p w14:paraId="3ADE7AA3">
      <w:pPr>
        <w:outlineLvl w:val="1"/>
        <w:rPr>
          <w:rFonts w:ascii="宋体" w:hAnsi="宋体" w:eastAsia="宋体" w:cs="宋体"/>
          <w:b/>
          <w:color w:val="auto"/>
          <w:sz w:val="28"/>
          <w:szCs w:val="28"/>
          <w:highlight w:val="none"/>
        </w:rPr>
      </w:pPr>
      <w:bookmarkStart w:id="283" w:name="_Toc22558"/>
      <w:r>
        <w:rPr>
          <w:rFonts w:hint="eastAsia" w:ascii="宋体" w:hAnsi="宋体" w:eastAsia="宋体" w:cs="宋体"/>
          <w:b/>
          <w:color w:val="auto"/>
          <w:sz w:val="28"/>
          <w:szCs w:val="28"/>
          <w:highlight w:val="none"/>
        </w:rPr>
        <w:t>3.</w:t>
      </w:r>
      <w:bookmarkEnd w:id="278"/>
      <w:bookmarkEnd w:id="279"/>
      <w:bookmarkEnd w:id="280"/>
      <w:bookmarkEnd w:id="281"/>
      <w:bookmarkEnd w:id="282"/>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bookmarkEnd w:id="283"/>
    </w:p>
    <w:p w14:paraId="0EC7415C">
      <w:pPr>
        <w:spacing w:line="400" w:lineRule="exact"/>
        <w:ind w:left="420" w:leftChars="200" w:firstLine="157" w:firstLineChars="49"/>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E99B4B1">
      <w:pPr>
        <w:spacing w:line="4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031F3882">
      <w:pPr>
        <w:spacing w:line="400" w:lineRule="exact"/>
        <w:jc w:val="center"/>
        <w:rPr>
          <w:rFonts w:ascii="宋体" w:hAnsi="宋体" w:eastAsia="宋体" w:cs="宋体"/>
          <w:b/>
          <w:color w:val="auto"/>
          <w:sz w:val="32"/>
          <w:szCs w:val="32"/>
          <w:highlight w:val="none"/>
        </w:rPr>
      </w:pPr>
      <w:bookmarkStart w:id="284" w:name="_Toc30304_WPSOffice_Level1"/>
      <w:bookmarkStart w:id="285" w:name="_Toc30890_WPSOffice_Level1"/>
      <w:r>
        <w:rPr>
          <w:rFonts w:hint="eastAsia" w:ascii="宋体" w:hAnsi="宋体" w:eastAsia="宋体" w:cs="宋体"/>
          <w:b/>
          <w:color w:val="auto"/>
          <w:sz w:val="32"/>
          <w:szCs w:val="32"/>
          <w:highlight w:val="none"/>
        </w:rPr>
        <w:t>声   明</w:t>
      </w:r>
      <w:bookmarkEnd w:id="284"/>
      <w:bookmarkEnd w:id="285"/>
    </w:p>
    <w:p w14:paraId="531BF9C3">
      <w:pPr>
        <w:spacing w:line="400" w:lineRule="exact"/>
        <w:rPr>
          <w:rFonts w:ascii="宋体" w:hAnsi="宋体" w:eastAsia="宋体" w:cs="宋体"/>
          <w:b/>
          <w:color w:val="auto"/>
          <w:sz w:val="32"/>
          <w:szCs w:val="32"/>
          <w:highlight w:val="none"/>
        </w:rPr>
      </w:pPr>
    </w:p>
    <w:p w14:paraId="501679E9">
      <w:pPr>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lang w:eastAsia="zh-CN"/>
        </w:rPr>
        <w:t>桂林聚格项目管理有限公司</w:t>
      </w:r>
    </w:p>
    <w:p w14:paraId="375FCE52">
      <w:pPr>
        <w:rPr>
          <w:rFonts w:ascii="宋体" w:hAnsi="宋体" w:eastAsia="宋体" w:cs="宋体"/>
          <w:color w:val="auto"/>
          <w:szCs w:val="21"/>
          <w:highlight w:val="none"/>
          <w:u w:val="single"/>
        </w:rPr>
      </w:pPr>
    </w:p>
    <w:p w14:paraId="7405C11E">
      <w:pPr>
        <w:spacing w:after="120"/>
        <w:rPr>
          <w:rFonts w:ascii="宋体" w:hAnsi="宋体" w:eastAsia="宋体" w:cs="宋体"/>
          <w:color w:val="auto"/>
          <w:szCs w:val="24"/>
          <w:highlight w:val="none"/>
        </w:rPr>
      </w:pPr>
    </w:p>
    <w:p w14:paraId="0A5DB9EE">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6F1FEA0">
      <w:pPr>
        <w:rPr>
          <w:rFonts w:ascii="宋体" w:hAnsi="宋体" w:eastAsia="宋体" w:cs="宋体"/>
          <w:color w:val="auto"/>
          <w:szCs w:val="24"/>
          <w:highlight w:val="none"/>
        </w:rPr>
      </w:pPr>
    </w:p>
    <w:p w14:paraId="4ADE4316">
      <w:pPr>
        <w:snapToGrid w:val="0"/>
        <w:spacing w:line="400" w:lineRule="exact"/>
        <w:ind w:firstLine="1890" w:firstLineChars="900"/>
        <w:rPr>
          <w:rFonts w:ascii="宋体" w:hAnsi="宋体" w:eastAsia="宋体" w:cs="宋体"/>
          <w:color w:val="auto"/>
          <w:szCs w:val="24"/>
          <w:highlight w:val="none"/>
        </w:rPr>
      </w:pPr>
      <w:r>
        <w:rPr>
          <w:rFonts w:hint="eastAsia" w:ascii="宋体" w:hAnsi="宋体" w:eastAsia="宋体" w:cs="宋体"/>
          <w:color w:val="auto"/>
          <w:szCs w:val="21"/>
          <w:highlight w:val="none"/>
        </w:rPr>
        <w:t>供应商[公章(CA签章)，自然人签字或个人CA签章]：</w:t>
      </w:r>
      <w:r>
        <w:rPr>
          <w:rFonts w:hint="eastAsia" w:ascii="宋体" w:hAnsi="宋体" w:eastAsia="宋体" w:cs="宋体"/>
          <w:color w:val="auto"/>
          <w:szCs w:val="21"/>
          <w:highlight w:val="none"/>
          <w:u w:val="single"/>
        </w:rPr>
        <w:t xml:space="preserve">                                         </w:t>
      </w:r>
    </w:p>
    <w:p w14:paraId="58DB47DA">
      <w:pPr>
        <w:ind w:firstLine="3990" w:firstLineChars="1900"/>
        <w:rPr>
          <w:rFonts w:ascii="宋体" w:hAnsi="宋体" w:eastAsia="宋体" w:cs="宋体"/>
          <w:color w:val="auto"/>
          <w:highlight w:val="none"/>
        </w:rPr>
      </w:pPr>
    </w:p>
    <w:p w14:paraId="6AA216D2">
      <w:pPr>
        <w:ind w:firstLine="3990" w:firstLineChars="1900"/>
        <w:rPr>
          <w:rFonts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13B1BB3B">
      <w:pPr>
        <w:spacing w:line="340" w:lineRule="exact"/>
        <w:rPr>
          <w:rFonts w:ascii="宋体" w:hAnsi="宋体" w:eastAsia="宋体" w:cs="宋体"/>
          <w:b/>
          <w:color w:val="auto"/>
          <w:sz w:val="28"/>
          <w:szCs w:val="28"/>
          <w:highlight w:val="none"/>
        </w:rPr>
      </w:pPr>
    </w:p>
    <w:p w14:paraId="5045B056">
      <w:pPr>
        <w:spacing w:line="340" w:lineRule="exact"/>
        <w:rPr>
          <w:rFonts w:ascii="宋体" w:hAnsi="宋体" w:eastAsia="宋体" w:cs="宋体"/>
          <w:b/>
          <w:color w:val="auto"/>
          <w:sz w:val="28"/>
          <w:szCs w:val="28"/>
          <w:highlight w:val="none"/>
        </w:rPr>
      </w:pPr>
    </w:p>
    <w:p w14:paraId="2AAA00F6">
      <w:pPr>
        <w:spacing w:line="340" w:lineRule="exact"/>
        <w:rPr>
          <w:rFonts w:ascii="宋体" w:hAnsi="宋体" w:eastAsia="宋体" w:cs="宋体"/>
          <w:b/>
          <w:color w:val="auto"/>
          <w:sz w:val="28"/>
          <w:szCs w:val="28"/>
          <w:highlight w:val="none"/>
        </w:rPr>
      </w:pPr>
    </w:p>
    <w:p w14:paraId="61C6FB5D">
      <w:pPr>
        <w:outlineLvl w:val="1"/>
        <w:rPr>
          <w:rFonts w:ascii="宋体" w:hAnsi="宋体" w:eastAsia="宋体" w:cs="宋体"/>
          <w:b/>
          <w:color w:val="auto"/>
          <w:sz w:val="28"/>
          <w:szCs w:val="28"/>
          <w:highlight w:val="none"/>
        </w:rPr>
      </w:pPr>
      <w:bookmarkStart w:id="286" w:name="_Toc28801"/>
      <w:bookmarkStart w:id="287" w:name="_Toc32703"/>
      <w:bookmarkStart w:id="288" w:name="_Toc20796"/>
      <w:bookmarkStart w:id="289" w:name="_Toc28909"/>
      <w:bookmarkStart w:id="290" w:name="_Toc20647"/>
      <w:bookmarkStart w:id="291" w:name="_Toc31460"/>
      <w:r>
        <w:rPr>
          <w:rFonts w:hint="eastAsia" w:ascii="宋体" w:hAnsi="宋体" w:eastAsia="宋体" w:cs="宋体"/>
          <w:b/>
          <w:color w:val="auto"/>
          <w:sz w:val="28"/>
          <w:szCs w:val="28"/>
          <w:highlight w:val="none"/>
        </w:rPr>
        <w:t>4.</w:t>
      </w:r>
      <w:bookmarkEnd w:id="286"/>
      <w:bookmarkEnd w:id="287"/>
      <w:bookmarkEnd w:id="288"/>
      <w:bookmarkEnd w:id="289"/>
      <w:bookmarkEnd w:id="290"/>
      <w:r>
        <w:rPr>
          <w:rFonts w:hint="eastAsia" w:ascii="宋体" w:hAnsi="宋体" w:eastAsia="宋体" w:cs="宋体"/>
          <w:b/>
          <w:color w:val="auto"/>
          <w:sz w:val="28"/>
          <w:szCs w:val="28"/>
          <w:highlight w:val="none"/>
        </w:rPr>
        <w:t>供应商的法人或者其他组织营业执照等证明文件扫描件（必须提供，自然人除外）</w:t>
      </w:r>
      <w:bookmarkEnd w:id="291"/>
    </w:p>
    <w:p w14:paraId="16145F5E">
      <w:pPr>
        <w:tabs>
          <w:tab w:val="left" w:pos="1305"/>
        </w:tabs>
        <w:spacing w:line="400" w:lineRule="exact"/>
        <w:rPr>
          <w:rFonts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7F11A59">
      <w:pPr>
        <w:rPr>
          <w:rFonts w:ascii="宋体" w:hAnsi="宋体" w:eastAsia="宋体" w:cs="宋体"/>
          <w:b/>
          <w:bCs/>
          <w:color w:val="auto"/>
          <w:sz w:val="28"/>
          <w:szCs w:val="28"/>
          <w:highlight w:val="none"/>
        </w:rPr>
      </w:pPr>
    </w:p>
    <w:p w14:paraId="05BDF7E7">
      <w:pPr>
        <w:spacing w:line="340" w:lineRule="exact"/>
        <w:rPr>
          <w:rFonts w:ascii="宋体" w:hAnsi="宋体" w:eastAsia="宋体" w:cs="宋体"/>
          <w:b/>
          <w:color w:val="auto"/>
          <w:sz w:val="28"/>
          <w:szCs w:val="28"/>
          <w:highlight w:val="none"/>
        </w:rPr>
      </w:pPr>
    </w:p>
    <w:p w14:paraId="1310B457">
      <w:pPr>
        <w:rPr>
          <w:rFonts w:ascii="宋体" w:hAnsi="宋体" w:eastAsia="宋体" w:cs="宋体"/>
          <w:b/>
          <w:color w:val="auto"/>
          <w:sz w:val="28"/>
          <w:szCs w:val="28"/>
          <w:highlight w:val="none"/>
        </w:rPr>
      </w:pPr>
      <w:bookmarkStart w:id="292" w:name="_Toc12697"/>
      <w:bookmarkStart w:id="293" w:name="_Toc28158"/>
      <w:bookmarkStart w:id="294" w:name="_Toc29194"/>
      <w:bookmarkStart w:id="295" w:name="_Toc6956"/>
      <w:r>
        <w:rPr>
          <w:rFonts w:hint="eastAsia" w:ascii="宋体" w:hAnsi="宋体" w:eastAsia="宋体" w:cs="宋体"/>
          <w:b/>
          <w:color w:val="auto"/>
          <w:sz w:val="28"/>
          <w:szCs w:val="28"/>
          <w:highlight w:val="none"/>
        </w:rPr>
        <w:br w:type="page"/>
      </w:r>
    </w:p>
    <w:p w14:paraId="2293EFFB">
      <w:pPr>
        <w:outlineLvl w:val="1"/>
        <w:rPr>
          <w:rFonts w:ascii="宋体" w:hAnsi="宋体" w:eastAsia="宋体" w:cs="宋体"/>
          <w:b/>
          <w:color w:val="auto"/>
          <w:sz w:val="28"/>
          <w:szCs w:val="28"/>
          <w:highlight w:val="none"/>
        </w:rPr>
      </w:pPr>
      <w:bookmarkStart w:id="296" w:name="_Toc19732"/>
      <w:bookmarkStart w:id="297" w:name="_Toc23954"/>
      <w:r>
        <w:rPr>
          <w:rFonts w:hint="eastAsia" w:ascii="宋体" w:hAnsi="宋体" w:eastAsia="宋体" w:cs="宋体"/>
          <w:b/>
          <w:color w:val="auto"/>
          <w:sz w:val="28"/>
          <w:szCs w:val="28"/>
          <w:highlight w:val="none"/>
        </w:rPr>
        <w:t>5.</w:t>
      </w:r>
      <w:bookmarkEnd w:id="292"/>
      <w:bookmarkEnd w:id="293"/>
      <w:bookmarkEnd w:id="294"/>
      <w:bookmarkEnd w:id="295"/>
      <w:bookmarkEnd w:id="296"/>
      <w:r>
        <w:rPr>
          <w:rFonts w:hint="eastAsia" w:ascii="宋体" w:hAnsi="宋体" w:eastAsia="宋体" w:cs="宋体"/>
          <w:b/>
          <w:color w:val="auto"/>
          <w:sz w:val="28"/>
          <w:szCs w:val="28"/>
          <w:highlight w:val="none"/>
        </w:rPr>
        <w:t>供应商有效的资质证书、安全生产许可证书扫描件（必须提供）</w:t>
      </w:r>
      <w:bookmarkEnd w:id="297"/>
    </w:p>
    <w:p w14:paraId="6332FA29">
      <w:pPr>
        <w:rPr>
          <w:rFonts w:ascii="Times New Roman" w:hAnsi="Times New Roman" w:eastAsia="宋体" w:cs="Times New Roman"/>
          <w:color w:val="auto"/>
          <w:szCs w:val="24"/>
          <w:highlight w:val="none"/>
        </w:rPr>
      </w:pPr>
    </w:p>
    <w:p w14:paraId="252E79B4">
      <w:pPr>
        <w:spacing w:line="340" w:lineRule="exact"/>
        <w:jc w:val="left"/>
        <w:rPr>
          <w:rFonts w:ascii="宋体" w:hAnsi="宋体" w:eastAsia="宋体" w:cs="宋体"/>
          <w:b/>
          <w:color w:val="auto"/>
          <w:sz w:val="28"/>
          <w:szCs w:val="28"/>
          <w:highlight w:val="none"/>
        </w:rPr>
      </w:pPr>
    </w:p>
    <w:p w14:paraId="558F8E18">
      <w:pPr>
        <w:jc w:val="left"/>
        <w:rPr>
          <w:rFonts w:ascii="宋体" w:hAnsi="宋体" w:eastAsia="宋体" w:cs="宋体"/>
          <w:b/>
          <w:color w:val="auto"/>
          <w:sz w:val="28"/>
          <w:szCs w:val="28"/>
          <w:highlight w:val="none"/>
        </w:rPr>
      </w:pPr>
    </w:p>
    <w:p w14:paraId="64B33389">
      <w:pPr>
        <w:spacing w:line="340" w:lineRule="exact"/>
        <w:jc w:val="left"/>
        <w:rPr>
          <w:rFonts w:ascii="宋体" w:hAnsi="宋体" w:eastAsia="宋体" w:cs="宋体"/>
          <w:b/>
          <w:color w:val="auto"/>
          <w:sz w:val="28"/>
          <w:szCs w:val="28"/>
          <w:highlight w:val="none"/>
        </w:rPr>
      </w:pPr>
    </w:p>
    <w:p w14:paraId="3007C009">
      <w:pPr>
        <w:spacing w:line="340" w:lineRule="exact"/>
        <w:jc w:val="left"/>
        <w:rPr>
          <w:rFonts w:ascii="宋体" w:hAnsi="宋体" w:eastAsia="宋体" w:cs="宋体"/>
          <w:b/>
          <w:color w:val="auto"/>
          <w:sz w:val="28"/>
          <w:szCs w:val="28"/>
          <w:highlight w:val="none"/>
        </w:rPr>
      </w:pPr>
    </w:p>
    <w:p w14:paraId="35BF26FF">
      <w:pPr>
        <w:outlineLvl w:val="1"/>
        <w:rPr>
          <w:rFonts w:ascii="宋体" w:hAnsi="宋体" w:eastAsia="宋体" w:cs="宋体"/>
          <w:b/>
          <w:color w:val="auto"/>
          <w:sz w:val="28"/>
          <w:szCs w:val="28"/>
          <w:highlight w:val="none"/>
        </w:rPr>
      </w:pPr>
      <w:bookmarkStart w:id="298" w:name="_Toc12953"/>
      <w:bookmarkStart w:id="299" w:name="_Toc15020"/>
      <w:bookmarkStart w:id="300" w:name="_Toc23822"/>
      <w:bookmarkStart w:id="301" w:name="_Toc11223"/>
      <w:bookmarkStart w:id="302" w:name="_Toc12365"/>
      <w:bookmarkStart w:id="303" w:name="_Toc6907"/>
      <w:r>
        <w:rPr>
          <w:rFonts w:hint="eastAsia" w:ascii="宋体" w:hAnsi="宋体" w:eastAsia="宋体" w:cs="宋体"/>
          <w:b/>
          <w:color w:val="auto"/>
          <w:sz w:val="28"/>
          <w:szCs w:val="28"/>
          <w:highlight w:val="none"/>
        </w:rPr>
        <w:t>6.</w:t>
      </w:r>
      <w:bookmarkEnd w:id="298"/>
      <w:bookmarkEnd w:id="299"/>
      <w:bookmarkEnd w:id="300"/>
      <w:bookmarkEnd w:id="301"/>
      <w:bookmarkEnd w:id="302"/>
      <w:r>
        <w:rPr>
          <w:rFonts w:hint="eastAsia" w:ascii="宋体" w:hAnsi="宋体" w:eastAsia="宋体" w:cs="宋体"/>
          <w:b/>
          <w:color w:val="auto"/>
          <w:sz w:val="28"/>
          <w:szCs w:val="28"/>
          <w:highlight w:val="none"/>
        </w:rPr>
        <w:t>拟派项目经理的市政公用工程专业二级及以上注册建造师证和安全生产考核合格证书（B类）扫描件（必须提供）</w:t>
      </w:r>
      <w:bookmarkEnd w:id="303"/>
    </w:p>
    <w:p w14:paraId="38E7AFAC">
      <w:pPr>
        <w:ind w:left="2940" w:leftChars="1400"/>
        <w:rPr>
          <w:rFonts w:ascii="Times New Roman" w:hAnsi="Times New Roman" w:eastAsia="宋体" w:cs="Times New Roman"/>
          <w:color w:val="auto"/>
          <w:szCs w:val="24"/>
          <w:highlight w:val="none"/>
        </w:rPr>
      </w:pPr>
      <w:bookmarkStart w:id="304" w:name="_Toc16476"/>
      <w:bookmarkStart w:id="305" w:name="_Toc31765"/>
      <w:bookmarkStart w:id="306" w:name="_Toc27290"/>
      <w:bookmarkStart w:id="307" w:name="_Toc1162"/>
    </w:p>
    <w:p w14:paraId="10FB5DBD">
      <w:pPr>
        <w:spacing w:line="340" w:lineRule="exact"/>
        <w:jc w:val="left"/>
        <w:rPr>
          <w:rFonts w:ascii="宋体" w:hAnsi="宋体" w:eastAsia="宋体" w:cs="宋体"/>
          <w:b/>
          <w:color w:val="auto"/>
          <w:sz w:val="28"/>
          <w:szCs w:val="28"/>
          <w:highlight w:val="none"/>
        </w:rPr>
      </w:pPr>
    </w:p>
    <w:p w14:paraId="7D0D6CCB">
      <w:pPr>
        <w:jc w:val="left"/>
        <w:rPr>
          <w:rFonts w:ascii="宋体" w:hAnsi="宋体" w:eastAsia="宋体" w:cs="宋体"/>
          <w:b/>
          <w:color w:val="auto"/>
          <w:sz w:val="28"/>
          <w:szCs w:val="28"/>
          <w:highlight w:val="none"/>
        </w:rPr>
      </w:pPr>
    </w:p>
    <w:p w14:paraId="6E49B0E4">
      <w:pPr>
        <w:jc w:val="left"/>
        <w:rPr>
          <w:rFonts w:ascii="宋体" w:hAnsi="宋体" w:eastAsia="宋体" w:cs="宋体"/>
          <w:b/>
          <w:color w:val="auto"/>
          <w:sz w:val="28"/>
          <w:szCs w:val="28"/>
          <w:highlight w:val="none"/>
        </w:rPr>
      </w:pPr>
    </w:p>
    <w:p w14:paraId="0CCCD041">
      <w:pPr>
        <w:snapToGrid w:val="0"/>
        <w:jc w:val="left"/>
        <w:rPr>
          <w:rFonts w:ascii="Times New Roman" w:hAnsi="Times New Roman" w:eastAsia="宋体" w:cs="Times New Roman"/>
          <w:color w:val="auto"/>
          <w:sz w:val="18"/>
          <w:szCs w:val="18"/>
          <w:highlight w:val="none"/>
        </w:rPr>
      </w:pPr>
    </w:p>
    <w:p w14:paraId="0817D4A1">
      <w:pPr>
        <w:spacing w:line="34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7.项目经理无在建工程承诺书（格式自拟）（必须提供）</w:t>
      </w:r>
    </w:p>
    <w:p w14:paraId="24BF7450">
      <w:pPr>
        <w:outlineLvl w:val="1"/>
        <w:rPr>
          <w:rFonts w:ascii="宋体" w:hAnsi="宋体" w:eastAsia="宋体" w:cs="宋体"/>
          <w:b/>
          <w:color w:val="auto"/>
          <w:sz w:val="28"/>
          <w:szCs w:val="28"/>
          <w:highlight w:val="none"/>
        </w:rPr>
      </w:pPr>
      <w:bookmarkStart w:id="308" w:name="_Toc3115"/>
    </w:p>
    <w:p w14:paraId="2D37CF8D">
      <w:pPr>
        <w:outlineLvl w:val="1"/>
        <w:rPr>
          <w:rFonts w:ascii="宋体" w:hAnsi="宋体" w:eastAsia="宋体" w:cs="宋体"/>
          <w:b/>
          <w:color w:val="auto"/>
          <w:sz w:val="28"/>
          <w:szCs w:val="28"/>
          <w:highlight w:val="none"/>
        </w:rPr>
      </w:pPr>
    </w:p>
    <w:p w14:paraId="7680DAFA">
      <w:pPr>
        <w:outlineLvl w:val="1"/>
        <w:rPr>
          <w:rFonts w:ascii="宋体" w:hAnsi="宋体" w:eastAsia="宋体" w:cs="宋体"/>
          <w:b/>
          <w:color w:val="auto"/>
          <w:sz w:val="28"/>
          <w:szCs w:val="28"/>
          <w:highlight w:val="none"/>
        </w:rPr>
      </w:pPr>
    </w:p>
    <w:p w14:paraId="5C2FEB0F">
      <w:pPr>
        <w:outlineLvl w:val="1"/>
        <w:rPr>
          <w:rFonts w:ascii="宋体" w:hAnsi="宋体" w:eastAsia="宋体" w:cs="宋体"/>
          <w:b/>
          <w:color w:val="auto"/>
          <w:sz w:val="28"/>
          <w:szCs w:val="28"/>
          <w:highlight w:val="none"/>
        </w:rPr>
      </w:pPr>
    </w:p>
    <w:p w14:paraId="40FD7A19">
      <w:pPr>
        <w:outlineLvl w:val="1"/>
        <w:rPr>
          <w:rFonts w:ascii="宋体" w:hAnsi="宋体" w:eastAsia="宋体" w:cs="宋体"/>
          <w:b/>
          <w:color w:val="auto"/>
          <w:sz w:val="28"/>
          <w:szCs w:val="28"/>
          <w:highlight w:val="none"/>
        </w:rPr>
      </w:pPr>
    </w:p>
    <w:p w14:paraId="393A8447">
      <w:pPr>
        <w:outlineLvl w:val="1"/>
        <w:rPr>
          <w:rFonts w:ascii="宋体" w:hAnsi="宋体" w:eastAsia="宋体" w:cs="宋体"/>
          <w:b/>
          <w:color w:val="auto"/>
          <w:sz w:val="28"/>
          <w:szCs w:val="28"/>
          <w:highlight w:val="none"/>
        </w:rPr>
      </w:pPr>
    </w:p>
    <w:p w14:paraId="44753CDE">
      <w:pPr>
        <w:outlineLvl w:val="1"/>
        <w:rPr>
          <w:rFonts w:ascii="宋体" w:hAnsi="宋体" w:eastAsia="宋体" w:cs="宋体"/>
          <w:b/>
          <w:color w:val="auto"/>
          <w:sz w:val="28"/>
          <w:szCs w:val="28"/>
          <w:highlight w:val="none"/>
        </w:rPr>
      </w:pPr>
    </w:p>
    <w:p w14:paraId="590D6A63">
      <w:pPr>
        <w:tabs>
          <w:tab w:val="left" w:pos="1680"/>
        </w:tabs>
        <w:outlineLvl w:val="1"/>
        <w:rPr>
          <w:rFonts w:ascii="宋体" w:hAnsi="宋体" w:eastAsia="宋体" w:cs="宋体"/>
          <w:b/>
          <w:color w:val="auto"/>
          <w:sz w:val="28"/>
          <w:szCs w:val="28"/>
          <w:highlight w:val="none"/>
        </w:rPr>
      </w:pPr>
      <w:bookmarkStart w:id="309" w:name="_Toc7957"/>
      <w:r>
        <w:rPr>
          <w:rFonts w:hint="eastAsia" w:ascii="宋体" w:hAnsi="宋体" w:eastAsia="宋体" w:cs="宋体"/>
          <w:b/>
          <w:color w:val="auto"/>
          <w:sz w:val="28"/>
          <w:szCs w:val="28"/>
          <w:highlight w:val="none"/>
        </w:rPr>
        <w:t>8.</w:t>
      </w:r>
      <w:bookmarkEnd w:id="304"/>
      <w:bookmarkEnd w:id="305"/>
      <w:bookmarkEnd w:id="306"/>
      <w:bookmarkEnd w:id="307"/>
      <w:bookmarkEnd w:id="308"/>
      <w:r>
        <w:rPr>
          <w:rFonts w:hint="eastAsia" w:ascii="宋体" w:hAnsi="宋体" w:eastAsia="宋体" w:cs="宋体"/>
          <w:b/>
          <w:color w:val="auto"/>
          <w:sz w:val="28"/>
          <w:szCs w:val="28"/>
          <w:highlight w:val="none"/>
        </w:rPr>
        <w:t>供应商202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年以来任意年度内的财务状况报告（或银行出具的资信证明）扫描件（必须提供）</w:t>
      </w:r>
      <w:bookmarkEnd w:id="309"/>
    </w:p>
    <w:p w14:paraId="5DA073ED">
      <w:pPr>
        <w:ind w:left="2940" w:leftChars="1400"/>
        <w:rPr>
          <w:rFonts w:ascii="Times New Roman" w:hAnsi="Times New Roman" w:eastAsia="宋体" w:cs="Times New Roman"/>
          <w:color w:val="auto"/>
          <w:szCs w:val="24"/>
          <w:highlight w:val="none"/>
        </w:rPr>
      </w:pPr>
      <w:bookmarkStart w:id="310" w:name="_Toc10639"/>
      <w:bookmarkStart w:id="311" w:name="_Toc21896"/>
      <w:bookmarkStart w:id="312" w:name="_Toc12791"/>
      <w:bookmarkStart w:id="313" w:name="_Toc18342"/>
    </w:p>
    <w:p w14:paraId="315E2A6A">
      <w:pPr>
        <w:spacing w:line="340" w:lineRule="exact"/>
        <w:jc w:val="left"/>
        <w:rPr>
          <w:rFonts w:ascii="宋体" w:hAnsi="宋体" w:eastAsia="宋体" w:cs="宋体"/>
          <w:b/>
          <w:color w:val="auto"/>
          <w:sz w:val="28"/>
          <w:szCs w:val="28"/>
          <w:highlight w:val="none"/>
        </w:rPr>
      </w:pPr>
    </w:p>
    <w:p w14:paraId="10020EC5">
      <w:pPr>
        <w:jc w:val="left"/>
        <w:rPr>
          <w:rFonts w:ascii="宋体" w:hAnsi="宋体" w:eastAsia="宋体" w:cs="宋体"/>
          <w:b/>
          <w:color w:val="auto"/>
          <w:sz w:val="28"/>
          <w:szCs w:val="28"/>
          <w:highlight w:val="none"/>
        </w:rPr>
      </w:pPr>
    </w:p>
    <w:p w14:paraId="01108386">
      <w:pPr>
        <w:jc w:val="left"/>
        <w:rPr>
          <w:rFonts w:ascii="宋体" w:hAnsi="宋体" w:eastAsia="宋体" w:cs="宋体"/>
          <w:b/>
          <w:color w:val="auto"/>
          <w:sz w:val="28"/>
          <w:szCs w:val="28"/>
          <w:highlight w:val="none"/>
        </w:rPr>
      </w:pPr>
    </w:p>
    <w:p w14:paraId="4A7FF19D">
      <w:pPr>
        <w:snapToGrid w:val="0"/>
        <w:jc w:val="left"/>
        <w:rPr>
          <w:rFonts w:ascii="Times New Roman" w:hAnsi="Times New Roman" w:eastAsia="宋体" w:cs="Times New Roman"/>
          <w:color w:val="auto"/>
          <w:sz w:val="18"/>
          <w:szCs w:val="18"/>
          <w:highlight w:val="none"/>
        </w:rPr>
      </w:pPr>
    </w:p>
    <w:p w14:paraId="09071239">
      <w:pPr>
        <w:spacing w:line="340" w:lineRule="exact"/>
        <w:jc w:val="left"/>
        <w:rPr>
          <w:rFonts w:ascii="宋体" w:hAnsi="宋体" w:eastAsia="宋体" w:cs="宋体"/>
          <w:b/>
          <w:color w:val="auto"/>
          <w:sz w:val="28"/>
          <w:szCs w:val="28"/>
          <w:highlight w:val="none"/>
        </w:rPr>
      </w:pPr>
    </w:p>
    <w:p w14:paraId="243A535B">
      <w:pPr>
        <w:outlineLvl w:val="1"/>
        <w:rPr>
          <w:rFonts w:ascii="宋体" w:hAnsi="宋体" w:eastAsia="宋体" w:cs="宋体"/>
          <w:b/>
          <w:color w:val="auto"/>
          <w:sz w:val="28"/>
          <w:szCs w:val="28"/>
          <w:highlight w:val="none"/>
        </w:rPr>
      </w:pPr>
      <w:bookmarkStart w:id="314" w:name="_Toc10118"/>
      <w:bookmarkStart w:id="315" w:name="_Toc22454"/>
      <w:r>
        <w:rPr>
          <w:rFonts w:hint="eastAsia" w:ascii="宋体" w:hAnsi="宋体" w:eastAsia="宋体" w:cs="宋体"/>
          <w:b/>
          <w:color w:val="auto"/>
          <w:sz w:val="28"/>
          <w:szCs w:val="28"/>
          <w:highlight w:val="none"/>
        </w:rPr>
        <w:t>9.</w:t>
      </w:r>
      <w:bookmarkEnd w:id="310"/>
      <w:bookmarkEnd w:id="311"/>
      <w:bookmarkEnd w:id="312"/>
      <w:bookmarkEnd w:id="313"/>
      <w:bookmarkEnd w:id="314"/>
      <w:r>
        <w:rPr>
          <w:rFonts w:hint="eastAsia" w:ascii="宋体" w:hAnsi="宋体" w:eastAsia="宋体" w:cs="宋体"/>
          <w:b/>
          <w:color w:val="auto"/>
          <w:sz w:val="28"/>
          <w:szCs w:val="28"/>
          <w:highlight w:val="none"/>
        </w:rPr>
        <w:t>供应商在响应文件递交截止时间前半年内任意一个月或任一季度依法缴纳税收的证明材料【增值税发票(税收完税证明)或企业所得税完税证明或税务部门出具的免税证明】扫描件（必须提供）</w:t>
      </w:r>
      <w:bookmarkEnd w:id="315"/>
    </w:p>
    <w:p w14:paraId="0820C393">
      <w:pPr>
        <w:rPr>
          <w:rFonts w:ascii="宋体" w:hAnsi="宋体" w:eastAsia="宋体" w:cs="宋体"/>
          <w:b/>
          <w:bCs/>
          <w:color w:val="auto"/>
          <w:sz w:val="32"/>
          <w:szCs w:val="32"/>
          <w:highlight w:val="none"/>
        </w:rPr>
      </w:pPr>
    </w:p>
    <w:p w14:paraId="68A73CAA">
      <w:pPr>
        <w:tabs>
          <w:tab w:val="center" w:pos="4153"/>
          <w:tab w:val="right" w:pos="8306"/>
        </w:tabs>
        <w:snapToGrid w:val="0"/>
        <w:jc w:val="left"/>
        <w:rPr>
          <w:rFonts w:ascii="Times New Roman" w:hAnsi="Times New Roman" w:eastAsia="宋体" w:cs="Times New Roman"/>
          <w:color w:val="auto"/>
          <w:sz w:val="18"/>
          <w:szCs w:val="18"/>
          <w:highlight w:val="none"/>
        </w:rPr>
      </w:pPr>
    </w:p>
    <w:p w14:paraId="641C5F21">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FEFF9DD">
      <w:pPr>
        <w:outlineLvl w:val="1"/>
        <w:rPr>
          <w:rFonts w:ascii="宋体" w:hAnsi="宋体" w:eastAsia="宋体" w:cs="宋体"/>
          <w:b/>
          <w:bCs/>
          <w:color w:val="auto"/>
          <w:sz w:val="32"/>
          <w:szCs w:val="32"/>
          <w:highlight w:val="none"/>
        </w:rPr>
      </w:pPr>
      <w:bookmarkStart w:id="316" w:name="_Toc18910"/>
      <w:bookmarkStart w:id="317" w:name="_Toc12599"/>
      <w:r>
        <w:rPr>
          <w:rFonts w:ascii="宋体" w:hAnsi="宋体" w:eastAsia="宋体" w:cs="宋体"/>
          <w:b/>
          <w:color w:val="auto"/>
          <w:sz w:val="28"/>
          <w:szCs w:val="28"/>
          <w:highlight w:val="none"/>
        </w:rPr>
        <w:t>1</w:t>
      </w:r>
      <w:r>
        <w:rPr>
          <w:rFonts w:hint="eastAsia" w:ascii="宋体" w:hAnsi="宋体" w:eastAsia="宋体" w:cs="宋体"/>
          <w:b/>
          <w:color w:val="auto"/>
          <w:sz w:val="28"/>
          <w:szCs w:val="28"/>
          <w:highlight w:val="none"/>
        </w:rPr>
        <w:t>0.</w:t>
      </w:r>
      <w:bookmarkEnd w:id="316"/>
      <w:r>
        <w:rPr>
          <w:rFonts w:hint="eastAsia" w:ascii="宋体" w:hAnsi="宋体" w:eastAsia="宋体" w:cs="宋体"/>
          <w:b/>
          <w:color w:val="auto"/>
          <w:sz w:val="28"/>
          <w:szCs w:val="28"/>
          <w:highlight w:val="none"/>
        </w:rPr>
        <w:t>中小企业声明函或残疾人福利性单位声明函或供应商属于监狱企业的，提供由省级以上监狱管理局、戒毒管理局（含新疆生产建设兵团）出具的属于监狱企业的证明文件（必须提供）</w:t>
      </w:r>
      <w:bookmarkEnd w:id="317"/>
    </w:p>
    <w:p w14:paraId="34797177">
      <w:pPr>
        <w:rPr>
          <w:rFonts w:ascii="宋体" w:hAnsi="宋体" w:eastAsia="宋体" w:cs="宋体"/>
          <w:b/>
          <w:bCs/>
          <w:color w:val="auto"/>
          <w:sz w:val="32"/>
          <w:szCs w:val="32"/>
          <w:highlight w:val="none"/>
        </w:rPr>
      </w:pPr>
    </w:p>
    <w:p w14:paraId="3396F6F7">
      <w:pPr>
        <w:jc w:val="center"/>
        <w:outlineLvl w:val="1"/>
        <w:rPr>
          <w:rFonts w:ascii="宋体" w:hAnsi="宋体" w:eastAsia="宋体" w:cs="宋体"/>
          <w:b/>
          <w:bCs/>
          <w:color w:val="auto"/>
          <w:kern w:val="0"/>
          <w:sz w:val="24"/>
          <w:szCs w:val="24"/>
          <w:highlight w:val="none"/>
        </w:rPr>
      </w:pPr>
      <w:bookmarkStart w:id="318" w:name="_Toc23913"/>
      <w:bookmarkStart w:id="319" w:name="_Toc27491"/>
      <w:bookmarkStart w:id="320" w:name="_Toc20297"/>
      <w:bookmarkStart w:id="321" w:name="_Toc16031"/>
      <w:bookmarkStart w:id="322" w:name="_Toc20326"/>
      <w:bookmarkStart w:id="323" w:name="_Toc29074"/>
      <w:bookmarkStart w:id="324" w:name="_Toc22992"/>
      <w:r>
        <w:rPr>
          <w:rFonts w:hint="eastAsia" w:ascii="宋体" w:hAnsi="宋体" w:eastAsia="宋体" w:cs="宋体"/>
          <w:b/>
          <w:bCs/>
          <w:color w:val="auto"/>
          <w:kern w:val="0"/>
          <w:sz w:val="24"/>
          <w:szCs w:val="24"/>
          <w:highlight w:val="none"/>
        </w:rPr>
        <w:t>（1）</w:t>
      </w:r>
      <w:r>
        <w:rPr>
          <w:rFonts w:ascii="宋体" w:hAnsi="宋体" w:eastAsia="宋体" w:cs="宋体"/>
          <w:b/>
          <w:bCs/>
          <w:color w:val="auto"/>
          <w:kern w:val="0"/>
          <w:sz w:val="24"/>
          <w:szCs w:val="24"/>
          <w:highlight w:val="none"/>
        </w:rPr>
        <w:t>中小企业声明函（</w:t>
      </w:r>
      <w:r>
        <w:rPr>
          <w:rFonts w:hint="eastAsia" w:ascii="宋体" w:hAnsi="宋体" w:eastAsia="宋体" w:cs="宋体"/>
          <w:b/>
          <w:bCs/>
          <w:color w:val="auto"/>
          <w:kern w:val="0"/>
          <w:sz w:val="24"/>
          <w:szCs w:val="24"/>
          <w:highlight w:val="none"/>
        </w:rPr>
        <w:t>工程</w:t>
      </w:r>
      <w:r>
        <w:rPr>
          <w:rFonts w:ascii="宋体" w:hAnsi="宋体" w:eastAsia="宋体" w:cs="宋体"/>
          <w:b/>
          <w:bCs/>
          <w:color w:val="auto"/>
          <w:kern w:val="0"/>
          <w:sz w:val="24"/>
          <w:szCs w:val="24"/>
          <w:highlight w:val="none"/>
        </w:rPr>
        <w:t>）</w:t>
      </w:r>
      <w:bookmarkEnd w:id="318"/>
      <w:bookmarkEnd w:id="319"/>
      <w:bookmarkEnd w:id="320"/>
      <w:bookmarkEnd w:id="321"/>
      <w:bookmarkEnd w:id="322"/>
      <w:r>
        <w:rPr>
          <w:rFonts w:hint="eastAsia" w:ascii="宋体" w:hAnsi="宋体" w:eastAsia="宋体" w:cs="宋体"/>
          <w:b/>
          <w:bCs/>
          <w:color w:val="auto"/>
          <w:kern w:val="0"/>
          <w:sz w:val="24"/>
          <w:szCs w:val="24"/>
          <w:highlight w:val="none"/>
        </w:rPr>
        <w:t>（格式）</w:t>
      </w:r>
      <w:bookmarkEnd w:id="323"/>
      <w:bookmarkEnd w:id="324"/>
    </w:p>
    <w:p w14:paraId="5A408845">
      <w:pPr>
        <w:spacing w:after="60" w:line="360" w:lineRule="atLeast"/>
        <w:ind w:left="63" w:leftChars="30" w:right="63" w:rightChars="30"/>
        <w:jc w:val="center"/>
        <w:rPr>
          <w:rFonts w:ascii="Times New Roman" w:hAnsi="Times New Roman" w:eastAsia="宋体" w:cs="Times New Roman"/>
          <w:color w:val="auto"/>
          <w:kern w:val="0"/>
          <w:szCs w:val="21"/>
          <w:highlight w:val="none"/>
        </w:rPr>
      </w:pPr>
    </w:p>
    <w:p w14:paraId="11196EE6">
      <w:pPr>
        <w:spacing w:line="360" w:lineRule="auto"/>
        <w:ind w:firstLine="42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本公司郑重声明，根据《政府采购促进中小企业发展管理办法》（财库﹝2020﹞46 号）的规定，本公司参加</w:t>
      </w:r>
      <w:r>
        <w:rPr>
          <w:rFonts w:hint="eastAsia" w:ascii="宋体" w:hAnsi="宋体" w:eastAsia="宋体" w:cs="Times New Roman"/>
          <w:bCs/>
          <w:color w:val="auto"/>
          <w:sz w:val="24"/>
          <w:szCs w:val="24"/>
          <w:highlight w:val="none"/>
          <w:u w:val="single"/>
        </w:rPr>
        <w:t>（单位名称）</w:t>
      </w:r>
      <w:r>
        <w:rPr>
          <w:rFonts w:hint="eastAsia" w:ascii="宋体" w:hAnsi="宋体" w:eastAsia="宋体" w:cs="Times New Roman"/>
          <w:bCs/>
          <w:color w:val="auto"/>
          <w:sz w:val="24"/>
          <w:szCs w:val="24"/>
          <w:highlight w:val="none"/>
        </w:rPr>
        <w:t>的</w:t>
      </w:r>
      <w:r>
        <w:rPr>
          <w:rFonts w:hint="eastAsia" w:ascii="宋体" w:hAnsi="宋体" w:eastAsia="宋体" w:cs="Times New Roman"/>
          <w:bCs/>
          <w:color w:val="auto"/>
          <w:sz w:val="24"/>
          <w:szCs w:val="24"/>
          <w:highlight w:val="none"/>
          <w:u w:val="single"/>
        </w:rPr>
        <w:t>（项目名称）</w:t>
      </w:r>
      <w:r>
        <w:rPr>
          <w:rFonts w:hint="eastAsia" w:ascii="宋体" w:hAnsi="宋体" w:eastAsia="宋体" w:cs="Times New Roman"/>
          <w:bCs/>
          <w:color w:val="auto"/>
          <w:sz w:val="24"/>
          <w:szCs w:val="24"/>
          <w:highlight w:val="none"/>
        </w:rPr>
        <w:t>采购活动，工程的施工单位全部为符合政策要求的中小企业承接。相关企业的具体情况如下：</w:t>
      </w:r>
    </w:p>
    <w:p w14:paraId="02AB5FD9">
      <w:pPr>
        <w:spacing w:line="360" w:lineRule="auto"/>
        <w:ind w:firstLine="42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u w:val="single"/>
        </w:rPr>
        <w:t>（标的名称）</w:t>
      </w:r>
      <w:r>
        <w:rPr>
          <w:rFonts w:hint="eastAsia" w:ascii="宋体" w:hAnsi="宋体" w:eastAsia="宋体" w:cs="Times New Roman"/>
          <w:bCs/>
          <w:color w:val="auto"/>
          <w:sz w:val="24"/>
          <w:szCs w:val="24"/>
          <w:highlight w:val="none"/>
        </w:rPr>
        <w:t>，属于</w:t>
      </w:r>
      <w:r>
        <w:rPr>
          <w:rFonts w:hint="eastAsia" w:ascii="宋体" w:hAnsi="宋体" w:eastAsia="宋体" w:cs="Times New Roman"/>
          <w:bCs/>
          <w:color w:val="auto"/>
          <w:sz w:val="24"/>
          <w:szCs w:val="24"/>
          <w:highlight w:val="none"/>
          <w:u w:val="single"/>
        </w:rPr>
        <w:t>（采购文件中明确的所属行业）</w:t>
      </w:r>
      <w:r>
        <w:rPr>
          <w:rFonts w:hint="eastAsia" w:ascii="宋体" w:hAnsi="宋体" w:eastAsia="宋体" w:cs="Times New Roman"/>
          <w:bCs/>
          <w:color w:val="auto"/>
          <w:sz w:val="24"/>
          <w:szCs w:val="24"/>
          <w:highlight w:val="none"/>
        </w:rPr>
        <w:t>行业；承建企业为</w:t>
      </w:r>
      <w:r>
        <w:rPr>
          <w:rFonts w:hint="eastAsia" w:ascii="宋体" w:hAnsi="宋体" w:eastAsia="宋体" w:cs="Times New Roman"/>
          <w:bCs/>
          <w:color w:val="auto"/>
          <w:sz w:val="24"/>
          <w:szCs w:val="24"/>
          <w:highlight w:val="none"/>
          <w:u w:val="single"/>
        </w:rPr>
        <w:t>（企业名称）</w:t>
      </w:r>
      <w:r>
        <w:rPr>
          <w:rFonts w:hint="eastAsia" w:ascii="宋体" w:hAnsi="宋体" w:eastAsia="宋体" w:cs="Times New Roman"/>
          <w:bCs/>
          <w:color w:val="auto"/>
          <w:sz w:val="24"/>
          <w:szCs w:val="24"/>
          <w:highlight w:val="none"/>
        </w:rPr>
        <w:t>，从业人员</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人，营业收入为</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万元，资产总额为</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万元，属于</w:t>
      </w:r>
      <w:r>
        <w:rPr>
          <w:rFonts w:hint="eastAsia" w:ascii="宋体" w:hAnsi="宋体" w:eastAsia="宋体" w:cs="Times New Roman"/>
          <w:bCs/>
          <w:color w:val="auto"/>
          <w:sz w:val="24"/>
          <w:szCs w:val="24"/>
          <w:highlight w:val="none"/>
          <w:u w:val="single"/>
        </w:rPr>
        <w:t>（中型企业、小型企业、微型企业）</w:t>
      </w:r>
      <w:r>
        <w:rPr>
          <w:rFonts w:hint="eastAsia" w:ascii="宋体" w:hAnsi="宋体" w:eastAsia="宋体" w:cs="Times New Roman"/>
          <w:bCs/>
          <w:color w:val="auto"/>
          <w:sz w:val="24"/>
          <w:szCs w:val="24"/>
          <w:highlight w:val="none"/>
        </w:rPr>
        <w:t>。</w:t>
      </w:r>
    </w:p>
    <w:p w14:paraId="0AE1ED2E">
      <w:pPr>
        <w:spacing w:line="360" w:lineRule="auto"/>
        <w:ind w:firstLine="42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以上企业，不属于大企业的分支机构，不存在控股股东为大企业的情形，也不存在与大企业的负责人为同一人的情形。</w:t>
      </w:r>
    </w:p>
    <w:p w14:paraId="7F67BC82">
      <w:pPr>
        <w:spacing w:line="360" w:lineRule="auto"/>
        <w:ind w:firstLine="42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本企业对上述声明内容的真实性负责。如有虚假，将依法承担相应责任。</w:t>
      </w:r>
    </w:p>
    <w:p w14:paraId="02F4422D">
      <w:pPr>
        <w:ind w:right="420" w:firstLine="6120" w:firstLineChars="2550"/>
        <w:rPr>
          <w:rFonts w:ascii="宋体" w:hAnsi="宋体" w:eastAsia="宋体" w:cs="Times New Roman"/>
          <w:bCs/>
          <w:color w:val="auto"/>
          <w:sz w:val="24"/>
          <w:szCs w:val="24"/>
          <w:highlight w:val="none"/>
        </w:rPr>
      </w:pPr>
    </w:p>
    <w:p w14:paraId="3C2AEAB2">
      <w:pPr>
        <w:widowControl/>
        <w:ind w:firstLine="2640" w:firstLineChars="1100"/>
        <w:jc w:val="left"/>
        <w:rPr>
          <w:rFonts w:ascii="宋体" w:hAnsi="宋体" w:eastAsia="宋体" w:cs="仿宋"/>
          <w:color w:val="auto"/>
          <w:sz w:val="24"/>
          <w:szCs w:val="24"/>
          <w:highlight w:val="none"/>
        </w:rPr>
      </w:pPr>
      <w:bookmarkStart w:id="325" w:name="_Hlk183596881"/>
      <w:r>
        <w:rPr>
          <w:rFonts w:hint="eastAsia" w:ascii="宋体" w:hAnsi="宋体" w:eastAsia="宋体" w:cs="仿宋"/>
          <w:color w:val="auto"/>
          <w:sz w:val="24"/>
          <w:szCs w:val="24"/>
          <w:highlight w:val="none"/>
        </w:rPr>
        <w:t>供应商[公章(CA签章)]：</w:t>
      </w:r>
      <w:r>
        <w:rPr>
          <w:rFonts w:hint="eastAsia" w:ascii="宋体" w:hAnsi="宋体" w:eastAsia="宋体" w:cs="仿宋"/>
          <w:color w:val="auto"/>
          <w:sz w:val="24"/>
          <w:szCs w:val="24"/>
          <w:highlight w:val="none"/>
          <w:u w:val="single"/>
        </w:rPr>
        <w:t xml:space="preserve">                              </w:t>
      </w:r>
    </w:p>
    <w:p w14:paraId="50A0D374">
      <w:pPr>
        <w:spacing w:line="300" w:lineRule="exact"/>
        <w:ind w:left="2940" w:leftChars="1400" w:firstLine="720" w:firstLineChars="300"/>
        <w:rPr>
          <w:rFonts w:ascii="宋体" w:hAnsi="宋体" w:eastAsia="宋体" w:cs="仿宋"/>
          <w:color w:val="auto"/>
          <w:sz w:val="24"/>
          <w:szCs w:val="24"/>
          <w:highlight w:val="none"/>
        </w:rPr>
      </w:pPr>
    </w:p>
    <w:p w14:paraId="5A06939B">
      <w:pPr>
        <w:spacing w:line="340" w:lineRule="exact"/>
        <w:ind w:left="420"/>
        <w:jc w:val="center"/>
        <w:rPr>
          <w:rFonts w:ascii="宋体" w:hAnsi="宋体" w:eastAsia="宋体" w:cs="Times New Roman"/>
          <w:color w:val="auto"/>
          <w:sz w:val="24"/>
          <w:szCs w:val="24"/>
          <w:highlight w:val="none"/>
        </w:rPr>
      </w:pPr>
      <w:r>
        <w:rPr>
          <w:rFonts w:hint="eastAsia" w:ascii="宋体" w:hAnsi="宋体" w:eastAsia="宋体" w:cs="仿宋"/>
          <w:color w:val="auto"/>
          <w:sz w:val="24"/>
          <w:szCs w:val="24"/>
          <w:highlight w:val="none"/>
        </w:rPr>
        <w:t>日          期：</w:t>
      </w:r>
      <w:r>
        <w:rPr>
          <w:rFonts w:hint="eastAsia" w:ascii="宋体" w:hAnsi="宋体" w:eastAsia="宋体" w:cs="仿宋"/>
          <w:color w:val="auto"/>
          <w:sz w:val="24"/>
          <w:szCs w:val="24"/>
          <w:highlight w:val="none"/>
          <w:u w:val="single"/>
        </w:rPr>
        <w:t xml:space="preserve">                         </w:t>
      </w:r>
    </w:p>
    <w:bookmarkEnd w:id="325"/>
    <w:p w14:paraId="012088FA">
      <w:pPr>
        <w:widowControl/>
        <w:jc w:val="left"/>
        <w:rPr>
          <w:rFonts w:ascii="宋体" w:hAnsi="宋体" w:eastAsia="宋体" w:cs="宋体"/>
          <w:b/>
          <w:color w:val="auto"/>
          <w:kern w:val="0"/>
          <w:szCs w:val="21"/>
          <w:highlight w:val="none"/>
        </w:rPr>
      </w:pPr>
    </w:p>
    <w:p w14:paraId="3B0C6D60">
      <w:pPr>
        <w:widowControl/>
        <w:jc w:val="left"/>
        <w:rPr>
          <w:rFonts w:ascii="宋体" w:hAnsi="宋体" w:eastAsia="宋体" w:cs="宋体"/>
          <w:b/>
          <w:color w:val="auto"/>
          <w:kern w:val="0"/>
          <w:szCs w:val="21"/>
          <w:highlight w:val="none"/>
        </w:rPr>
      </w:pPr>
    </w:p>
    <w:p w14:paraId="2E8EF397">
      <w:pPr>
        <w:widowControl/>
        <w:jc w:val="left"/>
        <w:rPr>
          <w:rFonts w:ascii="宋体" w:hAnsi="宋体" w:eastAsia="宋体" w:cs="宋体"/>
          <w:b/>
          <w:color w:val="auto"/>
          <w:kern w:val="0"/>
          <w:szCs w:val="21"/>
          <w:highlight w:val="none"/>
        </w:rPr>
      </w:pPr>
    </w:p>
    <w:p w14:paraId="5A1EBC48">
      <w:pPr>
        <w:widowControl/>
        <w:jc w:val="left"/>
        <w:rPr>
          <w:rFonts w:ascii="宋体" w:hAnsi="宋体" w:eastAsia="宋体" w:cs="宋体"/>
          <w:b/>
          <w:bCs/>
          <w:color w:val="auto"/>
          <w:kern w:val="0"/>
          <w:sz w:val="24"/>
          <w:szCs w:val="24"/>
          <w:highlight w:val="none"/>
        </w:rPr>
      </w:pPr>
      <w:r>
        <w:rPr>
          <w:rFonts w:hint="eastAsia" w:ascii="宋体" w:hAnsi="宋体" w:eastAsia="宋体" w:cs="宋体"/>
          <w:b/>
          <w:color w:val="auto"/>
          <w:kern w:val="0"/>
          <w:szCs w:val="21"/>
          <w:highlight w:val="none"/>
        </w:rPr>
        <w:t>注：供应商应按照</w:t>
      </w:r>
      <w:r>
        <w:rPr>
          <w:rFonts w:ascii="宋体" w:hAnsi="宋体" w:eastAsia="宋体" w:cs="宋体"/>
          <w:b/>
          <w:color w:val="auto"/>
          <w:kern w:val="0"/>
          <w:szCs w:val="21"/>
          <w:highlight w:val="none"/>
        </w:rPr>
        <w:t>《统计上大中小微型企业划分办法(2017)》（国统字〔2017〕213号）</w:t>
      </w:r>
      <w:r>
        <w:rPr>
          <w:rFonts w:hint="eastAsia" w:ascii="宋体" w:hAnsi="宋体" w:eastAsia="宋体" w:cs="宋体"/>
          <w:b/>
          <w:color w:val="auto"/>
          <w:kern w:val="0"/>
          <w:szCs w:val="21"/>
          <w:highlight w:val="none"/>
        </w:rPr>
        <w:t>的划分标准进行如实申明，如提供虚假申明应依法承担相应法律责任。如成交供应商为中型、小型和微型企业的，成交结果将同时公告成交供应商的《中小企业声明函》，接受社会监督。</w:t>
      </w:r>
    </w:p>
    <w:p w14:paraId="7B126D9C">
      <w:pPr>
        <w:rPr>
          <w:rFonts w:ascii="宋体" w:hAnsi="宋体" w:eastAsia="宋体" w:cs="宋体"/>
          <w:b/>
          <w:bCs/>
          <w:iCs/>
          <w:color w:val="auto"/>
          <w:sz w:val="24"/>
          <w:szCs w:val="24"/>
          <w:highlight w:val="none"/>
        </w:rPr>
      </w:pPr>
    </w:p>
    <w:p w14:paraId="5AB8E384">
      <w:pPr>
        <w:rPr>
          <w:rFonts w:ascii="宋体" w:hAnsi="宋体" w:eastAsia="宋体" w:cs="宋体"/>
          <w:b/>
          <w:color w:val="auto"/>
          <w:kern w:val="0"/>
          <w:sz w:val="24"/>
          <w:szCs w:val="24"/>
          <w:highlight w:val="none"/>
        </w:rPr>
      </w:pPr>
      <w:bookmarkStart w:id="326" w:name="_Toc20905"/>
      <w:bookmarkStart w:id="327" w:name="_Toc15783"/>
      <w:bookmarkStart w:id="328" w:name="_Toc13328"/>
      <w:bookmarkStart w:id="329" w:name="_Toc7068"/>
      <w:bookmarkStart w:id="330" w:name="OLE_LINK14"/>
      <w:bookmarkStart w:id="331" w:name="OLE_LINK13"/>
      <w:r>
        <w:rPr>
          <w:rFonts w:hint="eastAsia" w:ascii="宋体" w:hAnsi="宋体" w:eastAsia="宋体" w:cs="宋体"/>
          <w:b/>
          <w:color w:val="auto"/>
          <w:kern w:val="0"/>
          <w:sz w:val="24"/>
          <w:szCs w:val="24"/>
          <w:highlight w:val="none"/>
        </w:rPr>
        <w:br w:type="page"/>
      </w:r>
    </w:p>
    <w:p w14:paraId="2179940D">
      <w:pPr>
        <w:spacing w:line="588" w:lineRule="exact"/>
        <w:jc w:val="center"/>
        <w:outlineLvl w:val="1"/>
        <w:rPr>
          <w:rFonts w:ascii="宋体" w:hAnsi="宋体" w:eastAsia="宋体" w:cs="宋体"/>
          <w:b/>
          <w:color w:val="auto"/>
          <w:kern w:val="0"/>
          <w:sz w:val="24"/>
          <w:szCs w:val="24"/>
          <w:highlight w:val="none"/>
        </w:rPr>
      </w:pPr>
      <w:bookmarkStart w:id="332" w:name="_Toc2170"/>
      <w:bookmarkStart w:id="333" w:name="_Toc27671"/>
      <w:r>
        <w:rPr>
          <w:rFonts w:hint="eastAsia" w:ascii="宋体" w:hAnsi="宋体" w:eastAsia="宋体" w:cs="宋体"/>
          <w:b/>
          <w:color w:val="auto"/>
          <w:kern w:val="0"/>
          <w:sz w:val="24"/>
          <w:szCs w:val="24"/>
          <w:highlight w:val="none"/>
        </w:rPr>
        <w:t>（2）残疾人福利性单位声明函（格式）</w:t>
      </w:r>
      <w:bookmarkEnd w:id="326"/>
      <w:bookmarkEnd w:id="327"/>
      <w:bookmarkEnd w:id="328"/>
      <w:bookmarkEnd w:id="329"/>
      <w:bookmarkEnd w:id="332"/>
      <w:bookmarkEnd w:id="333"/>
    </w:p>
    <w:bookmarkEnd w:id="330"/>
    <w:bookmarkEnd w:id="331"/>
    <w:p w14:paraId="0A319A7D">
      <w:pPr>
        <w:spacing w:line="588" w:lineRule="exact"/>
        <w:rPr>
          <w:rFonts w:ascii="宋体" w:hAnsi="宋体" w:eastAsia="宋体" w:cs="宋体"/>
          <w:b/>
          <w:color w:val="auto"/>
          <w:kern w:val="0"/>
          <w:szCs w:val="21"/>
          <w:highlight w:val="none"/>
        </w:rPr>
      </w:pPr>
    </w:p>
    <w:p w14:paraId="76DD99FD">
      <w:pPr>
        <w:spacing w:line="588"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141号）的规定，本单位为符合条件的残疾人福利性单位，且本单位参加______单位的______项目采购活动由本单位承担工程。</w:t>
      </w:r>
    </w:p>
    <w:p w14:paraId="23D44094">
      <w:pPr>
        <w:spacing w:line="588"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本单位对上述声明的真实性负责。如有虚假，将依法承担相应责任。</w:t>
      </w:r>
    </w:p>
    <w:p w14:paraId="40EFD90B">
      <w:pPr>
        <w:spacing w:line="588" w:lineRule="exact"/>
        <w:ind w:firstLine="480" w:firstLineChars="200"/>
        <w:rPr>
          <w:rFonts w:ascii="宋体" w:hAnsi="宋体" w:eastAsia="宋体" w:cs="宋体"/>
          <w:color w:val="auto"/>
          <w:kern w:val="0"/>
          <w:sz w:val="24"/>
          <w:szCs w:val="24"/>
          <w:highlight w:val="none"/>
        </w:rPr>
      </w:pPr>
    </w:p>
    <w:p w14:paraId="5A1E7155">
      <w:pPr>
        <w:widowControl/>
        <w:ind w:firstLine="2640" w:firstLineChars="1100"/>
        <w:jc w:val="left"/>
        <w:rPr>
          <w:rFonts w:ascii="宋体" w:hAnsi="宋体" w:eastAsia="宋体" w:cs="仿宋"/>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仿宋"/>
          <w:color w:val="auto"/>
          <w:sz w:val="24"/>
          <w:szCs w:val="24"/>
          <w:highlight w:val="none"/>
        </w:rPr>
        <w:t>供应商[公章(CA签章)]：</w:t>
      </w:r>
      <w:r>
        <w:rPr>
          <w:rFonts w:hint="eastAsia" w:ascii="宋体" w:hAnsi="宋体" w:eastAsia="宋体" w:cs="仿宋"/>
          <w:color w:val="auto"/>
          <w:sz w:val="24"/>
          <w:szCs w:val="24"/>
          <w:highlight w:val="none"/>
          <w:u w:val="single"/>
        </w:rPr>
        <w:t xml:space="preserve">                              </w:t>
      </w:r>
    </w:p>
    <w:p w14:paraId="554E8408">
      <w:pPr>
        <w:spacing w:line="300" w:lineRule="exact"/>
        <w:ind w:left="2940" w:leftChars="1400" w:firstLine="720" w:firstLineChars="300"/>
        <w:rPr>
          <w:rFonts w:ascii="宋体" w:hAnsi="宋体" w:eastAsia="宋体" w:cs="仿宋"/>
          <w:color w:val="auto"/>
          <w:sz w:val="24"/>
          <w:szCs w:val="24"/>
          <w:highlight w:val="none"/>
        </w:rPr>
      </w:pPr>
    </w:p>
    <w:p w14:paraId="71949887">
      <w:pPr>
        <w:spacing w:line="340" w:lineRule="exact"/>
        <w:ind w:left="420" w:firstLine="3120" w:firstLineChars="1300"/>
        <w:rPr>
          <w:rFonts w:ascii="宋体" w:hAnsi="宋体" w:eastAsia="宋体" w:cs="Times New Roman"/>
          <w:color w:val="auto"/>
          <w:sz w:val="24"/>
          <w:szCs w:val="24"/>
          <w:highlight w:val="none"/>
        </w:rPr>
      </w:pPr>
      <w:r>
        <w:rPr>
          <w:rFonts w:hint="eastAsia" w:ascii="宋体" w:hAnsi="宋体" w:eastAsia="宋体" w:cs="仿宋"/>
          <w:color w:val="auto"/>
          <w:sz w:val="24"/>
          <w:szCs w:val="24"/>
          <w:highlight w:val="none"/>
        </w:rPr>
        <w:t>日          期：</w:t>
      </w:r>
      <w:r>
        <w:rPr>
          <w:rFonts w:hint="eastAsia" w:ascii="宋体" w:hAnsi="宋体" w:eastAsia="宋体" w:cs="仿宋"/>
          <w:color w:val="auto"/>
          <w:sz w:val="24"/>
          <w:szCs w:val="24"/>
          <w:highlight w:val="none"/>
          <w:u w:val="single"/>
        </w:rPr>
        <w:t xml:space="preserve">                         </w:t>
      </w:r>
    </w:p>
    <w:p w14:paraId="34DF8827">
      <w:pPr>
        <w:widowControl/>
        <w:ind w:firstLine="3534" w:firstLineChars="1100"/>
        <w:jc w:val="left"/>
        <w:rPr>
          <w:rFonts w:ascii="宋体" w:hAnsi="宋体" w:eastAsia="宋体" w:cs="宋体"/>
          <w:b/>
          <w:bCs/>
          <w:color w:val="auto"/>
          <w:sz w:val="32"/>
          <w:szCs w:val="32"/>
          <w:highlight w:val="none"/>
        </w:rPr>
      </w:pPr>
    </w:p>
    <w:p w14:paraId="0D65C04B">
      <w:pPr>
        <w:rPr>
          <w:rFonts w:ascii="宋体" w:hAnsi="宋体" w:eastAsia="宋体" w:cs="宋体"/>
          <w:b/>
          <w:bCs/>
          <w:color w:val="auto"/>
          <w:sz w:val="32"/>
          <w:szCs w:val="32"/>
          <w:highlight w:val="none"/>
        </w:rPr>
      </w:pPr>
    </w:p>
    <w:p w14:paraId="015C92E5">
      <w:pPr>
        <w:rPr>
          <w:rFonts w:ascii="宋体" w:hAnsi="宋体" w:eastAsia="宋体" w:cs="宋体"/>
          <w:b/>
          <w:bCs/>
          <w:color w:val="auto"/>
          <w:sz w:val="32"/>
          <w:szCs w:val="32"/>
          <w:highlight w:val="none"/>
        </w:rPr>
      </w:pPr>
      <w:r>
        <w:rPr>
          <w:rFonts w:hint="eastAsia" w:ascii="宋体" w:hAnsi="宋体" w:eastAsia="宋体" w:cs="宋体"/>
          <w:b/>
          <w:color w:val="auto"/>
          <w:kern w:val="0"/>
          <w:szCs w:val="21"/>
          <w:highlight w:val="none"/>
        </w:rPr>
        <w:t>注：符合条件的残疾人福利性单位在参加政府采购活动时，应当提供《残疾人福利性单位声明函》，并对声明的真实性负责。如成交供应商为残疾人福利性单位的，成交结果将同时公告成交供应商的《残疾人福利性单位声明函》，接受社会监督。</w:t>
      </w:r>
    </w:p>
    <w:p w14:paraId="347D10D6">
      <w:pPr>
        <w:rPr>
          <w:rFonts w:ascii="宋体" w:hAnsi="宋体" w:eastAsia="宋体" w:cs="宋体"/>
          <w:b/>
          <w:bCs/>
          <w:color w:val="auto"/>
          <w:sz w:val="32"/>
          <w:szCs w:val="32"/>
          <w:highlight w:val="none"/>
        </w:rPr>
      </w:pPr>
    </w:p>
    <w:p w14:paraId="2648A579">
      <w:pPr>
        <w:ind w:left="420"/>
        <w:jc w:val="center"/>
        <w:outlineLvl w:val="1"/>
        <w:rPr>
          <w:rFonts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rPr>
        <w:br w:type="page"/>
      </w:r>
      <w:bookmarkStart w:id="334" w:name="_Toc5068"/>
      <w:bookmarkStart w:id="335" w:name="_Toc22183"/>
      <w:r>
        <w:rPr>
          <w:rFonts w:hint="eastAsia" w:ascii="宋体" w:hAnsi="宋体" w:eastAsia="宋体" w:cs="宋体"/>
          <w:b/>
          <w:bCs/>
          <w:color w:val="auto"/>
          <w:sz w:val="28"/>
          <w:szCs w:val="28"/>
          <w:highlight w:val="none"/>
        </w:rPr>
        <w:t>（二）符合性响应证明材料目录</w:t>
      </w:r>
      <w:bookmarkEnd w:id="334"/>
      <w:bookmarkEnd w:id="335"/>
    </w:p>
    <w:p w14:paraId="51E7A4CF">
      <w:pPr>
        <w:spacing w:line="360" w:lineRule="auto"/>
        <w:ind w:left="420"/>
        <w:rPr>
          <w:rFonts w:ascii="宋体" w:hAnsi="宋体" w:eastAsia="宋体" w:cs="宋体"/>
          <w:color w:val="auto"/>
          <w:sz w:val="24"/>
          <w:szCs w:val="24"/>
          <w:highlight w:val="none"/>
        </w:rPr>
      </w:pPr>
    </w:p>
    <w:p w14:paraId="1E724E93">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响应函（格式见附件）（必须提供）；</w:t>
      </w:r>
    </w:p>
    <w:p w14:paraId="0B489E71">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w:t>
      </w:r>
      <w:r>
        <w:rPr>
          <w:rFonts w:hint="eastAsia" w:ascii="宋体" w:hAnsi="宋体" w:eastAsia="宋体" w:cs="宋体"/>
          <w:color w:val="auto"/>
          <w:kern w:val="0"/>
          <w:szCs w:val="21"/>
          <w:highlight w:val="none"/>
        </w:rPr>
        <w:t>工程报价汇总表</w:t>
      </w:r>
      <w:r>
        <w:rPr>
          <w:rFonts w:hint="eastAsia" w:ascii="宋体" w:hAnsi="宋体" w:eastAsia="宋体" w:cs="宋体"/>
          <w:color w:val="auto"/>
          <w:szCs w:val="21"/>
          <w:highlight w:val="none"/>
        </w:rPr>
        <w:t>（格式见附件）（必须提供）；</w:t>
      </w:r>
    </w:p>
    <w:p w14:paraId="3D940A53">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已标价工程量清单（必须提供）；</w:t>
      </w:r>
    </w:p>
    <w:p w14:paraId="3B3804AD">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ascii="宋体" w:hAnsi="宋体" w:eastAsia="宋体" w:cs="宋体"/>
          <w:color w:val="auto"/>
          <w:szCs w:val="21"/>
          <w:highlight w:val="none"/>
        </w:rPr>
        <w:t>.</w:t>
      </w:r>
      <w:r>
        <w:rPr>
          <w:rFonts w:hint="eastAsia" w:ascii="宋体" w:hAnsi="宋体" w:eastAsia="宋体" w:cs="宋体"/>
          <w:color w:val="auto"/>
          <w:szCs w:val="21"/>
          <w:highlight w:val="none"/>
        </w:rPr>
        <w:t>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p>
    <w:p w14:paraId="06218BD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w:t>
      </w:r>
      <w:r>
        <w:rPr>
          <w:rFonts w:hint="eastAsia" w:ascii="宋体" w:hAnsi="宋体" w:eastAsia="宋体" w:cs="宋体"/>
          <w:color w:val="auto"/>
          <w:szCs w:val="21"/>
          <w:highlight w:val="none"/>
        </w:rPr>
        <w:t>施工组织设计（根据工程量清单及工程情况自行编制）（必须提供）；</w:t>
      </w:r>
    </w:p>
    <w:p w14:paraId="42A5EB3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r>
        <w:rPr>
          <w:rFonts w:ascii="宋体" w:hAnsi="宋体" w:eastAsia="宋体" w:cs="宋体"/>
          <w:color w:val="auto"/>
          <w:szCs w:val="21"/>
          <w:highlight w:val="none"/>
        </w:rPr>
        <w:t>.</w:t>
      </w:r>
      <w:r>
        <w:rPr>
          <w:rFonts w:hint="eastAsia" w:ascii="宋体" w:hAnsi="宋体" w:eastAsia="宋体" w:cs="宋体"/>
          <w:color w:val="auto"/>
          <w:kern w:val="0"/>
          <w:szCs w:val="21"/>
          <w:highlight w:val="none"/>
        </w:rPr>
        <w:t>工程完工服务承诺书</w:t>
      </w:r>
      <w:r>
        <w:rPr>
          <w:rFonts w:hint="eastAsia" w:ascii="宋体" w:hAnsi="宋体" w:eastAsia="宋体" w:cs="宋体"/>
          <w:color w:val="auto"/>
          <w:szCs w:val="21"/>
          <w:highlight w:val="none"/>
        </w:rPr>
        <w:t>（必须提供）；</w:t>
      </w:r>
    </w:p>
    <w:p w14:paraId="14F85771">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7</w:t>
      </w:r>
      <w:r>
        <w:rPr>
          <w:rFonts w:ascii="宋体" w:hAnsi="宋体" w:eastAsia="宋体" w:cs="宋体"/>
          <w:color w:val="auto"/>
          <w:szCs w:val="21"/>
          <w:highlight w:val="none"/>
        </w:rPr>
        <w:t>.</w:t>
      </w:r>
      <w:r>
        <w:rPr>
          <w:rFonts w:hint="eastAsia" w:ascii="宋体" w:hAnsi="宋体" w:eastAsia="宋体" w:cs="宋体"/>
          <w:bCs/>
          <w:color w:val="auto"/>
          <w:kern w:val="0"/>
          <w:szCs w:val="21"/>
          <w:highlight w:val="none"/>
        </w:rPr>
        <w:t>工程渣土清运承诺书</w:t>
      </w:r>
      <w:r>
        <w:rPr>
          <w:rFonts w:hint="eastAsia" w:ascii="宋体" w:hAnsi="宋体" w:eastAsia="宋体" w:cs="宋体"/>
          <w:color w:val="auto"/>
          <w:kern w:val="0"/>
          <w:szCs w:val="21"/>
          <w:highlight w:val="none"/>
        </w:rPr>
        <w:t>（必须提供）；</w:t>
      </w:r>
    </w:p>
    <w:p w14:paraId="3B3255AE">
      <w:pPr>
        <w:spacing w:line="360" w:lineRule="exact"/>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8.农民工工资保证金的交纳与使用承诺书（必须提供）。</w:t>
      </w:r>
    </w:p>
    <w:p w14:paraId="413076E4">
      <w:pPr>
        <w:autoSpaceDE w:val="0"/>
        <w:autoSpaceDN w:val="0"/>
        <w:adjustRightInd w:val="0"/>
        <w:jc w:val="left"/>
        <w:rPr>
          <w:rFonts w:ascii="宋体" w:hAnsi="宋体" w:eastAsia="宋体" w:cs="宋体"/>
          <w:color w:val="auto"/>
          <w:kern w:val="0"/>
          <w:sz w:val="24"/>
          <w:szCs w:val="24"/>
          <w:highlight w:val="none"/>
        </w:rPr>
      </w:pPr>
    </w:p>
    <w:p w14:paraId="2104C13E">
      <w:pPr>
        <w:spacing w:after="120"/>
        <w:rPr>
          <w:rFonts w:ascii="宋体" w:hAnsi="宋体" w:eastAsia="宋体" w:cs="宋体"/>
          <w:color w:val="auto"/>
          <w:szCs w:val="24"/>
          <w:highlight w:val="none"/>
        </w:rPr>
      </w:pPr>
    </w:p>
    <w:p w14:paraId="28FAC17F">
      <w:pPr>
        <w:spacing w:line="400" w:lineRule="exact"/>
        <w:outlineLvl w:val="1"/>
        <w:rPr>
          <w:rFonts w:ascii="宋体" w:hAnsi="宋体" w:eastAsia="宋体" w:cs="宋体"/>
          <w:b/>
          <w:bCs/>
          <w:color w:val="auto"/>
          <w:sz w:val="28"/>
          <w:szCs w:val="28"/>
          <w:highlight w:val="none"/>
        </w:rPr>
      </w:pPr>
      <w:bookmarkStart w:id="336" w:name="_Toc12920"/>
      <w:bookmarkStart w:id="337" w:name="_Toc17617"/>
      <w:bookmarkStart w:id="338" w:name="_Toc497927072"/>
      <w:r>
        <w:rPr>
          <w:rFonts w:hint="eastAsia" w:ascii="宋体" w:hAnsi="宋体" w:eastAsia="宋体" w:cs="宋体"/>
          <w:b/>
          <w:bCs/>
          <w:color w:val="auto"/>
          <w:sz w:val="28"/>
          <w:szCs w:val="28"/>
          <w:highlight w:val="none"/>
        </w:rPr>
        <w:br w:type="page"/>
      </w:r>
      <w:bookmarkStart w:id="339" w:name="_Toc4512"/>
      <w:bookmarkStart w:id="340" w:name="_Toc15513"/>
      <w:bookmarkStart w:id="341" w:name="_Toc22576"/>
      <w:bookmarkStart w:id="342" w:name="_Toc15505"/>
      <w:bookmarkStart w:id="343" w:name="_Toc7733"/>
      <w:bookmarkStart w:id="344" w:name="_Toc4943"/>
      <w:r>
        <w:rPr>
          <w:rFonts w:hint="eastAsia" w:ascii="宋体" w:hAnsi="宋体" w:eastAsia="宋体" w:cs="宋体"/>
          <w:b/>
          <w:bCs/>
          <w:color w:val="auto"/>
          <w:sz w:val="28"/>
          <w:szCs w:val="28"/>
          <w:highlight w:val="none"/>
        </w:rPr>
        <w:t>1.</w:t>
      </w:r>
      <w:bookmarkEnd w:id="336"/>
      <w:bookmarkEnd w:id="337"/>
      <w:bookmarkEnd w:id="338"/>
      <w:bookmarkEnd w:id="339"/>
      <w:bookmarkEnd w:id="340"/>
      <w:bookmarkEnd w:id="341"/>
      <w:bookmarkEnd w:id="342"/>
      <w:bookmarkEnd w:id="343"/>
      <w:r>
        <w:rPr>
          <w:rFonts w:hint="eastAsia" w:ascii="宋体" w:hAnsi="宋体" w:eastAsia="宋体" w:cs="宋体"/>
          <w:b/>
          <w:bCs/>
          <w:color w:val="auto"/>
          <w:sz w:val="28"/>
          <w:szCs w:val="28"/>
          <w:highlight w:val="none"/>
        </w:rPr>
        <w:t>响应函（格式见附件）（必须提供）</w:t>
      </w:r>
      <w:bookmarkEnd w:id="344"/>
    </w:p>
    <w:p w14:paraId="58334130">
      <w:pPr>
        <w:autoSpaceDE w:val="0"/>
        <w:autoSpaceDN w:val="0"/>
        <w:adjustRightInd w:val="0"/>
        <w:jc w:val="left"/>
        <w:rPr>
          <w:rFonts w:ascii="宋体" w:hAnsi="宋体" w:eastAsia="宋体" w:cs="宋体"/>
          <w:color w:val="auto"/>
          <w:kern w:val="0"/>
          <w:sz w:val="24"/>
          <w:szCs w:val="24"/>
          <w:highlight w:val="none"/>
        </w:rPr>
      </w:pPr>
    </w:p>
    <w:p w14:paraId="243AC6B8">
      <w:pPr>
        <w:rPr>
          <w:rFonts w:ascii="宋体" w:hAnsi="宋体" w:eastAsia="宋体" w:cs="宋体"/>
          <w:b/>
          <w:color w:val="auto"/>
          <w:sz w:val="32"/>
          <w:highlight w:val="none"/>
        </w:rPr>
      </w:pPr>
      <w:r>
        <w:rPr>
          <w:rFonts w:hint="eastAsia" w:ascii="宋体" w:hAnsi="宋体" w:eastAsia="宋体" w:cs="宋体"/>
          <w:b/>
          <w:color w:val="auto"/>
          <w:sz w:val="32"/>
          <w:highlight w:val="none"/>
        </w:rPr>
        <w:t>附件：</w:t>
      </w:r>
    </w:p>
    <w:p w14:paraId="4F79768D">
      <w:pPr>
        <w:ind w:firstLine="803" w:firstLineChars="250"/>
        <w:jc w:val="center"/>
        <w:rPr>
          <w:rFonts w:ascii="宋体" w:hAnsi="宋体" w:eastAsia="宋体" w:cs="宋体"/>
          <w:b/>
          <w:color w:val="auto"/>
          <w:sz w:val="32"/>
          <w:highlight w:val="none"/>
        </w:rPr>
      </w:pPr>
      <w:bookmarkStart w:id="345" w:name="_Toc17832_WPSOffice_Level1"/>
      <w:bookmarkStart w:id="346" w:name="_Toc7273_WPSOffice_Level1"/>
      <w:r>
        <w:rPr>
          <w:rFonts w:hint="eastAsia" w:ascii="宋体" w:hAnsi="宋体" w:eastAsia="宋体" w:cs="宋体"/>
          <w:b/>
          <w:color w:val="auto"/>
          <w:sz w:val="32"/>
          <w:highlight w:val="none"/>
        </w:rPr>
        <w:t>响 应 函 （格 式）</w:t>
      </w:r>
      <w:bookmarkEnd w:id="345"/>
      <w:bookmarkEnd w:id="346"/>
    </w:p>
    <w:p w14:paraId="33BE3417">
      <w:pPr>
        <w:spacing w:line="240" w:lineRule="exact"/>
        <w:jc w:val="center"/>
        <w:rPr>
          <w:rFonts w:ascii="宋体" w:hAnsi="宋体" w:eastAsia="宋体" w:cs="宋体"/>
          <w:color w:val="auto"/>
          <w:sz w:val="32"/>
          <w:szCs w:val="24"/>
          <w:highlight w:val="none"/>
        </w:rPr>
      </w:pPr>
    </w:p>
    <w:p w14:paraId="1FB2AAC3">
      <w:pPr>
        <w:spacing w:line="40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eastAsia="zh-CN"/>
        </w:rPr>
        <w:t>桂林聚格项目管理有限公司</w:t>
      </w:r>
    </w:p>
    <w:p w14:paraId="6C82A625">
      <w:pPr>
        <w:spacing w:line="400" w:lineRule="exact"/>
        <w:rPr>
          <w:rFonts w:ascii="宋体" w:hAnsi="宋体" w:eastAsia="宋体" w:cs="宋体"/>
          <w:color w:val="auto"/>
          <w:szCs w:val="21"/>
          <w:highlight w:val="none"/>
        </w:rPr>
      </w:pPr>
    </w:p>
    <w:p w14:paraId="29BA9D55">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供应商单位名称），提交电子响应文件。</w:t>
      </w:r>
    </w:p>
    <w:p w14:paraId="4A0F3760">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6895358C">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15F55B2E">
      <w:pPr>
        <w:tabs>
          <w:tab w:val="left" w:pos="7560"/>
        </w:tabs>
        <w:spacing w:line="46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我方愿以人民币（大写）</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u w:val="single"/>
        </w:rPr>
        <w:t>￥</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宋体"/>
          <w:color w:val="auto"/>
          <w:szCs w:val="21"/>
          <w:highlight w:val="none"/>
        </w:rPr>
        <w:t>元）的磋商报价并按上述图纸、合同条款、工程建设标准和工程量清单的条件要求承包上述工程的施工、竣工，并承担任何质量缺陷保修责任。我方保证工程质量达到</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宋体"/>
          <w:color w:val="auto"/>
          <w:szCs w:val="21"/>
          <w:highlight w:val="none"/>
        </w:rPr>
        <w:t>等级。</w:t>
      </w:r>
      <w:r>
        <w:rPr>
          <w:rFonts w:hint="eastAsia" w:ascii="宋体" w:hAnsi="宋体" w:eastAsia="宋体" w:cs="宋体"/>
          <w:color w:val="auto"/>
          <w:szCs w:val="21"/>
          <w:highlight w:val="none"/>
        </w:rPr>
        <w:t>工期：</w:t>
      </w:r>
      <w:r>
        <w:rPr>
          <w:rFonts w:hint="eastAsia" w:ascii="宋体" w:hAnsi="宋体" w:eastAsia="宋体" w:cs="宋体"/>
          <w:color w:val="auto"/>
          <w:szCs w:val="21"/>
          <w:highlight w:val="none"/>
          <w:u w:val="single"/>
        </w:rPr>
        <w:t xml:space="preserve">          </w:t>
      </w:r>
      <w:r>
        <w:rPr>
          <w:rFonts w:hint="eastAsia" w:ascii="Times New Roman" w:hAnsi="Times New Roman" w:eastAsia="宋体" w:cs="宋体"/>
          <w:color w:val="auto"/>
          <w:szCs w:val="21"/>
          <w:highlight w:val="none"/>
        </w:rPr>
        <w:t>日历天</w:t>
      </w:r>
      <w:r>
        <w:rPr>
          <w:rFonts w:hint="eastAsia" w:ascii="宋体" w:hAnsi="宋体" w:eastAsia="宋体" w:cs="宋体"/>
          <w:color w:val="auto"/>
          <w:szCs w:val="21"/>
          <w:highlight w:val="none"/>
        </w:rPr>
        <w:t>；</w:t>
      </w:r>
    </w:p>
    <w:p w14:paraId="5835759D">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0F8F9EE3">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0D597AA6">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11CE6DA0">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5.如我方成交：</w:t>
      </w:r>
    </w:p>
    <w:p w14:paraId="7977B045">
      <w:pPr>
        <w:spacing w:line="400" w:lineRule="exact"/>
        <w:ind w:firstLine="420"/>
        <w:rPr>
          <w:rFonts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5755408D">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（2）我方承诺按照磋商文件规定递交履约担保。</w:t>
      </w:r>
    </w:p>
    <w:p w14:paraId="19DA30E1">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（3）我方承诺本响应文件至本项目合同履行完毕均保持有效，按磋商文件及政府采购法律、法规的规定履行合同责任和义务。</w:t>
      </w:r>
    </w:p>
    <w:p w14:paraId="2727207A">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0EA7959D">
      <w:pPr>
        <w:rPr>
          <w:rFonts w:ascii="宋体" w:hAnsi="宋体" w:eastAsia="宋体" w:cs="宋体"/>
          <w:color w:val="auto"/>
          <w:szCs w:val="21"/>
          <w:highlight w:val="none"/>
        </w:rPr>
      </w:pPr>
    </w:p>
    <w:p w14:paraId="3D285D12">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2492187">
      <w:pP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电话、传真：</w:t>
      </w:r>
      <w:r>
        <w:rPr>
          <w:rFonts w:hint="eastAsia" w:ascii="宋体" w:hAnsi="宋体" w:eastAsia="宋体" w:cs="宋体"/>
          <w:color w:val="auto"/>
          <w:szCs w:val="21"/>
          <w:highlight w:val="none"/>
          <w:u w:val="single"/>
        </w:rPr>
        <w:t xml:space="preserve">                             </w:t>
      </w:r>
    </w:p>
    <w:p w14:paraId="3EDCFDFF">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4D078300">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70FADE40">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7E7C9117">
      <w:pP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供应商[公章(CA签章)、自然人除外]：</w:t>
      </w:r>
      <w:r>
        <w:rPr>
          <w:rFonts w:hint="eastAsia" w:ascii="宋体" w:hAnsi="宋体" w:eastAsia="宋体" w:cs="宋体"/>
          <w:color w:val="auto"/>
          <w:szCs w:val="21"/>
          <w:highlight w:val="none"/>
          <w:u w:val="single"/>
        </w:rPr>
        <w:t xml:space="preserve">                              </w:t>
      </w:r>
    </w:p>
    <w:p w14:paraId="6ED9C58A">
      <w:pPr>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法定代表人、负责人、自然人或相应的委托代理人签字[或盖章(CA签章)]</w:t>
      </w:r>
    </w:p>
    <w:p w14:paraId="7EB24549">
      <w:pPr>
        <w:spacing w:line="400" w:lineRule="exact"/>
        <w:ind w:firstLine="420"/>
        <w:rPr>
          <w:rFonts w:ascii="宋体" w:hAnsi="宋体" w:eastAsia="宋体" w:cs="宋体"/>
          <w:color w:val="auto"/>
          <w:szCs w:val="21"/>
          <w:highlight w:val="none"/>
          <w:u w:val="single"/>
        </w:rPr>
      </w:pPr>
      <w:r>
        <w:rPr>
          <w:rFonts w:hint="eastAsia" w:ascii="宋体" w:hAnsi="宋体" w:eastAsia="宋体" w:cs="宋体"/>
          <w:color w:val="auto"/>
          <w:szCs w:val="21"/>
          <w:highlight w:val="none"/>
        </w:rPr>
        <w:t>（属自然人的应在签名处加盖大拇指指印或个人CA签章）：</w:t>
      </w:r>
      <w:r>
        <w:rPr>
          <w:rFonts w:hint="eastAsia" w:ascii="宋体" w:hAnsi="宋体" w:eastAsia="宋体" w:cs="宋体"/>
          <w:color w:val="auto"/>
          <w:szCs w:val="21"/>
          <w:highlight w:val="none"/>
          <w:u w:val="single"/>
        </w:rPr>
        <w:t xml:space="preserve">              </w:t>
      </w:r>
    </w:p>
    <w:p w14:paraId="7766A5AC">
      <w:pPr>
        <w:spacing w:line="400" w:lineRule="exact"/>
        <w:ind w:firstLine="420"/>
        <w:rPr>
          <w:rFonts w:ascii="宋体" w:hAnsi="宋体" w:eastAsia="宋体" w:cs="宋体"/>
          <w:color w:val="auto"/>
          <w:sz w:val="28"/>
          <w:szCs w:val="28"/>
          <w:highlight w:val="none"/>
        </w:rPr>
      </w:pPr>
      <w:r>
        <w:rPr>
          <w:rFonts w:hint="eastAsia" w:ascii="宋体" w:hAnsi="宋体" w:eastAsia="宋体" w:cs="宋体"/>
          <w:color w:val="auto"/>
          <w:szCs w:val="21"/>
          <w:highlight w:val="none"/>
        </w:rPr>
        <w:t>响应日期：</w:t>
      </w:r>
      <w:r>
        <w:rPr>
          <w:rFonts w:hint="eastAsia" w:ascii="宋体" w:hAnsi="宋体" w:eastAsia="宋体" w:cs="宋体"/>
          <w:color w:val="auto"/>
          <w:szCs w:val="21"/>
          <w:highlight w:val="none"/>
          <w:u w:val="single"/>
        </w:rPr>
        <w:t xml:space="preserve">                               </w:t>
      </w:r>
    </w:p>
    <w:p w14:paraId="62F9A8CF">
      <w:pPr>
        <w:rPr>
          <w:rFonts w:ascii="宋体" w:hAnsi="宋体" w:eastAsia="宋体" w:cs="宋体"/>
          <w:color w:val="auto"/>
          <w:szCs w:val="24"/>
          <w:highlight w:val="none"/>
        </w:rPr>
      </w:pPr>
      <w:bookmarkStart w:id="347" w:name="_Toc20211"/>
      <w:bookmarkStart w:id="348" w:name="_Toc28417"/>
      <w:r>
        <w:rPr>
          <w:rFonts w:hint="eastAsia" w:ascii="Times New Roman" w:hAnsi="宋体" w:eastAsia="宋体" w:cs="宋体"/>
          <w:b/>
          <w:color w:val="auto"/>
          <w:sz w:val="28"/>
          <w:szCs w:val="28"/>
          <w:highlight w:val="none"/>
        </w:rPr>
        <w:br w:type="page"/>
      </w:r>
      <w:bookmarkStart w:id="349" w:name="_Toc3465"/>
      <w:bookmarkStart w:id="350" w:name="_Toc15542"/>
      <w:bookmarkStart w:id="351" w:name="_Toc10518"/>
      <w:r>
        <w:rPr>
          <w:rFonts w:hint="eastAsia" w:ascii="Times New Roman" w:hAnsi="宋体" w:eastAsia="宋体" w:cs="宋体"/>
          <w:b/>
          <w:color w:val="auto"/>
          <w:sz w:val="28"/>
          <w:szCs w:val="28"/>
          <w:highlight w:val="none"/>
        </w:rPr>
        <w:t>2</w:t>
      </w:r>
      <w:r>
        <w:rPr>
          <w:rFonts w:hint="eastAsia" w:ascii="宋体" w:hAnsi="宋体" w:eastAsia="宋体" w:cs="宋体"/>
          <w:b/>
          <w:color w:val="auto"/>
          <w:sz w:val="28"/>
          <w:szCs w:val="28"/>
          <w:highlight w:val="none"/>
        </w:rPr>
        <w:t>.</w:t>
      </w:r>
      <w:bookmarkEnd w:id="347"/>
      <w:bookmarkEnd w:id="348"/>
      <w:bookmarkEnd w:id="349"/>
      <w:bookmarkEnd w:id="350"/>
      <w:bookmarkEnd w:id="351"/>
      <w:r>
        <w:rPr>
          <w:rFonts w:hint="eastAsia" w:ascii="宋体" w:hAnsi="宋体" w:eastAsia="宋体" w:cs="宋体"/>
          <w:b/>
          <w:color w:val="auto"/>
          <w:sz w:val="28"/>
          <w:szCs w:val="28"/>
          <w:highlight w:val="none"/>
        </w:rPr>
        <w:t>工程报价汇总表（格式见附件）（必须提供）</w:t>
      </w:r>
    </w:p>
    <w:p w14:paraId="61F30038">
      <w:pPr>
        <w:spacing w:line="320" w:lineRule="exact"/>
        <w:jc w:val="left"/>
        <w:rPr>
          <w:rFonts w:ascii="宋体" w:hAnsi="宋体" w:eastAsia="宋体" w:cs="宋体"/>
          <w:b/>
          <w:color w:val="auto"/>
          <w:sz w:val="28"/>
          <w:szCs w:val="28"/>
          <w:highlight w:val="none"/>
        </w:rPr>
      </w:pPr>
    </w:p>
    <w:p w14:paraId="2D5BD7B7">
      <w:pPr>
        <w:widowControl/>
        <w:jc w:val="center"/>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工程报价汇总表（格式）</w:t>
      </w:r>
    </w:p>
    <w:p w14:paraId="57640C6C">
      <w:pPr>
        <w:widowControl/>
        <w:jc w:val="center"/>
        <w:rPr>
          <w:rFonts w:ascii="宋体" w:hAnsi="宋体" w:eastAsia="宋体" w:cs="宋体"/>
          <w:color w:val="auto"/>
          <w:kern w:val="0"/>
          <w:sz w:val="24"/>
          <w:szCs w:val="24"/>
          <w:highlight w:val="none"/>
        </w:rPr>
      </w:pPr>
    </w:p>
    <w:p w14:paraId="766EFDE3">
      <w:pPr>
        <w:widowControl/>
        <w:spacing w:line="360" w:lineRule="exact"/>
        <w:ind w:firstLine="630" w:firstLine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币种：人民币</w:t>
      </w:r>
    </w:p>
    <w:tbl>
      <w:tblPr>
        <w:tblStyle w:val="13"/>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6DCB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149588D8">
            <w:pPr>
              <w:widowControl/>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磋商报价</w:t>
            </w:r>
          </w:p>
        </w:tc>
        <w:tc>
          <w:tcPr>
            <w:tcW w:w="1987" w:type="dxa"/>
            <w:vAlign w:val="center"/>
          </w:tcPr>
          <w:p w14:paraId="2C24600E">
            <w:pPr>
              <w:widowControl/>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元</w:t>
            </w:r>
          </w:p>
        </w:tc>
        <w:tc>
          <w:tcPr>
            <w:tcW w:w="1702" w:type="dxa"/>
            <w:vAlign w:val="center"/>
          </w:tcPr>
          <w:p w14:paraId="2D7229C3">
            <w:pPr>
              <w:widowControl/>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备注</w:t>
            </w:r>
          </w:p>
        </w:tc>
      </w:tr>
      <w:tr w14:paraId="026F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567E7C89">
            <w:pPr>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其中</w:t>
            </w:r>
          </w:p>
        </w:tc>
        <w:tc>
          <w:tcPr>
            <w:tcW w:w="3116" w:type="dxa"/>
            <w:vAlign w:val="center"/>
          </w:tcPr>
          <w:p w14:paraId="4924F1BD">
            <w:pPr>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安全文明施工费</w:t>
            </w:r>
          </w:p>
        </w:tc>
        <w:tc>
          <w:tcPr>
            <w:tcW w:w="1987" w:type="dxa"/>
            <w:vAlign w:val="center"/>
          </w:tcPr>
          <w:p w14:paraId="74CB5669">
            <w:pPr>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元</w:t>
            </w:r>
          </w:p>
        </w:tc>
        <w:tc>
          <w:tcPr>
            <w:tcW w:w="1702" w:type="dxa"/>
            <w:vAlign w:val="center"/>
          </w:tcPr>
          <w:p w14:paraId="789DC1E3">
            <w:pPr>
              <w:jc w:val="center"/>
              <w:rPr>
                <w:rFonts w:ascii="Times New Roman" w:hAnsi="Times New Roman" w:eastAsia="宋体" w:cs="Times New Roman"/>
                <w:color w:val="auto"/>
                <w:szCs w:val="21"/>
                <w:highlight w:val="none"/>
              </w:rPr>
            </w:pPr>
          </w:p>
        </w:tc>
      </w:tr>
      <w:tr w14:paraId="7007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8F0596F">
            <w:pPr>
              <w:widowControl/>
              <w:jc w:val="center"/>
              <w:rPr>
                <w:rFonts w:ascii="Times New Roman" w:hAnsi="Times New Roman" w:eastAsia="宋体" w:cs="Times New Roman"/>
                <w:color w:val="auto"/>
                <w:szCs w:val="21"/>
                <w:highlight w:val="none"/>
              </w:rPr>
            </w:pPr>
          </w:p>
        </w:tc>
        <w:tc>
          <w:tcPr>
            <w:tcW w:w="3116" w:type="dxa"/>
            <w:vAlign w:val="center"/>
          </w:tcPr>
          <w:p w14:paraId="0C12EDDA">
            <w:pPr>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材料（工程设备）暂估价（如有）</w:t>
            </w:r>
          </w:p>
        </w:tc>
        <w:tc>
          <w:tcPr>
            <w:tcW w:w="1987" w:type="dxa"/>
            <w:vAlign w:val="center"/>
          </w:tcPr>
          <w:p w14:paraId="3C8405B4">
            <w:pPr>
              <w:widowControl/>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元</w:t>
            </w:r>
          </w:p>
        </w:tc>
        <w:tc>
          <w:tcPr>
            <w:tcW w:w="1702" w:type="dxa"/>
          </w:tcPr>
          <w:p w14:paraId="12B58214">
            <w:pPr>
              <w:widowControl/>
              <w:ind w:right="480"/>
              <w:rPr>
                <w:rFonts w:ascii="Times New Roman" w:hAnsi="Times New Roman" w:eastAsia="宋体" w:cs="Times New Roman"/>
                <w:color w:val="auto"/>
                <w:szCs w:val="21"/>
                <w:highlight w:val="none"/>
              </w:rPr>
            </w:pPr>
          </w:p>
        </w:tc>
      </w:tr>
      <w:tr w14:paraId="106D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5BB4260">
            <w:pPr>
              <w:widowControl/>
              <w:jc w:val="center"/>
              <w:rPr>
                <w:rFonts w:ascii="Times New Roman" w:hAnsi="Times New Roman" w:eastAsia="宋体" w:cs="Times New Roman"/>
                <w:color w:val="auto"/>
                <w:szCs w:val="21"/>
                <w:highlight w:val="none"/>
              </w:rPr>
            </w:pPr>
          </w:p>
        </w:tc>
        <w:tc>
          <w:tcPr>
            <w:tcW w:w="3116" w:type="dxa"/>
            <w:vAlign w:val="center"/>
          </w:tcPr>
          <w:p w14:paraId="6E685C55">
            <w:pPr>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专业工程暂估价（如有）</w:t>
            </w:r>
          </w:p>
        </w:tc>
        <w:tc>
          <w:tcPr>
            <w:tcW w:w="1987" w:type="dxa"/>
            <w:vAlign w:val="center"/>
          </w:tcPr>
          <w:p w14:paraId="54B3121F">
            <w:pPr>
              <w:widowControl/>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元</w:t>
            </w:r>
          </w:p>
        </w:tc>
        <w:tc>
          <w:tcPr>
            <w:tcW w:w="1702" w:type="dxa"/>
          </w:tcPr>
          <w:p w14:paraId="05B87F89">
            <w:pPr>
              <w:widowControl/>
              <w:ind w:right="480"/>
              <w:rPr>
                <w:rFonts w:ascii="Times New Roman" w:hAnsi="Times New Roman" w:eastAsia="宋体" w:cs="Times New Roman"/>
                <w:color w:val="auto"/>
                <w:szCs w:val="21"/>
                <w:highlight w:val="none"/>
              </w:rPr>
            </w:pPr>
          </w:p>
        </w:tc>
      </w:tr>
      <w:tr w14:paraId="5680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84" w:type="dxa"/>
            <w:vMerge w:val="continue"/>
            <w:vAlign w:val="center"/>
          </w:tcPr>
          <w:p w14:paraId="741D549E">
            <w:pPr>
              <w:widowControl/>
              <w:jc w:val="center"/>
              <w:rPr>
                <w:rFonts w:ascii="Times New Roman" w:hAnsi="Times New Roman" w:eastAsia="宋体" w:cs="Times New Roman"/>
                <w:color w:val="auto"/>
                <w:szCs w:val="21"/>
                <w:highlight w:val="none"/>
              </w:rPr>
            </w:pPr>
          </w:p>
        </w:tc>
        <w:tc>
          <w:tcPr>
            <w:tcW w:w="3116" w:type="dxa"/>
            <w:vAlign w:val="center"/>
          </w:tcPr>
          <w:p w14:paraId="1FB46DE7">
            <w:pPr>
              <w:jc w:val="lef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安全生产责任保险费暂估价（如有）</w:t>
            </w:r>
          </w:p>
        </w:tc>
        <w:tc>
          <w:tcPr>
            <w:tcW w:w="1987" w:type="dxa"/>
            <w:vAlign w:val="center"/>
          </w:tcPr>
          <w:p w14:paraId="5AE63D24">
            <w:pPr>
              <w:widowControl/>
              <w:jc w:val="right"/>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元</w:t>
            </w:r>
          </w:p>
        </w:tc>
        <w:tc>
          <w:tcPr>
            <w:tcW w:w="1702" w:type="dxa"/>
          </w:tcPr>
          <w:p w14:paraId="5E1D052F">
            <w:pPr>
              <w:widowControl/>
              <w:ind w:right="480"/>
              <w:rPr>
                <w:rFonts w:ascii="Times New Roman" w:hAnsi="Times New Roman" w:eastAsia="宋体" w:cs="Times New Roman"/>
                <w:color w:val="auto"/>
                <w:szCs w:val="21"/>
                <w:highlight w:val="none"/>
              </w:rPr>
            </w:pPr>
          </w:p>
        </w:tc>
      </w:tr>
      <w:tr w14:paraId="2A36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395E15F">
            <w:pPr>
              <w:widowControl/>
              <w:jc w:val="center"/>
              <w:rPr>
                <w:rFonts w:ascii="Times New Roman" w:hAnsi="Times New Roman" w:eastAsia="宋体" w:cs="Times New Roman"/>
                <w:color w:val="auto"/>
                <w:szCs w:val="21"/>
                <w:highlight w:val="none"/>
              </w:rPr>
            </w:pPr>
          </w:p>
        </w:tc>
        <w:tc>
          <w:tcPr>
            <w:tcW w:w="3116" w:type="dxa"/>
            <w:vAlign w:val="center"/>
          </w:tcPr>
          <w:p w14:paraId="0F92ABA7">
            <w:pPr>
              <w:widowControl/>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暂列金额（如有）</w:t>
            </w:r>
          </w:p>
        </w:tc>
        <w:tc>
          <w:tcPr>
            <w:tcW w:w="1987" w:type="dxa"/>
            <w:vAlign w:val="center"/>
          </w:tcPr>
          <w:p w14:paraId="00034E3B">
            <w:pPr>
              <w:widowControl/>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元</w:t>
            </w:r>
          </w:p>
        </w:tc>
        <w:tc>
          <w:tcPr>
            <w:tcW w:w="1702" w:type="dxa"/>
          </w:tcPr>
          <w:p w14:paraId="0AB000A8">
            <w:pPr>
              <w:widowControl/>
              <w:ind w:right="480"/>
              <w:rPr>
                <w:rFonts w:ascii="Times New Roman" w:hAnsi="Times New Roman" w:eastAsia="宋体" w:cs="Times New Roman"/>
                <w:color w:val="auto"/>
                <w:szCs w:val="21"/>
                <w:highlight w:val="none"/>
              </w:rPr>
            </w:pPr>
          </w:p>
        </w:tc>
      </w:tr>
      <w:tr w14:paraId="247A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7087F0A4">
            <w:pPr>
              <w:widowControl/>
              <w:jc w:val="center"/>
              <w:rPr>
                <w:rFonts w:ascii="Times New Roman" w:hAnsi="Times New Roman" w:eastAsia="宋体" w:cs="Times New Roman"/>
                <w:color w:val="auto"/>
                <w:szCs w:val="21"/>
                <w:highlight w:val="none"/>
              </w:rPr>
            </w:pPr>
          </w:p>
        </w:tc>
        <w:tc>
          <w:tcPr>
            <w:tcW w:w="3116" w:type="dxa"/>
            <w:vAlign w:val="center"/>
          </w:tcPr>
          <w:p w14:paraId="10D598EE">
            <w:pPr>
              <w:widowControl/>
              <w:ind w:firstLine="945" w:firstLineChars="450"/>
              <w:rPr>
                <w:rFonts w:ascii="Times New Roman" w:hAnsi="Times New Roman" w:eastAsia="宋体" w:cs="Times New Roman"/>
                <w:color w:val="auto"/>
                <w:szCs w:val="21"/>
                <w:highlight w:val="none"/>
              </w:rPr>
            </w:pPr>
          </w:p>
        </w:tc>
        <w:tc>
          <w:tcPr>
            <w:tcW w:w="1987" w:type="dxa"/>
            <w:vAlign w:val="center"/>
          </w:tcPr>
          <w:p w14:paraId="571B159C">
            <w:pPr>
              <w:widowControl/>
              <w:jc w:val="right"/>
              <w:rPr>
                <w:rFonts w:ascii="Times New Roman" w:hAnsi="Times New Roman" w:eastAsia="宋体" w:cs="Times New Roman"/>
                <w:color w:val="auto"/>
                <w:szCs w:val="21"/>
                <w:highlight w:val="none"/>
              </w:rPr>
            </w:pPr>
          </w:p>
        </w:tc>
        <w:tc>
          <w:tcPr>
            <w:tcW w:w="1702" w:type="dxa"/>
          </w:tcPr>
          <w:p w14:paraId="5E5CD722">
            <w:pPr>
              <w:widowControl/>
              <w:ind w:right="480"/>
              <w:rPr>
                <w:rFonts w:ascii="Times New Roman" w:hAnsi="Times New Roman" w:eastAsia="宋体" w:cs="Times New Roman"/>
                <w:color w:val="auto"/>
                <w:szCs w:val="21"/>
                <w:highlight w:val="none"/>
              </w:rPr>
            </w:pPr>
          </w:p>
        </w:tc>
      </w:tr>
      <w:tr w14:paraId="182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5C485499">
            <w:pPr>
              <w:widowControl/>
              <w:jc w:val="center"/>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主要材料</w:t>
            </w:r>
          </w:p>
        </w:tc>
        <w:tc>
          <w:tcPr>
            <w:tcW w:w="3116" w:type="dxa"/>
            <w:vAlign w:val="center"/>
          </w:tcPr>
          <w:p w14:paraId="3BC486C5">
            <w:pPr>
              <w:widowControl/>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钢筋</w:t>
            </w:r>
          </w:p>
        </w:tc>
        <w:tc>
          <w:tcPr>
            <w:tcW w:w="1987" w:type="dxa"/>
            <w:vAlign w:val="center"/>
          </w:tcPr>
          <w:p w14:paraId="3363F0E9">
            <w:pPr>
              <w:widowControl/>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吨</w:t>
            </w:r>
          </w:p>
        </w:tc>
        <w:tc>
          <w:tcPr>
            <w:tcW w:w="1702" w:type="dxa"/>
          </w:tcPr>
          <w:p w14:paraId="050C70A7">
            <w:pPr>
              <w:widowControl/>
              <w:jc w:val="right"/>
              <w:rPr>
                <w:rFonts w:ascii="Times New Roman" w:hAnsi="Times New Roman" w:eastAsia="宋体" w:cs="Times New Roman"/>
                <w:color w:val="auto"/>
                <w:szCs w:val="21"/>
                <w:highlight w:val="none"/>
              </w:rPr>
            </w:pPr>
          </w:p>
        </w:tc>
      </w:tr>
      <w:tr w14:paraId="37F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41EDFAA1">
            <w:pPr>
              <w:widowControl/>
              <w:jc w:val="center"/>
              <w:rPr>
                <w:rFonts w:ascii="Times New Roman" w:hAnsi="Times New Roman" w:eastAsia="宋体" w:cs="Times New Roman"/>
                <w:color w:val="auto"/>
                <w:szCs w:val="21"/>
                <w:highlight w:val="none"/>
              </w:rPr>
            </w:pPr>
          </w:p>
        </w:tc>
        <w:tc>
          <w:tcPr>
            <w:tcW w:w="3116" w:type="dxa"/>
            <w:vAlign w:val="center"/>
          </w:tcPr>
          <w:p w14:paraId="02AC8584">
            <w:pPr>
              <w:widowControl/>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水泥（不含商品混凝土用量）</w:t>
            </w:r>
          </w:p>
        </w:tc>
        <w:tc>
          <w:tcPr>
            <w:tcW w:w="1987" w:type="dxa"/>
            <w:vAlign w:val="center"/>
          </w:tcPr>
          <w:p w14:paraId="56B28E24">
            <w:pPr>
              <w:widowControl/>
              <w:tabs>
                <w:tab w:val="left" w:pos="2398"/>
              </w:tabs>
              <w:ind w:right="18"/>
              <w:jc w:val="righ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吨</w:t>
            </w:r>
          </w:p>
        </w:tc>
        <w:tc>
          <w:tcPr>
            <w:tcW w:w="1702" w:type="dxa"/>
          </w:tcPr>
          <w:p w14:paraId="1F3039B9">
            <w:pPr>
              <w:widowControl/>
              <w:jc w:val="right"/>
              <w:rPr>
                <w:rFonts w:ascii="Times New Roman" w:hAnsi="Times New Roman" w:eastAsia="宋体" w:cs="Times New Roman"/>
                <w:color w:val="auto"/>
                <w:szCs w:val="21"/>
                <w:highlight w:val="none"/>
              </w:rPr>
            </w:pPr>
          </w:p>
        </w:tc>
      </w:tr>
      <w:tr w14:paraId="2D8D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3511B5C9">
            <w:pPr>
              <w:widowControl/>
              <w:jc w:val="center"/>
              <w:rPr>
                <w:rFonts w:ascii="Times New Roman" w:hAnsi="Times New Roman" w:eastAsia="宋体" w:cs="Times New Roman"/>
                <w:color w:val="auto"/>
                <w:szCs w:val="21"/>
                <w:highlight w:val="none"/>
              </w:rPr>
            </w:pPr>
          </w:p>
        </w:tc>
        <w:tc>
          <w:tcPr>
            <w:tcW w:w="3116" w:type="dxa"/>
            <w:vAlign w:val="center"/>
          </w:tcPr>
          <w:p w14:paraId="74D22438">
            <w:pPr>
              <w:widowControl/>
              <w:jc w:val="left"/>
              <w:rPr>
                <w:rFonts w:ascii="Times New Roman" w:hAnsi="Times New Roman" w:eastAsia="宋体" w:cs="Times New Roman"/>
                <w:color w:val="auto"/>
                <w:szCs w:val="21"/>
                <w:highlight w:val="none"/>
              </w:rPr>
            </w:pPr>
            <w:r>
              <w:rPr>
                <w:rFonts w:hint="eastAsia" w:ascii="Times New Roman" w:hAnsi="Times New Roman" w:eastAsia="宋体" w:cs="宋体"/>
                <w:color w:val="auto"/>
                <w:szCs w:val="21"/>
                <w:highlight w:val="none"/>
              </w:rPr>
              <w:t>商品混凝土</w:t>
            </w:r>
          </w:p>
        </w:tc>
        <w:tc>
          <w:tcPr>
            <w:tcW w:w="1987" w:type="dxa"/>
            <w:vAlign w:val="center"/>
          </w:tcPr>
          <w:p w14:paraId="40B45F31">
            <w:pPr>
              <w:widowControl/>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m</w:t>
            </w:r>
            <w:r>
              <w:rPr>
                <w:rFonts w:ascii="Times New Roman" w:hAnsi="Times New Roman" w:eastAsia="宋体" w:cs="Times New Roman"/>
                <w:color w:val="auto"/>
                <w:szCs w:val="21"/>
                <w:highlight w:val="none"/>
                <w:vertAlign w:val="superscript"/>
              </w:rPr>
              <w:t>3</w:t>
            </w:r>
          </w:p>
        </w:tc>
        <w:tc>
          <w:tcPr>
            <w:tcW w:w="1702" w:type="dxa"/>
          </w:tcPr>
          <w:p w14:paraId="6D4BD755">
            <w:pPr>
              <w:widowControl/>
              <w:jc w:val="right"/>
              <w:rPr>
                <w:rFonts w:ascii="Times New Roman" w:hAnsi="Times New Roman" w:eastAsia="宋体" w:cs="Times New Roman"/>
                <w:color w:val="auto"/>
                <w:szCs w:val="21"/>
                <w:highlight w:val="none"/>
              </w:rPr>
            </w:pPr>
          </w:p>
        </w:tc>
      </w:tr>
    </w:tbl>
    <w:p w14:paraId="5F521329">
      <w:pPr>
        <w:spacing w:line="340" w:lineRule="exact"/>
        <w:rPr>
          <w:rFonts w:ascii="宋体" w:hAnsi="宋体" w:eastAsia="宋体" w:cs="宋体"/>
          <w:color w:val="auto"/>
          <w:szCs w:val="21"/>
          <w:highlight w:val="none"/>
        </w:rPr>
      </w:pPr>
    </w:p>
    <w:p w14:paraId="4BD30531">
      <w:pPr>
        <w:widowControl/>
        <w:ind w:firstLine="2310" w:firstLineChars="1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3F98D890">
      <w:pPr>
        <w:spacing w:line="300" w:lineRule="exact"/>
        <w:ind w:left="2940" w:leftChars="1400" w:firstLine="630" w:firstLineChars="300"/>
        <w:rPr>
          <w:rFonts w:ascii="宋体" w:hAnsi="宋体" w:eastAsia="宋体" w:cs="宋体"/>
          <w:color w:val="auto"/>
          <w:highlight w:val="none"/>
        </w:rPr>
      </w:pPr>
    </w:p>
    <w:p w14:paraId="03C7CB65">
      <w:pPr>
        <w:spacing w:line="340" w:lineRule="exact"/>
        <w:ind w:left="420"/>
        <w:jc w:val="center"/>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14:paraId="6B5866AD">
      <w:pPr>
        <w:tabs>
          <w:tab w:val="left" w:pos="1305"/>
        </w:tabs>
        <w:spacing w:line="340" w:lineRule="exact"/>
        <w:rPr>
          <w:rFonts w:ascii="宋体" w:hAnsi="宋体" w:eastAsia="宋体" w:cs="宋体"/>
          <w:bCs/>
          <w:color w:val="auto"/>
          <w:szCs w:val="21"/>
          <w:highlight w:val="none"/>
        </w:rPr>
      </w:pPr>
    </w:p>
    <w:p w14:paraId="136613FC">
      <w:pPr>
        <w:spacing w:line="340" w:lineRule="exact"/>
        <w:rPr>
          <w:rFonts w:ascii="宋体" w:hAnsi="宋体" w:eastAsia="宋体" w:cs="宋体"/>
          <w:b/>
          <w:color w:val="auto"/>
          <w:sz w:val="28"/>
          <w:szCs w:val="28"/>
          <w:highlight w:val="none"/>
        </w:rPr>
      </w:pPr>
    </w:p>
    <w:p w14:paraId="012DBD0A">
      <w:pPr>
        <w:spacing w:line="340" w:lineRule="exact"/>
        <w:rPr>
          <w:rFonts w:ascii="宋体" w:hAnsi="宋体" w:eastAsia="宋体" w:cs="宋体"/>
          <w:b/>
          <w:color w:val="auto"/>
          <w:sz w:val="28"/>
          <w:szCs w:val="28"/>
          <w:highlight w:val="none"/>
        </w:rPr>
      </w:pPr>
    </w:p>
    <w:p w14:paraId="4210404E">
      <w:pPr>
        <w:spacing w:line="340" w:lineRule="exact"/>
        <w:rPr>
          <w:rFonts w:ascii="宋体" w:hAnsi="宋体" w:eastAsia="宋体" w:cs="宋体"/>
          <w:b/>
          <w:color w:val="auto"/>
          <w:sz w:val="28"/>
          <w:szCs w:val="28"/>
          <w:highlight w:val="none"/>
        </w:rPr>
      </w:pPr>
    </w:p>
    <w:p w14:paraId="16720BB6">
      <w:pPr>
        <w:spacing w:line="340" w:lineRule="exact"/>
        <w:rPr>
          <w:rFonts w:ascii="宋体" w:hAnsi="宋体" w:eastAsia="宋体" w:cs="宋体"/>
          <w:b/>
          <w:color w:val="auto"/>
          <w:sz w:val="28"/>
          <w:szCs w:val="28"/>
          <w:highlight w:val="none"/>
        </w:rPr>
      </w:pPr>
    </w:p>
    <w:p w14:paraId="07668760">
      <w:pPr>
        <w:spacing w:line="340" w:lineRule="exact"/>
        <w:rPr>
          <w:rFonts w:ascii="宋体" w:hAnsi="宋体" w:eastAsia="宋体" w:cs="宋体"/>
          <w:b/>
          <w:color w:val="auto"/>
          <w:sz w:val="28"/>
          <w:szCs w:val="28"/>
          <w:highlight w:val="none"/>
        </w:rPr>
      </w:pPr>
    </w:p>
    <w:p w14:paraId="72EF29D8">
      <w:pPr>
        <w:spacing w:line="340" w:lineRule="exact"/>
        <w:rPr>
          <w:rFonts w:ascii="宋体" w:hAnsi="宋体" w:eastAsia="宋体" w:cs="宋体"/>
          <w:b/>
          <w:color w:val="auto"/>
          <w:sz w:val="28"/>
          <w:szCs w:val="28"/>
          <w:highlight w:val="none"/>
        </w:rPr>
      </w:pPr>
    </w:p>
    <w:p w14:paraId="4B34F97F">
      <w:pPr>
        <w:spacing w:line="400" w:lineRule="exact"/>
        <w:outlineLvl w:val="1"/>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bookmarkStart w:id="352" w:name="_Toc5788"/>
      <w:bookmarkStart w:id="353" w:name="_Toc4209"/>
      <w:bookmarkStart w:id="354" w:name="_Toc32015"/>
      <w:bookmarkStart w:id="355" w:name="_Toc8996"/>
      <w:bookmarkStart w:id="356" w:name="_Toc21686"/>
      <w:bookmarkStart w:id="357" w:name="_Toc15247"/>
      <w:r>
        <w:rPr>
          <w:rFonts w:hint="eastAsia" w:ascii="宋体" w:hAnsi="宋体" w:eastAsia="宋体" w:cs="宋体"/>
          <w:b/>
          <w:color w:val="auto"/>
          <w:sz w:val="28"/>
          <w:szCs w:val="28"/>
          <w:highlight w:val="none"/>
        </w:rPr>
        <w:t>3.</w:t>
      </w:r>
      <w:bookmarkEnd w:id="352"/>
      <w:bookmarkEnd w:id="353"/>
      <w:bookmarkEnd w:id="354"/>
      <w:bookmarkEnd w:id="355"/>
      <w:bookmarkEnd w:id="356"/>
      <w:r>
        <w:rPr>
          <w:rFonts w:hint="eastAsia" w:ascii="宋体" w:hAnsi="宋体" w:eastAsia="宋体" w:cs="宋体"/>
          <w:b/>
          <w:color w:val="auto"/>
          <w:sz w:val="28"/>
          <w:szCs w:val="28"/>
          <w:highlight w:val="none"/>
        </w:rPr>
        <w:t>已标价工程量清单（必须提供）</w:t>
      </w:r>
      <w:bookmarkEnd w:id="357"/>
    </w:p>
    <w:p w14:paraId="118CB31B">
      <w:pPr>
        <w:rPr>
          <w:rFonts w:ascii="宋体" w:hAnsi="宋体" w:eastAsia="宋体" w:cs="宋体"/>
          <w:color w:val="auto"/>
          <w:szCs w:val="24"/>
          <w:highlight w:val="none"/>
        </w:rPr>
      </w:pPr>
    </w:p>
    <w:p w14:paraId="541A8062">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供应商应按照第三章“工程量清单”的要求逐项填报工程量清单，包括工程量清单说明、磋商报价说明及工程量清单各项表格（采购人</w:t>
      </w:r>
      <w:r>
        <w:rPr>
          <w:rFonts w:hint="eastAsia" w:ascii="宋体" w:hAnsi="宋体" w:eastAsia="宋体" w:cs="宋体"/>
          <w:color w:val="auto"/>
          <w:szCs w:val="24"/>
          <w:highlight w:val="none"/>
        </w:rPr>
        <w:t>提供的工程量清单</w:t>
      </w:r>
      <w:r>
        <w:rPr>
          <w:rFonts w:hint="eastAsia" w:ascii="宋体" w:hAnsi="宋体" w:eastAsia="宋体" w:cs="宋体"/>
          <w:color w:val="auto"/>
          <w:szCs w:val="21"/>
          <w:highlight w:val="none"/>
        </w:rPr>
        <w:t>）。</w:t>
      </w:r>
    </w:p>
    <w:p w14:paraId="21AD6B98">
      <w:pPr>
        <w:spacing w:line="340" w:lineRule="exact"/>
        <w:rPr>
          <w:rFonts w:ascii="宋体" w:hAnsi="宋体" w:eastAsia="宋体" w:cs="宋体"/>
          <w:color w:val="auto"/>
          <w:szCs w:val="21"/>
          <w:highlight w:val="none"/>
        </w:rPr>
      </w:pPr>
    </w:p>
    <w:p w14:paraId="51BF95D8">
      <w:pPr>
        <w:spacing w:after="120"/>
        <w:rPr>
          <w:rFonts w:ascii="宋体" w:hAnsi="宋体" w:eastAsia="宋体" w:cs="宋体"/>
          <w:color w:val="auto"/>
          <w:szCs w:val="24"/>
          <w:highlight w:val="none"/>
        </w:rPr>
      </w:pPr>
    </w:p>
    <w:p w14:paraId="5727728A">
      <w:pPr>
        <w:spacing w:after="120"/>
        <w:rPr>
          <w:rFonts w:ascii="宋体" w:hAnsi="宋体" w:eastAsia="宋体" w:cs="宋体"/>
          <w:color w:val="auto"/>
          <w:szCs w:val="24"/>
          <w:highlight w:val="none"/>
        </w:rPr>
      </w:pPr>
    </w:p>
    <w:p w14:paraId="1655A4F8">
      <w:pPr>
        <w:spacing w:after="120"/>
        <w:rPr>
          <w:rFonts w:ascii="宋体" w:hAnsi="宋体" w:eastAsia="宋体" w:cs="宋体"/>
          <w:color w:val="auto"/>
          <w:szCs w:val="24"/>
          <w:highlight w:val="none"/>
        </w:rPr>
      </w:pPr>
    </w:p>
    <w:p w14:paraId="64191A0B">
      <w:pPr>
        <w:spacing w:after="120"/>
        <w:rPr>
          <w:rFonts w:ascii="宋体" w:hAnsi="宋体" w:eastAsia="宋体" w:cs="宋体"/>
          <w:color w:val="auto"/>
          <w:szCs w:val="24"/>
          <w:highlight w:val="none"/>
        </w:rPr>
      </w:pPr>
    </w:p>
    <w:p w14:paraId="23F6CBC8">
      <w:pPr>
        <w:spacing w:after="120"/>
        <w:rPr>
          <w:rFonts w:ascii="宋体" w:hAnsi="宋体" w:eastAsia="宋体" w:cs="宋体"/>
          <w:color w:val="auto"/>
          <w:szCs w:val="24"/>
          <w:highlight w:val="none"/>
        </w:rPr>
      </w:pPr>
    </w:p>
    <w:p w14:paraId="627EC9FD">
      <w:pPr>
        <w:rPr>
          <w:rFonts w:ascii="宋体" w:hAnsi="宋体" w:eastAsia="宋体" w:cs="宋体"/>
          <w:color w:val="auto"/>
          <w:szCs w:val="24"/>
          <w:highlight w:val="none"/>
        </w:rPr>
      </w:pPr>
    </w:p>
    <w:p w14:paraId="30D81640">
      <w:pPr>
        <w:widowControl/>
        <w:overflowPunct w:val="0"/>
        <w:autoSpaceDE w:val="0"/>
        <w:autoSpaceDN w:val="0"/>
        <w:adjustRightInd w:val="0"/>
        <w:snapToGrid w:val="0"/>
        <w:spacing w:line="360" w:lineRule="auto"/>
        <w:ind w:left="1440" w:right="-510" w:hanging="759"/>
        <w:textAlignment w:val="baseline"/>
        <w:rPr>
          <w:rFonts w:ascii="Times New Roman" w:hAnsi="Times New Roman" w:eastAsia="宋体" w:cs="Times New Roman"/>
          <w:color w:val="auto"/>
          <w:kern w:val="0"/>
          <w:sz w:val="24"/>
          <w:szCs w:val="20"/>
          <w:highlight w:val="none"/>
        </w:rPr>
      </w:pPr>
    </w:p>
    <w:p w14:paraId="6430D7AF">
      <w:pPr>
        <w:spacing w:line="400" w:lineRule="exact"/>
        <w:outlineLvl w:val="1"/>
        <w:rPr>
          <w:rFonts w:ascii="宋体" w:hAnsi="宋体" w:eastAsia="宋体" w:cs="宋体"/>
          <w:b/>
          <w:bCs/>
          <w:iCs/>
          <w:color w:val="auto"/>
          <w:sz w:val="28"/>
          <w:szCs w:val="28"/>
          <w:highlight w:val="none"/>
        </w:rPr>
      </w:pPr>
      <w:r>
        <w:rPr>
          <w:rFonts w:hint="eastAsia" w:ascii="Times New Roman" w:hAnsi="宋体" w:eastAsia="宋体" w:cs="宋体"/>
          <w:b/>
          <w:color w:val="auto"/>
          <w:sz w:val="28"/>
          <w:szCs w:val="28"/>
          <w:highlight w:val="none"/>
        </w:rPr>
        <w:br w:type="page"/>
      </w:r>
      <w:bookmarkStart w:id="358" w:name="_Toc24899"/>
      <w:bookmarkStart w:id="359" w:name="_Toc8898"/>
      <w:bookmarkStart w:id="360" w:name="_Toc22086"/>
      <w:bookmarkStart w:id="361" w:name="_Toc13917"/>
      <w:bookmarkStart w:id="362" w:name="_Toc26600"/>
      <w:bookmarkStart w:id="363" w:name="_Toc28264"/>
      <w:r>
        <w:rPr>
          <w:rFonts w:hint="eastAsia" w:ascii="Times New Roman" w:hAnsi="宋体" w:eastAsia="宋体" w:cs="宋体"/>
          <w:b/>
          <w:color w:val="auto"/>
          <w:sz w:val="28"/>
          <w:szCs w:val="28"/>
          <w:highlight w:val="none"/>
        </w:rPr>
        <w:t>4</w:t>
      </w:r>
      <w:r>
        <w:rPr>
          <w:rFonts w:hint="eastAsia" w:ascii="宋体" w:hAnsi="宋体" w:eastAsia="宋体" w:cs="宋体"/>
          <w:b/>
          <w:color w:val="auto"/>
          <w:sz w:val="28"/>
          <w:szCs w:val="28"/>
          <w:highlight w:val="none"/>
        </w:rPr>
        <w:t>.</w:t>
      </w:r>
      <w:bookmarkEnd w:id="358"/>
      <w:bookmarkEnd w:id="359"/>
      <w:bookmarkEnd w:id="360"/>
      <w:bookmarkEnd w:id="361"/>
      <w:bookmarkEnd w:id="362"/>
      <w:r>
        <w:rPr>
          <w:rFonts w:hint="eastAsia" w:ascii="宋体" w:hAnsi="宋体" w:eastAsia="宋体" w:cs="宋体"/>
          <w:b/>
          <w:color w:val="auto"/>
          <w:sz w:val="28"/>
          <w:szCs w:val="28"/>
          <w:highlight w:val="none"/>
        </w:rPr>
        <w:t>拟投入本工程主要施工管理人员表【供应商为主要施工管理人员交纳的响应文件递交截止时间前三个月内任意一个月养老保险证明扫描件，除供应商为以下四种情形的：①如供应商为截标时间前60日以内成立的公司，可以提供供应商与委托代理人签订的劳动合同扫描件代替养老保险证明扫描件；②如供应商为事业单位，可以提供事业单位机构编制管理证扫描件或事业单位机构为其发放工资的工资条扫描件代替养老保险证明扫描件；③如委托代理人为免缴纳养老保险人员，提供免缴纳养老保险的证明材料扫描件及供应商与委托代理人签订的劳动合同扫描件代替养老保险证明扫描件。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必须提供）</w:t>
      </w:r>
      <w:bookmarkEnd w:id="363"/>
    </w:p>
    <w:p w14:paraId="6701C24D">
      <w:pPr>
        <w:spacing w:line="400" w:lineRule="exact"/>
        <w:ind w:firstLine="361" w:firstLineChars="150"/>
        <w:jc w:val="left"/>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附件</w:t>
      </w:r>
    </w:p>
    <w:p w14:paraId="33330EA7">
      <w:pPr>
        <w:spacing w:line="400" w:lineRule="exact"/>
        <w:ind w:firstLine="422" w:firstLineChars="150"/>
        <w:jc w:val="center"/>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主要施工管理人员表</w:t>
      </w:r>
    </w:p>
    <w:p w14:paraId="481764F4">
      <w:pPr>
        <w:spacing w:line="400" w:lineRule="exact"/>
        <w:ind w:firstLine="422" w:firstLineChars="150"/>
        <w:jc w:val="center"/>
        <w:rPr>
          <w:rFonts w:ascii="宋体" w:hAnsi="宋体" w:eastAsia="宋体" w:cs="Times New Roman"/>
          <w:b/>
          <w:color w:val="auto"/>
          <w:sz w:val="28"/>
          <w:szCs w:val="28"/>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224C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1F83AD79">
            <w:pPr>
              <w:spacing w:line="30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   称</w:t>
            </w:r>
          </w:p>
        </w:tc>
        <w:tc>
          <w:tcPr>
            <w:tcW w:w="789" w:type="dxa"/>
            <w:vAlign w:val="center"/>
          </w:tcPr>
          <w:p w14:paraId="15C68DD5">
            <w:pPr>
              <w:spacing w:line="30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姓名</w:t>
            </w:r>
          </w:p>
        </w:tc>
        <w:tc>
          <w:tcPr>
            <w:tcW w:w="788" w:type="dxa"/>
            <w:vAlign w:val="center"/>
          </w:tcPr>
          <w:p w14:paraId="24EEC964">
            <w:pPr>
              <w:spacing w:line="30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职务</w:t>
            </w:r>
          </w:p>
        </w:tc>
        <w:tc>
          <w:tcPr>
            <w:tcW w:w="1440" w:type="dxa"/>
            <w:vAlign w:val="center"/>
          </w:tcPr>
          <w:p w14:paraId="2D84E0AA">
            <w:pPr>
              <w:spacing w:line="30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资质/职称</w:t>
            </w:r>
          </w:p>
        </w:tc>
        <w:tc>
          <w:tcPr>
            <w:tcW w:w="3653" w:type="dxa"/>
            <w:vAlign w:val="center"/>
          </w:tcPr>
          <w:p w14:paraId="6F2C7D18">
            <w:pPr>
              <w:spacing w:line="30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主要资历、经验及承担的项目</w:t>
            </w:r>
          </w:p>
        </w:tc>
      </w:tr>
      <w:tr w14:paraId="5283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95EF110">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一、总部</w:t>
            </w:r>
          </w:p>
        </w:tc>
        <w:tc>
          <w:tcPr>
            <w:tcW w:w="789" w:type="dxa"/>
            <w:vAlign w:val="center"/>
          </w:tcPr>
          <w:p w14:paraId="3CB4EB30">
            <w:pPr>
              <w:spacing w:line="300" w:lineRule="auto"/>
              <w:rPr>
                <w:rFonts w:ascii="宋体" w:hAnsi="宋体" w:eastAsia="宋体" w:cs="Times New Roman"/>
                <w:color w:val="auto"/>
                <w:szCs w:val="21"/>
                <w:highlight w:val="none"/>
              </w:rPr>
            </w:pPr>
          </w:p>
        </w:tc>
        <w:tc>
          <w:tcPr>
            <w:tcW w:w="788" w:type="dxa"/>
            <w:vAlign w:val="center"/>
          </w:tcPr>
          <w:p w14:paraId="57BC2E2F">
            <w:pPr>
              <w:spacing w:line="300" w:lineRule="auto"/>
              <w:rPr>
                <w:rFonts w:ascii="宋体" w:hAnsi="宋体" w:eastAsia="宋体" w:cs="Times New Roman"/>
                <w:color w:val="auto"/>
                <w:szCs w:val="21"/>
                <w:highlight w:val="none"/>
              </w:rPr>
            </w:pPr>
          </w:p>
        </w:tc>
        <w:tc>
          <w:tcPr>
            <w:tcW w:w="1440" w:type="dxa"/>
            <w:vAlign w:val="center"/>
          </w:tcPr>
          <w:p w14:paraId="65E93CEB">
            <w:pPr>
              <w:spacing w:line="300" w:lineRule="auto"/>
              <w:rPr>
                <w:rFonts w:ascii="宋体" w:hAnsi="宋体" w:eastAsia="宋体" w:cs="Times New Roman"/>
                <w:color w:val="auto"/>
                <w:szCs w:val="21"/>
                <w:highlight w:val="none"/>
              </w:rPr>
            </w:pPr>
          </w:p>
        </w:tc>
        <w:tc>
          <w:tcPr>
            <w:tcW w:w="3653" w:type="dxa"/>
            <w:vAlign w:val="center"/>
          </w:tcPr>
          <w:p w14:paraId="0F6C1332">
            <w:pPr>
              <w:spacing w:line="300" w:lineRule="auto"/>
              <w:rPr>
                <w:rFonts w:ascii="宋体" w:hAnsi="宋体" w:eastAsia="宋体" w:cs="Times New Roman"/>
                <w:color w:val="auto"/>
                <w:szCs w:val="21"/>
                <w:highlight w:val="none"/>
              </w:rPr>
            </w:pPr>
          </w:p>
        </w:tc>
      </w:tr>
      <w:tr w14:paraId="02A9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04F18CCB">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1.项目主管</w:t>
            </w:r>
          </w:p>
        </w:tc>
        <w:tc>
          <w:tcPr>
            <w:tcW w:w="789" w:type="dxa"/>
            <w:vAlign w:val="center"/>
          </w:tcPr>
          <w:p w14:paraId="2384EF2D">
            <w:pPr>
              <w:spacing w:line="300" w:lineRule="auto"/>
              <w:rPr>
                <w:rFonts w:ascii="宋体" w:hAnsi="宋体" w:eastAsia="宋体" w:cs="Times New Roman"/>
                <w:color w:val="auto"/>
                <w:szCs w:val="21"/>
                <w:highlight w:val="none"/>
              </w:rPr>
            </w:pPr>
          </w:p>
        </w:tc>
        <w:tc>
          <w:tcPr>
            <w:tcW w:w="788" w:type="dxa"/>
            <w:vAlign w:val="center"/>
          </w:tcPr>
          <w:p w14:paraId="2CACBCDE">
            <w:pPr>
              <w:spacing w:line="300" w:lineRule="auto"/>
              <w:rPr>
                <w:rFonts w:ascii="宋体" w:hAnsi="宋体" w:eastAsia="宋体" w:cs="Times New Roman"/>
                <w:color w:val="auto"/>
                <w:szCs w:val="21"/>
                <w:highlight w:val="none"/>
              </w:rPr>
            </w:pPr>
          </w:p>
        </w:tc>
        <w:tc>
          <w:tcPr>
            <w:tcW w:w="1440" w:type="dxa"/>
            <w:vAlign w:val="center"/>
          </w:tcPr>
          <w:p w14:paraId="500C9EFE">
            <w:pPr>
              <w:spacing w:line="300" w:lineRule="auto"/>
              <w:rPr>
                <w:rFonts w:ascii="宋体" w:hAnsi="宋体" w:eastAsia="宋体" w:cs="Times New Roman"/>
                <w:color w:val="auto"/>
                <w:szCs w:val="21"/>
                <w:highlight w:val="none"/>
              </w:rPr>
            </w:pPr>
          </w:p>
        </w:tc>
        <w:tc>
          <w:tcPr>
            <w:tcW w:w="3653" w:type="dxa"/>
            <w:vAlign w:val="center"/>
          </w:tcPr>
          <w:p w14:paraId="2CC0BABF">
            <w:pPr>
              <w:spacing w:line="300" w:lineRule="auto"/>
              <w:rPr>
                <w:rFonts w:ascii="宋体" w:hAnsi="宋体" w:eastAsia="宋体" w:cs="Times New Roman"/>
                <w:color w:val="auto"/>
                <w:szCs w:val="21"/>
                <w:highlight w:val="none"/>
              </w:rPr>
            </w:pPr>
          </w:p>
        </w:tc>
      </w:tr>
      <w:tr w14:paraId="1A6F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5FDE9AB8">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2.其他人员</w:t>
            </w:r>
          </w:p>
        </w:tc>
        <w:tc>
          <w:tcPr>
            <w:tcW w:w="789" w:type="dxa"/>
            <w:vAlign w:val="center"/>
          </w:tcPr>
          <w:p w14:paraId="56778CB1">
            <w:pPr>
              <w:spacing w:line="300" w:lineRule="auto"/>
              <w:rPr>
                <w:rFonts w:ascii="宋体" w:hAnsi="宋体" w:eastAsia="宋体" w:cs="Times New Roman"/>
                <w:color w:val="auto"/>
                <w:szCs w:val="21"/>
                <w:highlight w:val="none"/>
              </w:rPr>
            </w:pPr>
          </w:p>
        </w:tc>
        <w:tc>
          <w:tcPr>
            <w:tcW w:w="788" w:type="dxa"/>
            <w:vAlign w:val="center"/>
          </w:tcPr>
          <w:p w14:paraId="27D40496">
            <w:pPr>
              <w:spacing w:line="300" w:lineRule="auto"/>
              <w:rPr>
                <w:rFonts w:ascii="宋体" w:hAnsi="宋体" w:eastAsia="宋体" w:cs="Times New Roman"/>
                <w:color w:val="auto"/>
                <w:szCs w:val="21"/>
                <w:highlight w:val="none"/>
              </w:rPr>
            </w:pPr>
          </w:p>
        </w:tc>
        <w:tc>
          <w:tcPr>
            <w:tcW w:w="1440" w:type="dxa"/>
            <w:vAlign w:val="center"/>
          </w:tcPr>
          <w:p w14:paraId="4E5209EE">
            <w:pPr>
              <w:spacing w:line="300" w:lineRule="auto"/>
              <w:rPr>
                <w:rFonts w:ascii="宋体" w:hAnsi="宋体" w:eastAsia="宋体" w:cs="Times New Roman"/>
                <w:color w:val="auto"/>
                <w:szCs w:val="21"/>
                <w:highlight w:val="none"/>
              </w:rPr>
            </w:pPr>
          </w:p>
        </w:tc>
        <w:tc>
          <w:tcPr>
            <w:tcW w:w="3653" w:type="dxa"/>
            <w:vAlign w:val="center"/>
          </w:tcPr>
          <w:p w14:paraId="79B7D5AF">
            <w:pPr>
              <w:spacing w:line="300" w:lineRule="auto"/>
              <w:rPr>
                <w:rFonts w:ascii="宋体" w:hAnsi="宋体" w:eastAsia="宋体" w:cs="Times New Roman"/>
                <w:color w:val="auto"/>
                <w:szCs w:val="21"/>
                <w:highlight w:val="none"/>
              </w:rPr>
            </w:pPr>
          </w:p>
        </w:tc>
      </w:tr>
      <w:tr w14:paraId="57FF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7F51A93C">
            <w:pPr>
              <w:spacing w:line="300" w:lineRule="auto"/>
              <w:rPr>
                <w:rFonts w:ascii="宋体" w:hAnsi="宋体" w:eastAsia="宋体" w:cs="Times New Roman"/>
                <w:color w:val="auto"/>
                <w:szCs w:val="21"/>
                <w:highlight w:val="none"/>
              </w:rPr>
            </w:pPr>
          </w:p>
        </w:tc>
        <w:tc>
          <w:tcPr>
            <w:tcW w:w="789" w:type="dxa"/>
            <w:vAlign w:val="center"/>
          </w:tcPr>
          <w:p w14:paraId="01C9BA45">
            <w:pPr>
              <w:spacing w:line="300" w:lineRule="auto"/>
              <w:rPr>
                <w:rFonts w:ascii="宋体" w:hAnsi="宋体" w:eastAsia="宋体" w:cs="Times New Roman"/>
                <w:color w:val="auto"/>
                <w:szCs w:val="21"/>
                <w:highlight w:val="none"/>
              </w:rPr>
            </w:pPr>
          </w:p>
        </w:tc>
        <w:tc>
          <w:tcPr>
            <w:tcW w:w="788" w:type="dxa"/>
            <w:vAlign w:val="center"/>
          </w:tcPr>
          <w:p w14:paraId="3A06D8AF">
            <w:pPr>
              <w:spacing w:line="300" w:lineRule="auto"/>
              <w:rPr>
                <w:rFonts w:ascii="宋体" w:hAnsi="宋体" w:eastAsia="宋体" w:cs="Times New Roman"/>
                <w:color w:val="auto"/>
                <w:szCs w:val="21"/>
                <w:highlight w:val="none"/>
              </w:rPr>
            </w:pPr>
          </w:p>
        </w:tc>
        <w:tc>
          <w:tcPr>
            <w:tcW w:w="1440" w:type="dxa"/>
            <w:vAlign w:val="center"/>
          </w:tcPr>
          <w:p w14:paraId="63D65EE8">
            <w:pPr>
              <w:spacing w:line="300" w:lineRule="auto"/>
              <w:rPr>
                <w:rFonts w:ascii="宋体" w:hAnsi="宋体" w:eastAsia="宋体" w:cs="Times New Roman"/>
                <w:color w:val="auto"/>
                <w:szCs w:val="21"/>
                <w:highlight w:val="none"/>
              </w:rPr>
            </w:pPr>
          </w:p>
        </w:tc>
        <w:tc>
          <w:tcPr>
            <w:tcW w:w="3653" w:type="dxa"/>
            <w:vAlign w:val="center"/>
          </w:tcPr>
          <w:p w14:paraId="252BF8A5">
            <w:pPr>
              <w:spacing w:line="300" w:lineRule="auto"/>
              <w:rPr>
                <w:rFonts w:ascii="宋体" w:hAnsi="宋体" w:eastAsia="宋体" w:cs="Times New Roman"/>
                <w:color w:val="auto"/>
                <w:szCs w:val="21"/>
                <w:highlight w:val="none"/>
              </w:rPr>
            </w:pPr>
          </w:p>
        </w:tc>
      </w:tr>
      <w:tr w14:paraId="6585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0A080B0F">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二、现场</w:t>
            </w:r>
          </w:p>
        </w:tc>
        <w:tc>
          <w:tcPr>
            <w:tcW w:w="789" w:type="dxa"/>
            <w:vAlign w:val="center"/>
          </w:tcPr>
          <w:p w14:paraId="093CFC77">
            <w:pPr>
              <w:spacing w:line="300" w:lineRule="auto"/>
              <w:rPr>
                <w:rFonts w:ascii="宋体" w:hAnsi="宋体" w:eastAsia="宋体" w:cs="Times New Roman"/>
                <w:color w:val="auto"/>
                <w:szCs w:val="21"/>
                <w:highlight w:val="none"/>
              </w:rPr>
            </w:pPr>
          </w:p>
        </w:tc>
        <w:tc>
          <w:tcPr>
            <w:tcW w:w="788" w:type="dxa"/>
            <w:vAlign w:val="center"/>
          </w:tcPr>
          <w:p w14:paraId="4E7A8017">
            <w:pPr>
              <w:spacing w:line="300" w:lineRule="auto"/>
              <w:rPr>
                <w:rFonts w:ascii="宋体" w:hAnsi="宋体" w:eastAsia="宋体" w:cs="Times New Roman"/>
                <w:color w:val="auto"/>
                <w:szCs w:val="21"/>
                <w:highlight w:val="none"/>
              </w:rPr>
            </w:pPr>
          </w:p>
        </w:tc>
        <w:tc>
          <w:tcPr>
            <w:tcW w:w="1440" w:type="dxa"/>
            <w:vAlign w:val="center"/>
          </w:tcPr>
          <w:p w14:paraId="20447B2D">
            <w:pPr>
              <w:spacing w:line="300" w:lineRule="auto"/>
              <w:rPr>
                <w:rFonts w:ascii="宋体" w:hAnsi="宋体" w:eastAsia="宋体" w:cs="Times New Roman"/>
                <w:color w:val="auto"/>
                <w:szCs w:val="21"/>
                <w:highlight w:val="none"/>
              </w:rPr>
            </w:pPr>
          </w:p>
        </w:tc>
        <w:tc>
          <w:tcPr>
            <w:tcW w:w="3653" w:type="dxa"/>
            <w:vAlign w:val="center"/>
          </w:tcPr>
          <w:p w14:paraId="3B0B1550">
            <w:pPr>
              <w:spacing w:line="300" w:lineRule="auto"/>
              <w:rPr>
                <w:rFonts w:ascii="宋体" w:hAnsi="宋体" w:eastAsia="宋体" w:cs="Times New Roman"/>
                <w:color w:val="auto"/>
                <w:szCs w:val="21"/>
                <w:highlight w:val="none"/>
              </w:rPr>
            </w:pPr>
          </w:p>
        </w:tc>
      </w:tr>
      <w:tr w14:paraId="6FB1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1C8D63E8">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1.项目经理</w:t>
            </w:r>
          </w:p>
        </w:tc>
        <w:tc>
          <w:tcPr>
            <w:tcW w:w="789" w:type="dxa"/>
            <w:vAlign w:val="center"/>
          </w:tcPr>
          <w:p w14:paraId="0C17552E">
            <w:pPr>
              <w:spacing w:line="300" w:lineRule="auto"/>
              <w:rPr>
                <w:rFonts w:ascii="宋体" w:hAnsi="宋体" w:eastAsia="宋体" w:cs="Times New Roman"/>
                <w:color w:val="auto"/>
                <w:szCs w:val="21"/>
                <w:highlight w:val="none"/>
              </w:rPr>
            </w:pPr>
          </w:p>
        </w:tc>
        <w:tc>
          <w:tcPr>
            <w:tcW w:w="788" w:type="dxa"/>
            <w:vAlign w:val="center"/>
          </w:tcPr>
          <w:p w14:paraId="47F95A3F">
            <w:pPr>
              <w:spacing w:line="300" w:lineRule="auto"/>
              <w:rPr>
                <w:rFonts w:ascii="宋体" w:hAnsi="宋体" w:eastAsia="宋体" w:cs="Times New Roman"/>
                <w:color w:val="auto"/>
                <w:szCs w:val="21"/>
                <w:highlight w:val="none"/>
              </w:rPr>
            </w:pPr>
          </w:p>
        </w:tc>
        <w:tc>
          <w:tcPr>
            <w:tcW w:w="1440" w:type="dxa"/>
            <w:vAlign w:val="center"/>
          </w:tcPr>
          <w:p w14:paraId="051D0EE1">
            <w:pPr>
              <w:spacing w:line="300" w:lineRule="auto"/>
              <w:rPr>
                <w:rFonts w:ascii="宋体" w:hAnsi="宋体" w:eastAsia="宋体" w:cs="Times New Roman"/>
                <w:color w:val="auto"/>
                <w:szCs w:val="21"/>
                <w:highlight w:val="none"/>
              </w:rPr>
            </w:pPr>
          </w:p>
        </w:tc>
        <w:tc>
          <w:tcPr>
            <w:tcW w:w="3653" w:type="dxa"/>
            <w:vAlign w:val="center"/>
          </w:tcPr>
          <w:p w14:paraId="7C6F552C">
            <w:pPr>
              <w:spacing w:line="300" w:lineRule="auto"/>
              <w:rPr>
                <w:rFonts w:ascii="宋体" w:hAnsi="宋体" w:eastAsia="宋体" w:cs="Times New Roman"/>
                <w:color w:val="auto"/>
                <w:szCs w:val="21"/>
                <w:highlight w:val="none"/>
              </w:rPr>
            </w:pPr>
          </w:p>
        </w:tc>
      </w:tr>
      <w:tr w14:paraId="1022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05EF3633">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2.项目副经理（如有）</w:t>
            </w:r>
          </w:p>
        </w:tc>
        <w:tc>
          <w:tcPr>
            <w:tcW w:w="789" w:type="dxa"/>
            <w:vAlign w:val="center"/>
          </w:tcPr>
          <w:p w14:paraId="6AEC2453">
            <w:pPr>
              <w:spacing w:line="300" w:lineRule="auto"/>
              <w:rPr>
                <w:rFonts w:ascii="宋体" w:hAnsi="宋体" w:eastAsia="宋体" w:cs="Times New Roman"/>
                <w:color w:val="auto"/>
                <w:szCs w:val="21"/>
                <w:highlight w:val="none"/>
              </w:rPr>
            </w:pPr>
          </w:p>
        </w:tc>
        <w:tc>
          <w:tcPr>
            <w:tcW w:w="788" w:type="dxa"/>
            <w:vAlign w:val="center"/>
          </w:tcPr>
          <w:p w14:paraId="384FE507">
            <w:pPr>
              <w:spacing w:line="300" w:lineRule="auto"/>
              <w:rPr>
                <w:rFonts w:ascii="宋体" w:hAnsi="宋体" w:eastAsia="宋体" w:cs="Times New Roman"/>
                <w:color w:val="auto"/>
                <w:szCs w:val="21"/>
                <w:highlight w:val="none"/>
              </w:rPr>
            </w:pPr>
          </w:p>
        </w:tc>
        <w:tc>
          <w:tcPr>
            <w:tcW w:w="1440" w:type="dxa"/>
            <w:vAlign w:val="center"/>
          </w:tcPr>
          <w:p w14:paraId="66362330">
            <w:pPr>
              <w:spacing w:line="300" w:lineRule="auto"/>
              <w:rPr>
                <w:rFonts w:ascii="宋体" w:hAnsi="宋体" w:eastAsia="宋体" w:cs="Times New Roman"/>
                <w:color w:val="auto"/>
                <w:szCs w:val="21"/>
                <w:highlight w:val="none"/>
              </w:rPr>
            </w:pPr>
          </w:p>
        </w:tc>
        <w:tc>
          <w:tcPr>
            <w:tcW w:w="3653" w:type="dxa"/>
            <w:vAlign w:val="center"/>
          </w:tcPr>
          <w:p w14:paraId="1E14543A">
            <w:pPr>
              <w:spacing w:line="300" w:lineRule="auto"/>
              <w:rPr>
                <w:rFonts w:ascii="宋体" w:hAnsi="宋体" w:eastAsia="宋体" w:cs="Times New Roman"/>
                <w:color w:val="auto"/>
                <w:szCs w:val="21"/>
                <w:highlight w:val="none"/>
              </w:rPr>
            </w:pPr>
          </w:p>
        </w:tc>
      </w:tr>
      <w:tr w14:paraId="4375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D909EF4">
            <w:pPr>
              <w:spacing w:line="30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t>……</w:t>
            </w:r>
          </w:p>
        </w:tc>
        <w:tc>
          <w:tcPr>
            <w:tcW w:w="789" w:type="dxa"/>
            <w:vAlign w:val="center"/>
          </w:tcPr>
          <w:p w14:paraId="71091FE0">
            <w:pPr>
              <w:spacing w:line="300" w:lineRule="auto"/>
              <w:rPr>
                <w:rFonts w:ascii="宋体" w:hAnsi="宋体" w:eastAsia="宋体" w:cs="Times New Roman"/>
                <w:color w:val="auto"/>
                <w:szCs w:val="21"/>
                <w:highlight w:val="none"/>
              </w:rPr>
            </w:pPr>
          </w:p>
        </w:tc>
        <w:tc>
          <w:tcPr>
            <w:tcW w:w="788" w:type="dxa"/>
            <w:vAlign w:val="center"/>
          </w:tcPr>
          <w:p w14:paraId="3D038930">
            <w:pPr>
              <w:spacing w:line="300" w:lineRule="auto"/>
              <w:rPr>
                <w:rFonts w:ascii="宋体" w:hAnsi="宋体" w:eastAsia="宋体" w:cs="Times New Roman"/>
                <w:color w:val="auto"/>
                <w:szCs w:val="21"/>
                <w:highlight w:val="none"/>
              </w:rPr>
            </w:pPr>
          </w:p>
        </w:tc>
        <w:tc>
          <w:tcPr>
            <w:tcW w:w="1440" w:type="dxa"/>
            <w:vAlign w:val="center"/>
          </w:tcPr>
          <w:p w14:paraId="19CBCF4F">
            <w:pPr>
              <w:spacing w:line="300" w:lineRule="auto"/>
              <w:rPr>
                <w:rFonts w:ascii="宋体" w:hAnsi="宋体" w:eastAsia="宋体" w:cs="Times New Roman"/>
                <w:color w:val="auto"/>
                <w:szCs w:val="21"/>
                <w:highlight w:val="none"/>
              </w:rPr>
            </w:pPr>
          </w:p>
        </w:tc>
        <w:tc>
          <w:tcPr>
            <w:tcW w:w="3653" w:type="dxa"/>
            <w:vAlign w:val="center"/>
          </w:tcPr>
          <w:p w14:paraId="19F593A5">
            <w:pPr>
              <w:spacing w:line="300" w:lineRule="auto"/>
              <w:rPr>
                <w:rFonts w:ascii="宋体" w:hAnsi="宋体" w:eastAsia="宋体" w:cs="Times New Roman"/>
                <w:color w:val="auto"/>
                <w:szCs w:val="21"/>
                <w:highlight w:val="none"/>
              </w:rPr>
            </w:pPr>
          </w:p>
        </w:tc>
      </w:tr>
      <w:tr w14:paraId="3BA0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28A8D234">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3.技术负责人</w:t>
            </w:r>
          </w:p>
        </w:tc>
        <w:tc>
          <w:tcPr>
            <w:tcW w:w="789" w:type="dxa"/>
            <w:vAlign w:val="center"/>
          </w:tcPr>
          <w:p w14:paraId="42E4A066">
            <w:pPr>
              <w:spacing w:line="300" w:lineRule="auto"/>
              <w:rPr>
                <w:rFonts w:ascii="宋体" w:hAnsi="宋体" w:eastAsia="宋体" w:cs="Times New Roman"/>
                <w:color w:val="auto"/>
                <w:szCs w:val="21"/>
                <w:highlight w:val="none"/>
              </w:rPr>
            </w:pPr>
          </w:p>
        </w:tc>
        <w:tc>
          <w:tcPr>
            <w:tcW w:w="788" w:type="dxa"/>
            <w:vAlign w:val="center"/>
          </w:tcPr>
          <w:p w14:paraId="521639AA">
            <w:pPr>
              <w:spacing w:line="300" w:lineRule="auto"/>
              <w:rPr>
                <w:rFonts w:ascii="宋体" w:hAnsi="宋体" w:eastAsia="宋体" w:cs="Times New Roman"/>
                <w:color w:val="auto"/>
                <w:szCs w:val="21"/>
                <w:highlight w:val="none"/>
              </w:rPr>
            </w:pPr>
          </w:p>
        </w:tc>
        <w:tc>
          <w:tcPr>
            <w:tcW w:w="1440" w:type="dxa"/>
            <w:vAlign w:val="center"/>
          </w:tcPr>
          <w:p w14:paraId="5C86644F">
            <w:pPr>
              <w:spacing w:line="300" w:lineRule="auto"/>
              <w:rPr>
                <w:rFonts w:ascii="宋体" w:hAnsi="宋体" w:eastAsia="宋体" w:cs="Times New Roman"/>
                <w:color w:val="auto"/>
                <w:szCs w:val="21"/>
                <w:highlight w:val="none"/>
              </w:rPr>
            </w:pPr>
          </w:p>
        </w:tc>
        <w:tc>
          <w:tcPr>
            <w:tcW w:w="3653" w:type="dxa"/>
            <w:vAlign w:val="center"/>
          </w:tcPr>
          <w:p w14:paraId="4BAEE486">
            <w:pPr>
              <w:spacing w:line="300" w:lineRule="auto"/>
              <w:rPr>
                <w:rFonts w:ascii="宋体" w:hAnsi="宋体" w:eastAsia="宋体" w:cs="Times New Roman"/>
                <w:color w:val="auto"/>
                <w:szCs w:val="21"/>
                <w:highlight w:val="none"/>
              </w:rPr>
            </w:pPr>
          </w:p>
        </w:tc>
      </w:tr>
      <w:tr w14:paraId="1EC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FF93649">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4.施工员</w:t>
            </w:r>
          </w:p>
        </w:tc>
        <w:tc>
          <w:tcPr>
            <w:tcW w:w="789" w:type="dxa"/>
            <w:vAlign w:val="center"/>
          </w:tcPr>
          <w:p w14:paraId="25E1D529">
            <w:pPr>
              <w:spacing w:line="300" w:lineRule="auto"/>
              <w:rPr>
                <w:rFonts w:ascii="宋体" w:hAnsi="宋体" w:eastAsia="宋体" w:cs="Times New Roman"/>
                <w:color w:val="auto"/>
                <w:szCs w:val="21"/>
                <w:highlight w:val="none"/>
              </w:rPr>
            </w:pPr>
          </w:p>
        </w:tc>
        <w:tc>
          <w:tcPr>
            <w:tcW w:w="788" w:type="dxa"/>
            <w:vAlign w:val="center"/>
          </w:tcPr>
          <w:p w14:paraId="2247E4F2">
            <w:pPr>
              <w:spacing w:line="300" w:lineRule="auto"/>
              <w:rPr>
                <w:rFonts w:ascii="宋体" w:hAnsi="宋体" w:eastAsia="宋体" w:cs="Times New Roman"/>
                <w:color w:val="auto"/>
                <w:szCs w:val="21"/>
                <w:highlight w:val="none"/>
              </w:rPr>
            </w:pPr>
          </w:p>
        </w:tc>
        <w:tc>
          <w:tcPr>
            <w:tcW w:w="1440" w:type="dxa"/>
            <w:vAlign w:val="center"/>
          </w:tcPr>
          <w:p w14:paraId="40C5B07C">
            <w:pPr>
              <w:spacing w:line="300" w:lineRule="auto"/>
              <w:rPr>
                <w:rFonts w:ascii="宋体" w:hAnsi="宋体" w:eastAsia="宋体" w:cs="Times New Roman"/>
                <w:color w:val="auto"/>
                <w:szCs w:val="21"/>
                <w:highlight w:val="none"/>
              </w:rPr>
            </w:pPr>
          </w:p>
        </w:tc>
        <w:tc>
          <w:tcPr>
            <w:tcW w:w="3653" w:type="dxa"/>
            <w:vAlign w:val="center"/>
          </w:tcPr>
          <w:p w14:paraId="497ADEF9">
            <w:pPr>
              <w:spacing w:line="300" w:lineRule="auto"/>
              <w:rPr>
                <w:rFonts w:ascii="宋体" w:hAnsi="宋体" w:eastAsia="宋体" w:cs="Times New Roman"/>
                <w:color w:val="auto"/>
                <w:szCs w:val="21"/>
                <w:highlight w:val="none"/>
              </w:rPr>
            </w:pPr>
          </w:p>
        </w:tc>
      </w:tr>
      <w:tr w14:paraId="52F2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527FBBD">
            <w:pPr>
              <w:spacing w:line="30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t>……</w:t>
            </w:r>
          </w:p>
        </w:tc>
        <w:tc>
          <w:tcPr>
            <w:tcW w:w="789" w:type="dxa"/>
            <w:vAlign w:val="center"/>
          </w:tcPr>
          <w:p w14:paraId="6FE21202">
            <w:pPr>
              <w:spacing w:line="300" w:lineRule="auto"/>
              <w:rPr>
                <w:rFonts w:ascii="宋体" w:hAnsi="宋体" w:eastAsia="宋体" w:cs="Times New Roman"/>
                <w:color w:val="auto"/>
                <w:szCs w:val="21"/>
                <w:highlight w:val="none"/>
              </w:rPr>
            </w:pPr>
          </w:p>
        </w:tc>
        <w:tc>
          <w:tcPr>
            <w:tcW w:w="788" w:type="dxa"/>
            <w:vAlign w:val="center"/>
          </w:tcPr>
          <w:p w14:paraId="33C157A9">
            <w:pPr>
              <w:spacing w:line="300" w:lineRule="auto"/>
              <w:rPr>
                <w:rFonts w:ascii="宋体" w:hAnsi="宋体" w:eastAsia="宋体" w:cs="Times New Roman"/>
                <w:color w:val="auto"/>
                <w:szCs w:val="21"/>
                <w:highlight w:val="none"/>
              </w:rPr>
            </w:pPr>
          </w:p>
        </w:tc>
        <w:tc>
          <w:tcPr>
            <w:tcW w:w="1440" w:type="dxa"/>
            <w:vAlign w:val="center"/>
          </w:tcPr>
          <w:p w14:paraId="58923700">
            <w:pPr>
              <w:spacing w:line="300" w:lineRule="auto"/>
              <w:rPr>
                <w:rFonts w:ascii="宋体" w:hAnsi="宋体" w:eastAsia="宋体" w:cs="Times New Roman"/>
                <w:color w:val="auto"/>
                <w:szCs w:val="21"/>
                <w:highlight w:val="none"/>
              </w:rPr>
            </w:pPr>
          </w:p>
        </w:tc>
        <w:tc>
          <w:tcPr>
            <w:tcW w:w="3653" w:type="dxa"/>
            <w:vAlign w:val="center"/>
          </w:tcPr>
          <w:p w14:paraId="52F5FBAE">
            <w:pPr>
              <w:spacing w:line="300" w:lineRule="auto"/>
              <w:rPr>
                <w:rFonts w:ascii="宋体" w:hAnsi="宋体" w:eastAsia="宋体" w:cs="Times New Roman"/>
                <w:color w:val="auto"/>
                <w:szCs w:val="21"/>
                <w:highlight w:val="none"/>
              </w:rPr>
            </w:pPr>
          </w:p>
        </w:tc>
      </w:tr>
      <w:tr w14:paraId="0061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318F524">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 质检员</w:t>
            </w:r>
          </w:p>
        </w:tc>
        <w:tc>
          <w:tcPr>
            <w:tcW w:w="789" w:type="dxa"/>
            <w:vAlign w:val="center"/>
          </w:tcPr>
          <w:p w14:paraId="74473A30">
            <w:pPr>
              <w:spacing w:line="300" w:lineRule="auto"/>
              <w:rPr>
                <w:rFonts w:ascii="宋体" w:hAnsi="宋体" w:eastAsia="宋体" w:cs="Times New Roman"/>
                <w:color w:val="auto"/>
                <w:szCs w:val="21"/>
                <w:highlight w:val="none"/>
              </w:rPr>
            </w:pPr>
          </w:p>
        </w:tc>
        <w:tc>
          <w:tcPr>
            <w:tcW w:w="788" w:type="dxa"/>
            <w:vAlign w:val="center"/>
          </w:tcPr>
          <w:p w14:paraId="0B10AD44">
            <w:pPr>
              <w:spacing w:line="300" w:lineRule="auto"/>
              <w:rPr>
                <w:rFonts w:ascii="宋体" w:hAnsi="宋体" w:eastAsia="宋体" w:cs="Times New Roman"/>
                <w:color w:val="auto"/>
                <w:szCs w:val="21"/>
                <w:highlight w:val="none"/>
              </w:rPr>
            </w:pPr>
          </w:p>
        </w:tc>
        <w:tc>
          <w:tcPr>
            <w:tcW w:w="1440" w:type="dxa"/>
            <w:vAlign w:val="center"/>
          </w:tcPr>
          <w:p w14:paraId="31B57A27">
            <w:pPr>
              <w:spacing w:line="300" w:lineRule="auto"/>
              <w:rPr>
                <w:rFonts w:ascii="宋体" w:hAnsi="宋体" w:eastAsia="宋体" w:cs="Times New Roman"/>
                <w:color w:val="auto"/>
                <w:szCs w:val="21"/>
                <w:highlight w:val="none"/>
              </w:rPr>
            </w:pPr>
          </w:p>
        </w:tc>
        <w:tc>
          <w:tcPr>
            <w:tcW w:w="3653" w:type="dxa"/>
            <w:vAlign w:val="center"/>
          </w:tcPr>
          <w:p w14:paraId="50F2E1D6">
            <w:pPr>
              <w:spacing w:line="300" w:lineRule="auto"/>
              <w:rPr>
                <w:rFonts w:ascii="宋体" w:hAnsi="宋体" w:eastAsia="宋体" w:cs="Times New Roman"/>
                <w:color w:val="auto"/>
                <w:szCs w:val="21"/>
                <w:highlight w:val="none"/>
              </w:rPr>
            </w:pPr>
          </w:p>
        </w:tc>
      </w:tr>
      <w:tr w14:paraId="0C45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62AFAFAD">
            <w:pPr>
              <w:spacing w:line="30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t>……</w:t>
            </w:r>
          </w:p>
        </w:tc>
        <w:tc>
          <w:tcPr>
            <w:tcW w:w="789" w:type="dxa"/>
            <w:vAlign w:val="center"/>
          </w:tcPr>
          <w:p w14:paraId="7FDD65C7">
            <w:pPr>
              <w:spacing w:line="300" w:lineRule="auto"/>
              <w:rPr>
                <w:rFonts w:ascii="宋体" w:hAnsi="宋体" w:eastAsia="宋体" w:cs="Times New Roman"/>
                <w:color w:val="auto"/>
                <w:szCs w:val="21"/>
                <w:highlight w:val="none"/>
              </w:rPr>
            </w:pPr>
          </w:p>
        </w:tc>
        <w:tc>
          <w:tcPr>
            <w:tcW w:w="788" w:type="dxa"/>
            <w:vAlign w:val="center"/>
          </w:tcPr>
          <w:p w14:paraId="257BEB49">
            <w:pPr>
              <w:spacing w:line="300" w:lineRule="auto"/>
              <w:rPr>
                <w:rFonts w:ascii="宋体" w:hAnsi="宋体" w:eastAsia="宋体" w:cs="Times New Roman"/>
                <w:color w:val="auto"/>
                <w:szCs w:val="21"/>
                <w:highlight w:val="none"/>
              </w:rPr>
            </w:pPr>
          </w:p>
        </w:tc>
        <w:tc>
          <w:tcPr>
            <w:tcW w:w="1440" w:type="dxa"/>
            <w:vAlign w:val="center"/>
          </w:tcPr>
          <w:p w14:paraId="523026AF">
            <w:pPr>
              <w:spacing w:line="300" w:lineRule="auto"/>
              <w:rPr>
                <w:rFonts w:ascii="宋体" w:hAnsi="宋体" w:eastAsia="宋体" w:cs="Times New Roman"/>
                <w:color w:val="auto"/>
                <w:szCs w:val="21"/>
                <w:highlight w:val="none"/>
              </w:rPr>
            </w:pPr>
          </w:p>
        </w:tc>
        <w:tc>
          <w:tcPr>
            <w:tcW w:w="3653" w:type="dxa"/>
            <w:vAlign w:val="center"/>
          </w:tcPr>
          <w:p w14:paraId="45574808">
            <w:pPr>
              <w:spacing w:line="300" w:lineRule="auto"/>
              <w:rPr>
                <w:rFonts w:ascii="宋体" w:hAnsi="宋体" w:eastAsia="宋体" w:cs="Times New Roman"/>
                <w:color w:val="auto"/>
                <w:szCs w:val="21"/>
                <w:highlight w:val="none"/>
              </w:rPr>
            </w:pPr>
          </w:p>
        </w:tc>
      </w:tr>
      <w:tr w14:paraId="1375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1B877B10">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6.专职安全生产管理人员</w:t>
            </w:r>
          </w:p>
        </w:tc>
        <w:tc>
          <w:tcPr>
            <w:tcW w:w="789" w:type="dxa"/>
            <w:vAlign w:val="center"/>
          </w:tcPr>
          <w:p w14:paraId="41AF27EB">
            <w:pPr>
              <w:spacing w:line="300" w:lineRule="auto"/>
              <w:rPr>
                <w:rFonts w:ascii="宋体" w:hAnsi="宋体" w:eastAsia="宋体" w:cs="Times New Roman"/>
                <w:color w:val="auto"/>
                <w:szCs w:val="21"/>
                <w:highlight w:val="none"/>
              </w:rPr>
            </w:pPr>
          </w:p>
        </w:tc>
        <w:tc>
          <w:tcPr>
            <w:tcW w:w="788" w:type="dxa"/>
            <w:vAlign w:val="center"/>
          </w:tcPr>
          <w:p w14:paraId="50C4D1C1">
            <w:pPr>
              <w:spacing w:line="300" w:lineRule="auto"/>
              <w:rPr>
                <w:rFonts w:ascii="宋体" w:hAnsi="宋体" w:eastAsia="宋体" w:cs="Times New Roman"/>
                <w:color w:val="auto"/>
                <w:szCs w:val="21"/>
                <w:highlight w:val="none"/>
              </w:rPr>
            </w:pPr>
          </w:p>
        </w:tc>
        <w:tc>
          <w:tcPr>
            <w:tcW w:w="1440" w:type="dxa"/>
            <w:vAlign w:val="center"/>
          </w:tcPr>
          <w:p w14:paraId="02D0692C">
            <w:pPr>
              <w:spacing w:line="300" w:lineRule="auto"/>
              <w:rPr>
                <w:rFonts w:ascii="宋体" w:hAnsi="宋体" w:eastAsia="宋体" w:cs="Times New Roman"/>
                <w:color w:val="auto"/>
                <w:szCs w:val="21"/>
                <w:highlight w:val="none"/>
              </w:rPr>
            </w:pPr>
          </w:p>
        </w:tc>
        <w:tc>
          <w:tcPr>
            <w:tcW w:w="3653" w:type="dxa"/>
            <w:vAlign w:val="center"/>
          </w:tcPr>
          <w:p w14:paraId="753D7372">
            <w:pPr>
              <w:spacing w:line="300" w:lineRule="auto"/>
              <w:rPr>
                <w:rFonts w:ascii="宋体" w:hAnsi="宋体" w:eastAsia="宋体" w:cs="Times New Roman"/>
                <w:color w:val="auto"/>
                <w:szCs w:val="21"/>
                <w:highlight w:val="none"/>
              </w:rPr>
            </w:pPr>
          </w:p>
        </w:tc>
      </w:tr>
      <w:tr w14:paraId="6D94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536CB5C">
            <w:pPr>
              <w:spacing w:line="30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t>……</w:t>
            </w:r>
          </w:p>
        </w:tc>
        <w:tc>
          <w:tcPr>
            <w:tcW w:w="789" w:type="dxa"/>
            <w:vAlign w:val="center"/>
          </w:tcPr>
          <w:p w14:paraId="0E228343">
            <w:pPr>
              <w:spacing w:line="300" w:lineRule="auto"/>
              <w:rPr>
                <w:rFonts w:ascii="宋体" w:hAnsi="宋体" w:eastAsia="宋体" w:cs="Times New Roman"/>
                <w:color w:val="auto"/>
                <w:szCs w:val="21"/>
                <w:highlight w:val="none"/>
              </w:rPr>
            </w:pPr>
          </w:p>
        </w:tc>
        <w:tc>
          <w:tcPr>
            <w:tcW w:w="788" w:type="dxa"/>
            <w:vAlign w:val="center"/>
          </w:tcPr>
          <w:p w14:paraId="0DA9191B">
            <w:pPr>
              <w:spacing w:line="300" w:lineRule="auto"/>
              <w:rPr>
                <w:rFonts w:ascii="宋体" w:hAnsi="宋体" w:eastAsia="宋体" w:cs="Times New Roman"/>
                <w:color w:val="auto"/>
                <w:szCs w:val="21"/>
                <w:highlight w:val="none"/>
              </w:rPr>
            </w:pPr>
          </w:p>
        </w:tc>
        <w:tc>
          <w:tcPr>
            <w:tcW w:w="1440" w:type="dxa"/>
            <w:vAlign w:val="center"/>
          </w:tcPr>
          <w:p w14:paraId="03757B50">
            <w:pPr>
              <w:spacing w:line="300" w:lineRule="auto"/>
              <w:rPr>
                <w:rFonts w:ascii="宋体" w:hAnsi="宋体" w:eastAsia="宋体" w:cs="Times New Roman"/>
                <w:color w:val="auto"/>
                <w:szCs w:val="21"/>
                <w:highlight w:val="none"/>
              </w:rPr>
            </w:pPr>
          </w:p>
        </w:tc>
        <w:tc>
          <w:tcPr>
            <w:tcW w:w="3653" w:type="dxa"/>
            <w:vAlign w:val="center"/>
          </w:tcPr>
          <w:p w14:paraId="7AC16A6B">
            <w:pPr>
              <w:spacing w:line="300" w:lineRule="auto"/>
              <w:rPr>
                <w:rFonts w:ascii="宋体" w:hAnsi="宋体" w:eastAsia="宋体" w:cs="Times New Roman"/>
                <w:color w:val="auto"/>
                <w:szCs w:val="21"/>
                <w:highlight w:val="none"/>
              </w:rPr>
            </w:pPr>
          </w:p>
        </w:tc>
      </w:tr>
      <w:tr w14:paraId="00B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380089C3">
            <w:pPr>
              <w:spacing w:line="30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7.材料员</w:t>
            </w:r>
          </w:p>
        </w:tc>
        <w:tc>
          <w:tcPr>
            <w:tcW w:w="789" w:type="dxa"/>
            <w:vAlign w:val="center"/>
          </w:tcPr>
          <w:p w14:paraId="09C5E8D3">
            <w:pPr>
              <w:spacing w:line="300" w:lineRule="auto"/>
              <w:rPr>
                <w:rFonts w:ascii="宋体" w:hAnsi="宋体" w:eastAsia="宋体" w:cs="Times New Roman"/>
                <w:color w:val="auto"/>
                <w:szCs w:val="21"/>
                <w:highlight w:val="none"/>
              </w:rPr>
            </w:pPr>
          </w:p>
        </w:tc>
        <w:tc>
          <w:tcPr>
            <w:tcW w:w="788" w:type="dxa"/>
            <w:vAlign w:val="center"/>
          </w:tcPr>
          <w:p w14:paraId="3EC47FFA">
            <w:pPr>
              <w:spacing w:line="300" w:lineRule="auto"/>
              <w:rPr>
                <w:rFonts w:ascii="宋体" w:hAnsi="宋体" w:eastAsia="宋体" w:cs="Times New Roman"/>
                <w:color w:val="auto"/>
                <w:szCs w:val="21"/>
                <w:highlight w:val="none"/>
              </w:rPr>
            </w:pPr>
          </w:p>
        </w:tc>
        <w:tc>
          <w:tcPr>
            <w:tcW w:w="1440" w:type="dxa"/>
            <w:vAlign w:val="center"/>
          </w:tcPr>
          <w:p w14:paraId="089DA4A4">
            <w:pPr>
              <w:spacing w:line="300" w:lineRule="auto"/>
              <w:rPr>
                <w:rFonts w:ascii="宋体" w:hAnsi="宋体" w:eastAsia="宋体" w:cs="Times New Roman"/>
                <w:color w:val="auto"/>
                <w:szCs w:val="21"/>
                <w:highlight w:val="none"/>
              </w:rPr>
            </w:pPr>
          </w:p>
        </w:tc>
        <w:tc>
          <w:tcPr>
            <w:tcW w:w="3653" w:type="dxa"/>
            <w:vAlign w:val="center"/>
          </w:tcPr>
          <w:p w14:paraId="743E00B8">
            <w:pPr>
              <w:spacing w:line="300" w:lineRule="auto"/>
              <w:rPr>
                <w:rFonts w:ascii="宋体" w:hAnsi="宋体" w:eastAsia="宋体" w:cs="Times New Roman"/>
                <w:color w:val="auto"/>
                <w:szCs w:val="21"/>
                <w:highlight w:val="none"/>
              </w:rPr>
            </w:pPr>
          </w:p>
        </w:tc>
      </w:tr>
      <w:tr w14:paraId="3C82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134" w:type="dxa"/>
            <w:vAlign w:val="center"/>
          </w:tcPr>
          <w:p w14:paraId="455AF8D0">
            <w:pPr>
              <w:spacing w:line="30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t>……</w:t>
            </w:r>
          </w:p>
        </w:tc>
        <w:tc>
          <w:tcPr>
            <w:tcW w:w="789" w:type="dxa"/>
            <w:vAlign w:val="center"/>
          </w:tcPr>
          <w:p w14:paraId="4C698D8A">
            <w:pPr>
              <w:spacing w:line="300" w:lineRule="auto"/>
              <w:rPr>
                <w:rFonts w:ascii="宋体" w:hAnsi="宋体" w:eastAsia="宋体" w:cs="Times New Roman"/>
                <w:color w:val="auto"/>
                <w:szCs w:val="21"/>
                <w:highlight w:val="none"/>
              </w:rPr>
            </w:pPr>
          </w:p>
        </w:tc>
        <w:tc>
          <w:tcPr>
            <w:tcW w:w="788" w:type="dxa"/>
            <w:vAlign w:val="center"/>
          </w:tcPr>
          <w:p w14:paraId="716B4611">
            <w:pPr>
              <w:spacing w:line="300" w:lineRule="auto"/>
              <w:rPr>
                <w:rFonts w:ascii="宋体" w:hAnsi="宋体" w:eastAsia="宋体" w:cs="Times New Roman"/>
                <w:color w:val="auto"/>
                <w:szCs w:val="21"/>
                <w:highlight w:val="none"/>
              </w:rPr>
            </w:pPr>
          </w:p>
        </w:tc>
        <w:tc>
          <w:tcPr>
            <w:tcW w:w="1440" w:type="dxa"/>
            <w:vAlign w:val="center"/>
          </w:tcPr>
          <w:p w14:paraId="49D69F02">
            <w:pPr>
              <w:spacing w:line="300" w:lineRule="auto"/>
              <w:rPr>
                <w:rFonts w:ascii="宋体" w:hAnsi="宋体" w:eastAsia="宋体" w:cs="Times New Roman"/>
                <w:color w:val="auto"/>
                <w:szCs w:val="21"/>
                <w:highlight w:val="none"/>
              </w:rPr>
            </w:pPr>
          </w:p>
        </w:tc>
        <w:tc>
          <w:tcPr>
            <w:tcW w:w="3653" w:type="dxa"/>
            <w:vAlign w:val="center"/>
          </w:tcPr>
          <w:p w14:paraId="11009606">
            <w:pPr>
              <w:spacing w:line="300" w:lineRule="auto"/>
              <w:rPr>
                <w:rFonts w:ascii="宋体" w:hAnsi="宋体" w:eastAsia="宋体" w:cs="Times New Roman"/>
                <w:color w:val="auto"/>
                <w:szCs w:val="21"/>
                <w:highlight w:val="none"/>
              </w:rPr>
            </w:pPr>
          </w:p>
        </w:tc>
      </w:tr>
    </w:tbl>
    <w:p w14:paraId="600937F3">
      <w:pPr>
        <w:rPr>
          <w:rFonts w:ascii="宋体" w:hAnsi="宋体" w:eastAsia="宋体" w:cs="Times New Roman"/>
          <w:b/>
          <w:color w:val="auto"/>
          <w:szCs w:val="24"/>
          <w:highlight w:val="none"/>
        </w:rPr>
      </w:pPr>
    </w:p>
    <w:p w14:paraId="0EA1C807">
      <w:pPr>
        <w:rPr>
          <w:rFonts w:ascii="宋体" w:hAnsi="宋体" w:eastAsia="宋体" w:cs="Times New Roman"/>
          <w:b/>
          <w:color w:val="auto"/>
          <w:szCs w:val="21"/>
          <w:highlight w:val="none"/>
        </w:rPr>
      </w:pPr>
      <w:r>
        <w:rPr>
          <w:rFonts w:hint="eastAsia" w:ascii="宋体" w:hAnsi="宋体" w:eastAsia="宋体" w:cs="Times New Roman"/>
          <w:b/>
          <w:color w:val="auto"/>
          <w:szCs w:val="24"/>
          <w:highlight w:val="none"/>
        </w:rPr>
        <w:t>注：主要施工管理人员表</w:t>
      </w:r>
      <w:r>
        <w:rPr>
          <w:rFonts w:hint="eastAsia" w:ascii="宋体" w:hAnsi="宋体" w:eastAsia="宋体" w:cs="Times New Roman"/>
          <w:b/>
          <w:color w:val="auto"/>
          <w:szCs w:val="21"/>
          <w:highlight w:val="none"/>
        </w:rPr>
        <w:t>配备最低要求：</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8"/>
        <w:gridCol w:w="3227"/>
      </w:tblGrid>
      <w:tr w14:paraId="2768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58" w:type="dxa"/>
            <w:tcBorders>
              <w:top w:val="single" w:color="auto" w:sz="4" w:space="0"/>
              <w:left w:val="single" w:color="auto" w:sz="4" w:space="0"/>
              <w:bottom w:val="nil"/>
              <w:right w:val="single" w:color="auto" w:sz="4" w:space="0"/>
            </w:tcBorders>
            <w:vAlign w:val="center"/>
          </w:tcPr>
          <w:p w14:paraId="0C8CD12A">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Times New Roman" w:hAnsi="Times New Roman" w:eastAsia="宋体" w:cs="Times New Roman"/>
                <w:b/>
                <w:color w:val="auto"/>
                <w:szCs w:val="24"/>
                <w:highlight w:val="none"/>
              </w:rPr>
              <w:t>人员类型</w:t>
            </w:r>
          </w:p>
        </w:tc>
        <w:tc>
          <w:tcPr>
            <w:tcW w:w="3227" w:type="dxa"/>
            <w:tcBorders>
              <w:top w:val="single" w:color="auto" w:sz="4" w:space="0"/>
              <w:left w:val="nil"/>
              <w:bottom w:val="single" w:color="auto" w:sz="4" w:space="0"/>
              <w:right w:val="single" w:color="auto" w:sz="4" w:space="0"/>
            </w:tcBorders>
            <w:vAlign w:val="center"/>
          </w:tcPr>
          <w:p w14:paraId="14037CEE">
            <w:pPr>
              <w:widowControl/>
              <w:spacing w:before="100" w:beforeAutospacing="1" w:after="100" w:afterAutospacing="1" w:line="24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r>
      <w:tr w14:paraId="1564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4958" w:type="dxa"/>
            <w:tcBorders>
              <w:top w:val="single" w:color="auto" w:sz="4" w:space="0"/>
              <w:left w:val="single" w:color="auto" w:sz="4" w:space="0"/>
              <w:bottom w:val="nil"/>
              <w:right w:val="single" w:color="auto" w:sz="4" w:space="0"/>
            </w:tcBorders>
            <w:vAlign w:val="center"/>
          </w:tcPr>
          <w:p w14:paraId="183FAE5F">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w:t>
            </w:r>
          </w:p>
        </w:tc>
        <w:tc>
          <w:tcPr>
            <w:tcW w:w="3227" w:type="dxa"/>
            <w:tcBorders>
              <w:top w:val="single" w:color="auto" w:sz="4" w:space="0"/>
              <w:left w:val="nil"/>
              <w:bottom w:val="single" w:color="auto" w:sz="4" w:space="0"/>
              <w:right w:val="single" w:color="auto" w:sz="4" w:space="0"/>
            </w:tcBorders>
            <w:vAlign w:val="center"/>
          </w:tcPr>
          <w:p w14:paraId="3C52F216">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r>
      <w:tr w14:paraId="114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958" w:type="dxa"/>
            <w:tcBorders>
              <w:top w:val="single" w:color="auto" w:sz="4" w:space="0"/>
              <w:left w:val="single" w:color="auto" w:sz="4" w:space="0"/>
              <w:bottom w:val="nil"/>
              <w:right w:val="single" w:color="auto" w:sz="4" w:space="0"/>
            </w:tcBorders>
            <w:vAlign w:val="center"/>
          </w:tcPr>
          <w:p w14:paraId="2DC7599F">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项目副经理</w:t>
            </w:r>
          </w:p>
        </w:tc>
        <w:tc>
          <w:tcPr>
            <w:tcW w:w="3227" w:type="dxa"/>
            <w:tcBorders>
              <w:top w:val="single" w:color="auto" w:sz="4" w:space="0"/>
              <w:left w:val="nil"/>
              <w:bottom w:val="single" w:color="auto" w:sz="4" w:space="0"/>
              <w:right w:val="single" w:color="auto" w:sz="4" w:space="0"/>
            </w:tcBorders>
            <w:vAlign w:val="center"/>
          </w:tcPr>
          <w:p w14:paraId="751A0FE5">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0</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p>
        </w:tc>
      </w:tr>
      <w:tr w14:paraId="220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trPr>
        <w:tc>
          <w:tcPr>
            <w:tcW w:w="4958" w:type="dxa"/>
            <w:tcBorders>
              <w:top w:val="single" w:color="auto" w:sz="4" w:space="0"/>
              <w:left w:val="single" w:color="auto" w:sz="4" w:space="0"/>
              <w:bottom w:val="nil"/>
              <w:right w:val="single" w:color="auto" w:sz="4" w:space="0"/>
            </w:tcBorders>
            <w:vAlign w:val="center"/>
          </w:tcPr>
          <w:p w14:paraId="0770EF36">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项目技术负责人</w:t>
            </w:r>
          </w:p>
        </w:tc>
        <w:tc>
          <w:tcPr>
            <w:tcW w:w="3227" w:type="dxa"/>
            <w:tcBorders>
              <w:top w:val="single" w:color="auto" w:sz="4" w:space="0"/>
              <w:left w:val="nil"/>
              <w:bottom w:val="single" w:color="auto" w:sz="4" w:space="0"/>
              <w:right w:val="single" w:color="auto" w:sz="4" w:space="0"/>
            </w:tcBorders>
            <w:vAlign w:val="center"/>
          </w:tcPr>
          <w:p w14:paraId="3751F7D3">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r>
      <w:tr w14:paraId="797F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vAlign w:val="center"/>
          </w:tcPr>
          <w:p w14:paraId="471F5378">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施工员</w:t>
            </w:r>
          </w:p>
        </w:tc>
        <w:tc>
          <w:tcPr>
            <w:tcW w:w="3227" w:type="dxa"/>
            <w:tcBorders>
              <w:top w:val="single" w:color="auto" w:sz="4" w:space="0"/>
              <w:left w:val="nil"/>
              <w:bottom w:val="single" w:color="auto" w:sz="4" w:space="0"/>
              <w:right w:val="single" w:color="auto" w:sz="4" w:space="0"/>
            </w:tcBorders>
            <w:vAlign w:val="center"/>
          </w:tcPr>
          <w:p w14:paraId="4C6FC3A0">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r>
      <w:tr w14:paraId="2AB8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958" w:type="dxa"/>
            <w:tcBorders>
              <w:top w:val="single" w:color="auto" w:sz="4" w:space="0"/>
              <w:left w:val="single" w:color="auto" w:sz="4" w:space="0"/>
              <w:bottom w:val="nil"/>
              <w:right w:val="single" w:color="auto" w:sz="4" w:space="0"/>
            </w:tcBorders>
            <w:vAlign w:val="center"/>
          </w:tcPr>
          <w:p w14:paraId="77917775">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质检员</w:t>
            </w:r>
          </w:p>
        </w:tc>
        <w:tc>
          <w:tcPr>
            <w:tcW w:w="3227" w:type="dxa"/>
            <w:tcBorders>
              <w:top w:val="single" w:color="auto" w:sz="4" w:space="0"/>
              <w:left w:val="nil"/>
              <w:bottom w:val="single" w:color="auto" w:sz="4" w:space="0"/>
              <w:right w:val="single" w:color="auto" w:sz="4" w:space="0"/>
            </w:tcBorders>
            <w:vAlign w:val="center"/>
          </w:tcPr>
          <w:p w14:paraId="026639D3">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r>
      <w:tr w14:paraId="4FC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4958" w:type="dxa"/>
            <w:tcBorders>
              <w:top w:val="single" w:color="auto" w:sz="4" w:space="0"/>
              <w:left w:val="single" w:color="auto" w:sz="4" w:space="0"/>
              <w:bottom w:val="single" w:color="auto" w:sz="4" w:space="0"/>
              <w:right w:val="single" w:color="auto" w:sz="4" w:space="0"/>
            </w:tcBorders>
            <w:vAlign w:val="center"/>
          </w:tcPr>
          <w:p w14:paraId="31F628F5">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专职安全生产管理人员</w:t>
            </w:r>
          </w:p>
        </w:tc>
        <w:tc>
          <w:tcPr>
            <w:tcW w:w="3227" w:type="dxa"/>
            <w:tcBorders>
              <w:top w:val="single" w:color="auto" w:sz="4" w:space="0"/>
              <w:left w:val="nil"/>
              <w:bottom w:val="single" w:color="auto" w:sz="4" w:space="0"/>
              <w:right w:val="single" w:color="auto" w:sz="4" w:space="0"/>
            </w:tcBorders>
            <w:vAlign w:val="center"/>
          </w:tcPr>
          <w:p w14:paraId="6D535E75">
            <w:pPr>
              <w:widowControl/>
              <w:spacing w:before="100" w:beforeAutospacing="1" w:after="100" w:afterAutospacing="1" w:line="24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r>
    </w:tbl>
    <w:p w14:paraId="290490AC">
      <w:pPr>
        <w:spacing w:line="400" w:lineRule="exact"/>
        <w:ind w:firstLine="422" w:firstLineChars="200"/>
        <w:rPr>
          <w:rFonts w:ascii="宋体" w:hAnsi="宋体" w:eastAsia="宋体" w:cs="Times New Roman"/>
          <w:b/>
          <w:color w:val="auto"/>
          <w:szCs w:val="21"/>
          <w:highlight w:val="none"/>
        </w:rPr>
      </w:pPr>
    </w:p>
    <w:p w14:paraId="3184EB94">
      <w:pPr>
        <w:spacing w:line="400" w:lineRule="exact"/>
        <w:rPr>
          <w:rFonts w:ascii="Times New Roman" w:hAnsi="宋体" w:eastAsia="宋体" w:cs="Times New Roman"/>
          <w:color w:val="auto"/>
          <w:szCs w:val="24"/>
          <w:highlight w:val="none"/>
        </w:rPr>
      </w:pPr>
    </w:p>
    <w:p w14:paraId="2B389CB9">
      <w:pPr>
        <w:widowControl/>
        <w:ind w:firstLine="2310" w:firstLineChars="11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1CD31494">
      <w:pPr>
        <w:spacing w:line="300" w:lineRule="exact"/>
        <w:ind w:left="2940" w:leftChars="1400" w:firstLine="630" w:firstLineChars="300"/>
        <w:rPr>
          <w:rFonts w:ascii="宋体" w:hAnsi="宋体" w:eastAsia="宋体" w:cs="宋体"/>
          <w:color w:val="auto"/>
          <w:highlight w:val="none"/>
        </w:rPr>
      </w:pPr>
    </w:p>
    <w:p w14:paraId="559B5F88">
      <w:pPr>
        <w:spacing w:line="340" w:lineRule="exact"/>
        <w:ind w:left="420"/>
        <w:jc w:val="center"/>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14:paraId="7D62CED4">
      <w:pPr>
        <w:spacing w:line="360" w:lineRule="exact"/>
        <w:rPr>
          <w:rFonts w:ascii="宋体" w:hAnsi="宋体" w:eastAsia="宋体" w:cs="宋体"/>
          <w:color w:val="auto"/>
          <w:spacing w:val="-2"/>
          <w:kern w:val="0"/>
          <w:szCs w:val="21"/>
          <w:highlight w:val="none"/>
        </w:rPr>
      </w:pPr>
    </w:p>
    <w:p w14:paraId="12994A10">
      <w:pPr>
        <w:spacing w:line="340" w:lineRule="exact"/>
        <w:jc w:val="center"/>
        <w:rPr>
          <w:rFonts w:ascii="宋体" w:hAnsi="宋体" w:eastAsia="宋体" w:cs="宋体"/>
          <w:b/>
          <w:color w:val="auto"/>
          <w:sz w:val="32"/>
          <w:szCs w:val="32"/>
          <w:highlight w:val="none"/>
        </w:rPr>
      </w:pPr>
    </w:p>
    <w:p w14:paraId="517A9A08">
      <w:pPr>
        <w:spacing w:after="120"/>
        <w:rPr>
          <w:rFonts w:ascii="宋体" w:hAnsi="宋体" w:eastAsia="宋体" w:cs="宋体"/>
          <w:b/>
          <w:bCs/>
          <w:color w:val="auto"/>
          <w:szCs w:val="21"/>
          <w:highlight w:val="none"/>
        </w:rPr>
      </w:pPr>
    </w:p>
    <w:p w14:paraId="381C11D3">
      <w:pPr>
        <w:rPr>
          <w:rFonts w:ascii="宋体" w:hAnsi="宋体" w:eastAsia="宋体" w:cs="宋体"/>
          <w:b/>
          <w:color w:val="auto"/>
          <w:sz w:val="28"/>
          <w:szCs w:val="28"/>
          <w:highlight w:val="none"/>
        </w:rPr>
      </w:pPr>
      <w:r>
        <w:rPr>
          <w:rFonts w:hint="eastAsia" w:ascii="Times New Roman" w:hAnsi="宋体" w:eastAsia="宋体" w:cs="宋体"/>
          <w:b/>
          <w:color w:val="auto"/>
          <w:sz w:val="28"/>
          <w:szCs w:val="28"/>
          <w:highlight w:val="none"/>
        </w:rPr>
        <w:br w:type="page"/>
      </w:r>
      <w:bookmarkStart w:id="364" w:name="_Toc13064"/>
      <w:bookmarkStart w:id="365" w:name="_Toc10745"/>
      <w:bookmarkStart w:id="366" w:name="_Toc9716"/>
      <w:bookmarkStart w:id="367" w:name="_Toc4756"/>
      <w:bookmarkStart w:id="368" w:name="_Toc31920"/>
      <w:r>
        <w:rPr>
          <w:rFonts w:hint="eastAsia" w:ascii="Times New Roman" w:hAnsi="宋体" w:eastAsia="宋体" w:cs="宋体"/>
          <w:b/>
          <w:color w:val="auto"/>
          <w:sz w:val="28"/>
          <w:szCs w:val="28"/>
          <w:highlight w:val="none"/>
        </w:rPr>
        <w:t>5</w:t>
      </w:r>
      <w:r>
        <w:rPr>
          <w:rFonts w:hint="eastAsia" w:ascii="宋体" w:hAnsi="宋体" w:eastAsia="宋体" w:cs="宋体"/>
          <w:b/>
          <w:color w:val="auto"/>
          <w:sz w:val="28"/>
          <w:szCs w:val="28"/>
          <w:highlight w:val="none"/>
        </w:rPr>
        <w:t>.</w:t>
      </w:r>
      <w:bookmarkEnd w:id="364"/>
      <w:bookmarkEnd w:id="365"/>
      <w:bookmarkEnd w:id="366"/>
      <w:bookmarkEnd w:id="367"/>
      <w:bookmarkEnd w:id="368"/>
      <w:r>
        <w:rPr>
          <w:rFonts w:hint="eastAsia" w:ascii="宋体" w:hAnsi="宋体" w:eastAsia="宋体" w:cs="宋体"/>
          <w:b/>
          <w:color w:val="auto"/>
          <w:sz w:val="28"/>
          <w:szCs w:val="28"/>
          <w:highlight w:val="none"/>
        </w:rPr>
        <w:t>施工组织设计（根据工程量清单及工程情况自行编制）（必须提供）</w:t>
      </w:r>
    </w:p>
    <w:p w14:paraId="59703A6D">
      <w:pPr>
        <w:snapToGrid w:val="0"/>
        <w:spacing w:line="400" w:lineRule="exact"/>
        <w:jc w:val="center"/>
        <w:rPr>
          <w:rFonts w:ascii="宋体" w:hAnsi="宋体" w:eastAsia="宋体" w:cs="宋体"/>
          <w:b/>
          <w:color w:val="auto"/>
          <w:sz w:val="28"/>
          <w:szCs w:val="28"/>
          <w:highlight w:val="none"/>
        </w:rPr>
      </w:pPr>
    </w:p>
    <w:p w14:paraId="5BC693AE">
      <w:pPr>
        <w:snapToGrid w:val="0"/>
        <w:spacing w:line="40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施工组织设计</w:t>
      </w:r>
    </w:p>
    <w:p w14:paraId="496C948A">
      <w:pPr>
        <w:spacing w:line="340" w:lineRule="exact"/>
        <w:rPr>
          <w:rFonts w:ascii="宋体" w:hAnsi="宋体" w:eastAsia="宋体" w:cs="宋体"/>
          <w:b/>
          <w:color w:val="auto"/>
          <w:sz w:val="28"/>
          <w:szCs w:val="28"/>
          <w:highlight w:val="none"/>
        </w:rPr>
      </w:pPr>
    </w:p>
    <w:p w14:paraId="719C3C08">
      <w:pPr>
        <w:spacing w:line="400" w:lineRule="exact"/>
        <w:outlineLvl w:val="1"/>
        <w:rPr>
          <w:rFonts w:ascii="宋体" w:hAnsi="宋体" w:eastAsia="宋体" w:cs="宋体"/>
          <w:b/>
          <w:color w:val="auto"/>
          <w:sz w:val="28"/>
          <w:szCs w:val="28"/>
          <w:highlight w:val="none"/>
        </w:rPr>
      </w:pPr>
    </w:p>
    <w:p w14:paraId="606C75C9">
      <w:pPr>
        <w:widowControl/>
        <w:ind w:firstLine="2310" w:firstLineChars="1100"/>
        <w:jc w:val="left"/>
        <w:rPr>
          <w:rFonts w:ascii="宋体" w:hAnsi="宋体" w:eastAsia="宋体" w:cs="宋体"/>
          <w:color w:val="auto"/>
          <w:szCs w:val="21"/>
          <w:highlight w:val="none"/>
        </w:rPr>
      </w:pPr>
      <w:bookmarkStart w:id="369" w:name="_Toc18938"/>
      <w:bookmarkStart w:id="370" w:name="_Toc4253"/>
      <w:bookmarkStart w:id="371" w:name="_Toc1099"/>
      <w:bookmarkStart w:id="372" w:name="_Toc226"/>
      <w:bookmarkStart w:id="373" w:name="_Toc15169"/>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3CFF83AE">
      <w:pPr>
        <w:spacing w:line="300" w:lineRule="exact"/>
        <w:ind w:left="2940" w:leftChars="1400" w:firstLine="630" w:firstLineChars="300"/>
        <w:rPr>
          <w:rFonts w:ascii="宋体" w:hAnsi="宋体" w:eastAsia="宋体" w:cs="宋体"/>
          <w:color w:val="auto"/>
          <w:highlight w:val="none"/>
        </w:rPr>
      </w:pPr>
    </w:p>
    <w:p w14:paraId="57E6AE29">
      <w:pPr>
        <w:snapToGrid w:val="0"/>
        <w:spacing w:line="400" w:lineRule="atLeast"/>
        <w:ind w:left="937" w:leftChars="446" w:firstLine="3255" w:firstLineChars="155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14:paraId="406A74C2">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42CEBCB2">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04BE6FDA">
      <w:pPr>
        <w:snapToGrid w:val="0"/>
        <w:spacing w:line="400" w:lineRule="atLeast"/>
        <w:jc w:val="left"/>
        <w:rPr>
          <w:rFonts w:ascii="宋体" w:hAnsi="宋体" w:eastAsia="宋体" w:cs="Times New Roman"/>
          <w:color w:val="auto"/>
          <w:szCs w:val="24"/>
          <w:highlight w:val="none"/>
          <w:u w:val="single"/>
        </w:rPr>
      </w:pPr>
    </w:p>
    <w:p w14:paraId="2EB90291">
      <w:pPr>
        <w:snapToGrid w:val="0"/>
        <w:spacing w:line="400" w:lineRule="atLeast"/>
        <w:jc w:val="left"/>
        <w:rPr>
          <w:rFonts w:ascii="宋体" w:hAnsi="宋体" w:eastAsia="宋体" w:cs="Times New Roman"/>
          <w:color w:val="auto"/>
          <w:szCs w:val="24"/>
          <w:highlight w:val="none"/>
          <w:u w:val="single"/>
        </w:rPr>
      </w:pPr>
    </w:p>
    <w:p w14:paraId="68F078DD">
      <w:pPr>
        <w:snapToGrid w:val="0"/>
        <w:spacing w:line="400" w:lineRule="atLeast"/>
        <w:jc w:val="left"/>
        <w:rPr>
          <w:rFonts w:ascii="宋体" w:hAnsi="宋体" w:eastAsia="宋体" w:cs="Times New Roman"/>
          <w:color w:val="auto"/>
          <w:szCs w:val="24"/>
          <w:highlight w:val="none"/>
          <w:u w:val="single"/>
        </w:rPr>
      </w:pPr>
    </w:p>
    <w:p w14:paraId="690E2D0A">
      <w:pPr>
        <w:snapToGrid w:val="0"/>
        <w:spacing w:line="400" w:lineRule="atLeas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6.</w:t>
      </w:r>
      <w:bookmarkEnd w:id="369"/>
      <w:bookmarkEnd w:id="370"/>
      <w:bookmarkEnd w:id="371"/>
      <w:bookmarkEnd w:id="372"/>
      <w:bookmarkEnd w:id="373"/>
      <w:r>
        <w:rPr>
          <w:rFonts w:hint="eastAsia" w:ascii="宋体" w:hAnsi="宋体" w:eastAsia="宋体" w:cs="宋体"/>
          <w:b/>
          <w:color w:val="auto"/>
          <w:sz w:val="28"/>
          <w:szCs w:val="28"/>
          <w:highlight w:val="none"/>
        </w:rPr>
        <w:t>工程完工服务承诺书（必须提供）</w:t>
      </w:r>
    </w:p>
    <w:p w14:paraId="2A2C9D7C">
      <w:pPr>
        <w:widowControl/>
        <w:autoSpaceDE w:val="0"/>
        <w:autoSpaceDN w:val="0"/>
        <w:adjustRightInd w:val="0"/>
        <w:snapToGrid w:val="0"/>
        <w:spacing w:line="360" w:lineRule="auto"/>
        <w:ind w:firstLine="480" w:firstLineChars="200"/>
        <w:rPr>
          <w:rFonts w:ascii="宋体" w:hAnsi="Times New Roman" w:eastAsia="宋体" w:cs="Times New Roman"/>
          <w:color w:val="auto"/>
          <w:kern w:val="0"/>
          <w:sz w:val="24"/>
          <w:highlight w:val="none"/>
        </w:rPr>
      </w:pPr>
    </w:p>
    <w:p w14:paraId="07AC24D2">
      <w:pPr>
        <w:jc w:val="center"/>
        <w:rPr>
          <w:rFonts w:ascii="宋体" w:hAnsi="宋体" w:eastAsia="宋体" w:cs="宋体"/>
          <w:color w:val="auto"/>
          <w:highlight w:val="none"/>
        </w:rPr>
      </w:pPr>
      <w:r>
        <w:rPr>
          <w:rFonts w:hint="eastAsia" w:ascii="宋体" w:hAnsi="宋体" w:eastAsia="宋体" w:cs="宋体"/>
          <w:b/>
          <w:color w:val="auto"/>
          <w:sz w:val="28"/>
          <w:szCs w:val="28"/>
          <w:highlight w:val="none"/>
        </w:rPr>
        <w:t>工程</w:t>
      </w:r>
      <w:r>
        <w:rPr>
          <w:rFonts w:hint="eastAsia" w:ascii="宋体" w:hAnsi="宋体" w:eastAsia="宋体" w:cs="宋体"/>
          <w:b/>
          <w:bCs/>
          <w:color w:val="auto"/>
          <w:sz w:val="28"/>
          <w:szCs w:val="28"/>
          <w:highlight w:val="none"/>
        </w:rPr>
        <w:t>完工</w:t>
      </w:r>
      <w:r>
        <w:rPr>
          <w:rFonts w:hint="eastAsia" w:ascii="宋体" w:hAnsi="宋体" w:eastAsia="宋体" w:cs="宋体"/>
          <w:b/>
          <w:color w:val="auto"/>
          <w:sz w:val="28"/>
          <w:szCs w:val="28"/>
          <w:highlight w:val="none"/>
        </w:rPr>
        <w:t>服务承诺书</w:t>
      </w:r>
    </w:p>
    <w:p w14:paraId="3E1D6BE9">
      <w:pPr>
        <w:widowControl/>
        <w:jc w:val="left"/>
        <w:rPr>
          <w:rFonts w:ascii="宋体" w:hAnsi="宋体" w:eastAsia="宋体" w:cs="宋体"/>
          <w:color w:val="auto"/>
          <w:szCs w:val="21"/>
          <w:highlight w:val="none"/>
        </w:rPr>
      </w:pPr>
    </w:p>
    <w:p w14:paraId="4C9EEF6A">
      <w:pPr>
        <w:widowControl/>
        <w:autoSpaceDE w:val="0"/>
        <w:autoSpaceDN w:val="0"/>
        <w:adjustRightInd w:val="0"/>
        <w:snapToGrid w:val="0"/>
        <w:spacing w:line="360" w:lineRule="auto"/>
        <w:ind w:firstLine="480" w:firstLineChars="200"/>
        <w:rPr>
          <w:rFonts w:ascii="宋体" w:hAnsi="Times New Roman" w:eastAsia="宋体" w:cs="Times New Roman"/>
          <w:color w:val="auto"/>
          <w:kern w:val="0"/>
          <w:sz w:val="24"/>
          <w:highlight w:val="none"/>
        </w:rPr>
      </w:pPr>
    </w:p>
    <w:p w14:paraId="481536EB">
      <w:pPr>
        <w:widowControl/>
        <w:ind w:firstLine="2310" w:firstLineChars="1100"/>
        <w:jc w:val="left"/>
        <w:rPr>
          <w:rFonts w:ascii="宋体" w:hAnsi="宋体" w:eastAsia="宋体" w:cs="宋体"/>
          <w:color w:val="auto"/>
          <w:szCs w:val="21"/>
          <w:highlight w:val="none"/>
        </w:rPr>
      </w:pPr>
      <w:r>
        <w:rPr>
          <w:rFonts w:hint="eastAsia" w:ascii="宋体" w:hAnsi="宋体" w:eastAsia="宋体" w:cs="宋体"/>
          <w:color w:val="auto"/>
          <w:szCs w:val="21"/>
          <w:highlight w:val="none"/>
        </w:rPr>
        <w:t>供应商[公章(CA签章)]：</w:t>
      </w:r>
      <w:r>
        <w:rPr>
          <w:rFonts w:hint="eastAsia" w:ascii="宋体" w:hAnsi="宋体" w:eastAsia="宋体" w:cs="宋体"/>
          <w:color w:val="auto"/>
          <w:szCs w:val="21"/>
          <w:highlight w:val="none"/>
          <w:u w:val="single"/>
        </w:rPr>
        <w:t xml:space="preserve">                                    </w:t>
      </w:r>
    </w:p>
    <w:p w14:paraId="18A9FC7A">
      <w:pPr>
        <w:spacing w:line="300" w:lineRule="exact"/>
        <w:ind w:left="2940" w:leftChars="1400" w:firstLine="630" w:firstLineChars="300"/>
        <w:rPr>
          <w:rFonts w:ascii="宋体" w:hAnsi="宋体" w:eastAsia="宋体" w:cs="宋体"/>
          <w:color w:val="auto"/>
          <w:highlight w:val="none"/>
        </w:rPr>
      </w:pPr>
    </w:p>
    <w:p w14:paraId="0087E10A">
      <w:pPr>
        <w:snapToGrid w:val="0"/>
        <w:spacing w:line="400" w:lineRule="atLeast"/>
        <w:ind w:left="937" w:leftChars="446" w:firstLine="3255" w:firstLineChars="1550"/>
        <w:jc w:val="left"/>
        <w:rPr>
          <w:rFonts w:ascii="宋体" w:hAnsi="宋体" w:eastAsia="宋体" w:cs="宋体"/>
          <w:color w:val="auto"/>
          <w:szCs w:val="24"/>
          <w:highlight w:val="none"/>
          <w:u w:val="singl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p>
    <w:p w14:paraId="6DE4C0DE">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304CEDE5">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1C7690E4">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59F894F2">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3B6DCF94">
      <w:pPr>
        <w:snapToGrid w:val="0"/>
        <w:spacing w:line="400" w:lineRule="atLeast"/>
        <w:ind w:left="937" w:leftChars="446" w:firstLine="3255" w:firstLineChars="1550"/>
        <w:jc w:val="left"/>
        <w:rPr>
          <w:rFonts w:ascii="宋体" w:hAnsi="宋体" w:eastAsia="宋体" w:cs="宋体"/>
          <w:color w:val="auto"/>
          <w:szCs w:val="24"/>
          <w:highlight w:val="none"/>
          <w:u w:val="single"/>
        </w:rPr>
      </w:pPr>
    </w:p>
    <w:p w14:paraId="465B0BBB">
      <w:pPr>
        <w:tabs>
          <w:tab w:val="center" w:pos="4153"/>
          <w:tab w:val="right" w:pos="8306"/>
        </w:tabs>
        <w:snapToGrid w:val="0"/>
        <w:jc w:val="left"/>
        <w:rPr>
          <w:rFonts w:ascii="Times New Roman" w:hAnsi="Times New Roman" w:eastAsia="宋体" w:cs="Times New Roman"/>
          <w:color w:val="auto"/>
          <w:sz w:val="18"/>
          <w:szCs w:val="18"/>
          <w:highlight w:val="none"/>
        </w:rPr>
      </w:pPr>
    </w:p>
    <w:p w14:paraId="4C811B91">
      <w:pPr>
        <w:tabs>
          <w:tab w:val="center" w:pos="4153"/>
          <w:tab w:val="right" w:pos="8306"/>
        </w:tabs>
        <w:snapToGrid w:val="0"/>
        <w:jc w:val="left"/>
        <w:rPr>
          <w:rFonts w:ascii="宋体" w:hAnsi="宋体" w:eastAsia="宋体" w:cs="宋体"/>
          <w:b/>
          <w:color w:val="auto"/>
          <w:sz w:val="28"/>
          <w:szCs w:val="28"/>
          <w:highlight w:val="none"/>
        </w:rPr>
      </w:pPr>
      <w:bookmarkStart w:id="374" w:name="_Toc24798"/>
      <w:bookmarkStart w:id="375" w:name="_Toc330"/>
      <w:bookmarkStart w:id="376" w:name="_Toc31962"/>
      <w:bookmarkStart w:id="377" w:name="_Toc26788"/>
      <w:bookmarkStart w:id="378" w:name="_Toc27687"/>
      <w:bookmarkStart w:id="379" w:name="_Toc1043"/>
      <w:bookmarkStart w:id="380" w:name="_Toc32582"/>
      <w:r>
        <w:rPr>
          <w:rFonts w:hint="eastAsia" w:ascii="宋体" w:hAnsi="宋体" w:eastAsia="宋体" w:cs="宋体"/>
          <w:b/>
          <w:color w:val="auto"/>
          <w:sz w:val="28"/>
          <w:szCs w:val="28"/>
          <w:highlight w:val="none"/>
        </w:rPr>
        <w:t>7.</w:t>
      </w:r>
      <w:bookmarkEnd w:id="374"/>
      <w:bookmarkEnd w:id="375"/>
      <w:bookmarkEnd w:id="376"/>
      <w:bookmarkEnd w:id="377"/>
      <w:bookmarkEnd w:id="378"/>
      <w:bookmarkEnd w:id="379"/>
      <w:bookmarkEnd w:id="380"/>
      <w:bookmarkStart w:id="381" w:name="_Toc28672"/>
      <w:bookmarkStart w:id="382" w:name="_Toc9339"/>
      <w:bookmarkStart w:id="383" w:name="_Toc497927084"/>
      <w:r>
        <w:rPr>
          <w:rFonts w:hint="eastAsia" w:ascii="宋体" w:hAnsi="宋体" w:eastAsia="宋体" w:cs="宋体"/>
          <w:b/>
          <w:bCs/>
          <w:color w:val="auto"/>
          <w:sz w:val="28"/>
          <w:szCs w:val="28"/>
          <w:highlight w:val="none"/>
        </w:rPr>
        <w:t>工程渣土清运承诺书</w:t>
      </w:r>
      <w:r>
        <w:rPr>
          <w:rFonts w:hint="eastAsia" w:ascii="宋体" w:hAnsi="宋体" w:eastAsia="宋体" w:cs="宋体"/>
          <w:b/>
          <w:color w:val="auto"/>
          <w:sz w:val="28"/>
          <w:szCs w:val="28"/>
          <w:highlight w:val="none"/>
        </w:rPr>
        <w:t>（必须提供）</w:t>
      </w:r>
    </w:p>
    <w:p w14:paraId="32BD8C56">
      <w:pPr>
        <w:tabs>
          <w:tab w:val="center" w:pos="4153"/>
          <w:tab w:val="right" w:pos="8306"/>
        </w:tabs>
        <w:snapToGrid w:val="0"/>
        <w:jc w:val="left"/>
        <w:rPr>
          <w:rFonts w:ascii="宋体" w:hAnsi="宋体" w:eastAsia="宋体" w:cs="宋体"/>
          <w:b/>
          <w:color w:val="auto"/>
          <w:sz w:val="28"/>
          <w:szCs w:val="28"/>
          <w:highlight w:val="none"/>
        </w:rPr>
      </w:pPr>
    </w:p>
    <w:p w14:paraId="5956A404">
      <w:pPr>
        <w:tabs>
          <w:tab w:val="center" w:pos="4153"/>
          <w:tab w:val="right" w:pos="8306"/>
        </w:tabs>
        <w:snapToGrid w:val="0"/>
        <w:jc w:val="left"/>
        <w:rPr>
          <w:rFonts w:ascii="宋体" w:hAnsi="宋体" w:eastAsia="宋体" w:cs="宋体"/>
          <w:b/>
          <w:color w:val="auto"/>
          <w:sz w:val="28"/>
          <w:szCs w:val="28"/>
          <w:highlight w:val="none"/>
        </w:rPr>
      </w:pPr>
    </w:p>
    <w:p w14:paraId="2A69E397">
      <w:pPr>
        <w:tabs>
          <w:tab w:val="center" w:pos="4153"/>
          <w:tab w:val="right" w:pos="8306"/>
        </w:tabs>
        <w:snapToGrid w:val="0"/>
        <w:jc w:val="left"/>
        <w:rPr>
          <w:rFonts w:ascii="宋体" w:hAnsi="宋体" w:eastAsia="宋体" w:cs="宋体"/>
          <w:b/>
          <w:color w:val="auto"/>
          <w:sz w:val="28"/>
          <w:szCs w:val="28"/>
          <w:highlight w:val="none"/>
        </w:rPr>
      </w:pPr>
    </w:p>
    <w:p w14:paraId="26424EED">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按照桂林市建设工程招标站市建招字[2011]02号的规定承诺；</w:t>
      </w:r>
    </w:p>
    <w:p w14:paraId="2DA8FFFB">
      <w:pPr>
        <w:spacing w:line="360" w:lineRule="auto"/>
        <w:rPr>
          <w:rFonts w:ascii="宋体" w:hAnsi="宋体" w:eastAsia="宋体" w:cs="宋体"/>
          <w:b/>
          <w:bCs/>
          <w:color w:val="auto"/>
          <w:w w:val="99"/>
          <w:kern w:val="0"/>
          <w:szCs w:val="21"/>
          <w:highlight w:val="none"/>
        </w:rPr>
      </w:pPr>
    </w:p>
    <w:p w14:paraId="7041AFD7">
      <w:pPr>
        <w:autoSpaceDE w:val="0"/>
        <w:autoSpaceDN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供应商名称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 xml:space="preserve">[盖单位公章（CA签章）]  ：                </w:t>
      </w:r>
    </w:p>
    <w:p w14:paraId="7A37F5E3">
      <w:pPr>
        <w:autoSpaceDE w:val="0"/>
        <w:autoSpaceDN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法定代表人或其委托代理人[签字或盖章（CA签章）]：</w:t>
      </w:r>
      <w:r>
        <w:rPr>
          <w:rFonts w:hint="eastAsia" w:ascii="宋体" w:hAnsi="宋体" w:eastAsia="宋体" w:cs="宋体"/>
          <w:color w:val="auto"/>
          <w:szCs w:val="21"/>
          <w:highlight w:val="none"/>
          <w:u w:val="single"/>
        </w:rPr>
        <w:t xml:space="preserve">                         </w:t>
      </w:r>
    </w:p>
    <w:p w14:paraId="12BF20E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467056D4">
      <w:pPr>
        <w:tabs>
          <w:tab w:val="center" w:pos="4153"/>
          <w:tab w:val="right" w:pos="8306"/>
        </w:tabs>
        <w:snapToGrid w:val="0"/>
        <w:jc w:val="left"/>
        <w:rPr>
          <w:rFonts w:ascii="宋体" w:hAnsi="宋体" w:eastAsia="宋体" w:cs="宋体"/>
          <w:b/>
          <w:color w:val="auto"/>
          <w:sz w:val="28"/>
          <w:szCs w:val="28"/>
          <w:highlight w:val="none"/>
        </w:rPr>
      </w:pPr>
    </w:p>
    <w:p w14:paraId="43A70CE1">
      <w:pPr>
        <w:spacing w:line="340" w:lineRule="exact"/>
        <w:ind w:left="420"/>
        <w:jc w:val="center"/>
        <w:outlineLvl w:val="1"/>
        <w:rPr>
          <w:rFonts w:ascii="宋体" w:hAnsi="宋体" w:eastAsia="宋体" w:cs="宋体"/>
          <w:b/>
          <w:bCs/>
          <w:color w:val="auto"/>
          <w:sz w:val="32"/>
          <w:szCs w:val="32"/>
          <w:highlight w:val="none"/>
        </w:rPr>
      </w:pPr>
    </w:p>
    <w:p w14:paraId="435D0136">
      <w:pPr>
        <w:tabs>
          <w:tab w:val="center" w:pos="4153"/>
          <w:tab w:val="right" w:pos="8306"/>
        </w:tabs>
        <w:snapToGrid w:val="0"/>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8.农民工工资保证金的交纳与使用承诺书（必须提供）</w:t>
      </w:r>
    </w:p>
    <w:p w14:paraId="3E4CDDAA">
      <w:pPr>
        <w:tabs>
          <w:tab w:val="center" w:pos="4153"/>
          <w:tab w:val="right" w:pos="8306"/>
        </w:tabs>
        <w:snapToGrid w:val="0"/>
        <w:jc w:val="left"/>
        <w:rPr>
          <w:rFonts w:ascii="宋体" w:hAnsi="宋体" w:eastAsia="宋体" w:cs="宋体"/>
          <w:b/>
          <w:bCs/>
          <w:color w:val="auto"/>
          <w:sz w:val="28"/>
          <w:szCs w:val="28"/>
          <w:highlight w:val="none"/>
        </w:rPr>
      </w:pPr>
    </w:p>
    <w:p w14:paraId="3BCA8982">
      <w:pPr>
        <w:spacing w:line="360" w:lineRule="auto"/>
        <w:rPr>
          <w:rFonts w:ascii="宋体" w:hAnsi="宋体" w:eastAsia="宋体" w:cs="宋体"/>
          <w:b/>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（采购人）</w:t>
      </w:r>
    </w:p>
    <w:p w14:paraId="300B7028">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我方在此承诺：</w:t>
      </w:r>
    </w:p>
    <w:p w14:paraId="49B4A556">
      <w:pPr>
        <w:spacing w:line="360" w:lineRule="auto"/>
        <w:ind w:firstLine="525" w:firstLine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1.我方在本项目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（项目名称及编号）响应文件递交截止之日前所承建工程中，无拖欠或克扣农民工工资的行为。</w:t>
      </w:r>
    </w:p>
    <w:p w14:paraId="3EB0A123">
      <w:pPr>
        <w:spacing w:line="360" w:lineRule="auto"/>
        <w:ind w:firstLine="49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 我方参与磋商的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项目，一旦成交，我方保证在签订施工合同后，及时并足额将农民工工资保证金足额存入指定的账户，作为本项目农民工工资保证金。</w:t>
      </w:r>
    </w:p>
    <w:p w14:paraId="33FE4CB2">
      <w:pPr>
        <w:spacing w:line="360" w:lineRule="auto"/>
        <w:ind w:firstLine="49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 如我方在承包的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项目中出现拖欠农民工和工人工资情况的，由相关部门从其农民工工资保证金中先予划支。</w:t>
      </w:r>
    </w:p>
    <w:p w14:paraId="5213A18F">
      <w:pPr>
        <w:spacing w:line="360" w:lineRule="auto"/>
        <w:ind w:firstLine="495"/>
        <w:rPr>
          <w:rFonts w:ascii="宋体" w:hAnsi="宋体" w:eastAsia="宋体" w:cs="宋体"/>
          <w:color w:val="auto"/>
          <w:szCs w:val="21"/>
          <w:highlight w:val="none"/>
        </w:rPr>
      </w:pPr>
      <w:r>
        <w:rPr>
          <w:rFonts w:hint="eastAsia" w:ascii="宋体" w:hAnsi="宋体" w:eastAsia="宋体" w:cs="宋体"/>
          <w:color w:val="auto"/>
          <w:kern w:val="0"/>
          <w:szCs w:val="21"/>
          <w:highlight w:val="none"/>
        </w:rPr>
        <w:t>4. 如我方不按时、足额存入农民工工资保证金，采购人有权取消我方承包资格。</w:t>
      </w:r>
    </w:p>
    <w:p w14:paraId="3EB2682C">
      <w:pPr>
        <w:spacing w:line="360" w:lineRule="auto"/>
        <w:jc w:val="center"/>
        <w:rPr>
          <w:rFonts w:ascii="宋体" w:hAnsi="宋体" w:eastAsia="宋体" w:cs="宋体"/>
          <w:b/>
          <w:bCs/>
          <w:color w:val="auto"/>
          <w:szCs w:val="21"/>
          <w:highlight w:val="none"/>
        </w:rPr>
      </w:pPr>
    </w:p>
    <w:p w14:paraId="38B9C5EA">
      <w:pPr>
        <w:autoSpaceDE w:val="0"/>
        <w:autoSpaceDN w:val="0"/>
        <w:spacing w:line="360"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供应商名称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[盖单位公章（CA签章）]  ：</w:t>
      </w:r>
      <w:r>
        <w:rPr>
          <w:rFonts w:hint="eastAsia" w:ascii="宋体" w:hAnsi="宋体" w:eastAsia="宋体" w:cs="宋体"/>
          <w:color w:val="auto"/>
          <w:kern w:val="0"/>
          <w:szCs w:val="21"/>
          <w:highlight w:val="none"/>
          <w:u w:val="single"/>
        </w:rPr>
        <w:t xml:space="preserve">                </w:t>
      </w:r>
    </w:p>
    <w:p w14:paraId="5E287415">
      <w:pPr>
        <w:autoSpaceDE w:val="0"/>
        <w:autoSpaceDN w:val="0"/>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法定代表人或其委托代理人[签字或盖章（CA签章）]：</w:t>
      </w:r>
      <w:r>
        <w:rPr>
          <w:rFonts w:hint="eastAsia" w:ascii="宋体" w:hAnsi="宋体" w:eastAsia="宋体" w:cs="宋体"/>
          <w:color w:val="auto"/>
          <w:szCs w:val="21"/>
          <w:highlight w:val="none"/>
          <w:u w:val="single"/>
        </w:rPr>
        <w:t xml:space="preserve">                         </w:t>
      </w:r>
    </w:p>
    <w:p w14:paraId="648F353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p>
    <w:p w14:paraId="51D3BF66">
      <w:pPr>
        <w:spacing w:line="340" w:lineRule="exact"/>
        <w:outlineLvl w:val="1"/>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br w:type="page"/>
      </w:r>
      <w:bookmarkStart w:id="384" w:name="_Toc13120"/>
      <w:bookmarkStart w:id="385" w:name="_Toc26970"/>
      <w:r>
        <w:rPr>
          <w:rFonts w:hint="eastAsia" w:ascii="宋体" w:hAnsi="宋体" w:eastAsia="宋体" w:cs="宋体"/>
          <w:b/>
          <w:bCs/>
          <w:color w:val="auto"/>
          <w:sz w:val="28"/>
          <w:szCs w:val="28"/>
          <w:highlight w:val="none"/>
        </w:rPr>
        <w:t>（三）其他有效证明材料目录</w:t>
      </w:r>
      <w:bookmarkEnd w:id="381"/>
      <w:bookmarkEnd w:id="382"/>
      <w:bookmarkEnd w:id="383"/>
      <w:bookmarkEnd w:id="384"/>
      <w:bookmarkEnd w:id="385"/>
    </w:p>
    <w:p w14:paraId="73418072">
      <w:pPr>
        <w:spacing w:line="360" w:lineRule="auto"/>
        <w:rPr>
          <w:rFonts w:ascii="宋体" w:hAnsi="宋体" w:eastAsia="宋体" w:cs="宋体"/>
          <w:color w:val="auto"/>
          <w:szCs w:val="21"/>
          <w:highlight w:val="none"/>
        </w:rPr>
      </w:pPr>
    </w:p>
    <w:p w14:paraId="13EFEC8A">
      <w:pPr>
        <w:tabs>
          <w:tab w:val="left" w:pos="2310"/>
        </w:tabs>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年1月1日以来具有同类项目的业绩相关证明材料（无不良记录，以中标、成交通知书或签订的合同为准，并能清晰反映项目的名称、采购内容、采购金额、采购时间）（如有，请提供）；</w:t>
      </w:r>
    </w:p>
    <w:p w14:paraId="6D312EBF">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w:t>
      </w:r>
      <w:r>
        <w:rPr>
          <w:rFonts w:hint="eastAsia" w:ascii="宋体" w:hAnsi="宋体" w:eastAsia="宋体" w:cs="宋体"/>
          <w:color w:val="auto"/>
          <w:szCs w:val="21"/>
          <w:highlight w:val="none"/>
        </w:rPr>
        <w:t>供应商可结合本项目的评审办法视自身情况自行提交其它相关证明材料（如有，请提供）。</w:t>
      </w:r>
    </w:p>
    <w:p w14:paraId="40C601C7">
      <w:pPr>
        <w:spacing w:line="360" w:lineRule="auto"/>
        <w:ind w:firstLine="480" w:firstLineChars="200"/>
        <w:rPr>
          <w:rFonts w:ascii="宋体" w:hAnsi="宋体" w:eastAsia="宋体" w:cs="宋体"/>
          <w:color w:val="auto"/>
          <w:sz w:val="24"/>
          <w:szCs w:val="24"/>
          <w:highlight w:val="none"/>
        </w:rPr>
      </w:pPr>
    </w:p>
    <w:p w14:paraId="7506D879">
      <w:pPr>
        <w:autoSpaceDE w:val="0"/>
        <w:autoSpaceDN w:val="0"/>
        <w:adjustRightInd w:val="0"/>
        <w:jc w:val="left"/>
        <w:rPr>
          <w:rFonts w:ascii="宋体" w:hAnsi="宋体" w:eastAsia="宋体" w:cs="宋体"/>
          <w:b/>
          <w:bCs/>
          <w:color w:val="auto"/>
          <w:kern w:val="0"/>
          <w:sz w:val="24"/>
          <w:szCs w:val="24"/>
          <w:highlight w:val="none"/>
        </w:rPr>
      </w:pPr>
    </w:p>
    <w:p w14:paraId="5DCB7548">
      <w:pPr>
        <w:autoSpaceDE w:val="0"/>
        <w:autoSpaceDN w:val="0"/>
        <w:adjustRightInd w:val="0"/>
        <w:jc w:val="left"/>
        <w:rPr>
          <w:rFonts w:ascii="宋体" w:hAnsi="宋体" w:eastAsia="宋体" w:cs="宋体"/>
          <w:b/>
          <w:bCs/>
          <w:color w:val="auto"/>
          <w:kern w:val="0"/>
          <w:sz w:val="24"/>
          <w:szCs w:val="24"/>
          <w:highlight w:val="none"/>
        </w:rPr>
      </w:pPr>
    </w:p>
    <w:p w14:paraId="378ECC01">
      <w:pPr>
        <w:autoSpaceDE w:val="0"/>
        <w:autoSpaceDN w:val="0"/>
        <w:adjustRightInd w:val="0"/>
        <w:jc w:val="left"/>
        <w:rPr>
          <w:rFonts w:ascii="宋体" w:hAnsi="宋体" w:eastAsia="宋体" w:cs="宋体"/>
          <w:b/>
          <w:bCs/>
          <w:color w:val="auto"/>
          <w:kern w:val="0"/>
          <w:sz w:val="24"/>
          <w:szCs w:val="24"/>
          <w:highlight w:val="none"/>
        </w:rPr>
      </w:pPr>
    </w:p>
    <w:p w14:paraId="5140A6D0">
      <w:pPr>
        <w:autoSpaceDE w:val="0"/>
        <w:autoSpaceDN w:val="0"/>
        <w:adjustRightInd w:val="0"/>
        <w:jc w:val="left"/>
        <w:rPr>
          <w:rFonts w:ascii="宋体" w:hAnsi="宋体" w:eastAsia="宋体" w:cs="宋体"/>
          <w:b/>
          <w:bCs/>
          <w:color w:val="auto"/>
          <w:kern w:val="0"/>
          <w:sz w:val="24"/>
          <w:szCs w:val="24"/>
          <w:highlight w:val="none"/>
        </w:rPr>
      </w:pPr>
    </w:p>
    <w:p w14:paraId="1839A955">
      <w:pPr>
        <w:spacing w:line="400" w:lineRule="exact"/>
        <w:outlineLvl w:val="1"/>
        <w:rPr>
          <w:rFonts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br w:type="page"/>
      </w:r>
      <w:bookmarkStart w:id="386" w:name="_Toc4954"/>
      <w:bookmarkStart w:id="387" w:name="_Toc6063"/>
      <w:bookmarkStart w:id="388" w:name="_Toc13907"/>
      <w:bookmarkStart w:id="389" w:name="_Toc4151"/>
      <w:bookmarkStart w:id="390" w:name="_Toc6250"/>
      <w:bookmarkStart w:id="391" w:name="_Toc27652"/>
      <w:r>
        <w:rPr>
          <w:rFonts w:hint="eastAsia" w:ascii="宋体" w:hAnsi="宋体" w:eastAsia="宋体" w:cs="宋体"/>
          <w:b/>
          <w:bCs/>
          <w:iCs/>
          <w:color w:val="auto"/>
          <w:sz w:val="28"/>
          <w:szCs w:val="28"/>
          <w:highlight w:val="none"/>
        </w:rPr>
        <w:t>1.</w:t>
      </w:r>
      <w:bookmarkEnd w:id="386"/>
      <w:bookmarkEnd w:id="387"/>
      <w:bookmarkEnd w:id="388"/>
      <w:bookmarkEnd w:id="389"/>
      <w:bookmarkEnd w:id="390"/>
      <w:r>
        <w:rPr>
          <w:rFonts w:hint="eastAsia" w:ascii="宋体" w:hAnsi="宋体" w:eastAsia="宋体" w:cs="宋体"/>
          <w:b/>
          <w:bCs/>
          <w:iCs/>
          <w:color w:val="auto"/>
          <w:sz w:val="28"/>
          <w:szCs w:val="28"/>
          <w:highlight w:val="none"/>
        </w:rPr>
        <w:t>供应商202</w:t>
      </w:r>
      <w:r>
        <w:rPr>
          <w:rFonts w:hint="eastAsia" w:ascii="宋体" w:hAnsi="宋体" w:eastAsia="宋体" w:cs="宋体"/>
          <w:b/>
          <w:bCs/>
          <w:iCs/>
          <w:color w:val="auto"/>
          <w:sz w:val="28"/>
          <w:szCs w:val="28"/>
          <w:highlight w:val="none"/>
          <w:lang w:val="en-US" w:eastAsia="zh-CN"/>
        </w:rPr>
        <w:t>3</w:t>
      </w:r>
      <w:r>
        <w:rPr>
          <w:rFonts w:hint="eastAsia" w:ascii="宋体" w:hAnsi="宋体" w:eastAsia="宋体" w:cs="宋体"/>
          <w:b/>
          <w:bCs/>
          <w:iCs/>
          <w:color w:val="auto"/>
          <w:sz w:val="28"/>
          <w:szCs w:val="28"/>
          <w:highlight w:val="none"/>
        </w:rPr>
        <w:t>年1月1日以来具有同类项目的业绩相关证明材料（无不良记录，以中标、成交通知书或签订的合同为准，并能清晰反映项目的名称、采购内容、采购金额、采购时间）（如有，请提供）</w:t>
      </w:r>
      <w:bookmarkEnd w:id="391"/>
    </w:p>
    <w:p w14:paraId="3687503D">
      <w:pPr>
        <w:rPr>
          <w:rFonts w:ascii="Times New Roman" w:hAnsi="Times New Roman" w:eastAsia="宋体" w:cs="Times New Roman"/>
          <w:color w:val="auto"/>
          <w:szCs w:val="24"/>
          <w:highlight w:val="none"/>
        </w:rPr>
      </w:pPr>
    </w:p>
    <w:p w14:paraId="5CAD63CB">
      <w:pPr>
        <w:rPr>
          <w:rFonts w:ascii="Times New Roman" w:hAnsi="Times New Roman" w:eastAsia="宋体" w:cs="Times New Roman"/>
          <w:color w:val="auto"/>
          <w:szCs w:val="24"/>
          <w:highlight w:val="none"/>
        </w:rPr>
      </w:pPr>
    </w:p>
    <w:p w14:paraId="221CF87E">
      <w:pPr>
        <w:tabs>
          <w:tab w:val="left" w:pos="1305"/>
        </w:tabs>
        <w:spacing w:line="360" w:lineRule="exact"/>
        <w:ind w:firstLine="420" w:firstLineChars="200"/>
        <w:rPr>
          <w:rFonts w:ascii="宋体" w:hAnsi="宋体" w:eastAsia="宋体" w:cs="宋体"/>
          <w:bCs/>
          <w:color w:val="auto"/>
          <w:kern w:val="0"/>
          <w:szCs w:val="21"/>
          <w:highlight w:val="none"/>
        </w:rPr>
      </w:pPr>
    </w:p>
    <w:p w14:paraId="4A7370AD">
      <w:pPr>
        <w:tabs>
          <w:tab w:val="left" w:pos="1305"/>
        </w:tabs>
        <w:spacing w:line="360" w:lineRule="exact"/>
        <w:ind w:firstLine="420" w:firstLineChars="200"/>
        <w:rPr>
          <w:rFonts w:ascii="宋体" w:hAnsi="宋体" w:eastAsia="宋体" w:cs="宋体"/>
          <w:bCs/>
          <w:color w:val="auto"/>
          <w:kern w:val="0"/>
          <w:szCs w:val="21"/>
          <w:highlight w:val="none"/>
        </w:rPr>
      </w:pPr>
    </w:p>
    <w:p w14:paraId="23CD670C">
      <w:pPr>
        <w:tabs>
          <w:tab w:val="left" w:pos="1305"/>
        </w:tabs>
        <w:spacing w:line="360" w:lineRule="exact"/>
        <w:ind w:firstLine="560" w:firstLineChars="200"/>
        <w:rPr>
          <w:rFonts w:ascii="宋体" w:hAnsi="宋体" w:eastAsia="宋体" w:cs="宋体"/>
          <w:bCs/>
          <w:color w:val="auto"/>
          <w:kern w:val="0"/>
          <w:sz w:val="28"/>
          <w:szCs w:val="28"/>
          <w:highlight w:val="none"/>
        </w:rPr>
      </w:pPr>
    </w:p>
    <w:p w14:paraId="03FF2537">
      <w:pPr>
        <w:outlineLvl w:val="1"/>
        <w:rPr>
          <w:rFonts w:ascii="宋体" w:hAnsi="宋体" w:eastAsia="宋体" w:cs="宋体"/>
          <w:b/>
          <w:bCs/>
          <w:iCs/>
          <w:color w:val="auto"/>
          <w:sz w:val="28"/>
          <w:szCs w:val="28"/>
          <w:highlight w:val="none"/>
        </w:rPr>
      </w:pPr>
      <w:bookmarkStart w:id="392" w:name="_Toc21485"/>
      <w:bookmarkStart w:id="393" w:name="_Toc21043"/>
      <w:bookmarkStart w:id="394" w:name="_Toc30255"/>
      <w:bookmarkStart w:id="395" w:name="_Toc15093"/>
      <w:bookmarkStart w:id="396" w:name="_Toc17885"/>
      <w:bookmarkStart w:id="397" w:name="_Toc3458"/>
      <w:r>
        <w:rPr>
          <w:rFonts w:hint="eastAsia" w:ascii="宋体" w:hAnsi="宋体" w:eastAsia="宋体" w:cs="宋体"/>
          <w:b/>
          <w:bCs/>
          <w:iCs/>
          <w:color w:val="auto"/>
          <w:sz w:val="28"/>
          <w:szCs w:val="28"/>
          <w:highlight w:val="none"/>
        </w:rPr>
        <w:t>2.</w:t>
      </w:r>
      <w:bookmarkEnd w:id="392"/>
      <w:bookmarkEnd w:id="393"/>
      <w:bookmarkEnd w:id="394"/>
      <w:bookmarkEnd w:id="395"/>
      <w:bookmarkEnd w:id="396"/>
      <w:r>
        <w:rPr>
          <w:rFonts w:hint="eastAsia" w:ascii="宋体" w:hAnsi="宋体" w:eastAsia="宋体" w:cs="宋体"/>
          <w:b/>
          <w:bCs/>
          <w:iCs/>
          <w:color w:val="auto"/>
          <w:sz w:val="28"/>
          <w:szCs w:val="28"/>
          <w:highlight w:val="none"/>
        </w:rPr>
        <w:t>供应商可结合本项目的评审办法视自身情况自行提交其它相关证明材料（如有，请提供）</w:t>
      </w:r>
      <w:bookmarkEnd w:id="397"/>
    </w:p>
    <w:p w14:paraId="2A50ACC9">
      <w:pPr>
        <w:rPr>
          <w:rFonts w:ascii="Times New Roman" w:hAnsi="Times New Roman" w:eastAsia="宋体" w:cs="Times New Roman"/>
          <w:color w:val="auto"/>
          <w:szCs w:val="24"/>
          <w:highlight w:val="none"/>
        </w:rPr>
      </w:pPr>
    </w:p>
    <w:p w14:paraId="4C9985E3">
      <w:pPr>
        <w:rPr>
          <w:rFonts w:ascii="Times New Roman" w:hAnsi="Times New Roman" w:eastAsia="宋体" w:cs="Times New Roman"/>
          <w:color w:val="auto"/>
          <w:szCs w:val="24"/>
          <w:highlight w:val="none"/>
        </w:rPr>
      </w:pPr>
    </w:p>
    <w:p w14:paraId="749B24EF">
      <w:pPr>
        <w:rPr>
          <w:rFonts w:ascii="Times New Roman" w:hAnsi="Times New Roman" w:eastAsia="宋体" w:cs="Times New Roman"/>
          <w:color w:val="auto"/>
          <w:szCs w:val="24"/>
          <w:highlight w:val="none"/>
        </w:rPr>
      </w:pPr>
    </w:p>
    <w:p w14:paraId="118D000E">
      <w:pPr>
        <w:jc w:val="center"/>
        <w:outlineLvl w:val="0"/>
        <w:rPr>
          <w:rFonts w:ascii="华文中宋" w:hAnsi="华文中宋" w:eastAsia="华文中宋" w:cs="华文中宋"/>
          <w:b/>
          <w:bCs/>
          <w:color w:val="auto"/>
          <w:sz w:val="32"/>
          <w:szCs w:val="32"/>
          <w:highlight w:val="none"/>
        </w:rPr>
      </w:pPr>
      <w:bookmarkStart w:id="398" w:name="_Toc12385"/>
      <w:bookmarkStart w:id="399" w:name="_Toc22545"/>
      <w:bookmarkStart w:id="400" w:name="_Toc18780"/>
      <w:bookmarkStart w:id="401" w:name="_Toc2237"/>
      <w:bookmarkStart w:id="402" w:name="_Toc16390"/>
      <w:bookmarkStart w:id="403" w:name="_Toc16284"/>
      <w:bookmarkStart w:id="404" w:name="_Toc6973"/>
      <w:bookmarkStart w:id="405" w:name="_Toc1637952"/>
      <w:r>
        <w:rPr>
          <w:rFonts w:hint="eastAsia" w:ascii="华文中宋" w:hAnsi="华文中宋" w:eastAsia="华文中宋" w:cs="华文中宋"/>
          <w:b/>
          <w:bCs/>
          <w:color w:val="auto"/>
          <w:sz w:val="32"/>
          <w:szCs w:val="32"/>
          <w:highlight w:val="none"/>
        </w:rPr>
        <w:br w:type="page"/>
      </w:r>
      <w:bookmarkStart w:id="406" w:name="_Toc24730"/>
      <w:r>
        <w:rPr>
          <w:rFonts w:hint="eastAsia" w:ascii="宋体" w:hAnsi="宋体" w:eastAsia="宋体" w:cs="宋体"/>
          <w:color w:val="auto"/>
          <w:sz w:val="32"/>
          <w:szCs w:val="32"/>
          <w:highlight w:val="none"/>
        </w:rPr>
        <w:t>第七章  图纸</w:t>
      </w:r>
      <w:bookmarkEnd w:id="398"/>
      <w:bookmarkEnd w:id="399"/>
      <w:bookmarkEnd w:id="400"/>
      <w:bookmarkEnd w:id="401"/>
      <w:bookmarkEnd w:id="402"/>
      <w:bookmarkEnd w:id="403"/>
      <w:bookmarkEnd w:id="404"/>
      <w:bookmarkEnd w:id="406"/>
    </w:p>
    <w:bookmarkEnd w:id="405"/>
    <w:p w14:paraId="637CF9C5">
      <w:pPr>
        <w:jc w:val="center"/>
        <w:rPr>
          <w:rFonts w:ascii="Times New Roman" w:hAnsi="Times New Roman" w:eastAsia="宋体" w:cs="Times New Roman"/>
          <w:color w:val="auto"/>
          <w:szCs w:val="24"/>
          <w:highlight w:val="none"/>
        </w:rPr>
      </w:pPr>
    </w:p>
    <w:p w14:paraId="6B306B00">
      <w:pPr>
        <w:jc w:val="center"/>
        <w:rPr>
          <w:rFonts w:ascii="宋体" w:hAnsi="宋体" w:eastAsia="宋体" w:cs="宋体"/>
          <w:b/>
          <w:color w:val="auto"/>
          <w:kern w:val="0"/>
          <w:sz w:val="24"/>
          <w:szCs w:val="24"/>
          <w:highlight w:val="none"/>
        </w:rPr>
      </w:pPr>
      <w:bookmarkStart w:id="407" w:name="_Toc16907"/>
      <w:bookmarkStart w:id="408" w:name="_Toc11205"/>
      <w:r>
        <w:rPr>
          <w:rFonts w:hint="eastAsia" w:ascii="宋体" w:hAnsi="宋体" w:eastAsia="宋体" w:cs="宋体"/>
          <w:b/>
          <w:color w:val="auto"/>
          <w:kern w:val="0"/>
          <w:sz w:val="28"/>
          <w:szCs w:val="28"/>
          <w:highlight w:val="none"/>
        </w:rPr>
        <w:t>另附</w:t>
      </w:r>
      <w:bookmarkEnd w:id="407"/>
      <w:bookmarkEnd w:id="408"/>
    </w:p>
    <w:p w14:paraId="053329F4">
      <w:pPr>
        <w:rPr>
          <w:rFonts w:ascii="Times New Roman" w:hAnsi="Times New Roman" w:eastAsia="宋体" w:cs="Times New Roman"/>
          <w:color w:val="auto"/>
          <w:szCs w:val="24"/>
          <w:highlight w:val="none"/>
        </w:rPr>
      </w:pPr>
    </w:p>
    <w:p w14:paraId="34007150">
      <w:pPr>
        <w:rPr>
          <w:color w:val="auto"/>
          <w:highlight w:val="none"/>
        </w:rPr>
      </w:pPr>
    </w:p>
    <w:p w14:paraId="031A96AF">
      <w:pPr>
        <w:rPr>
          <w:color w:val="auto"/>
          <w:highlight w:val="none"/>
        </w:rPr>
      </w:pPr>
    </w:p>
    <w:sectPr>
      <w:headerReference r:id="rId4" w:type="default"/>
      <w:footerReference r:id="rId5" w:type="default"/>
      <w:pgSz w:w="11910" w:h="16850"/>
      <w:pgMar w:top="1440" w:right="1304" w:bottom="1440" w:left="1304"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鼎中隶简">
    <w:altName w:val="宋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C87C">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05228">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605228">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B360">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2526B">
                          <w:pPr>
                            <w:pStyle w:val="8"/>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eANNcBAACy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bmuUpE0L8+RGKXSafWY7+JEV1llj2NXZqVP9e56v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N3gDTXAQAAsgMAAA4AAAAAAAAAAQAgAAAA&#10;HgEAAGRycy9lMm9Eb2MueG1sUEsFBgAAAAAGAAYAWQEAAGcFAAAAAA==&#10;">
              <v:fill on="f" focussize="0,0"/>
              <v:stroke on="f"/>
              <v:imagedata o:title=""/>
              <o:lock v:ext="edit" aspectratio="f"/>
              <v:textbox inset="0mm,0mm,0mm,0mm" style="mso-fit-shape-to-text:t;">
                <w:txbxContent>
                  <w:p w14:paraId="5D52526B">
                    <w:pPr>
                      <w:pStyle w:val="8"/>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rPr>
      <w:t xml:space="preserve"> </w:t>
    </w:r>
    <w:r>
      <w:t xml:space="preserve"> </w:t>
    </w:r>
  </w:p>
  <w:p w14:paraId="382AFFB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8326">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F1F37"/>
    <w:multiLevelType w:val="singleLevel"/>
    <w:tmpl w:val="BDAF1F37"/>
    <w:lvl w:ilvl="0" w:tentative="0">
      <w:start w:val="4"/>
      <w:numFmt w:val="decimal"/>
      <w:suff w:val="nothing"/>
      <w:lvlText w:val="（%1）"/>
      <w:lvlJc w:val="left"/>
      <w:pPr>
        <w:ind w:left="-60"/>
      </w:pPr>
    </w:lvl>
  </w:abstractNum>
  <w:abstractNum w:abstractNumId="1">
    <w:nsid w:val="DF1D21AD"/>
    <w:multiLevelType w:val="singleLevel"/>
    <w:tmpl w:val="DF1D21AD"/>
    <w:lvl w:ilvl="0" w:tentative="0">
      <w:start w:val="31"/>
      <w:numFmt w:val="decimal"/>
      <w:suff w:val="space"/>
      <w:lvlText w:val="%1."/>
      <w:lvlJc w:val="left"/>
    </w:lvl>
  </w:abstractNum>
  <w:abstractNum w:abstractNumId="2">
    <w:nsid w:val="079DF5A7"/>
    <w:multiLevelType w:val="singleLevel"/>
    <w:tmpl w:val="079DF5A7"/>
    <w:lvl w:ilvl="0" w:tentative="0">
      <w:start w:val="5"/>
      <w:numFmt w:val="chineseCounting"/>
      <w:suff w:val="space"/>
      <w:lvlText w:val="第%1章"/>
      <w:lvlJc w:val="left"/>
      <w:rPr>
        <w:rFonts w:hint="eastAsia"/>
      </w:rPr>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40D69635"/>
    <w:multiLevelType w:val="singleLevel"/>
    <w:tmpl w:val="40D69635"/>
    <w:lvl w:ilvl="0" w:tentative="0">
      <w:start w:val="1"/>
      <w:numFmt w:val="chineseCounting"/>
      <w:suff w:val="nothing"/>
      <w:lvlText w:val="（%1）"/>
      <w:lvlJc w:val="left"/>
      <w:rPr>
        <w:rFonts w:hint="eastAsia"/>
      </w:rPr>
    </w:lvl>
  </w:abstractNum>
  <w:abstractNum w:abstractNumId="6">
    <w:nsid w:val="6D4FA51F"/>
    <w:multiLevelType w:val="singleLevel"/>
    <w:tmpl w:val="6D4FA51F"/>
    <w:lvl w:ilvl="0" w:tentative="0">
      <w:start w:val="26"/>
      <w:numFmt w:val="decimal"/>
      <w:suff w:val="space"/>
      <w:lvlText w:val="%1."/>
      <w:lvlJc w:val="left"/>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2B"/>
    <w:rsid w:val="0028392B"/>
    <w:rsid w:val="004B7891"/>
    <w:rsid w:val="005D6E52"/>
    <w:rsid w:val="00822FC5"/>
    <w:rsid w:val="009E4357"/>
    <w:rsid w:val="02FC45A7"/>
    <w:rsid w:val="07F05FEF"/>
    <w:rsid w:val="088A677D"/>
    <w:rsid w:val="095E10E8"/>
    <w:rsid w:val="0B536D2E"/>
    <w:rsid w:val="0BE23090"/>
    <w:rsid w:val="0CA46B87"/>
    <w:rsid w:val="0DE678D3"/>
    <w:rsid w:val="13791560"/>
    <w:rsid w:val="13D1738A"/>
    <w:rsid w:val="145A23BC"/>
    <w:rsid w:val="146A33AA"/>
    <w:rsid w:val="14B545B5"/>
    <w:rsid w:val="14D22CD0"/>
    <w:rsid w:val="18581E27"/>
    <w:rsid w:val="18F25DD8"/>
    <w:rsid w:val="19B17A41"/>
    <w:rsid w:val="1DEC0A3C"/>
    <w:rsid w:val="1F023174"/>
    <w:rsid w:val="1FE00127"/>
    <w:rsid w:val="1FF16DE9"/>
    <w:rsid w:val="207417C9"/>
    <w:rsid w:val="230F132C"/>
    <w:rsid w:val="232512A2"/>
    <w:rsid w:val="25871357"/>
    <w:rsid w:val="26887D7C"/>
    <w:rsid w:val="272555CB"/>
    <w:rsid w:val="293B7327"/>
    <w:rsid w:val="2A0D531A"/>
    <w:rsid w:val="2C332538"/>
    <w:rsid w:val="2D216834"/>
    <w:rsid w:val="32FD564D"/>
    <w:rsid w:val="3354026C"/>
    <w:rsid w:val="33C148CD"/>
    <w:rsid w:val="34853B4C"/>
    <w:rsid w:val="34B866F6"/>
    <w:rsid w:val="35E93C67"/>
    <w:rsid w:val="36286745"/>
    <w:rsid w:val="38A1734A"/>
    <w:rsid w:val="393B55E8"/>
    <w:rsid w:val="39A24859"/>
    <w:rsid w:val="39E430C3"/>
    <w:rsid w:val="3DCA484B"/>
    <w:rsid w:val="3F134881"/>
    <w:rsid w:val="3F7F7B16"/>
    <w:rsid w:val="41A75102"/>
    <w:rsid w:val="427C7C09"/>
    <w:rsid w:val="428F13D0"/>
    <w:rsid w:val="42DC0656"/>
    <w:rsid w:val="42DF6B1E"/>
    <w:rsid w:val="4612221C"/>
    <w:rsid w:val="48050DD4"/>
    <w:rsid w:val="4A5E2A1E"/>
    <w:rsid w:val="4A985F30"/>
    <w:rsid w:val="4ADB5C65"/>
    <w:rsid w:val="4C441B60"/>
    <w:rsid w:val="4E170EE5"/>
    <w:rsid w:val="51E90567"/>
    <w:rsid w:val="51F108BD"/>
    <w:rsid w:val="53A56FC8"/>
    <w:rsid w:val="5447287D"/>
    <w:rsid w:val="54E12281"/>
    <w:rsid w:val="55C91693"/>
    <w:rsid w:val="55D7604B"/>
    <w:rsid w:val="561346BC"/>
    <w:rsid w:val="562D7CA8"/>
    <w:rsid w:val="57A8352A"/>
    <w:rsid w:val="59545718"/>
    <w:rsid w:val="59B85CA7"/>
    <w:rsid w:val="5AFB1F4C"/>
    <w:rsid w:val="5BDB5C7C"/>
    <w:rsid w:val="5CF74D38"/>
    <w:rsid w:val="5FA75DC7"/>
    <w:rsid w:val="62554611"/>
    <w:rsid w:val="645138D8"/>
    <w:rsid w:val="647C1A80"/>
    <w:rsid w:val="69265F8F"/>
    <w:rsid w:val="694A2693"/>
    <w:rsid w:val="6B552BAA"/>
    <w:rsid w:val="6BB85AB5"/>
    <w:rsid w:val="6C1B3E73"/>
    <w:rsid w:val="6EA6036C"/>
    <w:rsid w:val="6EA713C0"/>
    <w:rsid w:val="6F2A2D4B"/>
    <w:rsid w:val="6F6B6EC0"/>
    <w:rsid w:val="709757BD"/>
    <w:rsid w:val="717E737E"/>
    <w:rsid w:val="71A5490B"/>
    <w:rsid w:val="71FC23B1"/>
    <w:rsid w:val="723B701D"/>
    <w:rsid w:val="72F05E80"/>
    <w:rsid w:val="73A2766E"/>
    <w:rsid w:val="754363A7"/>
    <w:rsid w:val="75BE1A20"/>
    <w:rsid w:val="783469E8"/>
    <w:rsid w:val="793B3DA7"/>
    <w:rsid w:val="7D6C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outlineLvl w:val="2"/>
    </w:pPr>
    <w:rPr>
      <w:rFonts w:ascii="Calibri" w:hAnsi="Calibri"/>
      <w:b/>
      <w:kern w:val="0"/>
      <w:sz w:val="32"/>
      <w:szCs w:val="20"/>
    </w:rPr>
  </w:style>
  <w:style w:type="paragraph" w:styleId="3">
    <w:name w:val="heading 4"/>
    <w:basedOn w:val="1"/>
    <w:next w:val="1"/>
    <w:qFormat/>
    <w:uiPriority w:val="0"/>
    <w:pPr>
      <w:keepNext/>
      <w:keepLines/>
      <w:widowControl/>
      <w:spacing w:before="200" w:line="276" w:lineRule="auto"/>
      <w:jc w:val="left"/>
      <w:outlineLvl w:val="3"/>
    </w:pPr>
    <w:rPr>
      <w:rFonts w:ascii="Calibri Light" w:hAnsi="Calibri Light" w:eastAsia="宋体" w:cs="Times New Roman"/>
      <w:b/>
      <w:bCs/>
      <w:i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eastAsia="宋体" w:cs="Times New Roman"/>
    </w:rPr>
  </w:style>
  <w:style w:type="paragraph" w:styleId="8">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Title"/>
    <w:basedOn w:val="1"/>
    <w:next w:val="7"/>
    <w:qFormat/>
    <w:uiPriority w:val="0"/>
    <w:pPr>
      <w:spacing w:before="240" w:after="240"/>
      <w:ind w:firstLine="1687"/>
      <w:jc w:val="center"/>
      <w:outlineLvl w:val="0"/>
    </w:pPr>
    <w:rPr>
      <w:rFonts w:ascii="Cambria" w:hAnsi="Cambria" w:eastAsia="宋体"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99"/>
    <w:rPr>
      <w:color w:val="333333"/>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ascii="monospace" w:hAnsi="monospace" w:eastAsia="monospace" w:cs="monospace"/>
    </w:rPr>
  </w:style>
  <w:style w:type="paragraph" w:customStyle="1" w:styleId="26">
    <w:name w:val="正文_1_0"/>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7">
    <w:name w:val="正文呀2_0"/>
    <w:basedOn w:val="28"/>
    <w:qFormat/>
    <w:uiPriority w:val="0"/>
  </w:style>
  <w:style w:type="paragraph" w:customStyle="1" w:styleId="28">
    <w:name w:val="正文呀_0"/>
    <w:basedOn w:val="26"/>
    <w:qFormat/>
    <w:uiPriority w:val="0"/>
    <w:pPr>
      <w:spacing w:line="420" w:lineRule="exact"/>
      <w:ind w:firstLine="420" w:firstLineChars="200"/>
    </w:pPr>
    <w:rPr>
      <w:rFonts w:ascii="宋体" w:hAnsi="宋体"/>
      <w:szCs w:val="21"/>
    </w:rPr>
  </w:style>
  <w:style w:type="paragraph" w:customStyle="1" w:styleId="29">
    <w:name w:val="正文小标题_0"/>
    <w:basedOn w:val="30"/>
    <w:qFormat/>
    <w:uiPriority w:val="0"/>
    <w:pPr>
      <w:spacing w:line="420" w:lineRule="exact"/>
    </w:pPr>
    <w:rPr>
      <w:rFonts w:hAnsi="宋体"/>
      <w:szCs w:val="21"/>
    </w:rPr>
  </w:style>
  <w:style w:type="paragraph" w:customStyle="1" w:styleId="30">
    <w:name w:val="标题 1_0"/>
    <w:basedOn w:val="31"/>
    <w:next w:val="31"/>
    <w:qFormat/>
    <w:uiPriority w:val="99"/>
    <w:pPr>
      <w:keepNext/>
      <w:keepLines/>
      <w:spacing w:line="360" w:lineRule="auto"/>
      <w:outlineLvl w:val="0"/>
    </w:pPr>
    <w:rPr>
      <w:rFonts w:eastAsia="黑体"/>
      <w:b/>
      <w:bCs/>
      <w:kern w:val="44"/>
      <w:sz w:val="32"/>
      <w:szCs w:val="44"/>
    </w:rPr>
  </w:style>
  <w:style w:type="paragraph" w:customStyle="1" w:styleId="31">
    <w:name w:val="正文_0"/>
    <w:next w:val="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文本_0"/>
    <w:basedOn w:val="31"/>
    <w:unhideWhenUsed/>
    <w:qFormat/>
    <w:uiPriority w:val="99"/>
    <w:pPr>
      <w:adjustRightInd w:val="0"/>
      <w:spacing w:after="60" w:line="360" w:lineRule="atLeast"/>
      <w:ind w:left="72" w:leftChars="30" w:right="30" w:rightChars="30"/>
      <w:jc w:val="center"/>
    </w:pPr>
    <w:rPr>
      <w:rFonts w:ascii="Calibri" w:hAnsi="Calibri"/>
      <w:kern w:val="0"/>
      <w:sz w:val="20"/>
      <w:szCs w:val="20"/>
      <w:lang w:val="zh-CN"/>
    </w:rPr>
  </w:style>
  <w:style w:type="paragraph" w:customStyle="1" w:styleId="33">
    <w:name w:val="正文呀2_1"/>
    <w:basedOn w:val="34"/>
    <w:qFormat/>
    <w:uiPriority w:val="0"/>
    <w:rPr>
      <w:rFonts w:ascii="Times New Roman" w:hAnsi="Times New Roman"/>
    </w:rPr>
  </w:style>
  <w:style w:type="paragraph" w:customStyle="1" w:styleId="34">
    <w:name w:val="正文呀_1"/>
    <w:basedOn w:val="31"/>
    <w:qFormat/>
    <w:uiPriority w:val="0"/>
    <w:pPr>
      <w:spacing w:line="420" w:lineRule="exact"/>
      <w:ind w:firstLine="420" w:firstLineChars="200"/>
    </w:pPr>
    <w:rPr>
      <w:rFonts w:ascii="宋体" w:hAnsi="宋体"/>
      <w:kern w:val="0"/>
      <w:sz w:val="20"/>
      <w:szCs w:val="21"/>
      <w:lang w:val="zh-CN"/>
    </w:rPr>
  </w:style>
  <w:style w:type="paragraph" w:customStyle="1" w:styleId="35">
    <w:name w:val="纯文本_0"/>
    <w:basedOn w:val="31"/>
    <w:unhideWhenUsed/>
    <w:qFormat/>
    <w:uiPriority w:val="0"/>
    <w:rPr>
      <w:rFonts w:ascii="宋体" w:hAnsi="Courier New"/>
      <w:kern w:val="0"/>
      <w:sz w:val="20"/>
      <w:szCs w:val="24"/>
    </w:rPr>
  </w:style>
  <w:style w:type="paragraph" w:customStyle="1" w:styleId="36">
    <w:name w:val="无间隔_0"/>
    <w:qFormat/>
    <w:uiPriority w:val="1"/>
    <w:pPr>
      <w:widowControl w:val="0"/>
      <w:jc w:val="both"/>
    </w:pPr>
    <w:rPr>
      <w:rFonts w:ascii="Times New Roman" w:hAnsi="Times New Roman" w:eastAsia="宋体" w:cs="Times New Roman"/>
      <w:szCs w:val="24"/>
      <w:lang w:val="en-US" w:eastAsia="zh-CN" w:bidi="ar-SA"/>
    </w:rPr>
  </w:style>
  <w:style w:type="paragraph" w:customStyle="1" w:styleId="37">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layui-layer-tabnow"/>
    <w:basedOn w:val="15"/>
    <w:qFormat/>
    <w:uiPriority w:val="0"/>
    <w:rPr>
      <w:bdr w:val="single" w:color="CCCCCC" w:sz="6" w:space="0"/>
      <w:shd w:val="clear" w:color="auto" w:fill="FFFFFF"/>
    </w:rPr>
  </w:style>
  <w:style w:type="character" w:customStyle="1" w:styleId="39">
    <w:name w:val="first-child"/>
    <w:basedOn w:val="15"/>
    <w:qFormat/>
    <w:uiPriority w:val="0"/>
  </w:style>
  <w:style w:type="table" w:customStyle="1" w:styleId="40">
    <w:name w:val="Table Normal"/>
    <w:autoRedefine/>
    <w:semiHidden/>
    <w:unhideWhenUsed/>
    <w:qFormat/>
    <w:uiPriority w:val="0"/>
    <w:tblPr>
      <w:tblCellMar>
        <w:top w:w="0" w:type="dxa"/>
        <w:left w:w="0" w:type="dxa"/>
        <w:bottom w:w="0" w:type="dxa"/>
        <w:right w:w="0" w:type="dxa"/>
      </w:tblCellMar>
    </w:tblPr>
  </w:style>
  <w:style w:type="paragraph" w:customStyle="1" w:styleId="41">
    <w:name w:val="Table Text"/>
    <w:basedOn w:val="1"/>
    <w:autoRedefine/>
    <w:semiHidden/>
    <w:qFormat/>
    <w:uiPriority w:val="0"/>
    <w:rPr>
      <w:rFonts w:ascii="宋体" w:hAnsi="宋体" w:eastAsia="宋体" w:cs="宋体"/>
      <w:sz w:val="20"/>
      <w:szCs w:val="20"/>
      <w:lang w:val="en-US" w:eastAsia="en-US" w:bidi="ar-SA"/>
    </w:rPr>
  </w:style>
  <w:style w:type="paragraph" w:customStyle="1" w:styleId="4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_Style 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19739</Words>
  <Characters>21203</Characters>
  <Lines>485</Lines>
  <Paragraphs>136</Paragraphs>
  <TotalTime>72</TotalTime>
  <ScaleCrop>false</ScaleCrop>
  <LinksUpToDate>false</LinksUpToDate>
  <CharactersWithSpaces>24097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2025-11-10T01:29:00Z</dcterms:created>
  <dc:creator>Administrator</dc:creator>
  <cp:lastModifiedBy>Pierdt'</cp:lastModifiedBy>
  <dcterms:modified xsi:type="dcterms:W3CDTF">2026-06-18T09:09:05Z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eyJoZGlkIjoiNTc0NmJiZDE0ZDI5NDBmZDgwYmFlOGNkYWFjMzIxMDYiLCJ1c2VySWQiOiI3MjM3NTc4NDgifQ==</vt:lpwstr>
  </property>
  <property fmtid="{D5CDD505-2E9C-101B-9397-08002B2CF9AE}" pid="4" name="ICV">
    <vt:lpwstr>BBAC0945E6344A4C80B3D57A739DC028_13</vt:lpwstr>
  </property>
</Properties>
</file>