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96018">
      <w:pPr>
        <w:jc w:val="center"/>
        <w:rPr>
          <w:rFonts w:hint="eastAsia" w:ascii="宋体" w:hAnsi="宋体" w:eastAsia="宋体" w:cs="宋体"/>
          <w:b/>
          <w:sz w:val="72"/>
          <w:szCs w:val="36"/>
          <w:highlight w:val="none"/>
          <w:lang w:eastAsia="zh-CN"/>
        </w:rPr>
      </w:pPr>
      <w:bookmarkStart w:id="0" w:name="_Toc10319"/>
      <w:bookmarkStart w:id="1" w:name="_Toc7014_WPSOffice_Level1"/>
    </w:p>
    <w:p w14:paraId="629029B1">
      <w:pPr>
        <w:jc w:val="center"/>
        <w:rPr>
          <w:rFonts w:hint="eastAsia" w:ascii="宋体" w:hAnsi="宋体" w:eastAsia="宋体" w:cs="宋体"/>
          <w:b/>
          <w:bCs/>
          <w:sz w:val="72"/>
          <w:szCs w:val="72"/>
          <w:highlight w:val="none"/>
          <w:lang w:eastAsia="zh-CN"/>
        </w:rPr>
      </w:pPr>
      <w:r>
        <w:rPr>
          <w:rFonts w:hint="eastAsia" w:ascii="宋体" w:hAnsi="宋体" w:eastAsia="宋体" w:cs="宋体"/>
          <w:b/>
          <w:sz w:val="72"/>
          <w:szCs w:val="36"/>
          <w:highlight w:val="none"/>
          <w:lang w:eastAsia="zh-CN"/>
        </w:rPr>
        <w:t>广西禾昇项目管理有限公司</w:t>
      </w:r>
    </w:p>
    <w:p w14:paraId="64867B9A">
      <w:pPr>
        <w:pStyle w:val="14"/>
        <w:rPr>
          <w:rFonts w:hint="eastAsia" w:ascii="宋体" w:hAnsi="宋体" w:eastAsia="宋体" w:cs="宋体"/>
          <w:b/>
          <w:bCs/>
          <w:sz w:val="52"/>
          <w:szCs w:val="52"/>
          <w:highlight w:val="none"/>
        </w:rPr>
      </w:pPr>
    </w:p>
    <w:p w14:paraId="2035B0F1">
      <w:pPr>
        <w:pStyle w:val="14"/>
        <w:rPr>
          <w:rFonts w:hint="eastAsia" w:ascii="宋体" w:hAnsi="宋体" w:eastAsia="宋体" w:cs="宋体"/>
          <w:b/>
          <w:bCs/>
          <w:sz w:val="52"/>
          <w:szCs w:val="52"/>
          <w:highlight w:val="none"/>
        </w:rPr>
      </w:pPr>
    </w:p>
    <w:p w14:paraId="2F2C0767">
      <w:pPr>
        <w:ind w:right="683"/>
        <w:jc w:val="center"/>
        <w:rPr>
          <w:rFonts w:hint="eastAsia" w:ascii="宋体" w:hAnsi="宋体" w:eastAsia="宋体" w:cs="宋体"/>
          <w:b/>
          <w:spacing w:val="93"/>
          <w:sz w:val="72"/>
          <w:szCs w:val="72"/>
          <w:highlight w:val="none"/>
        </w:rPr>
      </w:pPr>
      <w:bookmarkStart w:id="2" w:name="OLE_LINK4"/>
    </w:p>
    <w:p w14:paraId="5628ED39">
      <w:pPr>
        <w:ind w:right="683"/>
        <w:jc w:val="center"/>
        <w:rPr>
          <w:rFonts w:hint="eastAsia" w:ascii="宋体" w:hAnsi="宋体" w:eastAsia="宋体" w:cs="宋体"/>
          <w:b/>
          <w:sz w:val="60"/>
          <w:szCs w:val="60"/>
          <w:highlight w:val="none"/>
        </w:rPr>
      </w:pPr>
      <w:r>
        <w:rPr>
          <w:rFonts w:hint="eastAsia" w:ascii="宋体" w:hAnsi="宋体" w:eastAsia="宋体" w:cs="宋体"/>
          <w:b/>
          <w:spacing w:val="93"/>
          <w:sz w:val="60"/>
          <w:szCs w:val="60"/>
          <w:highlight w:val="none"/>
        </w:rPr>
        <w:t>竞争性磋商文件</w:t>
      </w:r>
    </w:p>
    <w:bookmarkEnd w:id="2"/>
    <w:p w14:paraId="6168C308">
      <w:pPr>
        <w:jc w:val="center"/>
        <w:rPr>
          <w:rFonts w:hint="eastAsia" w:ascii="宋体" w:hAnsi="宋体" w:eastAsia="宋体" w:cs="宋体"/>
          <w:b/>
          <w:bCs/>
          <w:sz w:val="52"/>
          <w:szCs w:val="52"/>
          <w:highlight w:val="none"/>
        </w:rPr>
      </w:pPr>
    </w:p>
    <w:p w14:paraId="12862E94">
      <w:pPr>
        <w:tabs>
          <w:tab w:val="left" w:pos="6038"/>
        </w:tabs>
        <w:jc w:val="left"/>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tab/>
      </w:r>
    </w:p>
    <w:p w14:paraId="5C175208">
      <w:pPr>
        <w:jc w:val="center"/>
        <w:rPr>
          <w:rFonts w:hint="eastAsia" w:ascii="宋体" w:hAnsi="宋体" w:eastAsia="宋体" w:cs="宋体"/>
          <w:b/>
          <w:bCs/>
          <w:sz w:val="52"/>
          <w:szCs w:val="52"/>
          <w:highlight w:val="none"/>
        </w:rPr>
      </w:pPr>
    </w:p>
    <w:p w14:paraId="42D75B04">
      <w:pPr>
        <w:jc w:val="center"/>
        <w:rPr>
          <w:rFonts w:hint="eastAsia" w:ascii="宋体" w:hAnsi="宋体" w:eastAsia="宋体" w:cs="宋体"/>
          <w:b/>
          <w:bCs/>
          <w:color w:val="000000"/>
          <w:spacing w:val="-36"/>
          <w:w w:val="90"/>
          <w:sz w:val="32"/>
          <w:highlight w:val="none"/>
          <w:lang w:val="en-US"/>
        </w:rPr>
      </w:pPr>
      <w:r>
        <w:rPr>
          <w:rFonts w:hint="eastAsia" w:ascii="宋体" w:hAnsi="宋体" w:cs="宋体"/>
          <w:b/>
          <w:bCs/>
          <w:sz w:val="32"/>
          <w:szCs w:val="32"/>
          <w:highlight w:val="none"/>
          <w:lang w:val="en-US" w:eastAsia="zh-CN"/>
        </w:rPr>
        <w:t xml:space="preserve"> </w:t>
      </w:r>
      <w:r>
        <w:rPr>
          <w:rFonts w:hint="eastAsia" w:ascii="宋体" w:hAnsi="宋体" w:eastAsia="宋体" w:cs="宋体"/>
          <w:b/>
          <w:bCs/>
          <w:sz w:val="32"/>
          <w:szCs w:val="32"/>
          <w:highlight w:val="none"/>
        </w:rPr>
        <w:t>项 目 名 称：</w:t>
      </w:r>
      <w:r>
        <w:rPr>
          <w:rFonts w:hint="eastAsia" w:ascii="宋体" w:hAnsi="宋体" w:eastAsia="宋体" w:cs="宋体"/>
          <w:b/>
          <w:bCs/>
          <w:color w:val="auto"/>
          <w:spacing w:val="0"/>
          <w:sz w:val="32"/>
          <w:highlight w:val="none"/>
          <w:lang w:val="en-US" w:eastAsia="zh-CN"/>
        </w:rPr>
        <w:t>七星区机关食堂物资定点供应商采购服务</w:t>
      </w:r>
    </w:p>
    <w:p w14:paraId="31FC39AA">
      <w:pPr>
        <w:jc w:val="center"/>
        <w:rPr>
          <w:rFonts w:hint="eastAsia" w:ascii="宋体" w:hAnsi="宋体" w:eastAsia="宋体" w:cs="宋体"/>
          <w:b/>
          <w:bCs/>
          <w:sz w:val="32"/>
          <w:szCs w:val="32"/>
          <w:highlight w:val="none"/>
          <w:lang w:eastAsia="zh-CN"/>
        </w:rPr>
      </w:pPr>
    </w:p>
    <w:p w14:paraId="0E3396B5">
      <w:pPr>
        <w:ind w:firstLine="1280" w:firstLineChars="400"/>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项 目 编 号：</w:t>
      </w:r>
      <w:r>
        <w:rPr>
          <w:rFonts w:hint="eastAsia" w:ascii="宋体" w:hAnsi="宋体" w:eastAsia="宋体" w:cs="宋体"/>
          <w:b/>
          <w:bCs/>
          <w:sz w:val="32"/>
          <w:szCs w:val="32"/>
          <w:highlight w:val="none"/>
          <w:lang w:eastAsia="zh-CN"/>
        </w:rPr>
        <w:t>GLZC2026-C1-990217-GXHS</w:t>
      </w:r>
    </w:p>
    <w:p w14:paraId="0448F0EA">
      <w:pPr>
        <w:ind w:firstLine="2240" w:firstLineChars="700"/>
        <w:rPr>
          <w:rFonts w:hint="eastAsia" w:ascii="宋体" w:hAnsi="宋体" w:eastAsia="宋体" w:cs="宋体"/>
          <w:b/>
          <w:bCs/>
          <w:sz w:val="32"/>
          <w:szCs w:val="32"/>
          <w:highlight w:val="none"/>
        </w:rPr>
      </w:pPr>
    </w:p>
    <w:p w14:paraId="24A112F7">
      <w:pPr>
        <w:rPr>
          <w:rFonts w:hint="eastAsia" w:ascii="宋体" w:hAnsi="宋体" w:eastAsia="宋体" w:cs="宋体"/>
          <w:sz w:val="32"/>
          <w:szCs w:val="32"/>
          <w:highlight w:val="none"/>
        </w:rPr>
      </w:pPr>
    </w:p>
    <w:p w14:paraId="0A0D5779">
      <w:pPr>
        <w:jc w:val="center"/>
        <w:rPr>
          <w:rFonts w:hint="eastAsia" w:ascii="宋体" w:hAnsi="宋体" w:eastAsia="宋体" w:cs="宋体"/>
          <w:sz w:val="32"/>
          <w:szCs w:val="32"/>
          <w:highlight w:val="none"/>
        </w:rPr>
      </w:pPr>
    </w:p>
    <w:p w14:paraId="22A2CECB">
      <w:pPr>
        <w:ind w:firstLine="2240" w:firstLineChars="7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采购代理机构：</w:t>
      </w:r>
      <w:r>
        <w:rPr>
          <w:rFonts w:hint="eastAsia" w:ascii="宋体" w:hAnsi="宋体" w:eastAsia="宋体" w:cs="宋体"/>
          <w:sz w:val="32"/>
          <w:szCs w:val="32"/>
          <w:highlight w:val="none"/>
          <w:lang w:eastAsia="zh-CN"/>
        </w:rPr>
        <w:t>广西禾昇项目管理有限公司</w:t>
      </w:r>
    </w:p>
    <w:p w14:paraId="0A922668">
      <w:pPr>
        <w:pStyle w:val="9"/>
        <w:rPr>
          <w:rFonts w:hint="eastAsia" w:ascii="宋体" w:hAnsi="宋体" w:eastAsia="宋体" w:cs="宋体"/>
          <w:highlight w:val="none"/>
        </w:rPr>
      </w:pPr>
    </w:p>
    <w:p w14:paraId="50A750FB">
      <w:pPr>
        <w:ind w:firstLine="4480" w:firstLineChars="1400"/>
        <w:rPr>
          <w:rFonts w:hint="eastAsia" w:ascii="宋体" w:hAnsi="宋体" w:eastAsia="宋体" w:cs="宋体"/>
          <w:highlight w:val="none"/>
          <w:lang w:eastAsia="zh-CN"/>
        </w:rPr>
      </w:pPr>
      <w:r>
        <w:rPr>
          <w:rFonts w:hint="eastAsia" w:ascii="宋体" w:hAnsi="宋体" w:eastAsia="宋体" w:cs="宋体"/>
          <w:sz w:val="32"/>
          <w:szCs w:val="32"/>
          <w:highlight w:val="none"/>
          <w:lang w:eastAsia="zh-CN"/>
        </w:rPr>
        <w:t>2026年6月</w:t>
      </w:r>
      <w:r>
        <w:rPr>
          <w:rFonts w:hint="eastAsia" w:ascii="宋体" w:hAnsi="宋体" w:eastAsia="宋体" w:cs="宋体"/>
          <w:sz w:val="32"/>
          <w:szCs w:val="32"/>
          <w:highlight w:val="none"/>
          <w:lang w:val="en-US" w:eastAsia="zh-CN"/>
        </w:rPr>
        <w:t xml:space="preserve"> </w:t>
      </w:r>
    </w:p>
    <w:p w14:paraId="11521895">
      <w:pPr>
        <w:ind w:firstLine="2520" w:firstLineChars="1200"/>
        <w:rPr>
          <w:rFonts w:hint="eastAsia" w:ascii="宋体" w:hAnsi="宋体" w:eastAsia="宋体" w:cs="宋体"/>
          <w:highlight w:val="none"/>
        </w:rPr>
      </w:pPr>
    </w:p>
    <w:p w14:paraId="4ECE1A26">
      <w:pPr>
        <w:ind w:firstLine="2520" w:firstLineChars="1200"/>
        <w:rPr>
          <w:rFonts w:hint="eastAsia" w:ascii="宋体" w:hAnsi="宋体" w:eastAsia="宋体" w:cs="宋体"/>
          <w:highlight w:val="none"/>
        </w:rPr>
      </w:pPr>
    </w:p>
    <w:p w14:paraId="52357A3B">
      <w:pPr>
        <w:pStyle w:val="19"/>
        <w:rPr>
          <w:rFonts w:hint="eastAsia" w:ascii="宋体" w:hAnsi="宋体" w:eastAsia="宋体" w:cs="宋体"/>
          <w:highlight w:val="none"/>
        </w:rPr>
      </w:pPr>
    </w:p>
    <w:p w14:paraId="193B33B6">
      <w:pPr>
        <w:jc w:val="center"/>
        <w:rPr>
          <w:rFonts w:hint="eastAsia" w:ascii="宋体" w:hAnsi="宋体" w:eastAsia="宋体" w:cs="宋体"/>
          <w:highlight w:val="none"/>
        </w:rPr>
      </w:pPr>
      <w:r>
        <w:rPr>
          <w:rFonts w:hint="eastAsia" w:ascii="宋体" w:hAnsi="宋体" w:eastAsia="宋体" w:cs="宋体"/>
          <w:b/>
          <w:bCs/>
          <w:sz w:val="36"/>
          <w:szCs w:val="36"/>
          <w:highlight w:val="none"/>
          <w:lang w:val="zh-CN"/>
        </w:rPr>
        <w:t>目</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zh-CN"/>
        </w:rPr>
        <w:t>录</w:t>
      </w:r>
      <w:bookmarkStart w:id="3" w:name="_Toc29067"/>
      <w:bookmarkStart w:id="4" w:name="_Toc35393797"/>
      <w:bookmarkStart w:id="5" w:name="_Toc30170"/>
      <w:bookmarkStart w:id="6" w:name="_Toc28251"/>
      <w:bookmarkStart w:id="7" w:name="_Toc28359011"/>
      <w:bookmarkStart w:id="8" w:name="_Toc26809"/>
      <w:bookmarkStart w:id="9" w:name="_Toc23643"/>
    </w:p>
    <w:p w14:paraId="32189F3C">
      <w:pPr>
        <w:pStyle w:val="16"/>
        <w:tabs>
          <w:tab w:val="right" w:leader="dot" w:pos="10194"/>
        </w:tabs>
        <w:rPr>
          <w:rFonts w:hint="eastAsia" w:ascii="宋体" w:hAnsi="宋体" w:eastAsia="宋体" w:cs="宋体"/>
          <w:sz w:val="28"/>
          <w:szCs w:val="36"/>
        </w:rPr>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TOC \o "1-3" \h \u </w:instrText>
      </w:r>
      <w:r>
        <w:rPr>
          <w:rFonts w:hint="eastAsia" w:ascii="宋体" w:hAnsi="宋体" w:eastAsia="宋体" w:cs="宋体"/>
          <w:sz w:val="28"/>
          <w:szCs w:val="36"/>
          <w:highlight w:val="none"/>
        </w:rPr>
        <w:fldChar w:fldCharType="separate"/>
      </w: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_Toc30497 </w:instrText>
      </w:r>
      <w:r>
        <w:rPr>
          <w:rFonts w:hint="eastAsia" w:ascii="宋体" w:hAnsi="宋体" w:eastAsia="宋体" w:cs="宋体"/>
          <w:sz w:val="28"/>
          <w:szCs w:val="36"/>
          <w:highlight w:val="none"/>
        </w:rPr>
        <w:fldChar w:fldCharType="separate"/>
      </w:r>
      <w:r>
        <w:rPr>
          <w:rFonts w:hint="eastAsia" w:ascii="宋体" w:hAnsi="宋体" w:eastAsia="宋体" w:cs="宋体"/>
          <w:sz w:val="28"/>
          <w:szCs w:val="44"/>
        </w:rPr>
        <w:t xml:space="preserve">第一章 </w:t>
      </w:r>
      <w:r>
        <w:rPr>
          <w:rFonts w:hint="eastAsia" w:ascii="宋体" w:hAnsi="宋体" w:eastAsia="宋体" w:cs="宋体"/>
          <w:sz w:val="28"/>
          <w:szCs w:val="44"/>
          <w:highlight w:val="none"/>
        </w:rPr>
        <w:t>竞争性磋商公告</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_Toc30497 \h </w:instrText>
      </w:r>
      <w:r>
        <w:rPr>
          <w:rFonts w:hint="eastAsia" w:ascii="宋体" w:hAnsi="宋体" w:eastAsia="宋体" w:cs="宋体"/>
          <w:sz w:val="28"/>
          <w:szCs w:val="36"/>
        </w:rPr>
        <w:fldChar w:fldCharType="separate"/>
      </w:r>
      <w:r>
        <w:rPr>
          <w:rFonts w:hint="eastAsia" w:ascii="宋体" w:hAnsi="宋体" w:eastAsia="宋体" w:cs="宋体"/>
          <w:sz w:val="28"/>
          <w:szCs w:val="36"/>
        </w:rPr>
        <w:t>- 3 -</w:t>
      </w:r>
      <w:r>
        <w:rPr>
          <w:rFonts w:hint="eastAsia" w:ascii="宋体" w:hAnsi="宋体" w:eastAsia="宋体" w:cs="宋体"/>
          <w:sz w:val="28"/>
          <w:szCs w:val="36"/>
        </w:rPr>
        <w:fldChar w:fldCharType="end"/>
      </w:r>
      <w:r>
        <w:rPr>
          <w:rFonts w:hint="eastAsia" w:ascii="宋体" w:hAnsi="宋体" w:eastAsia="宋体" w:cs="宋体"/>
          <w:sz w:val="28"/>
          <w:szCs w:val="36"/>
          <w:highlight w:val="none"/>
        </w:rPr>
        <w:fldChar w:fldCharType="end"/>
      </w:r>
    </w:p>
    <w:p w14:paraId="3086CDD0">
      <w:pPr>
        <w:pStyle w:val="16"/>
        <w:tabs>
          <w:tab w:val="right" w:leader="dot" w:pos="10194"/>
        </w:tabs>
        <w:rPr>
          <w:rFonts w:hint="eastAsia" w:ascii="宋体" w:hAnsi="宋体" w:eastAsia="宋体" w:cs="宋体"/>
          <w:sz w:val="28"/>
          <w:szCs w:val="36"/>
        </w:rPr>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_Toc19819 </w:instrText>
      </w:r>
      <w:r>
        <w:rPr>
          <w:rFonts w:hint="eastAsia" w:ascii="宋体" w:hAnsi="宋体" w:eastAsia="宋体" w:cs="宋体"/>
          <w:sz w:val="28"/>
          <w:szCs w:val="36"/>
          <w:highlight w:val="none"/>
        </w:rPr>
        <w:fldChar w:fldCharType="separate"/>
      </w:r>
      <w:r>
        <w:rPr>
          <w:rFonts w:hint="eastAsia" w:ascii="宋体" w:hAnsi="宋体" w:eastAsia="宋体" w:cs="宋体"/>
          <w:sz w:val="28"/>
          <w:szCs w:val="44"/>
          <w:highlight w:val="none"/>
          <w:lang w:eastAsia="zh-CN"/>
        </w:rPr>
        <w:t>第二章</w:t>
      </w:r>
      <w:r>
        <w:rPr>
          <w:rFonts w:hint="eastAsia" w:ascii="宋体" w:hAnsi="宋体" w:eastAsia="宋体" w:cs="宋体"/>
          <w:sz w:val="28"/>
          <w:szCs w:val="44"/>
          <w:highlight w:val="none"/>
          <w:lang w:val="en-US" w:eastAsia="zh-CN"/>
        </w:rPr>
        <w:t xml:space="preserve"> </w:t>
      </w:r>
      <w:r>
        <w:rPr>
          <w:rFonts w:hint="eastAsia" w:ascii="宋体" w:hAnsi="宋体" w:eastAsia="宋体" w:cs="宋体"/>
          <w:sz w:val="28"/>
          <w:szCs w:val="44"/>
          <w:highlight w:val="none"/>
        </w:rPr>
        <w:t>供应商须知</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_Toc19819 \h </w:instrText>
      </w:r>
      <w:r>
        <w:rPr>
          <w:rFonts w:hint="eastAsia" w:ascii="宋体" w:hAnsi="宋体" w:eastAsia="宋体" w:cs="宋体"/>
          <w:sz w:val="28"/>
          <w:szCs w:val="36"/>
        </w:rPr>
        <w:fldChar w:fldCharType="separate"/>
      </w:r>
      <w:r>
        <w:rPr>
          <w:rFonts w:hint="eastAsia" w:ascii="宋体" w:hAnsi="宋体" w:eastAsia="宋体" w:cs="宋体"/>
          <w:sz w:val="28"/>
          <w:szCs w:val="36"/>
        </w:rPr>
        <w:t>- 6 -</w:t>
      </w:r>
      <w:r>
        <w:rPr>
          <w:rFonts w:hint="eastAsia" w:ascii="宋体" w:hAnsi="宋体" w:eastAsia="宋体" w:cs="宋体"/>
          <w:sz w:val="28"/>
          <w:szCs w:val="36"/>
        </w:rPr>
        <w:fldChar w:fldCharType="end"/>
      </w:r>
      <w:r>
        <w:rPr>
          <w:rFonts w:hint="eastAsia" w:ascii="宋体" w:hAnsi="宋体" w:eastAsia="宋体" w:cs="宋体"/>
          <w:sz w:val="28"/>
          <w:szCs w:val="36"/>
          <w:highlight w:val="none"/>
        </w:rPr>
        <w:fldChar w:fldCharType="end"/>
      </w:r>
    </w:p>
    <w:p w14:paraId="7FE5F200">
      <w:pPr>
        <w:pStyle w:val="16"/>
        <w:tabs>
          <w:tab w:val="right" w:leader="dot" w:pos="10194"/>
        </w:tabs>
        <w:rPr>
          <w:rFonts w:hint="eastAsia" w:ascii="宋体" w:hAnsi="宋体" w:eastAsia="宋体" w:cs="宋体"/>
          <w:sz w:val="28"/>
          <w:szCs w:val="36"/>
        </w:rPr>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_Toc15590 </w:instrText>
      </w:r>
      <w:r>
        <w:rPr>
          <w:rFonts w:hint="eastAsia" w:ascii="宋体" w:hAnsi="宋体" w:eastAsia="宋体" w:cs="宋体"/>
          <w:sz w:val="28"/>
          <w:szCs w:val="36"/>
          <w:highlight w:val="none"/>
        </w:rPr>
        <w:fldChar w:fldCharType="separate"/>
      </w:r>
      <w:r>
        <w:rPr>
          <w:rFonts w:hint="eastAsia" w:ascii="宋体" w:hAnsi="宋体" w:eastAsia="宋体" w:cs="宋体"/>
          <w:sz w:val="28"/>
          <w:szCs w:val="44"/>
          <w:highlight w:val="none"/>
          <w:lang w:eastAsia="zh-CN"/>
        </w:rPr>
        <w:t>第三章</w:t>
      </w:r>
      <w:r>
        <w:rPr>
          <w:rFonts w:hint="eastAsia" w:ascii="宋体" w:hAnsi="宋体" w:eastAsia="宋体" w:cs="宋体"/>
          <w:sz w:val="28"/>
          <w:szCs w:val="44"/>
          <w:highlight w:val="none"/>
        </w:rPr>
        <w:t xml:space="preserve"> 采购需求</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_Toc15590 \h </w:instrText>
      </w:r>
      <w:r>
        <w:rPr>
          <w:rFonts w:hint="eastAsia" w:ascii="宋体" w:hAnsi="宋体" w:eastAsia="宋体" w:cs="宋体"/>
          <w:sz w:val="28"/>
          <w:szCs w:val="36"/>
        </w:rPr>
        <w:fldChar w:fldCharType="separate"/>
      </w:r>
      <w:r>
        <w:rPr>
          <w:rFonts w:hint="eastAsia" w:ascii="宋体" w:hAnsi="宋体" w:eastAsia="宋体" w:cs="宋体"/>
          <w:sz w:val="28"/>
          <w:szCs w:val="36"/>
        </w:rPr>
        <w:t>- 22 -</w:t>
      </w:r>
      <w:r>
        <w:rPr>
          <w:rFonts w:hint="eastAsia" w:ascii="宋体" w:hAnsi="宋体" w:eastAsia="宋体" w:cs="宋体"/>
          <w:sz w:val="28"/>
          <w:szCs w:val="36"/>
        </w:rPr>
        <w:fldChar w:fldCharType="end"/>
      </w:r>
      <w:r>
        <w:rPr>
          <w:rFonts w:hint="eastAsia" w:ascii="宋体" w:hAnsi="宋体" w:eastAsia="宋体" w:cs="宋体"/>
          <w:sz w:val="28"/>
          <w:szCs w:val="36"/>
          <w:highlight w:val="none"/>
        </w:rPr>
        <w:fldChar w:fldCharType="end"/>
      </w:r>
    </w:p>
    <w:p w14:paraId="6CCA40E4">
      <w:pPr>
        <w:pStyle w:val="16"/>
        <w:tabs>
          <w:tab w:val="right" w:leader="dot" w:pos="10194"/>
        </w:tabs>
        <w:rPr>
          <w:rFonts w:hint="eastAsia" w:ascii="宋体" w:hAnsi="宋体" w:eastAsia="宋体" w:cs="宋体"/>
          <w:sz w:val="28"/>
          <w:szCs w:val="36"/>
        </w:rPr>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_Toc15066 </w:instrText>
      </w:r>
      <w:r>
        <w:rPr>
          <w:rFonts w:hint="eastAsia" w:ascii="宋体" w:hAnsi="宋体" w:eastAsia="宋体" w:cs="宋体"/>
          <w:sz w:val="28"/>
          <w:szCs w:val="36"/>
          <w:highlight w:val="none"/>
        </w:rPr>
        <w:fldChar w:fldCharType="separate"/>
      </w:r>
      <w:r>
        <w:rPr>
          <w:rFonts w:hint="eastAsia" w:ascii="宋体" w:hAnsi="宋体" w:eastAsia="宋体" w:cs="宋体"/>
          <w:bCs/>
          <w:sz w:val="28"/>
          <w:szCs w:val="44"/>
          <w:highlight w:val="none"/>
        </w:rPr>
        <w:t>第四章 评审办法</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_Toc15066 \h </w:instrText>
      </w:r>
      <w:r>
        <w:rPr>
          <w:rFonts w:hint="eastAsia" w:ascii="宋体" w:hAnsi="宋体" w:eastAsia="宋体" w:cs="宋体"/>
          <w:sz w:val="28"/>
          <w:szCs w:val="36"/>
        </w:rPr>
        <w:fldChar w:fldCharType="separate"/>
      </w:r>
      <w:r>
        <w:rPr>
          <w:rFonts w:hint="eastAsia" w:ascii="宋体" w:hAnsi="宋体" w:eastAsia="宋体" w:cs="宋体"/>
          <w:sz w:val="28"/>
          <w:szCs w:val="36"/>
        </w:rPr>
        <w:t>- 27 -</w:t>
      </w:r>
      <w:r>
        <w:rPr>
          <w:rFonts w:hint="eastAsia" w:ascii="宋体" w:hAnsi="宋体" w:eastAsia="宋体" w:cs="宋体"/>
          <w:sz w:val="28"/>
          <w:szCs w:val="36"/>
        </w:rPr>
        <w:fldChar w:fldCharType="end"/>
      </w:r>
      <w:r>
        <w:rPr>
          <w:rFonts w:hint="eastAsia" w:ascii="宋体" w:hAnsi="宋体" w:eastAsia="宋体" w:cs="宋体"/>
          <w:sz w:val="28"/>
          <w:szCs w:val="36"/>
          <w:highlight w:val="none"/>
        </w:rPr>
        <w:fldChar w:fldCharType="end"/>
      </w:r>
    </w:p>
    <w:p w14:paraId="25DC9D44">
      <w:pPr>
        <w:pStyle w:val="16"/>
        <w:tabs>
          <w:tab w:val="right" w:leader="dot" w:pos="10194"/>
        </w:tabs>
        <w:rPr>
          <w:rFonts w:hint="eastAsia" w:ascii="宋体" w:hAnsi="宋体" w:eastAsia="宋体" w:cs="宋体"/>
          <w:sz w:val="28"/>
          <w:szCs w:val="36"/>
        </w:rPr>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_Toc10130 </w:instrText>
      </w:r>
      <w:r>
        <w:rPr>
          <w:rFonts w:hint="eastAsia" w:ascii="宋体" w:hAnsi="宋体" w:eastAsia="宋体" w:cs="宋体"/>
          <w:sz w:val="28"/>
          <w:szCs w:val="36"/>
          <w:highlight w:val="none"/>
        </w:rPr>
        <w:fldChar w:fldCharType="separate"/>
      </w:r>
      <w:r>
        <w:rPr>
          <w:rFonts w:hint="eastAsia" w:ascii="宋体" w:hAnsi="宋体" w:eastAsia="宋体" w:cs="宋体"/>
          <w:sz w:val="28"/>
          <w:szCs w:val="44"/>
          <w:highlight w:val="none"/>
          <w:lang w:eastAsia="zh-CN"/>
        </w:rPr>
        <w:t>第五章</w:t>
      </w:r>
      <w:r>
        <w:rPr>
          <w:rFonts w:hint="eastAsia" w:ascii="宋体" w:hAnsi="宋体" w:eastAsia="宋体" w:cs="宋体"/>
          <w:sz w:val="28"/>
          <w:szCs w:val="44"/>
          <w:highlight w:val="none"/>
          <w:lang w:val="en-US" w:eastAsia="zh-CN"/>
        </w:rPr>
        <w:t xml:space="preserve"> </w:t>
      </w:r>
      <w:r>
        <w:rPr>
          <w:rFonts w:hint="eastAsia" w:ascii="宋体" w:hAnsi="宋体" w:eastAsia="宋体" w:cs="宋体"/>
          <w:sz w:val="28"/>
          <w:szCs w:val="44"/>
          <w:highlight w:val="none"/>
        </w:rPr>
        <w:t>采购合同（合同主要条款及格式）</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_Toc10130 \h </w:instrText>
      </w:r>
      <w:r>
        <w:rPr>
          <w:rFonts w:hint="eastAsia" w:ascii="宋体" w:hAnsi="宋体" w:eastAsia="宋体" w:cs="宋体"/>
          <w:sz w:val="28"/>
          <w:szCs w:val="36"/>
        </w:rPr>
        <w:fldChar w:fldCharType="separate"/>
      </w:r>
      <w:r>
        <w:rPr>
          <w:rFonts w:hint="eastAsia" w:ascii="宋体" w:hAnsi="宋体" w:eastAsia="宋体" w:cs="宋体"/>
          <w:sz w:val="28"/>
          <w:szCs w:val="36"/>
        </w:rPr>
        <w:t>- 32 -</w:t>
      </w:r>
      <w:r>
        <w:rPr>
          <w:rFonts w:hint="eastAsia" w:ascii="宋体" w:hAnsi="宋体" w:eastAsia="宋体" w:cs="宋体"/>
          <w:sz w:val="28"/>
          <w:szCs w:val="36"/>
        </w:rPr>
        <w:fldChar w:fldCharType="end"/>
      </w:r>
      <w:r>
        <w:rPr>
          <w:rFonts w:hint="eastAsia" w:ascii="宋体" w:hAnsi="宋体" w:eastAsia="宋体" w:cs="宋体"/>
          <w:sz w:val="28"/>
          <w:szCs w:val="36"/>
          <w:highlight w:val="none"/>
        </w:rPr>
        <w:fldChar w:fldCharType="end"/>
      </w:r>
    </w:p>
    <w:p w14:paraId="2FF290F8">
      <w:pPr>
        <w:pStyle w:val="16"/>
        <w:tabs>
          <w:tab w:val="right" w:leader="dot" w:pos="10194"/>
        </w:tabs>
        <w:rPr>
          <w:rFonts w:hint="eastAsia" w:ascii="宋体" w:hAnsi="宋体" w:eastAsia="宋体" w:cs="宋体"/>
          <w:sz w:val="28"/>
          <w:szCs w:val="36"/>
        </w:rPr>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_Toc31725 </w:instrText>
      </w:r>
      <w:r>
        <w:rPr>
          <w:rFonts w:hint="eastAsia" w:ascii="宋体" w:hAnsi="宋体" w:eastAsia="宋体" w:cs="宋体"/>
          <w:sz w:val="28"/>
          <w:szCs w:val="36"/>
          <w:highlight w:val="none"/>
        </w:rPr>
        <w:fldChar w:fldCharType="separate"/>
      </w:r>
      <w:r>
        <w:rPr>
          <w:rFonts w:hint="eastAsia" w:ascii="宋体" w:hAnsi="宋体" w:eastAsia="宋体" w:cs="宋体"/>
          <w:sz w:val="28"/>
          <w:szCs w:val="44"/>
          <w:highlight w:val="none"/>
        </w:rPr>
        <w:t>第六章 响应文件（格式）</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_Toc31725 \h </w:instrText>
      </w:r>
      <w:r>
        <w:rPr>
          <w:rFonts w:hint="eastAsia" w:ascii="宋体" w:hAnsi="宋体" w:eastAsia="宋体" w:cs="宋体"/>
          <w:sz w:val="28"/>
          <w:szCs w:val="36"/>
        </w:rPr>
        <w:fldChar w:fldCharType="separate"/>
      </w:r>
      <w:r>
        <w:rPr>
          <w:rFonts w:hint="eastAsia" w:ascii="宋体" w:hAnsi="宋体" w:eastAsia="宋体" w:cs="宋体"/>
          <w:sz w:val="28"/>
          <w:szCs w:val="36"/>
        </w:rPr>
        <w:t>- 35 -</w:t>
      </w:r>
      <w:r>
        <w:rPr>
          <w:rFonts w:hint="eastAsia" w:ascii="宋体" w:hAnsi="宋体" w:eastAsia="宋体" w:cs="宋体"/>
          <w:sz w:val="28"/>
          <w:szCs w:val="36"/>
        </w:rPr>
        <w:fldChar w:fldCharType="end"/>
      </w:r>
      <w:r>
        <w:rPr>
          <w:rFonts w:hint="eastAsia" w:ascii="宋体" w:hAnsi="宋体" w:eastAsia="宋体" w:cs="宋体"/>
          <w:sz w:val="28"/>
          <w:szCs w:val="36"/>
          <w:highlight w:val="none"/>
        </w:rPr>
        <w:fldChar w:fldCharType="end"/>
      </w:r>
    </w:p>
    <w:p w14:paraId="44705CAD">
      <w:pPr>
        <w:rPr>
          <w:rFonts w:hint="eastAsia" w:ascii="宋体" w:hAnsi="宋体" w:eastAsia="宋体" w:cs="宋体"/>
          <w:highlight w:val="none"/>
        </w:rPr>
      </w:pPr>
      <w:r>
        <w:rPr>
          <w:rFonts w:hint="eastAsia" w:ascii="宋体" w:hAnsi="宋体" w:eastAsia="宋体" w:cs="宋体"/>
          <w:sz w:val="28"/>
          <w:szCs w:val="36"/>
          <w:highlight w:val="none"/>
        </w:rPr>
        <w:fldChar w:fldCharType="end"/>
      </w:r>
    </w:p>
    <w:p w14:paraId="304E37AC">
      <w:pPr>
        <w:rPr>
          <w:rFonts w:hint="eastAsia" w:ascii="宋体" w:hAnsi="宋体" w:eastAsia="宋体" w:cs="宋体"/>
          <w:highlight w:val="none"/>
        </w:rPr>
      </w:pPr>
    </w:p>
    <w:p w14:paraId="6C88073B">
      <w:pPr>
        <w:rPr>
          <w:rFonts w:hint="eastAsia" w:ascii="宋体" w:hAnsi="宋体" w:eastAsia="宋体" w:cs="宋体"/>
          <w:highlight w:val="none"/>
        </w:rPr>
      </w:pPr>
    </w:p>
    <w:p w14:paraId="330BB684">
      <w:pPr>
        <w:rPr>
          <w:rFonts w:hint="eastAsia" w:ascii="宋体" w:hAnsi="宋体" w:eastAsia="宋体" w:cs="宋体"/>
          <w:highlight w:val="none"/>
        </w:rPr>
      </w:pPr>
    </w:p>
    <w:p w14:paraId="62957B7C">
      <w:pPr>
        <w:rPr>
          <w:rFonts w:hint="eastAsia" w:ascii="宋体" w:hAnsi="宋体" w:eastAsia="宋体" w:cs="宋体"/>
          <w:highlight w:val="none"/>
        </w:rPr>
      </w:pPr>
    </w:p>
    <w:p w14:paraId="09BF2718">
      <w:pPr>
        <w:rPr>
          <w:rFonts w:hint="eastAsia" w:ascii="宋体" w:hAnsi="宋体" w:eastAsia="宋体" w:cs="宋体"/>
          <w:highlight w:val="none"/>
        </w:rPr>
      </w:pPr>
    </w:p>
    <w:p w14:paraId="0D7EE223">
      <w:pPr>
        <w:rPr>
          <w:rFonts w:hint="eastAsia" w:ascii="宋体" w:hAnsi="宋体" w:eastAsia="宋体" w:cs="宋体"/>
          <w:highlight w:val="none"/>
        </w:rPr>
      </w:pPr>
    </w:p>
    <w:p w14:paraId="70C99651">
      <w:pPr>
        <w:rPr>
          <w:rFonts w:hint="eastAsia" w:ascii="宋体" w:hAnsi="宋体" w:eastAsia="宋体" w:cs="宋体"/>
          <w:highlight w:val="none"/>
        </w:rPr>
      </w:pPr>
    </w:p>
    <w:p w14:paraId="6E7995D8">
      <w:pPr>
        <w:rPr>
          <w:rFonts w:hint="eastAsia" w:ascii="宋体" w:hAnsi="宋体" w:eastAsia="宋体" w:cs="宋体"/>
          <w:highlight w:val="none"/>
        </w:rPr>
      </w:pPr>
    </w:p>
    <w:p w14:paraId="4CEDAD4D">
      <w:pPr>
        <w:rPr>
          <w:rFonts w:hint="eastAsia" w:ascii="宋体" w:hAnsi="宋体" w:eastAsia="宋体" w:cs="宋体"/>
          <w:highlight w:val="none"/>
        </w:rPr>
      </w:pPr>
    </w:p>
    <w:p w14:paraId="05BBB73E">
      <w:pPr>
        <w:rPr>
          <w:rFonts w:hint="eastAsia" w:ascii="宋体" w:hAnsi="宋体" w:eastAsia="宋体" w:cs="宋体"/>
          <w:highlight w:val="none"/>
        </w:rPr>
      </w:pPr>
    </w:p>
    <w:p w14:paraId="19B2FE55">
      <w:pPr>
        <w:rPr>
          <w:rFonts w:hint="eastAsia" w:ascii="宋体" w:hAnsi="宋体" w:eastAsia="宋体" w:cs="宋体"/>
          <w:highlight w:val="none"/>
        </w:rPr>
      </w:pPr>
    </w:p>
    <w:p w14:paraId="3E7378F9">
      <w:pPr>
        <w:rPr>
          <w:rFonts w:hint="eastAsia" w:ascii="宋体" w:hAnsi="宋体" w:eastAsia="宋体" w:cs="宋体"/>
          <w:highlight w:val="none"/>
        </w:rPr>
      </w:pPr>
    </w:p>
    <w:p w14:paraId="55315A38">
      <w:pPr>
        <w:rPr>
          <w:rFonts w:hint="eastAsia" w:ascii="宋体" w:hAnsi="宋体" w:eastAsia="宋体" w:cs="宋体"/>
          <w:highlight w:val="none"/>
        </w:rPr>
      </w:pPr>
    </w:p>
    <w:p w14:paraId="1C3CD475">
      <w:pPr>
        <w:rPr>
          <w:rFonts w:hint="eastAsia" w:ascii="宋体" w:hAnsi="宋体" w:eastAsia="宋体" w:cs="宋体"/>
          <w:highlight w:val="none"/>
        </w:rPr>
      </w:pPr>
    </w:p>
    <w:p w14:paraId="5818E737">
      <w:pPr>
        <w:rPr>
          <w:rFonts w:hint="eastAsia" w:ascii="宋体" w:hAnsi="宋体" w:eastAsia="宋体" w:cs="宋体"/>
          <w:highlight w:val="none"/>
        </w:rPr>
      </w:pPr>
    </w:p>
    <w:p w14:paraId="5A49D563">
      <w:pPr>
        <w:rPr>
          <w:rFonts w:hint="eastAsia" w:ascii="宋体" w:hAnsi="宋体" w:eastAsia="宋体" w:cs="宋体"/>
          <w:highlight w:val="none"/>
        </w:rPr>
      </w:pPr>
    </w:p>
    <w:p w14:paraId="222156D3">
      <w:pPr>
        <w:rPr>
          <w:rFonts w:hint="eastAsia" w:ascii="宋体" w:hAnsi="宋体" w:eastAsia="宋体" w:cs="宋体"/>
          <w:highlight w:val="none"/>
        </w:rPr>
      </w:pPr>
    </w:p>
    <w:p w14:paraId="3D69642A">
      <w:pPr>
        <w:rPr>
          <w:rFonts w:hint="eastAsia" w:ascii="宋体" w:hAnsi="宋体" w:eastAsia="宋体" w:cs="宋体"/>
          <w:highlight w:val="none"/>
        </w:rPr>
      </w:pPr>
    </w:p>
    <w:p w14:paraId="1E618726">
      <w:pPr>
        <w:rPr>
          <w:rFonts w:hint="eastAsia" w:ascii="宋体" w:hAnsi="宋体" w:eastAsia="宋体" w:cs="宋体"/>
          <w:highlight w:val="none"/>
        </w:rPr>
      </w:pPr>
    </w:p>
    <w:p w14:paraId="1D388BA6">
      <w:pPr>
        <w:rPr>
          <w:rFonts w:hint="eastAsia" w:ascii="宋体" w:hAnsi="宋体" w:eastAsia="宋体" w:cs="宋体"/>
          <w:highlight w:val="none"/>
        </w:rPr>
      </w:pPr>
    </w:p>
    <w:p w14:paraId="376E9C2B">
      <w:pPr>
        <w:rPr>
          <w:rFonts w:hint="eastAsia" w:ascii="宋体" w:hAnsi="宋体" w:eastAsia="宋体" w:cs="宋体"/>
          <w:highlight w:val="none"/>
        </w:rPr>
      </w:pPr>
    </w:p>
    <w:p w14:paraId="17652484">
      <w:pPr>
        <w:rPr>
          <w:rFonts w:hint="eastAsia" w:ascii="宋体" w:hAnsi="宋体" w:eastAsia="宋体" w:cs="宋体"/>
          <w:highlight w:val="none"/>
        </w:rPr>
      </w:pPr>
    </w:p>
    <w:p w14:paraId="65F92C84">
      <w:pPr>
        <w:rPr>
          <w:rFonts w:hint="eastAsia" w:ascii="宋体" w:hAnsi="宋体" w:eastAsia="宋体" w:cs="宋体"/>
          <w:highlight w:val="none"/>
        </w:rPr>
      </w:pPr>
    </w:p>
    <w:p w14:paraId="6BDCC608">
      <w:pPr>
        <w:rPr>
          <w:rFonts w:hint="eastAsia" w:ascii="宋体" w:hAnsi="宋体" w:eastAsia="宋体" w:cs="宋体"/>
          <w:highlight w:val="none"/>
        </w:rPr>
      </w:pPr>
    </w:p>
    <w:p w14:paraId="458872AF">
      <w:pPr>
        <w:rPr>
          <w:rFonts w:hint="eastAsia" w:ascii="宋体" w:hAnsi="宋体" w:eastAsia="宋体" w:cs="宋体"/>
          <w:highlight w:val="none"/>
        </w:rPr>
      </w:pPr>
    </w:p>
    <w:p w14:paraId="28B84A3A">
      <w:pPr>
        <w:rPr>
          <w:rFonts w:hint="eastAsia" w:ascii="宋体" w:hAnsi="宋体" w:eastAsia="宋体" w:cs="宋体"/>
          <w:highlight w:val="none"/>
        </w:rPr>
      </w:pPr>
    </w:p>
    <w:p w14:paraId="294EDF1C">
      <w:pPr>
        <w:rPr>
          <w:rFonts w:hint="eastAsia" w:ascii="宋体" w:hAnsi="宋体" w:eastAsia="宋体" w:cs="宋体"/>
          <w:highlight w:val="none"/>
        </w:rPr>
      </w:pPr>
    </w:p>
    <w:p w14:paraId="0C4ECD9B">
      <w:pPr>
        <w:rPr>
          <w:rFonts w:hint="eastAsia" w:ascii="宋体" w:hAnsi="宋体" w:eastAsia="宋体" w:cs="宋体"/>
          <w:highlight w:val="none"/>
        </w:rPr>
      </w:pPr>
    </w:p>
    <w:p w14:paraId="3C60AB96">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sz w:val="32"/>
          <w:szCs w:val="32"/>
          <w:highlight w:val="none"/>
        </w:rPr>
      </w:pPr>
      <w:bookmarkStart w:id="10" w:name="_Toc4102"/>
      <w:bookmarkStart w:id="11" w:name="_Toc14981"/>
      <w:bookmarkStart w:id="12" w:name="_Toc30497"/>
      <w:r>
        <w:rPr>
          <w:rFonts w:hint="eastAsia" w:ascii="宋体" w:hAnsi="宋体" w:eastAsia="宋体" w:cs="宋体"/>
          <w:sz w:val="32"/>
          <w:szCs w:val="32"/>
          <w:highlight w:val="none"/>
        </w:rPr>
        <w:t>竞争性磋商公告</w:t>
      </w:r>
      <w:bookmarkEnd w:id="3"/>
      <w:bookmarkEnd w:id="4"/>
      <w:bookmarkEnd w:id="5"/>
      <w:bookmarkEnd w:id="6"/>
      <w:bookmarkEnd w:id="7"/>
      <w:bookmarkEnd w:id="8"/>
      <w:bookmarkEnd w:id="9"/>
      <w:bookmarkEnd w:id="10"/>
      <w:bookmarkEnd w:id="11"/>
      <w:bookmarkEnd w:id="12"/>
    </w:p>
    <w:p w14:paraId="618A5BE4">
      <w:pPr>
        <w:spacing w:line="360" w:lineRule="exact"/>
        <w:rPr>
          <w:rFonts w:hint="eastAsia" w:ascii="宋体" w:hAnsi="宋体" w:eastAsia="宋体" w:cs="宋体"/>
          <w:sz w:val="21"/>
          <w:szCs w:val="21"/>
          <w:highlight w:val="none"/>
          <w:u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2"/>
      </w:tblGrid>
      <w:tr w14:paraId="7ED7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0022" w:type="dxa"/>
            <w:noWrap w:val="0"/>
            <w:vAlign w:val="center"/>
          </w:tcPr>
          <w:p w14:paraId="21FE48F6">
            <w:pPr>
              <w:pStyle w:val="32"/>
              <w:spacing w:line="34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6AFF4B81">
            <w:pPr>
              <w:pStyle w:val="32"/>
              <w:spacing w:line="340" w:lineRule="exact"/>
              <w:ind w:left="0" w:leftChars="0"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七星区机关食堂物资定点供应商采购服务</w:t>
            </w:r>
            <w:r>
              <w:rPr>
                <w:rFonts w:hint="eastAsia" w:ascii="宋体" w:hAnsi="宋体" w:eastAsia="宋体" w:cs="宋体"/>
                <w:color w:val="auto"/>
                <w:szCs w:val="21"/>
                <w:highlight w:val="none"/>
              </w:rPr>
              <w:t>项目的潜在供应商应在</w:t>
            </w:r>
            <w:r>
              <w:rPr>
                <w:rFonts w:hint="eastAsia" w:ascii="宋体" w:hAnsi="宋体" w:eastAsia="宋体" w:cs="宋体"/>
                <w:color w:val="auto"/>
                <w:szCs w:val="21"/>
                <w:highlight w:val="none"/>
                <w:u w:val="single"/>
              </w:rPr>
              <w:t>https://www.gcy.zfcg.gxzf.gov.cn/（广西政府采购云平台）网上获取采购文件电子版</w:t>
            </w:r>
            <w:r>
              <w:rPr>
                <w:rFonts w:hint="eastAsia" w:ascii="宋体" w:hAnsi="宋体" w:eastAsia="宋体" w:cs="宋体"/>
                <w:color w:val="auto"/>
                <w:szCs w:val="21"/>
                <w:highlight w:val="none"/>
              </w:rPr>
              <w:t>，并</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16</w:t>
            </w:r>
            <w:r>
              <w:rPr>
                <w:rFonts w:hint="eastAsia" w:ascii="宋体" w:hAnsi="宋体" w:eastAsia="宋体" w:cs="宋体"/>
                <w:color w:val="auto"/>
                <w:szCs w:val="21"/>
                <w:highlight w:val="none"/>
                <w:u w:val="single"/>
              </w:rPr>
              <w:t>日</w:t>
            </w:r>
            <w:r>
              <w:rPr>
                <w:rFonts w:hint="eastAsia" w:ascii="宋体" w:hAnsi="宋体" w:eastAsia="宋体" w:cs="宋体"/>
                <w:bCs/>
                <w:color w:val="auto"/>
                <w:szCs w:val="21"/>
                <w:highlight w:val="none"/>
                <w:u w:val="single"/>
              </w:rPr>
              <w:t>9时30分（</w:t>
            </w:r>
            <w:r>
              <w:rPr>
                <w:rFonts w:hint="eastAsia" w:ascii="宋体" w:hAnsi="宋体" w:eastAsia="宋体" w:cs="宋体"/>
                <w:bCs/>
                <w:color w:val="auto"/>
                <w:szCs w:val="21"/>
                <w:highlight w:val="none"/>
              </w:rPr>
              <w:t>北京时间）前递交响应文件</w:t>
            </w:r>
            <w:r>
              <w:rPr>
                <w:rFonts w:hint="eastAsia" w:ascii="宋体" w:hAnsi="宋体" w:eastAsia="宋体" w:cs="宋体"/>
                <w:color w:val="auto"/>
                <w:szCs w:val="21"/>
                <w:highlight w:val="none"/>
              </w:rPr>
              <w:t>。</w:t>
            </w:r>
          </w:p>
        </w:tc>
      </w:tr>
    </w:tbl>
    <w:p w14:paraId="172942DF">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一、项目基本情况</w:t>
      </w:r>
    </w:p>
    <w:p w14:paraId="1BD4CE82">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GLZC2026-C1-990217-GXHS</w:t>
      </w:r>
      <w:r>
        <w:rPr>
          <w:rFonts w:hint="eastAsia" w:ascii="宋体" w:hAnsi="宋体" w:eastAsia="宋体" w:cs="宋体"/>
          <w:color w:val="auto"/>
          <w:szCs w:val="21"/>
          <w:highlight w:val="none"/>
        </w:rPr>
        <w:t xml:space="preserve">                   </w:t>
      </w:r>
    </w:p>
    <w:p w14:paraId="20D5FD65">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cs="宋体"/>
          <w:color w:val="auto"/>
          <w:highlight w:val="none"/>
          <w:lang w:eastAsia="zh-CN"/>
        </w:rPr>
        <w:t>七星区机关食堂物资定点供应商采购服务</w:t>
      </w:r>
      <w:r>
        <w:rPr>
          <w:rFonts w:hint="eastAsia" w:ascii="宋体" w:hAnsi="宋体" w:eastAsia="宋体" w:cs="宋体"/>
          <w:color w:val="auto"/>
          <w:szCs w:val="21"/>
          <w:highlight w:val="none"/>
        </w:rPr>
        <w:t xml:space="preserve">                     </w:t>
      </w:r>
    </w:p>
    <w:p w14:paraId="68287F4E">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采购方式：竞争性磋商 </w:t>
      </w:r>
    </w:p>
    <w:p w14:paraId="4B187952">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预算总金额（元）：</w:t>
      </w:r>
      <w:r>
        <w:rPr>
          <w:rFonts w:hint="eastAsia" w:ascii="宋体" w:hAnsi="宋体" w:eastAsia="宋体" w:cs="宋体"/>
          <w:color w:val="auto"/>
          <w:szCs w:val="21"/>
          <w:highlight w:val="none"/>
          <w:lang w:eastAsia="zh-CN"/>
        </w:rPr>
        <w:t>1300000.00</w:t>
      </w:r>
      <w:r>
        <w:rPr>
          <w:rFonts w:hint="eastAsia" w:ascii="宋体" w:hAnsi="宋体" w:eastAsia="宋体" w:cs="宋体"/>
          <w:color w:val="auto"/>
          <w:szCs w:val="21"/>
          <w:highlight w:val="none"/>
        </w:rPr>
        <w:t xml:space="preserve">                               </w:t>
      </w:r>
      <w:bookmarkStart w:id="470" w:name="_GoBack"/>
      <w:bookmarkEnd w:id="470"/>
      <w:r>
        <w:rPr>
          <w:rFonts w:hint="eastAsia" w:ascii="宋体" w:hAnsi="宋体" w:eastAsia="宋体" w:cs="宋体"/>
          <w:color w:val="auto"/>
          <w:szCs w:val="21"/>
          <w:highlight w:val="none"/>
        </w:rPr>
        <w:t xml:space="preserve">    </w:t>
      </w:r>
    </w:p>
    <w:p w14:paraId="77607623">
      <w:pPr>
        <w:pStyle w:val="32"/>
        <w:spacing w:line="380" w:lineRule="exact"/>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采购需求：</w:t>
      </w:r>
    </w:p>
    <w:p w14:paraId="715982D0">
      <w:pPr>
        <w:pStyle w:val="32"/>
        <w:spacing w:line="380" w:lineRule="exact"/>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标项名称：</w:t>
      </w:r>
      <w:r>
        <w:rPr>
          <w:rFonts w:hint="eastAsia" w:ascii="宋体" w:hAnsi="宋体" w:cs="宋体"/>
          <w:color w:val="auto"/>
          <w:highlight w:val="none"/>
          <w:lang w:eastAsia="zh-CN"/>
        </w:rPr>
        <w:t>七星区机关食堂物资定点供应商采购服务</w:t>
      </w:r>
    </w:p>
    <w:p w14:paraId="3943C843">
      <w:pPr>
        <w:pStyle w:val="32"/>
        <w:spacing w:line="380" w:lineRule="exact"/>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数量：</w:t>
      </w:r>
      <w:r>
        <w:rPr>
          <w:rFonts w:hint="eastAsia" w:ascii="宋体" w:hAnsi="宋体" w:cs="宋体"/>
          <w:color w:val="auto"/>
          <w:szCs w:val="21"/>
          <w:highlight w:val="none"/>
          <w:lang w:val="en-US" w:eastAsia="zh-CN"/>
        </w:rPr>
        <w:t>2</w:t>
      </w:r>
    </w:p>
    <w:p w14:paraId="3EBF7C5E">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预算金额（元）：</w:t>
      </w:r>
      <w:r>
        <w:rPr>
          <w:rFonts w:hint="eastAsia" w:ascii="宋体" w:hAnsi="宋体" w:cs="宋体"/>
          <w:color w:val="auto"/>
          <w:szCs w:val="21"/>
          <w:highlight w:val="none"/>
          <w:lang w:val="en-US" w:eastAsia="zh-CN"/>
        </w:rPr>
        <w:t>1300000.00</w:t>
      </w:r>
      <w:r>
        <w:rPr>
          <w:rFonts w:hint="eastAsia" w:ascii="宋体" w:hAnsi="宋体" w:eastAsia="宋体" w:cs="宋体"/>
          <w:color w:val="auto"/>
          <w:szCs w:val="21"/>
          <w:highlight w:val="none"/>
        </w:rPr>
        <w:t xml:space="preserve"> </w:t>
      </w:r>
    </w:p>
    <w:p w14:paraId="72A231EE">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简要规格描述或项目基本概况介绍、用途：</w:t>
      </w:r>
      <w:r>
        <w:rPr>
          <w:rFonts w:hint="eastAsia" w:ascii="宋体" w:hAnsi="宋体" w:eastAsia="宋体" w:cs="宋体"/>
          <w:color w:val="auto"/>
          <w:szCs w:val="21"/>
          <w:highlight w:val="none"/>
          <w:lang w:eastAsia="zh-CN"/>
        </w:rPr>
        <w:t>七星区机关食堂物资定点供应商采购服务</w:t>
      </w:r>
      <w:r>
        <w:rPr>
          <w:rFonts w:hint="eastAsia" w:ascii="宋体" w:hAnsi="宋体" w:eastAsia="宋体" w:cs="宋体"/>
          <w:color w:val="auto"/>
          <w:szCs w:val="21"/>
          <w:highlight w:val="none"/>
        </w:rPr>
        <w:t>。如需进一步了解详细内容，详见竞争性磋商文件中《采购需求》。</w:t>
      </w:r>
    </w:p>
    <w:p w14:paraId="47759B5B">
      <w:pPr>
        <w:pStyle w:val="32"/>
        <w:spacing w:line="380" w:lineRule="exact"/>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最高限价（如有）：</w:t>
      </w:r>
      <w:r>
        <w:rPr>
          <w:rFonts w:hint="eastAsia" w:ascii="宋体" w:hAnsi="宋体" w:cs="宋体"/>
          <w:color w:val="auto"/>
          <w:szCs w:val="21"/>
          <w:highlight w:val="none"/>
          <w:lang w:val="en-US" w:eastAsia="zh-CN"/>
        </w:rPr>
        <w:t>1300000.00</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元</w:t>
      </w:r>
    </w:p>
    <w:p w14:paraId="7C79A99B">
      <w:pPr>
        <w:pStyle w:val="32"/>
        <w:spacing w:line="38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eastAsia="zh-CN"/>
        </w:rPr>
        <w:t>自合同签订之日起2年</w:t>
      </w:r>
      <w:r>
        <w:rPr>
          <w:rFonts w:hint="eastAsia" w:ascii="宋体" w:hAnsi="宋体" w:eastAsia="宋体" w:cs="宋体"/>
          <w:color w:val="auto"/>
          <w:szCs w:val="21"/>
          <w:highlight w:val="none"/>
        </w:rPr>
        <w:t xml:space="preserve">。 </w:t>
      </w:r>
    </w:p>
    <w:p w14:paraId="7A216A3B">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本标项</w:t>
      </w:r>
      <w:r>
        <w:rPr>
          <w:rFonts w:hint="eastAsia" w:ascii="宋体" w:hAnsi="宋体" w:eastAsia="宋体" w:cs="宋体"/>
          <w:color w:val="auto"/>
          <w:szCs w:val="21"/>
          <w:highlight w:val="none"/>
          <w:u w:val="single"/>
        </w:rPr>
        <w:t xml:space="preserve"> 否 </w:t>
      </w:r>
      <w:r>
        <w:rPr>
          <w:rFonts w:hint="eastAsia" w:ascii="宋体" w:hAnsi="宋体" w:eastAsia="宋体" w:cs="宋体"/>
          <w:color w:val="auto"/>
          <w:szCs w:val="21"/>
          <w:highlight w:val="none"/>
        </w:rPr>
        <w:t>接受联合体磋商</w:t>
      </w:r>
    </w:p>
    <w:p w14:paraId="6D0BDB3B">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44EBDE09">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二、申请人的资格要求：</w:t>
      </w:r>
    </w:p>
    <w:p w14:paraId="5DD5FCA8">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3346215">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r>
        <w:rPr>
          <w:rFonts w:hint="eastAsia" w:ascii="宋体" w:hAnsi="宋体" w:eastAsia="宋体" w:cs="宋体"/>
          <w:color w:val="auto"/>
          <w:szCs w:val="21"/>
          <w:highlight w:val="none"/>
          <w:lang w:val="en-US" w:eastAsia="zh-CN"/>
        </w:rPr>
        <w:t>本项目专门面向小微企业采购</w:t>
      </w:r>
      <w:r>
        <w:rPr>
          <w:rFonts w:hint="eastAsia" w:ascii="宋体" w:hAnsi="宋体" w:eastAsia="宋体" w:cs="宋体"/>
          <w:color w:val="auto"/>
          <w:szCs w:val="21"/>
          <w:highlight w:val="none"/>
        </w:rPr>
        <w:t>；</w:t>
      </w:r>
    </w:p>
    <w:p w14:paraId="79B48516">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应具备有效的《食品经营许可证》。</w:t>
      </w:r>
    </w:p>
    <w:p w14:paraId="7E8D191D">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三、获取采购文件：</w:t>
      </w:r>
    </w:p>
    <w:p w14:paraId="5A7C5A4C">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时间：自发布公告之时至2025年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日，每天上午00:00至11:59 ，下午12:00至23:59（北京时间，法定节假日除外）；　</w:t>
      </w:r>
    </w:p>
    <w:p w14:paraId="1E0F81CA">
      <w:pPr>
        <w:pStyle w:val="32"/>
        <w:spacing w:line="38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地点（网址）：广西政府采购云平台（https://www.gcy.zfcg.gxzf.gov.cn/）线上获取；</w:t>
      </w:r>
    </w:p>
    <w:p w14:paraId="5B39CF26">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3E7F510C">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售价（元）：0 </w:t>
      </w:r>
    </w:p>
    <w:p w14:paraId="156947A0">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四、响应文件提交</w:t>
      </w:r>
    </w:p>
    <w:p w14:paraId="70731781">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日9时30分（北京时间）；</w:t>
      </w:r>
    </w:p>
    <w:p w14:paraId="6DD4B60C">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地点（网址）：通过广西政府采购云平台在线提交响应文件。</w:t>
      </w:r>
    </w:p>
    <w:p w14:paraId="707922FF">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五、响应文件开启</w:t>
      </w:r>
    </w:p>
    <w:p w14:paraId="6ECDC077">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日9时30分（北京时间）；</w:t>
      </w:r>
    </w:p>
    <w:p w14:paraId="08D0ABA9">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地点：通过广西政府采购云平台在线解密开启。</w:t>
      </w:r>
    </w:p>
    <w:p w14:paraId="1E2359E6">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六、公告期限：</w:t>
      </w:r>
    </w:p>
    <w:p w14:paraId="60CD4AC6">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自本公告发布之日起5个工作日。</w:t>
      </w:r>
    </w:p>
    <w:p w14:paraId="3928EBAA">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七、其他补充事宜：</w:t>
      </w:r>
    </w:p>
    <w:p w14:paraId="41411961">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5B4B9F36">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318FBC3A">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3.本项目需要落实的政府采购政策：</w:t>
      </w:r>
    </w:p>
    <w:p w14:paraId="55C2A361">
      <w:pPr>
        <w:tabs>
          <w:tab w:val="left" w:pos="1305"/>
        </w:tabs>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3.1本项目专门面向</w:t>
      </w:r>
      <w:r>
        <w:rPr>
          <w:rFonts w:hint="eastAsia" w:ascii="宋体" w:hAnsi="宋体" w:cs="宋体"/>
          <w:color w:val="auto"/>
          <w:szCs w:val="21"/>
          <w:highlight w:val="none"/>
          <w:lang w:eastAsia="zh-CN"/>
        </w:rPr>
        <w:t>小微</w:t>
      </w:r>
      <w:r>
        <w:rPr>
          <w:rFonts w:hint="eastAsia" w:ascii="宋体" w:hAnsi="宋体" w:eastAsia="宋体" w:cs="宋体"/>
          <w:color w:val="auto"/>
          <w:szCs w:val="21"/>
          <w:highlight w:val="none"/>
        </w:rPr>
        <w:t>企业采购</w:t>
      </w:r>
      <w:r>
        <w:rPr>
          <w:rFonts w:hint="eastAsia" w:ascii="宋体" w:hAnsi="宋体" w:eastAsia="宋体" w:cs="宋体"/>
          <w:color w:val="auto"/>
          <w:highlight w:val="none"/>
        </w:rPr>
        <w:t>。</w:t>
      </w:r>
    </w:p>
    <w:p w14:paraId="18D48CD2">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3.2《政府采购促进中小企业发展管理办法》（财库[2020]46号）、《广西壮族自治区财政厅关于贯彻落实政府采购支持中小企业发展政策的通知》（桂财采〔2022〕31号）。</w:t>
      </w:r>
    </w:p>
    <w:p w14:paraId="457DCAD5">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3.3《关于政府采购支持监狱企业发展有关问题的通知》（财库[2014]68号）。 </w:t>
      </w:r>
    </w:p>
    <w:p w14:paraId="3BE0AED3">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3.4《关于促进残疾人就业政府采购政策的通知》（财库[2017]141号）。</w:t>
      </w:r>
    </w:p>
    <w:p w14:paraId="66C29FA3">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4.信息公告发布媒体：http://www.ccgp.gov.cn（中国政府采购网）、http://zfcg.gxzf.gov.cn/（广西政府采购网）、http://gl.zfcg.zcygov.cn/（桂林市政府采购网）。</w:t>
      </w:r>
    </w:p>
    <w:p w14:paraId="1C84EEA8">
      <w:pPr>
        <w:spacing w:line="38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5.响应文件解密：</w:t>
      </w:r>
      <w:r>
        <w:rPr>
          <w:rFonts w:hint="eastAsia" w:ascii="宋体" w:hAnsi="宋体" w:eastAsia="宋体" w:cs="宋体"/>
          <w:bCs/>
          <w:color w:val="auto"/>
          <w:szCs w:val="21"/>
          <w:highlight w:val="none"/>
        </w:rPr>
        <w:t>响应文件提交截止时间后，</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自动提取所有供应商响应文件，各供应商须在提交响应文件截止后30分钟内（</w:t>
      </w:r>
      <w:r>
        <w:rPr>
          <w:rFonts w:hint="eastAsia" w:ascii="宋体" w:hAnsi="宋体" w:eastAsia="宋体" w:cs="宋体"/>
          <w:color w:val="auto"/>
          <w:szCs w:val="21"/>
          <w:highlight w:val="none"/>
        </w:rPr>
        <w:t>2025年</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日9时30分</w:t>
      </w:r>
      <w:r>
        <w:rPr>
          <w:rFonts w:hint="eastAsia" w:ascii="宋体" w:hAnsi="宋体" w:eastAsia="宋体" w:cs="宋体"/>
          <w:bCs/>
          <w:color w:val="auto"/>
          <w:szCs w:val="21"/>
          <w:highlight w:val="none"/>
        </w:rPr>
        <w:t>至10时00分)，登录广西政府采购云平台，通过“项目采购-开标评标”功能解密电子响应文件。若供应商在规定时间内无法解密或解密失败或超时解密的，系统默认自动放弃，响应文件按无效响应文件处理。</w:t>
      </w:r>
    </w:p>
    <w:p w14:paraId="141A327C">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6.本项目需要供应商代表在响应文件提交截止时间当天，按磋商小组要求及时登录广西政府采购云平台等候在线磋商及提交最后报价。</w:t>
      </w:r>
    </w:p>
    <w:p w14:paraId="1DF2F13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 广西政府采购云平台在线响应（电子响应）相关事宜说明：</w:t>
      </w:r>
    </w:p>
    <w:p w14:paraId="7DE7D84C">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6ADBE9D7">
      <w:pPr>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7.2在线响应（电子响应）具体操作流程参考</w:t>
      </w:r>
      <w:r>
        <w:rPr>
          <w:rFonts w:hint="eastAsia" w:ascii="宋体" w:hAnsi="宋体" w:eastAsia="宋体" w:cs="宋体"/>
          <w:bCs/>
          <w:color w:val="auto"/>
          <w:szCs w:val="21"/>
          <w:highlight w:val="none"/>
        </w:rPr>
        <w:t>《政府采购项目电子交易管理操作指南-供应商》【详见广西政府采购网（访问地址http://zfcg.gxzf.gov.cn/）—办事服务—下载专区-广西壮族自治区全流程电子招投标项目管理系统--供应商客户端】；如遇平台技术问题详询95763。</w:t>
      </w:r>
    </w:p>
    <w:p w14:paraId="0D5D2476">
      <w:pPr>
        <w:pStyle w:val="32"/>
        <w:spacing w:line="380" w:lineRule="exact"/>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.政府采购监督管理机构</w:t>
      </w:r>
    </w:p>
    <w:p w14:paraId="70992DCF">
      <w:pPr>
        <w:pStyle w:val="32"/>
        <w:spacing w:line="380" w:lineRule="exact"/>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七星区政府采购办公室</w:t>
      </w:r>
    </w:p>
    <w:p w14:paraId="68B87319">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eastAsia="zh-CN"/>
        </w:rPr>
        <w:t>0773-2126057</w:t>
      </w:r>
    </w:p>
    <w:p w14:paraId="0128BDDF">
      <w:pPr>
        <w:pStyle w:val="32"/>
        <w:spacing w:line="38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八、对本次采购提出询问，请按以下方式联系。</w:t>
      </w:r>
    </w:p>
    <w:p w14:paraId="7347AFCB">
      <w:pPr>
        <w:spacing w:line="340" w:lineRule="exact"/>
        <w:ind w:firstLine="420" w:firstLineChars="200"/>
        <w:rPr>
          <w:rFonts w:hint="eastAsia" w:ascii="宋体" w:hAnsi="宋体" w:eastAsia="宋体" w:cs="宋体"/>
          <w:color w:val="auto"/>
          <w:kern w:val="2"/>
          <w:sz w:val="21"/>
          <w:szCs w:val="21"/>
          <w:highlight w:val="none"/>
          <w:lang w:val="en-US" w:eastAsia="zh-CN" w:bidi="ar-SA"/>
        </w:rPr>
      </w:pPr>
      <w:bookmarkStart w:id="13" w:name="_Toc35393806"/>
      <w:bookmarkStart w:id="14" w:name="_Toc28359096"/>
      <w:bookmarkStart w:id="15" w:name="_Toc28359019"/>
      <w:bookmarkStart w:id="16" w:name="_Toc35393637"/>
      <w:r>
        <w:rPr>
          <w:rFonts w:hint="eastAsia" w:ascii="宋体" w:hAnsi="宋体" w:eastAsia="宋体" w:cs="宋体"/>
          <w:color w:val="auto"/>
          <w:kern w:val="2"/>
          <w:sz w:val="21"/>
          <w:szCs w:val="21"/>
          <w:highlight w:val="none"/>
          <w:lang w:val="en-US" w:eastAsia="zh-CN" w:bidi="ar-SA"/>
        </w:rPr>
        <w:t>1.采购人信息</w:t>
      </w:r>
      <w:bookmarkEnd w:id="13"/>
      <w:bookmarkEnd w:id="14"/>
      <w:bookmarkEnd w:id="15"/>
      <w:bookmarkEnd w:id="16"/>
    </w:p>
    <w:p w14:paraId="5B615069">
      <w:pPr>
        <w:spacing w:line="340" w:lineRule="exact"/>
        <w:ind w:firstLine="420" w:firstLineChars="200"/>
        <w:jc w:val="left"/>
        <w:rPr>
          <w:rFonts w:hint="eastAsia" w:ascii="宋体" w:hAnsi="宋体" w:eastAsia="宋体" w:cs="宋体"/>
          <w:color w:val="auto"/>
          <w:kern w:val="2"/>
          <w:sz w:val="21"/>
          <w:szCs w:val="21"/>
          <w:highlight w:val="none"/>
          <w:lang w:val="en-US" w:eastAsia="zh-CN" w:bidi="ar-SA"/>
        </w:rPr>
      </w:pPr>
      <w:bookmarkStart w:id="17" w:name="_Toc35393638"/>
      <w:bookmarkStart w:id="18" w:name="_Toc35393807"/>
      <w:bookmarkStart w:id="19" w:name="_Toc28359020"/>
      <w:bookmarkStart w:id="20" w:name="_Toc28359097"/>
      <w:r>
        <w:rPr>
          <w:rFonts w:hint="eastAsia" w:ascii="宋体" w:hAnsi="宋体" w:eastAsia="宋体" w:cs="宋体"/>
          <w:color w:val="auto"/>
          <w:kern w:val="2"/>
          <w:sz w:val="21"/>
          <w:szCs w:val="21"/>
          <w:highlight w:val="none"/>
          <w:lang w:val="en-US" w:eastAsia="zh-CN" w:bidi="ar-SA"/>
        </w:rPr>
        <w:t xml:space="preserve">名    称：桂林市七星区机关事务管理局 </w:t>
      </w:r>
    </w:p>
    <w:p w14:paraId="5EA149F1">
      <w:pPr>
        <w:spacing w:line="34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    址：桂林市七星区骖鸾路26号</w:t>
      </w:r>
    </w:p>
    <w:p w14:paraId="62B3190F">
      <w:pPr>
        <w:spacing w:line="34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联系方式：秦工，0773-2126189</w:t>
      </w:r>
    </w:p>
    <w:p w14:paraId="661EC473">
      <w:pPr>
        <w:spacing w:line="34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2.采购代理机构信息</w:t>
      </w:r>
      <w:bookmarkEnd w:id="17"/>
      <w:bookmarkEnd w:id="18"/>
      <w:bookmarkEnd w:id="19"/>
      <w:bookmarkEnd w:id="20"/>
    </w:p>
    <w:p w14:paraId="4E4D2E3B">
      <w:pPr>
        <w:spacing w:line="34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    称：广西禾昇项目管理有限公司　</w:t>
      </w:r>
    </w:p>
    <w:p w14:paraId="1C632FBE">
      <w:pPr>
        <w:spacing w:line="34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　　址：桂林市七星区朝阳路信息产业园D-12号D座6层602　</w:t>
      </w:r>
    </w:p>
    <w:p w14:paraId="7D948F38">
      <w:pPr>
        <w:spacing w:line="34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联系方式：  0773-3919196</w:t>
      </w:r>
    </w:p>
    <w:p w14:paraId="4ECD8876">
      <w:pPr>
        <w:spacing w:line="340" w:lineRule="exact"/>
        <w:ind w:firstLine="420" w:firstLineChars="200"/>
        <w:rPr>
          <w:rFonts w:hint="eastAsia" w:ascii="宋体" w:hAnsi="宋体" w:eastAsia="宋体" w:cs="宋体"/>
          <w:color w:val="auto"/>
          <w:kern w:val="2"/>
          <w:sz w:val="21"/>
          <w:szCs w:val="21"/>
          <w:highlight w:val="none"/>
          <w:lang w:val="en-US" w:eastAsia="zh-CN" w:bidi="ar-SA"/>
        </w:rPr>
      </w:pPr>
      <w:bookmarkStart w:id="21" w:name="_Toc28359098"/>
      <w:bookmarkStart w:id="22" w:name="_Toc28359021"/>
      <w:bookmarkStart w:id="23" w:name="_Toc35393808"/>
      <w:bookmarkStart w:id="24" w:name="_Toc35393639"/>
      <w:r>
        <w:rPr>
          <w:rFonts w:hint="eastAsia" w:ascii="宋体" w:hAnsi="宋体" w:eastAsia="宋体" w:cs="宋体"/>
          <w:color w:val="auto"/>
          <w:kern w:val="2"/>
          <w:sz w:val="21"/>
          <w:szCs w:val="21"/>
          <w:highlight w:val="none"/>
          <w:lang w:val="en-US" w:eastAsia="zh-CN" w:bidi="ar-SA"/>
        </w:rPr>
        <w:t>3.项目联系方式</w:t>
      </w:r>
      <w:bookmarkEnd w:id="21"/>
      <w:bookmarkEnd w:id="22"/>
      <w:bookmarkEnd w:id="23"/>
      <w:bookmarkEnd w:id="24"/>
    </w:p>
    <w:p w14:paraId="3DA96DEC">
      <w:pPr>
        <w:pStyle w:val="13"/>
        <w:spacing w:line="34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项目联系人：周工</w:t>
      </w:r>
    </w:p>
    <w:p w14:paraId="7FB9426C">
      <w:pPr>
        <w:spacing w:line="34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　　话：  0773-3919196</w:t>
      </w:r>
    </w:p>
    <w:p w14:paraId="66E2BAE6">
      <w:pPr>
        <w:pStyle w:val="9"/>
        <w:rPr>
          <w:rFonts w:hint="eastAsia" w:ascii="宋体" w:hAnsi="宋体" w:eastAsia="宋体" w:cs="宋体"/>
          <w:highlight w:val="none"/>
        </w:rPr>
      </w:pPr>
    </w:p>
    <w:p w14:paraId="497922D1">
      <w:pPr>
        <w:pStyle w:val="9"/>
        <w:rPr>
          <w:rFonts w:hint="eastAsia" w:ascii="宋体" w:hAnsi="宋体" w:eastAsia="宋体" w:cs="宋体"/>
          <w:highlight w:val="none"/>
        </w:rPr>
      </w:pPr>
    </w:p>
    <w:p w14:paraId="0E3CBE13">
      <w:pPr>
        <w:pStyle w:val="9"/>
        <w:rPr>
          <w:rFonts w:hint="eastAsia" w:ascii="宋体" w:hAnsi="宋体" w:eastAsia="宋体" w:cs="宋体"/>
          <w:highlight w:val="none"/>
        </w:rPr>
      </w:pPr>
    </w:p>
    <w:p w14:paraId="5B0BC75F">
      <w:pPr>
        <w:pStyle w:val="9"/>
        <w:rPr>
          <w:rFonts w:hint="eastAsia" w:ascii="宋体" w:hAnsi="宋体" w:eastAsia="宋体" w:cs="宋体"/>
          <w:highlight w:val="none"/>
        </w:rPr>
      </w:pPr>
    </w:p>
    <w:p w14:paraId="7B3418DF">
      <w:pPr>
        <w:pStyle w:val="9"/>
        <w:rPr>
          <w:rFonts w:hint="eastAsia" w:ascii="宋体" w:hAnsi="宋体" w:eastAsia="宋体" w:cs="宋体"/>
          <w:highlight w:val="none"/>
        </w:rPr>
      </w:pPr>
    </w:p>
    <w:p w14:paraId="1FABB93F">
      <w:pPr>
        <w:pStyle w:val="9"/>
        <w:rPr>
          <w:rFonts w:hint="eastAsia" w:ascii="宋体" w:hAnsi="宋体" w:eastAsia="宋体" w:cs="宋体"/>
          <w:highlight w:val="none"/>
        </w:rPr>
      </w:pPr>
    </w:p>
    <w:p w14:paraId="4C5677B6">
      <w:pPr>
        <w:pStyle w:val="9"/>
        <w:rPr>
          <w:rFonts w:hint="eastAsia" w:ascii="宋体" w:hAnsi="宋体" w:eastAsia="宋体" w:cs="宋体"/>
          <w:highlight w:val="none"/>
        </w:rPr>
      </w:pPr>
    </w:p>
    <w:p w14:paraId="2121EB17">
      <w:pPr>
        <w:pStyle w:val="9"/>
        <w:rPr>
          <w:rFonts w:hint="eastAsia" w:ascii="宋体" w:hAnsi="宋体" w:eastAsia="宋体" w:cs="宋体"/>
          <w:highlight w:val="none"/>
        </w:rPr>
      </w:pPr>
    </w:p>
    <w:p w14:paraId="4551B7AE">
      <w:pPr>
        <w:pStyle w:val="9"/>
        <w:rPr>
          <w:rFonts w:hint="eastAsia" w:ascii="宋体" w:hAnsi="宋体" w:eastAsia="宋体" w:cs="宋体"/>
          <w:highlight w:val="none"/>
        </w:rPr>
      </w:pPr>
    </w:p>
    <w:p w14:paraId="2418CA76">
      <w:pPr>
        <w:pStyle w:val="9"/>
        <w:rPr>
          <w:rFonts w:hint="eastAsia" w:ascii="宋体" w:hAnsi="宋体" w:eastAsia="宋体" w:cs="宋体"/>
          <w:highlight w:val="none"/>
        </w:rPr>
      </w:pPr>
    </w:p>
    <w:p w14:paraId="6C92801B">
      <w:pPr>
        <w:rPr>
          <w:rFonts w:hint="eastAsia" w:ascii="宋体" w:hAnsi="宋体" w:eastAsia="宋体" w:cs="宋体"/>
          <w:highlight w:val="none"/>
        </w:rPr>
      </w:pPr>
    </w:p>
    <w:p w14:paraId="5610484C">
      <w:pPr>
        <w:rPr>
          <w:rFonts w:hint="eastAsia" w:ascii="宋体" w:hAnsi="宋体" w:eastAsia="宋体" w:cs="宋体"/>
          <w:highlight w:val="none"/>
        </w:rPr>
      </w:pPr>
    </w:p>
    <w:p w14:paraId="267D9A8A">
      <w:pPr>
        <w:pStyle w:val="9"/>
        <w:rPr>
          <w:rFonts w:hint="eastAsia" w:ascii="宋体" w:hAnsi="宋体" w:eastAsia="宋体" w:cs="宋体"/>
          <w:highlight w:val="none"/>
        </w:rPr>
      </w:pPr>
    </w:p>
    <w:p w14:paraId="21C7EB1B">
      <w:pPr>
        <w:pStyle w:val="9"/>
        <w:rPr>
          <w:rFonts w:hint="eastAsia" w:ascii="宋体" w:hAnsi="宋体" w:eastAsia="宋体" w:cs="宋体"/>
          <w:highlight w:val="none"/>
        </w:rPr>
      </w:pPr>
    </w:p>
    <w:p w14:paraId="252DA628">
      <w:pPr>
        <w:rPr>
          <w:rFonts w:hint="eastAsia" w:ascii="宋体" w:hAnsi="宋体" w:eastAsia="宋体" w:cs="宋体"/>
          <w:highlight w:val="none"/>
        </w:rPr>
      </w:pPr>
    </w:p>
    <w:p w14:paraId="374F5361">
      <w:pPr>
        <w:pStyle w:val="9"/>
        <w:rPr>
          <w:rFonts w:hint="eastAsia" w:ascii="宋体" w:hAnsi="宋体" w:eastAsia="宋体" w:cs="宋体"/>
          <w:highlight w:val="none"/>
        </w:rPr>
      </w:pPr>
    </w:p>
    <w:p w14:paraId="56D3918F">
      <w:pPr>
        <w:pStyle w:val="9"/>
        <w:rPr>
          <w:rFonts w:hint="eastAsia" w:ascii="宋体" w:hAnsi="宋体" w:eastAsia="宋体" w:cs="宋体"/>
          <w:highlight w:val="none"/>
        </w:rPr>
      </w:pPr>
    </w:p>
    <w:p w14:paraId="0238300B">
      <w:pPr>
        <w:pStyle w:val="9"/>
        <w:rPr>
          <w:rFonts w:hint="eastAsia" w:ascii="宋体" w:hAnsi="宋体" w:eastAsia="宋体" w:cs="宋体"/>
          <w:highlight w:val="none"/>
        </w:rPr>
      </w:pPr>
    </w:p>
    <w:p w14:paraId="0D6708E9">
      <w:pPr>
        <w:pStyle w:val="9"/>
        <w:rPr>
          <w:rFonts w:hint="eastAsia" w:ascii="宋体" w:hAnsi="宋体" w:eastAsia="宋体" w:cs="宋体"/>
          <w:highlight w:val="none"/>
        </w:rPr>
      </w:pPr>
    </w:p>
    <w:p w14:paraId="3DAFF4C3">
      <w:pPr>
        <w:pStyle w:val="9"/>
        <w:rPr>
          <w:rFonts w:hint="eastAsia" w:ascii="宋体" w:hAnsi="宋体" w:eastAsia="宋体" w:cs="宋体"/>
          <w:highlight w:val="none"/>
        </w:rPr>
      </w:pPr>
    </w:p>
    <w:p w14:paraId="1D41AED6">
      <w:pPr>
        <w:pStyle w:val="9"/>
        <w:rPr>
          <w:rFonts w:hint="eastAsia" w:ascii="宋体" w:hAnsi="宋体" w:eastAsia="宋体" w:cs="宋体"/>
          <w:highlight w:val="none"/>
        </w:rPr>
      </w:pPr>
    </w:p>
    <w:p w14:paraId="748199D6">
      <w:pPr>
        <w:pStyle w:val="9"/>
        <w:rPr>
          <w:rFonts w:hint="eastAsia" w:ascii="宋体" w:hAnsi="宋体" w:eastAsia="宋体" w:cs="宋体"/>
          <w:highlight w:val="none"/>
        </w:rPr>
      </w:pPr>
    </w:p>
    <w:p w14:paraId="60640953">
      <w:pPr>
        <w:pStyle w:val="9"/>
        <w:rPr>
          <w:rFonts w:hint="eastAsia" w:ascii="宋体" w:hAnsi="宋体" w:eastAsia="宋体" w:cs="宋体"/>
          <w:highlight w:val="none"/>
        </w:rPr>
      </w:pPr>
    </w:p>
    <w:p w14:paraId="7ECE8210">
      <w:pPr>
        <w:pStyle w:val="9"/>
        <w:rPr>
          <w:rFonts w:hint="eastAsia" w:ascii="宋体" w:hAnsi="宋体" w:eastAsia="宋体" w:cs="宋体"/>
          <w:highlight w:val="none"/>
        </w:rPr>
      </w:pPr>
    </w:p>
    <w:p w14:paraId="1BFC5944">
      <w:pPr>
        <w:pStyle w:val="9"/>
        <w:rPr>
          <w:rFonts w:hint="eastAsia" w:ascii="宋体" w:hAnsi="宋体" w:eastAsia="宋体" w:cs="宋体"/>
          <w:highlight w:val="none"/>
        </w:rPr>
      </w:pPr>
    </w:p>
    <w:p w14:paraId="4223D93D">
      <w:pPr>
        <w:pStyle w:val="9"/>
        <w:rPr>
          <w:rFonts w:hint="eastAsia" w:ascii="宋体" w:hAnsi="宋体" w:eastAsia="宋体" w:cs="宋体"/>
          <w:highlight w:val="none"/>
        </w:rPr>
      </w:pPr>
    </w:p>
    <w:p w14:paraId="71B8DB0C">
      <w:pPr>
        <w:pStyle w:val="9"/>
        <w:rPr>
          <w:rFonts w:hint="eastAsia" w:ascii="宋体" w:hAnsi="宋体" w:eastAsia="宋体" w:cs="宋体"/>
          <w:highlight w:val="none"/>
        </w:rPr>
      </w:pPr>
    </w:p>
    <w:p w14:paraId="2A66F1D2">
      <w:pPr>
        <w:pStyle w:val="2"/>
        <w:spacing w:line="240" w:lineRule="auto"/>
        <w:jc w:val="center"/>
        <w:rPr>
          <w:rFonts w:hint="eastAsia" w:ascii="宋体" w:hAnsi="宋体" w:eastAsia="宋体" w:cs="宋体"/>
          <w:color w:val="000000"/>
          <w:sz w:val="32"/>
          <w:szCs w:val="32"/>
          <w:highlight w:val="none"/>
        </w:rPr>
      </w:pPr>
      <w:bookmarkStart w:id="25" w:name="_Toc1320"/>
      <w:bookmarkStart w:id="26" w:name="_Toc19266"/>
      <w:bookmarkStart w:id="27" w:name="_Toc10668"/>
      <w:bookmarkStart w:id="28" w:name="_Toc6077"/>
      <w:bookmarkStart w:id="29" w:name="_Toc29277"/>
      <w:bookmarkStart w:id="30" w:name="_Toc19819"/>
      <w:r>
        <w:rPr>
          <w:rFonts w:hint="eastAsia" w:ascii="宋体" w:hAnsi="宋体" w:eastAsia="宋体" w:cs="宋体"/>
          <w:color w:val="000000"/>
          <w:sz w:val="32"/>
          <w:szCs w:val="32"/>
          <w:highlight w:val="none"/>
          <w:lang w:eastAsia="zh-CN"/>
        </w:rPr>
        <w:t>第二章</w:t>
      </w:r>
      <w:r>
        <w:rPr>
          <w:rFonts w:hint="eastAsia" w:ascii="宋体" w:hAnsi="宋体" w:eastAsia="宋体" w:cs="宋体"/>
          <w:color w:val="000000"/>
          <w:sz w:val="32"/>
          <w:szCs w:val="32"/>
          <w:highlight w:val="none"/>
          <w:lang w:val="en-US" w:eastAsia="zh-CN"/>
        </w:rPr>
        <w:t xml:space="preserve"> </w:t>
      </w:r>
      <w:r>
        <w:rPr>
          <w:rFonts w:hint="eastAsia" w:ascii="宋体" w:hAnsi="宋体" w:eastAsia="宋体" w:cs="宋体"/>
          <w:color w:val="000000"/>
          <w:sz w:val="32"/>
          <w:szCs w:val="32"/>
          <w:highlight w:val="none"/>
        </w:rPr>
        <w:t>供应商须知</w:t>
      </w:r>
      <w:bookmarkEnd w:id="0"/>
      <w:bookmarkEnd w:id="1"/>
      <w:bookmarkEnd w:id="25"/>
      <w:bookmarkEnd w:id="26"/>
      <w:bookmarkEnd w:id="27"/>
      <w:bookmarkEnd w:id="28"/>
      <w:bookmarkEnd w:id="29"/>
      <w:bookmarkEnd w:id="30"/>
    </w:p>
    <w:p w14:paraId="5963B300">
      <w:pPr>
        <w:pStyle w:val="3"/>
        <w:jc w:val="center"/>
        <w:rPr>
          <w:rFonts w:hint="eastAsia" w:ascii="宋体" w:hAnsi="宋体" w:eastAsia="宋体" w:cs="宋体"/>
          <w:b/>
          <w:bCs w:val="0"/>
          <w:sz w:val="24"/>
          <w:szCs w:val="24"/>
          <w:highlight w:val="none"/>
        </w:rPr>
      </w:pPr>
      <w:bookmarkStart w:id="31" w:name="_Toc18576"/>
      <w:bookmarkStart w:id="32" w:name="_Toc18260"/>
      <w:bookmarkStart w:id="33" w:name="_Toc13547"/>
      <w:bookmarkStart w:id="34" w:name="_Toc25063"/>
      <w:bookmarkStart w:id="35" w:name="_Toc9508"/>
      <w:bookmarkStart w:id="36" w:name="_Toc10987"/>
      <w:bookmarkStart w:id="37" w:name="_Toc26389"/>
      <w:bookmarkStart w:id="38" w:name="_Toc16669"/>
      <w:r>
        <w:rPr>
          <w:rFonts w:hint="eastAsia" w:ascii="宋体" w:hAnsi="宋体" w:eastAsia="宋体" w:cs="宋体"/>
          <w:b/>
          <w:bCs w:val="0"/>
          <w:sz w:val="24"/>
          <w:szCs w:val="24"/>
          <w:highlight w:val="none"/>
        </w:rPr>
        <w:t>供 应 商 须 知 前 附 表</w:t>
      </w:r>
      <w:bookmarkEnd w:id="31"/>
      <w:bookmarkEnd w:id="32"/>
      <w:bookmarkEnd w:id="33"/>
      <w:bookmarkEnd w:id="34"/>
      <w:bookmarkEnd w:id="35"/>
      <w:bookmarkEnd w:id="36"/>
      <w:bookmarkEnd w:id="37"/>
      <w:bookmarkEnd w:id="38"/>
    </w:p>
    <w:tbl>
      <w:tblPr>
        <w:tblStyle w:val="21"/>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2E3E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vAlign w:val="center"/>
          </w:tcPr>
          <w:p w14:paraId="682F3FDA">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942" w:type="dxa"/>
            <w:vAlign w:val="center"/>
          </w:tcPr>
          <w:p w14:paraId="0481FC26">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条款号</w:t>
            </w:r>
          </w:p>
        </w:tc>
        <w:tc>
          <w:tcPr>
            <w:tcW w:w="1775" w:type="dxa"/>
            <w:vAlign w:val="center"/>
          </w:tcPr>
          <w:p w14:paraId="4162AA4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条款名称</w:t>
            </w:r>
          </w:p>
        </w:tc>
        <w:tc>
          <w:tcPr>
            <w:tcW w:w="6912" w:type="dxa"/>
            <w:vAlign w:val="center"/>
          </w:tcPr>
          <w:p w14:paraId="12883D69">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内容、要求</w:t>
            </w:r>
          </w:p>
        </w:tc>
      </w:tr>
      <w:tr w14:paraId="33AC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vAlign w:val="center"/>
          </w:tcPr>
          <w:p w14:paraId="2E64EB58">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942" w:type="dxa"/>
            <w:vAlign w:val="center"/>
          </w:tcPr>
          <w:p w14:paraId="6B4B2C7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1775" w:type="dxa"/>
            <w:vAlign w:val="center"/>
          </w:tcPr>
          <w:p w14:paraId="29D80084">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项目名称及项目编号</w:t>
            </w:r>
          </w:p>
        </w:tc>
        <w:tc>
          <w:tcPr>
            <w:tcW w:w="6912" w:type="dxa"/>
          </w:tcPr>
          <w:p w14:paraId="052FC9F6">
            <w:pPr>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项目名称：</w:t>
            </w:r>
            <w:r>
              <w:rPr>
                <w:rFonts w:hint="eastAsia" w:ascii="宋体" w:hAnsi="宋体" w:eastAsia="宋体" w:cs="宋体"/>
                <w:szCs w:val="21"/>
                <w:highlight w:val="none"/>
                <w:lang w:eastAsia="zh-CN"/>
              </w:rPr>
              <w:t>七星区机关食堂物资定点供应商采购服务</w:t>
            </w:r>
          </w:p>
          <w:p w14:paraId="78B92FB3">
            <w:pPr>
              <w:spacing w:line="360" w:lineRule="auto"/>
              <w:jc w:val="left"/>
              <w:rPr>
                <w:rFonts w:hint="eastAsia" w:ascii="宋体" w:hAnsi="宋体" w:eastAsia="宋体" w:cs="宋体"/>
                <w:highlight w:val="none"/>
                <w:lang w:eastAsia="zh-CN"/>
              </w:rPr>
            </w:pPr>
            <w:r>
              <w:rPr>
                <w:rFonts w:hint="eastAsia" w:ascii="宋体" w:hAnsi="宋体" w:eastAsia="宋体" w:cs="宋体"/>
                <w:szCs w:val="21"/>
                <w:highlight w:val="none"/>
              </w:rPr>
              <w:t>项目编号：</w:t>
            </w:r>
            <w:r>
              <w:rPr>
                <w:rFonts w:hint="eastAsia" w:ascii="宋体" w:hAnsi="宋体" w:eastAsia="宋体" w:cs="宋体"/>
                <w:szCs w:val="21"/>
                <w:highlight w:val="none"/>
                <w:lang w:eastAsia="zh-CN"/>
              </w:rPr>
              <w:t>GLZC2026-C1-990217-GXHS</w:t>
            </w:r>
          </w:p>
        </w:tc>
      </w:tr>
      <w:tr w14:paraId="3EB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69367AFA">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942" w:type="dxa"/>
            <w:vAlign w:val="center"/>
          </w:tcPr>
          <w:p w14:paraId="5753CB24">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775" w:type="dxa"/>
            <w:vAlign w:val="center"/>
          </w:tcPr>
          <w:p w14:paraId="659C8D9C">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供应商资格</w:t>
            </w:r>
          </w:p>
        </w:tc>
        <w:tc>
          <w:tcPr>
            <w:tcW w:w="6912" w:type="dxa"/>
            <w:vAlign w:val="center"/>
          </w:tcPr>
          <w:p w14:paraId="5767E41F">
            <w:pPr>
              <w:spacing w:line="360" w:lineRule="exact"/>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3.1符合《中华人民共和国政府采购法》第二十二条和《政府采购法实施条例》第十八条规定，具备合法资格1.满足《中华人民共和国政府采购法》第二十二条规定；</w:t>
            </w:r>
          </w:p>
          <w:p w14:paraId="75C90835">
            <w:pPr>
              <w:spacing w:line="360" w:lineRule="exact"/>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val="en-US" w:eastAsia="zh-CN"/>
              </w:rPr>
              <w:t>3.</w:t>
            </w:r>
            <w:r>
              <w:rPr>
                <w:rFonts w:hint="eastAsia" w:ascii="宋体" w:hAnsi="宋体" w:cs="宋体"/>
                <w:bCs/>
                <w:color w:val="000000"/>
                <w:szCs w:val="21"/>
                <w:highlight w:val="none"/>
                <w:lang w:val="en-US" w:eastAsia="zh-CN"/>
              </w:rPr>
              <w:t>2</w:t>
            </w:r>
            <w:r>
              <w:rPr>
                <w:rFonts w:hint="eastAsia" w:ascii="宋体" w:hAnsi="宋体" w:eastAsia="宋体" w:cs="宋体"/>
                <w:bCs/>
                <w:color w:val="000000"/>
                <w:szCs w:val="21"/>
                <w:highlight w:val="none"/>
              </w:rPr>
              <w:t>.落实政府采购政策需满足的资格要求：本项目专门面向小微企业采购。</w:t>
            </w:r>
          </w:p>
          <w:p w14:paraId="656FA291">
            <w:pPr>
              <w:spacing w:line="360" w:lineRule="exact"/>
              <w:rPr>
                <w:rFonts w:hint="eastAsia" w:ascii="宋体" w:hAnsi="宋体" w:eastAsia="宋体" w:cs="宋体"/>
                <w:highlight w:val="none"/>
              </w:rPr>
            </w:pPr>
            <w:r>
              <w:rPr>
                <w:rFonts w:hint="eastAsia" w:ascii="宋体" w:hAnsi="宋体" w:eastAsia="宋体" w:cs="宋体"/>
                <w:bCs/>
                <w:color w:val="000000"/>
                <w:szCs w:val="21"/>
                <w:highlight w:val="none"/>
                <w:lang w:val="en-US" w:eastAsia="zh-CN"/>
              </w:rPr>
              <w:t>3.</w:t>
            </w:r>
            <w:r>
              <w:rPr>
                <w:rFonts w:hint="eastAsia" w:ascii="宋体" w:hAnsi="宋体" w:cs="宋体"/>
                <w:bCs/>
                <w:color w:val="000000"/>
                <w:szCs w:val="21"/>
                <w:highlight w:val="none"/>
                <w:lang w:val="en-US" w:eastAsia="zh-CN"/>
              </w:rPr>
              <w:t>3</w:t>
            </w:r>
            <w:r>
              <w:rPr>
                <w:rFonts w:hint="eastAsia" w:ascii="宋体" w:hAnsi="宋体" w:eastAsia="宋体" w:cs="宋体"/>
                <w:bCs/>
                <w:color w:val="000000"/>
                <w:szCs w:val="21"/>
                <w:highlight w:val="none"/>
              </w:rPr>
              <w:t>.本项目的特定资格要求：供应商应具备有效的《食品经营许可证》。</w:t>
            </w:r>
          </w:p>
        </w:tc>
      </w:tr>
      <w:tr w14:paraId="15BC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vAlign w:val="center"/>
          </w:tcPr>
          <w:p w14:paraId="7D227917">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942" w:type="dxa"/>
            <w:vAlign w:val="center"/>
          </w:tcPr>
          <w:p w14:paraId="41BFA309">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1775" w:type="dxa"/>
            <w:vAlign w:val="center"/>
          </w:tcPr>
          <w:p w14:paraId="67153DCE">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磋商费用</w:t>
            </w:r>
          </w:p>
        </w:tc>
        <w:tc>
          <w:tcPr>
            <w:tcW w:w="6912" w:type="dxa"/>
            <w:vAlign w:val="center"/>
          </w:tcPr>
          <w:p w14:paraId="1FC9FAB9">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不论磋商结果如何，供应商均应自行承担所有与磋商有关的全部费用。 </w:t>
            </w:r>
          </w:p>
        </w:tc>
      </w:tr>
      <w:tr w14:paraId="36ED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286E4917">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942" w:type="dxa"/>
            <w:vAlign w:val="center"/>
          </w:tcPr>
          <w:p w14:paraId="75C61426">
            <w:pPr>
              <w:spacing w:line="360" w:lineRule="auto"/>
              <w:jc w:val="center"/>
              <w:rPr>
                <w:rFonts w:hint="eastAsia" w:ascii="宋体" w:hAnsi="宋体" w:eastAsia="宋体" w:cs="宋体"/>
                <w:color w:val="000000"/>
                <w:position w:val="-2"/>
                <w:szCs w:val="21"/>
                <w:highlight w:val="none"/>
              </w:rPr>
            </w:pPr>
            <w:r>
              <w:rPr>
                <w:rFonts w:hint="eastAsia" w:ascii="宋体" w:hAnsi="宋体" w:eastAsia="宋体" w:cs="宋体"/>
                <w:color w:val="000000"/>
                <w:position w:val="-2"/>
                <w:szCs w:val="21"/>
                <w:highlight w:val="none"/>
              </w:rPr>
              <w:t>13</w:t>
            </w:r>
          </w:p>
        </w:tc>
        <w:tc>
          <w:tcPr>
            <w:tcW w:w="1775" w:type="dxa"/>
            <w:vAlign w:val="center"/>
          </w:tcPr>
          <w:p w14:paraId="0322C327">
            <w:pPr>
              <w:spacing w:line="360" w:lineRule="auto"/>
              <w:jc w:val="center"/>
              <w:rPr>
                <w:rFonts w:hint="eastAsia" w:ascii="宋体" w:hAnsi="宋体" w:eastAsia="宋体" w:cs="宋体"/>
                <w:color w:val="000000"/>
                <w:position w:val="-2"/>
                <w:szCs w:val="21"/>
                <w:highlight w:val="none"/>
              </w:rPr>
            </w:pPr>
            <w:r>
              <w:rPr>
                <w:rFonts w:hint="eastAsia" w:ascii="宋体" w:hAnsi="宋体" w:eastAsia="宋体" w:cs="宋体"/>
                <w:color w:val="000000"/>
                <w:szCs w:val="21"/>
                <w:highlight w:val="none"/>
              </w:rPr>
              <w:t>磋商报价及采购预算金额</w:t>
            </w:r>
          </w:p>
        </w:tc>
        <w:tc>
          <w:tcPr>
            <w:tcW w:w="6912" w:type="dxa"/>
            <w:vAlign w:val="center"/>
          </w:tcPr>
          <w:p w14:paraId="000FCAB5">
            <w:pPr>
              <w:snapToGrid w:val="0"/>
              <w:spacing w:line="360" w:lineRule="auto"/>
              <w:jc w:val="left"/>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13.1</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rPr>
              <w:t xml:space="preserve"> 磋商报价应按磋商文件中相关附表格式填写。采购预算金额</w:t>
            </w:r>
            <w:r>
              <w:rPr>
                <w:rFonts w:hint="eastAsia" w:ascii="宋体" w:hAnsi="宋体" w:eastAsia="宋体" w:cs="宋体"/>
                <w:b/>
                <w:bCs/>
                <w:color w:val="000000"/>
                <w:szCs w:val="21"/>
                <w:highlight w:val="none"/>
                <w:lang w:eastAsia="zh-CN"/>
              </w:rPr>
              <w:t>人民币壹佰叁拾万元整（¥1300000.00元）；</w:t>
            </w:r>
          </w:p>
          <w:p w14:paraId="7FF54229">
            <w:pPr>
              <w:snapToGrid w:val="0"/>
              <w:spacing w:line="360" w:lineRule="auto"/>
              <w:ind w:firstLine="420" w:firstLineChars="200"/>
              <w:jc w:val="left"/>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本项目采用折扣率报价，最高磋商报价折扣率为85%。</w:t>
            </w:r>
            <w:r>
              <w:rPr>
                <w:rFonts w:hint="eastAsia" w:ascii="宋体" w:hAnsi="宋体" w:eastAsia="宋体" w:cs="宋体"/>
                <w:b/>
                <w:bCs/>
                <w:color w:val="000000"/>
                <w:szCs w:val="21"/>
                <w:highlight w:val="none"/>
              </w:rPr>
              <w:t>供应商磋商</w:t>
            </w:r>
            <w:r>
              <w:rPr>
                <w:rFonts w:hint="eastAsia" w:ascii="宋体" w:hAnsi="宋体" w:eastAsia="宋体" w:cs="宋体"/>
                <w:b/>
                <w:bCs/>
                <w:color w:val="000000"/>
                <w:szCs w:val="21"/>
                <w:highlight w:val="none"/>
                <w:lang w:val="en-US" w:eastAsia="zh-CN"/>
              </w:rPr>
              <w:t>报价折扣率</w:t>
            </w:r>
            <w:r>
              <w:rPr>
                <w:rFonts w:hint="eastAsia" w:ascii="宋体" w:hAnsi="宋体" w:eastAsia="宋体" w:cs="宋体"/>
                <w:b/>
                <w:bCs/>
                <w:color w:val="000000"/>
                <w:szCs w:val="21"/>
                <w:highlight w:val="none"/>
              </w:rPr>
              <w:t>不得高于最高磋商限价，否则被视为无效报价，无效报价将不予评审。</w:t>
            </w:r>
          </w:p>
          <w:p w14:paraId="5B607860">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lang w:val="en-US" w:eastAsia="zh-CN"/>
              </w:rPr>
              <w:t>注：供应商的第二次磋商报价不得高于该供应商第一次磋商报价，否则做无效标处理。如供应商维持磋商报价不变，以原磋商报价作为供应商最后报价。</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13.</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供应商必须就“采购需求”中所有内容作完整唯一报价，否则，其响应文件无效；响应文件只允许有一个报价，有选择的或有条件的报价将不予接受。</w:t>
            </w:r>
          </w:p>
          <w:p w14:paraId="52A94770">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供应商应在规定时间内在广西政府采购云平台上提交最后报价，超出评委设定的最后报价时限或其最后报价超出采购预算导致已通过评审的响应文件无效的，按供应商在</w:t>
            </w:r>
            <w:r>
              <w:rPr>
                <w:rFonts w:hint="eastAsia" w:ascii="宋体" w:hAnsi="宋体" w:eastAsia="宋体" w:cs="宋体"/>
                <w:color w:val="000000"/>
                <w:kern w:val="0"/>
                <w:szCs w:val="21"/>
                <w:highlight w:val="none"/>
              </w:rPr>
              <w:t>提交响应文件截止时间后撤回响应文件处理。</w:t>
            </w:r>
          </w:p>
        </w:tc>
      </w:tr>
      <w:tr w14:paraId="3CFA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5DDBA87C">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942" w:type="dxa"/>
            <w:vAlign w:val="center"/>
          </w:tcPr>
          <w:p w14:paraId="57A2B3D2">
            <w:pPr>
              <w:spacing w:line="360" w:lineRule="auto"/>
              <w:jc w:val="center"/>
              <w:rPr>
                <w:rFonts w:hint="eastAsia" w:ascii="宋体" w:hAnsi="宋体" w:eastAsia="宋体" w:cs="宋体"/>
                <w:color w:val="000000"/>
                <w:position w:val="-2"/>
                <w:szCs w:val="21"/>
                <w:highlight w:val="none"/>
              </w:rPr>
            </w:pPr>
            <w:r>
              <w:rPr>
                <w:rFonts w:hint="eastAsia" w:ascii="宋体" w:hAnsi="宋体" w:eastAsia="宋体" w:cs="宋体"/>
                <w:color w:val="000000"/>
                <w:position w:val="-2"/>
                <w:szCs w:val="21"/>
                <w:highlight w:val="none"/>
              </w:rPr>
              <w:t>14.1</w:t>
            </w:r>
          </w:p>
        </w:tc>
        <w:tc>
          <w:tcPr>
            <w:tcW w:w="1775" w:type="dxa"/>
            <w:vAlign w:val="center"/>
          </w:tcPr>
          <w:p w14:paraId="6689CDEC">
            <w:pPr>
              <w:spacing w:line="360" w:lineRule="auto"/>
              <w:jc w:val="center"/>
              <w:rPr>
                <w:rFonts w:hint="eastAsia" w:ascii="宋体" w:hAnsi="宋体" w:eastAsia="宋体" w:cs="宋体"/>
                <w:color w:val="000000"/>
                <w:position w:val="-2"/>
                <w:szCs w:val="21"/>
                <w:highlight w:val="none"/>
              </w:rPr>
            </w:pPr>
            <w:r>
              <w:rPr>
                <w:rFonts w:hint="eastAsia" w:ascii="宋体" w:hAnsi="宋体" w:eastAsia="宋体" w:cs="宋体"/>
                <w:color w:val="000000"/>
                <w:position w:val="-2"/>
                <w:szCs w:val="21"/>
                <w:highlight w:val="none"/>
              </w:rPr>
              <w:t>响应文件有效期</w:t>
            </w:r>
          </w:p>
        </w:tc>
        <w:tc>
          <w:tcPr>
            <w:tcW w:w="6912" w:type="dxa"/>
          </w:tcPr>
          <w:p w14:paraId="0AC84644">
            <w:pPr>
              <w:tabs>
                <w:tab w:val="left" w:pos="1305"/>
              </w:tabs>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响应文件递交截止时间之日起90天，有效期不足的响应文件将被拒绝。</w:t>
            </w:r>
          </w:p>
        </w:tc>
      </w:tr>
      <w:tr w14:paraId="2D83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4057B7F6">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942" w:type="dxa"/>
            <w:vAlign w:val="center"/>
          </w:tcPr>
          <w:p w14:paraId="12476E04">
            <w:pPr>
              <w:spacing w:line="360" w:lineRule="auto"/>
              <w:jc w:val="center"/>
              <w:rPr>
                <w:rFonts w:hint="eastAsia" w:ascii="宋体" w:hAnsi="宋体" w:eastAsia="宋体" w:cs="宋体"/>
                <w:color w:val="000000"/>
                <w:position w:val="-2"/>
                <w:szCs w:val="21"/>
                <w:highlight w:val="none"/>
              </w:rPr>
            </w:pPr>
            <w:r>
              <w:rPr>
                <w:rFonts w:hint="eastAsia" w:ascii="宋体" w:hAnsi="宋体" w:eastAsia="宋体" w:cs="宋体"/>
                <w:color w:val="000000"/>
                <w:position w:val="-2"/>
                <w:szCs w:val="21"/>
                <w:highlight w:val="none"/>
              </w:rPr>
              <w:t>15</w:t>
            </w:r>
          </w:p>
        </w:tc>
        <w:tc>
          <w:tcPr>
            <w:tcW w:w="1775" w:type="dxa"/>
            <w:vAlign w:val="center"/>
          </w:tcPr>
          <w:p w14:paraId="7303732D">
            <w:pPr>
              <w:spacing w:line="360" w:lineRule="auto"/>
              <w:jc w:val="center"/>
              <w:rPr>
                <w:rFonts w:hint="eastAsia" w:ascii="宋体" w:hAnsi="宋体" w:eastAsia="宋体" w:cs="宋体"/>
                <w:color w:val="000000"/>
                <w:position w:val="-2"/>
                <w:szCs w:val="21"/>
                <w:highlight w:val="none"/>
              </w:rPr>
            </w:pPr>
            <w:r>
              <w:rPr>
                <w:rFonts w:hint="eastAsia" w:ascii="宋体" w:hAnsi="宋体" w:eastAsia="宋体" w:cs="宋体"/>
                <w:color w:val="000000"/>
                <w:position w:val="-2"/>
                <w:szCs w:val="21"/>
                <w:highlight w:val="none"/>
              </w:rPr>
              <w:t>保证金</w:t>
            </w:r>
          </w:p>
        </w:tc>
        <w:tc>
          <w:tcPr>
            <w:tcW w:w="6912" w:type="dxa"/>
          </w:tcPr>
          <w:p w14:paraId="7574FD6E">
            <w:pPr>
              <w:tabs>
                <w:tab w:val="left" w:pos="1305"/>
              </w:tabs>
              <w:spacing w:line="360" w:lineRule="auto"/>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rPr>
              <w:t>本项目无需缴纳磋商保证金。</w:t>
            </w:r>
          </w:p>
        </w:tc>
      </w:tr>
      <w:tr w14:paraId="3135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4AAC8E21">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942" w:type="dxa"/>
            <w:vAlign w:val="center"/>
          </w:tcPr>
          <w:p w14:paraId="1086259C">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w:t>
            </w:r>
          </w:p>
        </w:tc>
        <w:tc>
          <w:tcPr>
            <w:tcW w:w="1775" w:type="dxa"/>
            <w:vAlign w:val="center"/>
          </w:tcPr>
          <w:p w14:paraId="0A1D3EC8">
            <w:pPr>
              <w:pStyle w:val="4"/>
              <w:spacing w:before="0" w:after="0" w:line="360" w:lineRule="auto"/>
              <w:jc w:val="center"/>
              <w:rPr>
                <w:rFonts w:hint="eastAsia" w:ascii="宋体" w:hAnsi="宋体" w:eastAsia="宋体" w:cs="宋体"/>
                <w:b w:val="0"/>
                <w:bCs/>
                <w:color w:val="000000"/>
                <w:kern w:val="2"/>
                <w:sz w:val="21"/>
                <w:szCs w:val="21"/>
                <w:highlight w:val="none"/>
                <w:lang w:val="en-US" w:eastAsia="zh-CN"/>
              </w:rPr>
            </w:pPr>
            <w:bookmarkStart w:id="39" w:name="_Toc22467"/>
            <w:bookmarkStart w:id="40" w:name="_Toc25575"/>
            <w:bookmarkStart w:id="41" w:name="_Toc27452"/>
            <w:bookmarkStart w:id="42" w:name="_Toc15688"/>
            <w:bookmarkStart w:id="43" w:name="_Toc19911"/>
            <w:bookmarkStart w:id="44" w:name="_Toc9623"/>
            <w:bookmarkStart w:id="45" w:name="_Toc12316"/>
            <w:r>
              <w:rPr>
                <w:rFonts w:hint="eastAsia" w:ascii="宋体" w:hAnsi="宋体" w:eastAsia="宋体" w:cs="宋体"/>
                <w:b w:val="0"/>
                <w:bCs/>
                <w:color w:val="000000"/>
                <w:kern w:val="2"/>
                <w:sz w:val="21"/>
                <w:szCs w:val="21"/>
                <w:highlight w:val="none"/>
                <w:lang w:val="en-US" w:eastAsia="zh-CN"/>
              </w:rPr>
              <w:t>竞争性磋商响应文件的制作</w:t>
            </w:r>
            <w:bookmarkEnd w:id="39"/>
            <w:bookmarkEnd w:id="40"/>
            <w:bookmarkEnd w:id="41"/>
            <w:bookmarkEnd w:id="42"/>
            <w:bookmarkEnd w:id="43"/>
            <w:bookmarkEnd w:id="44"/>
            <w:bookmarkEnd w:id="45"/>
          </w:p>
          <w:p w14:paraId="650C209A">
            <w:pPr>
              <w:spacing w:line="360" w:lineRule="auto"/>
              <w:jc w:val="center"/>
              <w:rPr>
                <w:rFonts w:hint="eastAsia" w:ascii="宋体" w:hAnsi="宋体" w:eastAsia="宋体" w:cs="宋体"/>
                <w:color w:val="000000"/>
                <w:szCs w:val="21"/>
                <w:highlight w:val="none"/>
              </w:rPr>
            </w:pPr>
          </w:p>
        </w:tc>
        <w:tc>
          <w:tcPr>
            <w:tcW w:w="6912" w:type="dxa"/>
            <w:vAlign w:val="center"/>
          </w:tcPr>
          <w:p w14:paraId="7584CCDA">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7D61D4C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16.2供应商法人（负责人）或授权代表持有政采云个人CA签章的，应在响应文件中涉及到签字的位置使用个人CA签章，没有办理政采云个人CA签章的可在响应文件中涉及到签字的位置手写签字后扫描或者拍照做成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38E05834">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16.3 磋商响应文件不得涂改，若有修改错漏处，须法定代表人（负责人）或授权委托人签字</w:t>
            </w:r>
            <w:r>
              <w:rPr>
                <w:rFonts w:hint="eastAsia" w:ascii="宋体" w:hAnsi="宋体" w:eastAsia="宋体" w:cs="宋体"/>
                <w:szCs w:val="21"/>
                <w:highlight w:val="none"/>
              </w:rPr>
              <w:t>（或个人CA签章）</w:t>
            </w:r>
            <w:r>
              <w:rPr>
                <w:rFonts w:hint="eastAsia" w:ascii="宋体" w:hAnsi="宋体" w:eastAsia="宋体" w:cs="宋体"/>
                <w:color w:val="000000"/>
                <w:szCs w:val="21"/>
                <w:highlight w:val="none"/>
              </w:rPr>
              <w:t>。磋商响应文件因字迹模糊或表达不清所引起的后果由供应商负责。</w:t>
            </w:r>
          </w:p>
          <w:p w14:paraId="2DF92FD8">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16.4磋商前准备 </w:t>
            </w:r>
          </w:p>
          <w:p w14:paraId="33C3E117">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16.4.1本项目实行在线磋商，采用电子磋商响应文件。若供应商参与磋商，自行承担磋商一切费用。 </w:t>
            </w:r>
          </w:p>
          <w:p w14:paraId="1A907D97">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16.4.2各供应商应在截标前应确保成为广西政府采购云平台正式注册入库供应商，并完成CA数字证书申领。因未注册入库、未办理CA数字证书等原因造成无法磋商或磋商失败等后果由供应商自行承担。 </w:t>
            </w:r>
          </w:p>
          <w:p w14:paraId="5BC66617">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16.4.3供应商将政采云电子交易客户端下载、安装完成后，可通过账号密码或 CA 登录客户端进行响应文件制作。客户端请至网站下载专区查看，如有问题可拨打政采云客户服务热线 95763 进行咨询。</w:t>
            </w:r>
          </w:p>
        </w:tc>
      </w:tr>
      <w:tr w14:paraId="55C4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vAlign w:val="center"/>
          </w:tcPr>
          <w:p w14:paraId="039BA79E">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942" w:type="dxa"/>
            <w:vAlign w:val="center"/>
          </w:tcPr>
          <w:p w14:paraId="52507DEC">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18.1</w:t>
            </w:r>
          </w:p>
        </w:tc>
        <w:tc>
          <w:tcPr>
            <w:tcW w:w="1775" w:type="dxa"/>
            <w:vAlign w:val="center"/>
          </w:tcPr>
          <w:p w14:paraId="00A0041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响应文件递交截止时间</w:t>
            </w:r>
          </w:p>
        </w:tc>
        <w:tc>
          <w:tcPr>
            <w:tcW w:w="6912" w:type="dxa"/>
            <w:vAlign w:val="center"/>
          </w:tcPr>
          <w:p w14:paraId="40A0C186">
            <w:pPr>
              <w:spacing w:line="360" w:lineRule="auto"/>
              <w:rPr>
                <w:rFonts w:hint="eastAsia" w:ascii="宋体" w:hAnsi="宋体" w:eastAsia="宋体" w:cs="宋体"/>
                <w:szCs w:val="21"/>
                <w:highlight w:val="none"/>
              </w:rPr>
            </w:pPr>
            <w:r>
              <w:rPr>
                <w:rFonts w:hint="eastAsia" w:ascii="宋体" w:hAnsi="宋体" w:eastAsia="宋体" w:cs="宋体"/>
                <w:szCs w:val="21"/>
                <w:highlight w:val="none"/>
                <w:u w:val="single"/>
              </w:rPr>
              <w:t>于</w:t>
            </w:r>
            <w:r>
              <w:rPr>
                <w:rFonts w:hint="eastAsia" w:ascii="宋体" w:hAnsi="宋体" w:eastAsia="宋体" w:cs="宋体"/>
                <w:szCs w:val="21"/>
                <w:highlight w:val="none"/>
                <w:u w:val="single"/>
                <w:lang w:eastAsia="zh-CN"/>
              </w:rPr>
              <w:t>2026年6月16日</w:t>
            </w:r>
            <w:r>
              <w:rPr>
                <w:rFonts w:hint="eastAsia" w:ascii="宋体" w:hAnsi="宋体" w:eastAsia="宋体" w:cs="宋体"/>
                <w:szCs w:val="21"/>
                <w:highlight w:val="none"/>
                <w:u w:val="single"/>
              </w:rPr>
              <w:t>上午09时30分</w:t>
            </w:r>
            <w:r>
              <w:rPr>
                <w:rFonts w:hint="eastAsia" w:ascii="宋体" w:hAnsi="宋体" w:eastAsia="宋体" w:cs="宋体"/>
                <w:szCs w:val="21"/>
                <w:highlight w:val="none"/>
              </w:rPr>
              <w:t>之前将电子磋商响应文件上传到广西政府采购云平台。应按照本项目磋商文件和广西政府采购云平台的要求编制、加密传输磋商响应文件。供应商在使用系统进行投标的过程中遇到涉及平台使用的任何问题，可致电广西政府采购云平台技术支持热线咨询，联系方式：95763。</w:t>
            </w:r>
          </w:p>
        </w:tc>
      </w:tr>
      <w:tr w14:paraId="25F3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vAlign w:val="center"/>
          </w:tcPr>
          <w:p w14:paraId="03269CDF">
            <w:pPr>
              <w:spacing w:line="360" w:lineRule="auto"/>
              <w:jc w:val="center"/>
              <w:rPr>
                <w:rFonts w:hint="eastAsia" w:ascii="宋体" w:hAnsi="宋体" w:eastAsia="宋体" w:cs="宋体"/>
                <w:color w:val="000000"/>
                <w:position w:val="-2"/>
                <w:szCs w:val="21"/>
                <w:highlight w:val="none"/>
              </w:rPr>
            </w:pPr>
            <w:r>
              <w:rPr>
                <w:rFonts w:hint="eastAsia" w:ascii="宋体" w:hAnsi="宋体" w:eastAsia="宋体" w:cs="宋体"/>
                <w:color w:val="000000"/>
                <w:position w:val="-2"/>
                <w:szCs w:val="21"/>
                <w:highlight w:val="none"/>
              </w:rPr>
              <w:t>9</w:t>
            </w:r>
          </w:p>
        </w:tc>
        <w:tc>
          <w:tcPr>
            <w:tcW w:w="942" w:type="dxa"/>
            <w:vAlign w:val="center"/>
          </w:tcPr>
          <w:p w14:paraId="51A70B65">
            <w:pPr>
              <w:spacing w:line="360" w:lineRule="auto"/>
              <w:jc w:val="center"/>
              <w:rPr>
                <w:rFonts w:hint="eastAsia" w:ascii="宋体" w:hAnsi="宋体" w:eastAsia="宋体" w:cs="宋体"/>
                <w:color w:val="000000"/>
                <w:position w:val="-2"/>
                <w:szCs w:val="21"/>
                <w:highlight w:val="none"/>
              </w:rPr>
            </w:pPr>
            <w:r>
              <w:rPr>
                <w:rFonts w:hint="eastAsia" w:ascii="宋体" w:hAnsi="宋体" w:eastAsia="宋体" w:cs="宋体"/>
                <w:color w:val="000000"/>
                <w:position w:val="-2"/>
                <w:szCs w:val="21"/>
                <w:highlight w:val="none"/>
              </w:rPr>
              <w:t>18.2</w:t>
            </w:r>
          </w:p>
        </w:tc>
        <w:tc>
          <w:tcPr>
            <w:tcW w:w="1775" w:type="dxa"/>
            <w:vAlign w:val="center"/>
          </w:tcPr>
          <w:p w14:paraId="0C8B2FD2">
            <w:pPr>
              <w:spacing w:line="360" w:lineRule="auto"/>
              <w:jc w:val="center"/>
              <w:rPr>
                <w:rFonts w:hint="eastAsia" w:ascii="宋体" w:hAnsi="宋体" w:eastAsia="宋体" w:cs="宋体"/>
                <w:color w:val="000000"/>
                <w:position w:val="-2"/>
                <w:szCs w:val="21"/>
                <w:highlight w:val="none"/>
              </w:rPr>
            </w:pPr>
            <w:r>
              <w:rPr>
                <w:rFonts w:hint="eastAsia" w:ascii="宋体" w:hAnsi="宋体" w:eastAsia="宋体" w:cs="宋体"/>
                <w:color w:val="000000"/>
                <w:szCs w:val="21"/>
                <w:highlight w:val="none"/>
              </w:rPr>
              <w:t>磋商响应文件解密时间及地点</w:t>
            </w:r>
          </w:p>
        </w:tc>
        <w:tc>
          <w:tcPr>
            <w:tcW w:w="6912" w:type="dxa"/>
            <w:vAlign w:val="center"/>
          </w:tcPr>
          <w:p w14:paraId="672D11D9">
            <w:pPr>
              <w:pStyle w:val="8"/>
              <w:rPr>
                <w:rFonts w:hint="eastAsia" w:ascii="宋体" w:hAnsi="宋体" w:eastAsia="宋体" w:cs="宋体"/>
                <w:highlight w:val="none"/>
              </w:rPr>
            </w:pPr>
            <w:r>
              <w:rPr>
                <w:rFonts w:hint="eastAsia" w:ascii="宋体" w:hAnsi="宋体" w:eastAsia="宋体" w:cs="宋体"/>
                <w:szCs w:val="21"/>
                <w:highlight w:val="none"/>
              </w:rPr>
              <w:t>磋商响应文件解密时间</w:t>
            </w:r>
            <w:r>
              <w:rPr>
                <w:rFonts w:hint="eastAsia" w:ascii="宋体" w:hAnsi="宋体" w:eastAsia="宋体" w:cs="宋体"/>
                <w:highlight w:val="none"/>
              </w:rPr>
              <w:t>：截标时间后</w:t>
            </w:r>
            <w:r>
              <w:rPr>
                <w:rFonts w:hint="eastAsia" w:ascii="宋体" w:hAnsi="宋体" w:eastAsia="宋体" w:cs="宋体"/>
                <w:highlight w:val="none"/>
                <w:u w:val="single"/>
              </w:rPr>
              <w:t>30</w:t>
            </w:r>
            <w:r>
              <w:rPr>
                <w:rFonts w:hint="eastAsia" w:ascii="宋体" w:hAnsi="宋体" w:eastAsia="宋体" w:cs="宋体"/>
                <w:highlight w:val="none"/>
              </w:rPr>
              <w:t>分钟内（</w:t>
            </w:r>
            <w:r>
              <w:rPr>
                <w:rFonts w:hint="eastAsia" w:ascii="宋体" w:hAnsi="宋体" w:eastAsia="宋体" w:cs="宋体"/>
                <w:szCs w:val="21"/>
                <w:highlight w:val="none"/>
                <w:u w:val="single"/>
                <w:lang w:eastAsia="zh-CN"/>
              </w:rPr>
              <w:t>2026年6月16日</w:t>
            </w:r>
            <w:r>
              <w:rPr>
                <w:rFonts w:hint="eastAsia" w:ascii="宋体" w:hAnsi="宋体" w:eastAsia="宋体" w:cs="宋体"/>
                <w:szCs w:val="21"/>
                <w:highlight w:val="none"/>
                <w:u w:val="single"/>
              </w:rPr>
              <w:t>上午09时30分</w:t>
            </w:r>
            <w:r>
              <w:rPr>
                <w:rFonts w:hint="eastAsia" w:ascii="宋体" w:hAnsi="宋体" w:eastAsia="宋体" w:cs="宋体"/>
                <w:highlight w:val="none"/>
                <w:u w:val="single"/>
              </w:rPr>
              <w:t>至10时00分</w:t>
            </w:r>
            <w:r>
              <w:rPr>
                <w:rFonts w:hint="eastAsia" w:ascii="宋体" w:hAnsi="宋体" w:eastAsia="宋体" w:cs="宋体"/>
                <w:highlight w:val="none"/>
              </w:rPr>
              <w:t>)磋商供应商可以登录广西政府采购云平台，用“项目采购-开标评标”功能进行解密磋商响应文件。</w:t>
            </w:r>
          </w:p>
          <w:p w14:paraId="23DD0BD2">
            <w:pPr>
              <w:pStyle w:val="8"/>
              <w:rPr>
                <w:rFonts w:hint="eastAsia" w:ascii="宋体" w:hAnsi="宋体" w:eastAsia="宋体" w:cs="宋体"/>
                <w:szCs w:val="21"/>
                <w:highlight w:val="none"/>
              </w:rPr>
            </w:pPr>
            <w:r>
              <w:rPr>
                <w:rFonts w:hint="eastAsia" w:ascii="宋体" w:hAnsi="宋体" w:eastAsia="宋体" w:cs="宋体"/>
                <w:b/>
                <w:bCs/>
                <w:szCs w:val="21"/>
                <w:highlight w:val="none"/>
              </w:rPr>
              <w:t>注：响应文件网上递交截止时间后，各</w:t>
            </w:r>
            <w:r>
              <w:rPr>
                <w:rFonts w:hint="eastAsia" w:ascii="宋体" w:hAnsi="宋体" w:eastAsia="宋体" w:cs="宋体"/>
                <w:b/>
                <w:bCs/>
                <w:szCs w:val="21"/>
                <w:highlight w:val="none"/>
                <w:lang w:eastAsia="zh-CN"/>
              </w:rPr>
              <w:t>供应商</w:t>
            </w:r>
            <w:r>
              <w:rPr>
                <w:rFonts w:hint="eastAsia" w:ascii="宋体" w:hAnsi="宋体" w:eastAsia="宋体" w:cs="宋体"/>
                <w:b/>
                <w:bCs/>
                <w:szCs w:val="21"/>
                <w:highlight w:val="none"/>
              </w:rPr>
              <w:t>须在解密时限内对上传政采云的响应文件进行解密，所有</w:t>
            </w:r>
            <w:r>
              <w:rPr>
                <w:rFonts w:hint="eastAsia" w:ascii="宋体" w:hAnsi="宋体" w:eastAsia="宋体" w:cs="宋体"/>
                <w:b/>
                <w:bCs/>
                <w:szCs w:val="21"/>
                <w:highlight w:val="none"/>
                <w:lang w:eastAsia="zh-CN"/>
              </w:rPr>
              <w:t>供应商</w:t>
            </w:r>
            <w:r>
              <w:rPr>
                <w:rFonts w:hint="eastAsia" w:ascii="宋体" w:hAnsi="宋体" w:eastAsia="宋体" w:cs="宋体"/>
                <w:b/>
                <w:bCs/>
                <w:szCs w:val="21"/>
                <w:highlight w:val="none"/>
              </w:rPr>
              <w:t>在规定的解密时限内解密完成或解密时限结束后，我中心开启已解密的响应文件。</w:t>
            </w:r>
            <w:r>
              <w:rPr>
                <w:rFonts w:hint="eastAsia" w:ascii="宋体" w:hAnsi="宋体" w:eastAsia="宋体" w:cs="宋体"/>
                <w:b/>
                <w:bCs/>
                <w:szCs w:val="21"/>
                <w:highlight w:val="none"/>
                <w:lang w:eastAsia="zh-CN"/>
              </w:rPr>
              <w:t>供应商</w:t>
            </w:r>
            <w:r>
              <w:rPr>
                <w:rFonts w:hint="eastAsia" w:ascii="宋体" w:hAnsi="宋体" w:eastAsia="宋体" w:cs="宋体"/>
                <w:b/>
                <w:bCs/>
                <w:szCs w:val="21"/>
                <w:highlight w:val="none"/>
              </w:rPr>
              <w:t>超过解密时限未解密的，系统默认自动放弃，造成投标无效的后果由</w:t>
            </w:r>
            <w:r>
              <w:rPr>
                <w:rFonts w:hint="eastAsia" w:ascii="宋体" w:hAnsi="宋体" w:eastAsia="宋体" w:cs="宋体"/>
                <w:b/>
                <w:bCs/>
                <w:szCs w:val="21"/>
                <w:highlight w:val="none"/>
                <w:lang w:eastAsia="zh-CN"/>
              </w:rPr>
              <w:t>供应商</w:t>
            </w:r>
            <w:r>
              <w:rPr>
                <w:rFonts w:hint="eastAsia" w:ascii="宋体" w:hAnsi="宋体" w:eastAsia="宋体" w:cs="宋体"/>
                <w:b/>
                <w:bCs/>
                <w:szCs w:val="21"/>
                <w:highlight w:val="none"/>
              </w:rPr>
              <w:t>自行承担，解密响应文件后，30分钟内在线签字确认，超过时间没有在线签字确认的系统将自动视为供应商认可。</w:t>
            </w:r>
          </w:p>
        </w:tc>
      </w:tr>
      <w:tr w14:paraId="3191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vAlign w:val="center"/>
          </w:tcPr>
          <w:p w14:paraId="2AF575D0">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w:t>
            </w:r>
          </w:p>
        </w:tc>
        <w:tc>
          <w:tcPr>
            <w:tcW w:w="942" w:type="dxa"/>
            <w:vAlign w:val="center"/>
          </w:tcPr>
          <w:p w14:paraId="4582D3E8">
            <w:pPr>
              <w:spacing w:line="360" w:lineRule="auto"/>
              <w:ind w:firstLine="105" w:firstLineChars="50"/>
              <w:jc w:val="center"/>
              <w:rPr>
                <w:rFonts w:hint="eastAsia" w:ascii="宋体" w:hAnsi="宋体" w:eastAsia="宋体" w:cs="宋体"/>
                <w:color w:val="000000"/>
                <w:position w:val="-2"/>
                <w:szCs w:val="21"/>
                <w:highlight w:val="none"/>
              </w:rPr>
            </w:pPr>
            <w:r>
              <w:rPr>
                <w:rFonts w:hint="eastAsia" w:ascii="宋体" w:hAnsi="宋体" w:eastAsia="宋体" w:cs="宋体"/>
                <w:color w:val="000000"/>
                <w:position w:val="-2"/>
                <w:szCs w:val="21"/>
                <w:highlight w:val="none"/>
              </w:rPr>
              <w:t>19.1</w:t>
            </w:r>
          </w:p>
        </w:tc>
        <w:tc>
          <w:tcPr>
            <w:tcW w:w="1775" w:type="dxa"/>
            <w:vAlign w:val="center"/>
          </w:tcPr>
          <w:p w14:paraId="2DCCC0C2">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磋商小组组成</w:t>
            </w:r>
          </w:p>
        </w:tc>
        <w:tc>
          <w:tcPr>
            <w:tcW w:w="6912" w:type="dxa"/>
            <w:vAlign w:val="center"/>
          </w:tcPr>
          <w:p w14:paraId="0AD52DEE">
            <w:pPr>
              <w:spacing w:line="360" w:lineRule="auto"/>
              <w:ind w:left="15" w:hanging="14" w:hangingChars="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磋商及评审工作由采购代理机构负责组织，具体磋商、评审工作由依法组建的磋商小组负责，磋商小组由采购人代表和评审专家组成。磋商小组的构成：</w:t>
            </w:r>
            <w:r>
              <w:rPr>
                <w:rFonts w:hint="eastAsia" w:ascii="宋体" w:hAnsi="宋体" w:eastAsia="宋体" w:cs="宋体"/>
                <w:color w:val="000000"/>
                <w:szCs w:val="21"/>
                <w:highlight w:val="none"/>
                <w:u w:val="single"/>
              </w:rPr>
              <w:t xml:space="preserve">3 </w:t>
            </w:r>
            <w:r>
              <w:rPr>
                <w:rFonts w:hint="eastAsia" w:ascii="宋体" w:hAnsi="宋体" w:eastAsia="宋体" w:cs="宋体"/>
                <w:color w:val="000000"/>
                <w:szCs w:val="21"/>
                <w:highlight w:val="none"/>
              </w:rPr>
              <w:t>人，其中采购人代表</w:t>
            </w:r>
            <w:r>
              <w:rPr>
                <w:rFonts w:hint="eastAsia" w:ascii="宋体" w:hAnsi="宋体" w:eastAsia="宋体" w:cs="宋体"/>
                <w:color w:val="000000"/>
                <w:szCs w:val="21"/>
                <w:highlight w:val="none"/>
                <w:u w:val="single"/>
              </w:rPr>
              <w:t xml:space="preserve"> 1 </w:t>
            </w:r>
            <w:r>
              <w:rPr>
                <w:rFonts w:hint="eastAsia" w:ascii="宋体" w:hAnsi="宋体" w:eastAsia="宋体" w:cs="宋体"/>
                <w:color w:val="000000"/>
                <w:szCs w:val="21"/>
                <w:highlight w:val="none"/>
              </w:rPr>
              <w:t>人，专家</w:t>
            </w:r>
            <w:r>
              <w:rPr>
                <w:rFonts w:hint="eastAsia" w:ascii="宋体" w:hAnsi="宋体" w:eastAsia="宋体" w:cs="宋体"/>
                <w:color w:val="000000"/>
                <w:szCs w:val="21"/>
                <w:highlight w:val="none"/>
                <w:u w:val="single"/>
              </w:rPr>
              <w:t xml:space="preserve"> 2 </w:t>
            </w:r>
            <w:r>
              <w:rPr>
                <w:rFonts w:hint="eastAsia" w:ascii="宋体" w:hAnsi="宋体" w:eastAsia="宋体" w:cs="宋体"/>
                <w:color w:val="000000"/>
                <w:szCs w:val="21"/>
                <w:highlight w:val="none"/>
              </w:rPr>
              <w:t>人。</w:t>
            </w:r>
          </w:p>
        </w:tc>
      </w:tr>
      <w:tr w14:paraId="673F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vAlign w:val="center"/>
          </w:tcPr>
          <w:p w14:paraId="703F4E97">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942" w:type="dxa"/>
            <w:vAlign w:val="center"/>
          </w:tcPr>
          <w:p w14:paraId="590AF11F">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19.2</w:t>
            </w:r>
          </w:p>
        </w:tc>
        <w:tc>
          <w:tcPr>
            <w:tcW w:w="1775" w:type="dxa"/>
            <w:vAlign w:val="center"/>
          </w:tcPr>
          <w:p w14:paraId="68ECA759">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磋商时间、地点、人员</w:t>
            </w:r>
          </w:p>
        </w:tc>
        <w:tc>
          <w:tcPr>
            <w:tcW w:w="6912" w:type="dxa"/>
          </w:tcPr>
          <w:p w14:paraId="49E4D659">
            <w:pPr>
              <w:spacing w:line="360" w:lineRule="auto"/>
              <w:ind w:left="315" w:hanging="315" w:hanging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19.2.1磋商时间：响应文件递交截止时间后。</w:t>
            </w:r>
          </w:p>
          <w:p w14:paraId="4E5EB577">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19.2.2磋商地点：本项目需要磋商供应商代表在截标当天截标后，按磋商小组要求及时登陆广西政府采购云平台等候在线磋商。</w:t>
            </w:r>
          </w:p>
          <w:p w14:paraId="6ED9DE35">
            <w:pPr>
              <w:spacing w:line="360" w:lineRule="auto"/>
              <w:ind w:left="15" w:hanging="14" w:hangingChars="7"/>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19.2.3磋商参加人员：供应商法定代表人、负责人、自然人或相应的委托代理人持有效身份证原件和供应商广西政府采购云平台CA数字证书参加磋商。请供应商按时到达指定地点等候磋商。</w:t>
            </w:r>
          </w:p>
          <w:p w14:paraId="54201052">
            <w:pPr>
              <w:tabs>
                <w:tab w:val="left" w:pos="1140"/>
              </w:tabs>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19.2.4响应文件递交截止时间后，由磋商小组在评标室内线上开启响应文件。</w:t>
            </w:r>
          </w:p>
        </w:tc>
      </w:tr>
      <w:tr w14:paraId="6C81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1F93394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12</w:t>
            </w:r>
          </w:p>
        </w:tc>
        <w:tc>
          <w:tcPr>
            <w:tcW w:w="942" w:type="dxa"/>
            <w:vAlign w:val="center"/>
          </w:tcPr>
          <w:p w14:paraId="64218E6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20.2</w:t>
            </w:r>
          </w:p>
        </w:tc>
        <w:tc>
          <w:tcPr>
            <w:tcW w:w="1775" w:type="dxa"/>
            <w:vAlign w:val="center"/>
          </w:tcPr>
          <w:p w14:paraId="54CDEE2D">
            <w:pPr>
              <w:pStyle w:val="13"/>
              <w:spacing w:line="360" w:lineRule="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评审办法</w:t>
            </w:r>
          </w:p>
        </w:tc>
        <w:tc>
          <w:tcPr>
            <w:tcW w:w="6912" w:type="dxa"/>
            <w:vAlign w:val="center"/>
          </w:tcPr>
          <w:p w14:paraId="36AE32F1">
            <w:pPr>
              <w:tabs>
                <w:tab w:val="left" w:pos="1140"/>
              </w:tabs>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具体详见第四章评审办法。</w:t>
            </w:r>
          </w:p>
        </w:tc>
      </w:tr>
      <w:tr w14:paraId="1EB5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072CB2B0">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w:t>
            </w:r>
          </w:p>
        </w:tc>
        <w:tc>
          <w:tcPr>
            <w:tcW w:w="942" w:type="dxa"/>
            <w:vAlign w:val="center"/>
          </w:tcPr>
          <w:p w14:paraId="25B7C40D">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w:t>
            </w:r>
          </w:p>
        </w:tc>
        <w:tc>
          <w:tcPr>
            <w:tcW w:w="1775" w:type="dxa"/>
            <w:vAlign w:val="center"/>
          </w:tcPr>
          <w:p w14:paraId="51918007">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信用查询</w:t>
            </w:r>
          </w:p>
        </w:tc>
        <w:tc>
          <w:tcPr>
            <w:tcW w:w="6912" w:type="dxa"/>
            <w:vAlign w:val="center"/>
          </w:tcPr>
          <w:p w14:paraId="2E0348FC">
            <w:pPr>
              <w:spacing w:line="360" w:lineRule="auto"/>
              <w:ind w:left="15" w:hanging="14" w:hangingChars="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根据《关于做好政府采购有关信用主体标识码登记及在政府采购活动中查询使用信用记录有关问题的通知》（桂财采〔2016〕37</w:t>
            </w:r>
            <w:r>
              <w:rPr>
                <w:rFonts w:hint="eastAsia" w:ascii="宋体" w:hAnsi="宋体" w:eastAsia="宋体" w:cs="宋体"/>
                <w:highlight w:val="none"/>
              </w:rPr>
              <w:t>号</w:t>
            </w:r>
            <w:r>
              <w:rPr>
                <w:rFonts w:hint="eastAsia" w:ascii="宋体" w:hAnsi="宋体" w:eastAsia="宋体" w:cs="宋体"/>
                <w:color w:val="000000"/>
                <w:szCs w:val="21"/>
                <w:highlight w:val="none"/>
              </w:rPr>
              <w:t>），由采购代理机构对第一成交候选人进行信用查询：</w:t>
            </w:r>
          </w:p>
          <w:p w14:paraId="4DDBAFCB">
            <w:pPr>
              <w:spacing w:line="360" w:lineRule="auto"/>
              <w:ind w:left="15" w:hanging="14" w:hangingChars="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⑴查询渠道：“信用中国”网站(www.creditchina.gov.cn)、中国政府采购网(www.ccgp.gov.cn)等；</w:t>
            </w:r>
          </w:p>
          <w:p w14:paraId="40025BF9">
            <w:pPr>
              <w:spacing w:line="360" w:lineRule="auto"/>
              <w:ind w:left="315" w:hanging="315" w:hangingChars="1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⑵查询时间：成交通知书发出前；</w:t>
            </w:r>
          </w:p>
          <w:p w14:paraId="382B1D15">
            <w:pPr>
              <w:spacing w:line="360" w:lineRule="auto"/>
              <w:ind w:left="15" w:hanging="14" w:hangingChars="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⑶信用信息查询记录和证据留存方式：在查询网站中直接打印查询记录，打印材料作为采购活动资料保存；</w:t>
            </w:r>
          </w:p>
          <w:p w14:paraId="1FE45AFD">
            <w:pPr>
              <w:spacing w:line="360" w:lineRule="auto"/>
              <w:ind w:left="15" w:hanging="14" w:hangingChars="7"/>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468B1BAC">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23AB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64499B52">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w:t>
            </w:r>
          </w:p>
        </w:tc>
        <w:tc>
          <w:tcPr>
            <w:tcW w:w="942" w:type="dxa"/>
            <w:vAlign w:val="center"/>
          </w:tcPr>
          <w:p w14:paraId="11DCEAE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w:t>
            </w:r>
          </w:p>
        </w:tc>
        <w:tc>
          <w:tcPr>
            <w:tcW w:w="1775" w:type="dxa"/>
            <w:vAlign w:val="center"/>
          </w:tcPr>
          <w:p w14:paraId="6F5D7626">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成交结果公告</w:t>
            </w:r>
          </w:p>
          <w:p w14:paraId="1BEFCBEC">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及成交通知书</w:t>
            </w:r>
          </w:p>
        </w:tc>
        <w:tc>
          <w:tcPr>
            <w:tcW w:w="6912" w:type="dxa"/>
          </w:tcPr>
          <w:p w14:paraId="43723879">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4EF33A8">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27.2成交公告发布的同时，采购代理机构在线向成交供应商发出电子成交通知书。</w:t>
            </w:r>
          </w:p>
        </w:tc>
      </w:tr>
      <w:tr w14:paraId="5E95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vAlign w:val="center"/>
          </w:tcPr>
          <w:p w14:paraId="66C054F6">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w:t>
            </w:r>
          </w:p>
        </w:tc>
        <w:tc>
          <w:tcPr>
            <w:tcW w:w="942" w:type="dxa"/>
            <w:vAlign w:val="center"/>
          </w:tcPr>
          <w:p w14:paraId="6C949940">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28</w:t>
            </w:r>
          </w:p>
        </w:tc>
        <w:tc>
          <w:tcPr>
            <w:tcW w:w="1775" w:type="dxa"/>
            <w:vAlign w:val="center"/>
          </w:tcPr>
          <w:p w14:paraId="290F0E2D">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履约保证金</w:t>
            </w:r>
          </w:p>
        </w:tc>
        <w:tc>
          <w:tcPr>
            <w:tcW w:w="6912" w:type="dxa"/>
            <w:vAlign w:val="center"/>
          </w:tcPr>
          <w:p w14:paraId="163A9AA0">
            <w:pPr>
              <w:widowControl/>
              <w:jc w:val="left"/>
              <w:rPr>
                <w:rFonts w:hint="eastAsia" w:ascii="宋体" w:hAnsi="宋体" w:eastAsia="宋体" w:cs="宋体"/>
                <w:szCs w:val="21"/>
                <w:highlight w:val="none"/>
                <w:lang w:eastAsia="zh-CN"/>
              </w:rPr>
            </w:pPr>
            <w:r>
              <w:rPr>
                <w:rFonts w:hint="eastAsia" w:ascii="宋体" w:hAnsi="宋体" w:eastAsia="宋体" w:cs="宋体"/>
                <w:bCs/>
                <w:kern w:val="0"/>
                <w:szCs w:val="21"/>
                <w:highlight w:val="none"/>
              </w:rPr>
              <w:t>本项目无需缴纳履约保证金</w:t>
            </w:r>
            <w:r>
              <w:rPr>
                <w:rFonts w:hint="eastAsia" w:ascii="宋体" w:hAnsi="宋体" w:eastAsia="宋体" w:cs="宋体"/>
                <w:bCs/>
                <w:kern w:val="0"/>
                <w:szCs w:val="21"/>
                <w:highlight w:val="none"/>
                <w:lang w:eastAsia="zh-CN"/>
              </w:rPr>
              <w:t>。</w:t>
            </w:r>
          </w:p>
        </w:tc>
      </w:tr>
      <w:tr w14:paraId="4E21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2CE60E79">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w:t>
            </w:r>
          </w:p>
        </w:tc>
        <w:tc>
          <w:tcPr>
            <w:tcW w:w="942" w:type="dxa"/>
            <w:vAlign w:val="center"/>
          </w:tcPr>
          <w:p w14:paraId="5D54332E">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29.1</w:t>
            </w:r>
          </w:p>
        </w:tc>
        <w:tc>
          <w:tcPr>
            <w:tcW w:w="1775" w:type="dxa"/>
            <w:vAlign w:val="center"/>
          </w:tcPr>
          <w:p w14:paraId="446AE7D8">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签订合同时间</w:t>
            </w:r>
          </w:p>
        </w:tc>
        <w:tc>
          <w:tcPr>
            <w:tcW w:w="6912" w:type="dxa"/>
          </w:tcPr>
          <w:p w14:paraId="3C1A0E2D">
            <w:pPr>
              <w:spacing w:line="360" w:lineRule="auto"/>
              <w:rPr>
                <w:rFonts w:hint="eastAsia" w:ascii="宋体" w:hAnsi="宋体" w:eastAsia="宋体" w:cs="宋体"/>
                <w:szCs w:val="21"/>
                <w:highlight w:val="none"/>
              </w:rPr>
            </w:pPr>
            <w:r>
              <w:rPr>
                <w:rFonts w:hint="eastAsia" w:ascii="宋体" w:hAnsi="宋体" w:eastAsia="宋体" w:cs="宋体"/>
                <w:bCs/>
                <w:kern w:val="0"/>
                <w:szCs w:val="21"/>
                <w:highlight w:val="none"/>
              </w:rPr>
              <w:t>成交通知书发出之日起8个工作日内签订合同</w:t>
            </w:r>
            <w:r>
              <w:rPr>
                <w:rFonts w:hint="eastAsia" w:ascii="宋体" w:hAnsi="宋体" w:eastAsia="宋体" w:cs="宋体"/>
                <w:highlight w:val="none"/>
              </w:rPr>
              <w:t>。</w:t>
            </w:r>
            <w:r>
              <w:rPr>
                <w:rFonts w:hint="eastAsia" w:ascii="宋体" w:hAnsi="宋体" w:eastAsia="宋体" w:cs="宋体"/>
                <w:szCs w:val="21"/>
                <w:highlight w:val="none"/>
              </w:rPr>
              <w:t>成交供应商收到成交通知书后，应按规定与采购人在“广西政府采购云平台”上在线签订电子合同。</w:t>
            </w:r>
          </w:p>
        </w:tc>
      </w:tr>
      <w:tr w14:paraId="5B9D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53E6DA19">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w:t>
            </w:r>
          </w:p>
        </w:tc>
        <w:tc>
          <w:tcPr>
            <w:tcW w:w="942" w:type="dxa"/>
            <w:vAlign w:val="center"/>
          </w:tcPr>
          <w:p w14:paraId="0E3C20D4">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29.3</w:t>
            </w:r>
          </w:p>
        </w:tc>
        <w:tc>
          <w:tcPr>
            <w:tcW w:w="1775" w:type="dxa"/>
            <w:vAlign w:val="center"/>
          </w:tcPr>
          <w:p w14:paraId="0DFD0E64">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合同备案存档</w:t>
            </w:r>
          </w:p>
        </w:tc>
        <w:tc>
          <w:tcPr>
            <w:tcW w:w="6912" w:type="dxa"/>
            <w:vAlign w:val="center"/>
          </w:tcPr>
          <w:p w14:paraId="742D0B1D">
            <w:pPr>
              <w:spacing w:line="360" w:lineRule="auto"/>
              <w:rPr>
                <w:rFonts w:hint="eastAsia" w:ascii="宋体" w:hAnsi="宋体" w:eastAsia="宋体" w:cs="宋体"/>
                <w:color w:val="000000"/>
                <w:szCs w:val="21"/>
                <w:highlight w:val="none"/>
              </w:rPr>
            </w:pPr>
            <w:r>
              <w:rPr>
                <w:rFonts w:hint="eastAsia" w:ascii="宋体" w:hAnsi="宋体" w:eastAsia="宋体" w:cs="宋体"/>
                <w:color w:val="000000"/>
                <w:highlight w:val="none"/>
              </w:rPr>
              <w:t>依据《桂林市财政局关于推动政府采购项目电子合同在线签订有关事项的通知》(桂财采(2023)9号)规定，采购人应将“在线签订”的政府采购合同通过广西政府采购云平台完成备案公告。</w:t>
            </w:r>
          </w:p>
        </w:tc>
      </w:tr>
      <w:tr w14:paraId="23DC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64565B4D">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w:t>
            </w:r>
          </w:p>
        </w:tc>
        <w:tc>
          <w:tcPr>
            <w:tcW w:w="942" w:type="dxa"/>
            <w:vAlign w:val="center"/>
          </w:tcPr>
          <w:p w14:paraId="6BCBD064">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w:t>
            </w:r>
          </w:p>
        </w:tc>
        <w:tc>
          <w:tcPr>
            <w:tcW w:w="1775" w:type="dxa"/>
            <w:vAlign w:val="center"/>
          </w:tcPr>
          <w:p w14:paraId="14CB9827">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采购代理服务费</w:t>
            </w:r>
          </w:p>
        </w:tc>
        <w:tc>
          <w:tcPr>
            <w:tcW w:w="6912" w:type="dxa"/>
          </w:tcPr>
          <w:p w14:paraId="3F2E0CAB">
            <w:pPr>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auto"/>
                <w:highlight w:val="none"/>
              </w:rPr>
              <w:t>参照“</w:t>
            </w:r>
            <w:r>
              <w:rPr>
                <w:rFonts w:hint="eastAsia" w:ascii="宋体" w:hAnsi="宋体" w:eastAsia="宋体" w:cs="宋体"/>
                <w:color w:val="auto"/>
                <w:szCs w:val="21"/>
                <w:highlight w:val="none"/>
              </w:rPr>
              <w:t>计价格[2002]1980号《招标代理服务收费管理暂行办法》服务类收费标准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计取招标代理服务费</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供应商领取</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向采购代理机构一次性付清招标代理服务费。</w:t>
            </w:r>
          </w:p>
        </w:tc>
      </w:tr>
      <w:tr w14:paraId="23ED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7ABE11BF">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w:t>
            </w:r>
          </w:p>
        </w:tc>
        <w:tc>
          <w:tcPr>
            <w:tcW w:w="942" w:type="dxa"/>
            <w:vAlign w:val="center"/>
          </w:tcPr>
          <w:p w14:paraId="04DEA16C">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w:t>
            </w:r>
          </w:p>
        </w:tc>
        <w:tc>
          <w:tcPr>
            <w:tcW w:w="1775" w:type="dxa"/>
            <w:vAlign w:val="center"/>
          </w:tcPr>
          <w:p w14:paraId="5049458F">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编制依据</w:t>
            </w:r>
          </w:p>
        </w:tc>
        <w:tc>
          <w:tcPr>
            <w:tcW w:w="6912" w:type="dxa"/>
          </w:tcPr>
          <w:p w14:paraId="162CE8AC">
            <w:pPr>
              <w:spacing w:line="360" w:lineRule="auto"/>
              <w:rPr>
                <w:rFonts w:hint="eastAsia" w:ascii="宋体" w:hAnsi="宋体" w:eastAsia="宋体" w:cs="宋体"/>
                <w:color w:val="000000"/>
                <w:szCs w:val="21"/>
                <w:highlight w:val="none"/>
              </w:rPr>
            </w:pPr>
            <w:r>
              <w:rPr>
                <w:rFonts w:hint="eastAsia" w:ascii="宋体" w:hAnsi="宋体" w:eastAsia="宋体" w:cs="宋体"/>
                <w:color w:val="000000"/>
                <w:highlight w:val="none"/>
              </w:rPr>
              <w:t>本竞争性磋商文件是根据《中华人民共和国政府采购法》《中华人民共和国政府采购法实施条例》《政府采购竞争性磋商采购方式管理暂行办法》和政府采购管理有关规定编制。</w:t>
            </w:r>
          </w:p>
        </w:tc>
      </w:tr>
      <w:tr w14:paraId="0540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vAlign w:val="center"/>
          </w:tcPr>
          <w:p w14:paraId="52E087C0">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w:t>
            </w:r>
          </w:p>
        </w:tc>
        <w:tc>
          <w:tcPr>
            <w:tcW w:w="942" w:type="dxa"/>
            <w:vAlign w:val="center"/>
          </w:tcPr>
          <w:p w14:paraId="2F90362F">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32</w:t>
            </w:r>
          </w:p>
        </w:tc>
        <w:tc>
          <w:tcPr>
            <w:tcW w:w="1775" w:type="dxa"/>
            <w:vAlign w:val="center"/>
          </w:tcPr>
          <w:p w14:paraId="208904F0">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监督管理机构</w:t>
            </w:r>
          </w:p>
        </w:tc>
        <w:tc>
          <w:tcPr>
            <w:tcW w:w="6912" w:type="dxa"/>
            <w:vAlign w:val="center"/>
          </w:tcPr>
          <w:p w14:paraId="64308AD6">
            <w:pPr>
              <w:spacing w:line="360" w:lineRule="auto"/>
              <w:rPr>
                <w:rFonts w:hint="eastAsia" w:ascii="宋体" w:hAnsi="宋体" w:eastAsia="宋体" w:cs="宋体"/>
                <w:color w:val="000000"/>
                <w:szCs w:val="21"/>
                <w:highlight w:val="none"/>
                <w:lang w:eastAsia="zh-CN"/>
              </w:rPr>
            </w:pPr>
            <w:r>
              <w:rPr>
                <w:rFonts w:hint="eastAsia" w:ascii="宋体" w:hAnsi="宋体" w:eastAsia="宋体" w:cs="宋体"/>
                <w:szCs w:val="21"/>
                <w:highlight w:val="none"/>
                <w:lang w:eastAsia="zh-CN"/>
              </w:rPr>
              <w:t>七星区政府采购办公室</w:t>
            </w:r>
            <w:r>
              <w:rPr>
                <w:rFonts w:hint="eastAsia" w:ascii="宋体" w:hAnsi="宋体" w:eastAsia="宋体" w:cs="宋体"/>
                <w:szCs w:val="21"/>
                <w:highlight w:val="none"/>
              </w:rPr>
              <w:t xml:space="preserve">                         电话：</w:t>
            </w:r>
            <w:r>
              <w:rPr>
                <w:rFonts w:hint="eastAsia" w:ascii="宋体" w:hAnsi="宋体" w:eastAsia="宋体" w:cs="宋体"/>
                <w:szCs w:val="21"/>
                <w:highlight w:val="none"/>
                <w:lang w:eastAsia="zh-CN"/>
              </w:rPr>
              <w:t>0773-2126057</w:t>
            </w:r>
          </w:p>
        </w:tc>
      </w:tr>
    </w:tbl>
    <w:p w14:paraId="626324D8">
      <w:pPr>
        <w:pStyle w:val="20"/>
        <w:ind w:left="0" w:leftChars="0" w:firstLine="0" w:firstLineChars="0"/>
        <w:rPr>
          <w:rFonts w:hint="eastAsia" w:ascii="宋体" w:hAnsi="宋体" w:eastAsia="宋体" w:cs="宋体"/>
          <w:b/>
          <w:color w:val="000000"/>
          <w:sz w:val="28"/>
          <w:szCs w:val="28"/>
          <w:highlight w:val="none"/>
        </w:rPr>
      </w:pPr>
    </w:p>
    <w:p w14:paraId="7F5E460A">
      <w:pPr>
        <w:rPr>
          <w:rFonts w:hint="eastAsia" w:ascii="宋体" w:hAnsi="宋体" w:eastAsia="宋体" w:cs="宋体"/>
          <w:b/>
          <w:color w:val="000000"/>
          <w:sz w:val="28"/>
          <w:szCs w:val="28"/>
          <w:highlight w:val="none"/>
        </w:rPr>
      </w:pPr>
    </w:p>
    <w:p w14:paraId="31FC17AE">
      <w:pPr>
        <w:pStyle w:val="20"/>
        <w:rPr>
          <w:rFonts w:hint="eastAsia" w:ascii="宋体" w:hAnsi="宋体" w:eastAsia="宋体" w:cs="宋体"/>
          <w:b/>
          <w:color w:val="000000"/>
          <w:sz w:val="28"/>
          <w:szCs w:val="28"/>
          <w:highlight w:val="none"/>
        </w:rPr>
      </w:pPr>
    </w:p>
    <w:p w14:paraId="64D6DD61">
      <w:pPr>
        <w:rPr>
          <w:rFonts w:hint="eastAsia" w:ascii="宋体" w:hAnsi="宋体" w:eastAsia="宋体" w:cs="宋体"/>
          <w:highlight w:val="none"/>
        </w:rPr>
      </w:pPr>
    </w:p>
    <w:p w14:paraId="1F441028">
      <w:pPr>
        <w:pStyle w:val="20"/>
        <w:ind w:left="0" w:leftChars="0" w:firstLine="0" w:firstLineChars="0"/>
        <w:rPr>
          <w:rFonts w:hint="eastAsia" w:ascii="宋体" w:hAnsi="宋体" w:eastAsia="宋体" w:cs="宋体"/>
          <w:b/>
          <w:color w:val="000000"/>
          <w:sz w:val="28"/>
          <w:szCs w:val="28"/>
          <w:highlight w:val="none"/>
        </w:rPr>
      </w:pPr>
    </w:p>
    <w:p w14:paraId="7FE8CD13">
      <w:pPr>
        <w:pStyle w:val="3"/>
        <w:pageBreakBefore w:val="0"/>
        <w:kinsoku/>
        <w:wordWrap/>
        <w:overflowPunct/>
        <w:topLinePunct w:val="0"/>
        <w:bidi w:val="0"/>
        <w:spacing w:line="360" w:lineRule="atLeast"/>
        <w:jc w:val="center"/>
        <w:textAlignment w:val="auto"/>
        <w:rPr>
          <w:rFonts w:hint="eastAsia" w:ascii="宋体" w:hAnsi="宋体" w:eastAsia="宋体" w:cs="宋体"/>
          <w:b/>
          <w:bCs w:val="0"/>
          <w:szCs w:val="28"/>
          <w:highlight w:val="none"/>
        </w:rPr>
      </w:pPr>
      <w:bookmarkStart w:id="46" w:name="_Toc19552"/>
      <w:bookmarkStart w:id="47" w:name="_Toc10058"/>
      <w:bookmarkStart w:id="48" w:name="_Toc22792"/>
      <w:bookmarkStart w:id="49" w:name="_Toc19829"/>
      <w:bookmarkStart w:id="50" w:name="_Toc26541"/>
      <w:bookmarkStart w:id="51" w:name="_Toc26120"/>
      <w:bookmarkStart w:id="52" w:name="_Toc3458"/>
      <w:r>
        <w:rPr>
          <w:rFonts w:hint="eastAsia" w:ascii="宋体" w:hAnsi="宋体" w:eastAsia="宋体" w:cs="宋体"/>
          <w:b/>
          <w:bCs w:val="0"/>
          <w:szCs w:val="28"/>
          <w:highlight w:val="none"/>
        </w:rPr>
        <w:t>一、总则</w:t>
      </w:r>
      <w:bookmarkEnd w:id="46"/>
      <w:bookmarkEnd w:id="47"/>
      <w:bookmarkEnd w:id="48"/>
      <w:bookmarkEnd w:id="49"/>
      <w:bookmarkEnd w:id="50"/>
      <w:bookmarkEnd w:id="51"/>
      <w:bookmarkEnd w:id="52"/>
    </w:p>
    <w:p w14:paraId="664CC879">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53" w:name="_Toc14667"/>
      <w:bookmarkStart w:id="54" w:name="_Toc9093"/>
      <w:bookmarkStart w:id="55" w:name="_Toc24042"/>
      <w:bookmarkStart w:id="56" w:name="_Toc6626"/>
      <w:bookmarkStart w:id="57" w:name="_Toc28472"/>
      <w:bookmarkStart w:id="58" w:name="_Toc24721"/>
      <w:bookmarkStart w:id="59" w:name="_Toc20480"/>
      <w:r>
        <w:rPr>
          <w:rFonts w:hint="eastAsia" w:ascii="宋体" w:hAnsi="宋体" w:eastAsia="宋体" w:cs="宋体"/>
          <w:color w:val="000000"/>
          <w:sz w:val="21"/>
          <w:szCs w:val="21"/>
          <w:highlight w:val="none"/>
        </w:rPr>
        <w:t>1. 适应范围</w:t>
      </w:r>
      <w:bookmarkEnd w:id="53"/>
      <w:bookmarkEnd w:id="54"/>
      <w:bookmarkEnd w:id="55"/>
      <w:bookmarkEnd w:id="56"/>
      <w:bookmarkEnd w:id="57"/>
      <w:bookmarkEnd w:id="58"/>
      <w:bookmarkEnd w:id="59"/>
    </w:p>
    <w:p w14:paraId="18757F83">
      <w:pPr>
        <w:pageBreakBefore w:val="0"/>
        <w:kinsoku/>
        <w:wordWrap/>
        <w:overflowPunct/>
        <w:topLinePunct w:val="0"/>
        <w:bidi w:val="0"/>
        <w:spacing w:line="360" w:lineRule="atLeast"/>
        <w:ind w:firstLine="435"/>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  项目名称及项目编号：</w:t>
      </w:r>
    </w:p>
    <w:p w14:paraId="58FD89EE">
      <w:pPr>
        <w:pageBreakBefore w:val="0"/>
        <w:kinsoku/>
        <w:wordWrap/>
        <w:overflowPunct/>
        <w:topLinePunct w:val="0"/>
        <w:bidi w:val="0"/>
        <w:spacing w:line="360" w:lineRule="atLeas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项目名称：</w:t>
      </w:r>
      <w:r>
        <w:rPr>
          <w:rFonts w:hint="eastAsia" w:ascii="宋体" w:hAnsi="宋体" w:eastAsia="宋体" w:cs="宋体"/>
          <w:szCs w:val="21"/>
          <w:highlight w:val="none"/>
          <w:lang w:eastAsia="zh-CN"/>
        </w:rPr>
        <w:t>七星区机关食堂物资定点供应商采购服务</w:t>
      </w:r>
    </w:p>
    <w:p w14:paraId="0D826991">
      <w:pPr>
        <w:pageBreakBefore w:val="0"/>
        <w:kinsoku/>
        <w:wordWrap/>
        <w:overflowPunct/>
        <w:topLinePunct w:val="0"/>
        <w:bidi w:val="0"/>
        <w:spacing w:line="360" w:lineRule="atLeas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项目编号：</w:t>
      </w:r>
      <w:r>
        <w:rPr>
          <w:rFonts w:hint="eastAsia" w:ascii="宋体" w:hAnsi="宋体" w:eastAsia="宋体" w:cs="宋体"/>
          <w:szCs w:val="21"/>
          <w:highlight w:val="none"/>
          <w:lang w:eastAsia="zh-CN"/>
        </w:rPr>
        <w:t>GLZC2026-C1-990217-GXHS</w:t>
      </w:r>
    </w:p>
    <w:p w14:paraId="1B8B063F">
      <w:pPr>
        <w:pageBreakBefore w:val="0"/>
        <w:kinsoku/>
        <w:wordWrap/>
        <w:overflowPunct/>
        <w:topLinePunct w:val="0"/>
        <w:bidi w:val="0"/>
        <w:spacing w:line="360" w:lineRule="atLeast"/>
        <w:ind w:firstLine="411" w:firstLineChars="196"/>
        <w:textAlignment w:val="auto"/>
        <w:rPr>
          <w:rFonts w:hint="eastAsia" w:ascii="宋体" w:hAnsi="宋体" w:eastAsia="宋体" w:cs="宋体"/>
          <w:szCs w:val="21"/>
          <w:highlight w:val="none"/>
        </w:rPr>
      </w:pPr>
      <w:r>
        <w:rPr>
          <w:rFonts w:hint="eastAsia" w:ascii="宋体" w:hAnsi="宋体" w:eastAsia="宋体" w:cs="宋体"/>
          <w:szCs w:val="21"/>
          <w:highlight w:val="none"/>
        </w:rPr>
        <w:t>1.2本竞争性磋商文件（以下简称磋商文件）适用于本磋商项目的磋商、评审、合同履约、验收、付款等行为（法律、法规另有规定的，从其规定）。</w:t>
      </w:r>
    </w:p>
    <w:p w14:paraId="7A612108">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60" w:name="_Toc30941"/>
      <w:bookmarkStart w:id="61" w:name="_Toc7589"/>
      <w:bookmarkStart w:id="62" w:name="_Toc3355"/>
      <w:bookmarkStart w:id="63" w:name="_Toc214"/>
      <w:bookmarkStart w:id="64" w:name="_Toc25697"/>
      <w:bookmarkStart w:id="65" w:name="_Toc28336"/>
      <w:bookmarkStart w:id="66" w:name="_Toc5792"/>
      <w:r>
        <w:rPr>
          <w:rFonts w:hint="eastAsia" w:ascii="宋体" w:hAnsi="宋体" w:eastAsia="宋体" w:cs="宋体"/>
          <w:color w:val="000000"/>
          <w:sz w:val="21"/>
          <w:szCs w:val="21"/>
          <w:highlight w:val="none"/>
        </w:rPr>
        <w:t>2. 定义</w:t>
      </w:r>
      <w:bookmarkEnd w:id="60"/>
      <w:bookmarkEnd w:id="61"/>
      <w:bookmarkEnd w:id="62"/>
      <w:bookmarkEnd w:id="63"/>
      <w:bookmarkEnd w:id="64"/>
      <w:bookmarkEnd w:id="65"/>
      <w:bookmarkEnd w:id="66"/>
    </w:p>
    <w:p w14:paraId="29797C40">
      <w:pPr>
        <w:pageBreakBefore w:val="0"/>
        <w:kinsoku/>
        <w:wordWrap/>
        <w:overflowPunct/>
        <w:topLinePunct w:val="0"/>
        <w:bidi w:val="0"/>
        <w:spacing w:line="360" w:lineRule="atLeast"/>
        <w:ind w:firstLine="435"/>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2.1“供应商”是指符合本次采购项目的供应商资格并提交响应文件、参加磋商的供应商。如果该供应商在本次磋商中成交，即成为“成交供应商”。</w:t>
      </w:r>
    </w:p>
    <w:p w14:paraId="0C8B0BC2">
      <w:pPr>
        <w:pageBreakBefore w:val="0"/>
        <w:kinsoku/>
        <w:wordWrap/>
        <w:overflowPunct/>
        <w:topLinePunct w:val="0"/>
        <w:bidi w:val="0"/>
        <w:spacing w:line="360" w:lineRule="atLeast"/>
        <w:ind w:firstLine="435"/>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2.2“货物”系指按磋商文件规定，供应商须向采购人提供的一切设备、保险、税金、备品备件、工具、手册及其它有关技术资料和材料。</w:t>
      </w:r>
    </w:p>
    <w:p w14:paraId="53EBCF74">
      <w:pPr>
        <w:pageBreakBefore w:val="0"/>
        <w:kinsoku/>
        <w:wordWrap/>
        <w:overflowPunct/>
        <w:topLinePunct w:val="0"/>
        <w:bidi w:val="0"/>
        <w:spacing w:line="360" w:lineRule="atLeast"/>
        <w:ind w:firstLine="435"/>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2.3“服务”系指按磋商文件规定，供应商须承担的安装、调试、技术协助、校准、培训、技术指导以及其他类似的义务。</w:t>
      </w:r>
    </w:p>
    <w:p w14:paraId="13136C3E">
      <w:pPr>
        <w:pageBreakBefore w:val="0"/>
        <w:kinsoku/>
        <w:wordWrap/>
        <w:overflowPunct/>
        <w:topLinePunct w:val="0"/>
        <w:bidi w:val="0"/>
        <w:spacing w:line="360" w:lineRule="atLeast"/>
        <w:ind w:firstLine="435"/>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2.4“项目”系指供应商按磋商文件规定向采购人提供的货物和服务。</w:t>
      </w:r>
    </w:p>
    <w:p w14:paraId="53A79380">
      <w:pPr>
        <w:pageBreakBefore w:val="0"/>
        <w:kinsoku/>
        <w:wordWrap/>
        <w:overflowPunct/>
        <w:topLinePunct w:val="0"/>
        <w:bidi w:val="0"/>
        <w:spacing w:line="360" w:lineRule="atLeast"/>
        <w:ind w:firstLine="435"/>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2.5“书面形式”包括信函、传真、电报等。</w:t>
      </w:r>
    </w:p>
    <w:p w14:paraId="5B43663D">
      <w:pPr>
        <w:pageBreakBefore w:val="0"/>
        <w:kinsoku/>
        <w:wordWrap/>
        <w:overflowPunct/>
        <w:topLinePunct w:val="0"/>
        <w:bidi w:val="0"/>
        <w:spacing w:line="360" w:lineRule="atLeast"/>
        <w:ind w:firstLine="435"/>
        <w:textAlignment w:val="auto"/>
        <w:rPr>
          <w:rFonts w:hint="eastAsia" w:ascii="宋体" w:hAnsi="宋体" w:eastAsia="宋体" w:cs="宋体"/>
          <w:color w:val="000000"/>
          <w:sz w:val="21"/>
          <w:szCs w:val="21"/>
          <w:highlight w:val="none"/>
        </w:rPr>
      </w:pPr>
      <w:bookmarkStart w:id="67" w:name="_Toc25441"/>
      <w:bookmarkStart w:id="68" w:name="_Toc26816"/>
      <w:bookmarkStart w:id="69" w:name="_Toc3050"/>
      <w:bookmarkStart w:id="70" w:name="_Toc23631"/>
      <w:bookmarkStart w:id="71" w:name="_Toc12424"/>
      <w:bookmarkStart w:id="72" w:name="_Toc17014"/>
      <w:r>
        <w:rPr>
          <w:rFonts w:hint="eastAsia" w:ascii="宋体" w:hAnsi="宋体" w:eastAsia="宋体" w:cs="宋体"/>
          <w:b/>
          <w:sz w:val="21"/>
          <w:szCs w:val="21"/>
          <w:highlight w:val="none"/>
          <w:u w:val="single"/>
          <w:lang w:val="en-US" w:eastAsia="zh-CN"/>
        </w:rPr>
        <w:t>2</w:t>
      </w:r>
      <w:r>
        <w:rPr>
          <w:rFonts w:hint="eastAsia" w:ascii="宋体" w:hAnsi="宋体" w:eastAsia="宋体" w:cs="宋体"/>
          <w:b/>
          <w:sz w:val="21"/>
          <w:szCs w:val="21"/>
          <w:highlight w:val="none"/>
          <w:u w:val="single"/>
        </w:rPr>
        <w:t>.6实质性要求：</w:t>
      </w:r>
      <w:r>
        <w:rPr>
          <w:rFonts w:hint="eastAsia" w:ascii="宋体" w:hAnsi="宋体" w:eastAsia="宋体" w:cs="宋体"/>
          <w:b/>
          <w:szCs w:val="21"/>
          <w:highlight w:val="none"/>
          <w:u w:val="single"/>
        </w:rPr>
        <w:t>“采购需求”中所有的内容均为实质性要求，不允许负偏离，否则</w:t>
      </w:r>
      <w:r>
        <w:rPr>
          <w:rFonts w:hint="eastAsia" w:ascii="宋体" w:hAnsi="宋体" w:eastAsia="宋体" w:cs="宋体"/>
          <w:b/>
          <w:szCs w:val="21"/>
          <w:highlight w:val="none"/>
          <w:u w:val="single"/>
          <w:lang w:val="en-US" w:eastAsia="zh-CN"/>
        </w:rPr>
        <w:t>磋商</w:t>
      </w:r>
      <w:r>
        <w:rPr>
          <w:rFonts w:hint="eastAsia" w:ascii="宋体" w:hAnsi="宋体" w:eastAsia="宋体" w:cs="宋体"/>
          <w:b/>
          <w:szCs w:val="21"/>
          <w:highlight w:val="none"/>
          <w:u w:val="single"/>
        </w:rPr>
        <w:t>无效。</w:t>
      </w:r>
    </w:p>
    <w:p w14:paraId="6004BB46">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73" w:name="_Toc32224"/>
      <w:r>
        <w:rPr>
          <w:rFonts w:hint="eastAsia" w:ascii="宋体" w:hAnsi="宋体" w:eastAsia="宋体" w:cs="宋体"/>
          <w:color w:val="000000"/>
          <w:sz w:val="21"/>
          <w:szCs w:val="21"/>
          <w:highlight w:val="none"/>
        </w:rPr>
        <w:t>3. 供应商资格</w:t>
      </w:r>
      <w:bookmarkEnd w:id="67"/>
      <w:bookmarkEnd w:id="68"/>
      <w:bookmarkEnd w:id="69"/>
      <w:bookmarkEnd w:id="70"/>
      <w:bookmarkEnd w:id="71"/>
      <w:bookmarkEnd w:id="72"/>
      <w:bookmarkEnd w:id="73"/>
    </w:p>
    <w:p w14:paraId="391846C6">
      <w:pPr>
        <w:pageBreakBefore w:val="0"/>
        <w:kinsoku/>
        <w:wordWrap/>
        <w:overflowPunct/>
        <w:topLinePunct w:val="0"/>
        <w:bidi w:val="0"/>
        <w:spacing w:line="360" w:lineRule="atLeast"/>
        <w:ind w:firstLine="420" w:firstLineChars="200"/>
        <w:textAlignment w:val="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3.1符合《中华人民共和国政府采购法》第二十二条和《政府采购法实施条例》第十八条规定，具备合法资格</w:t>
      </w:r>
      <w:bookmarkStart w:id="74" w:name="_Toc16496"/>
      <w:r>
        <w:rPr>
          <w:rFonts w:hint="eastAsia" w:ascii="宋体" w:hAnsi="宋体" w:eastAsia="宋体" w:cs="宋体"/>
          <w:bCs/>
          <w:color w:val="000000"/>
          <w:szCs w:val="21"/>
          <w:highlight w:val="none"/>
        </w:rPr>
        <w:t>1.满足《中华人民共和国政府采购法》第二十二条规定；</w:t>
      </w:r>
    </w:p>
    <w:p w14:paraId="34153151">
      <w:pPr>
        <w:pageBreakBefore w:val="0"/>
        <w:kinsoku/>
        <w:wordWrap/>
        <w:overflowPunct/>
        <w:topLinePunct w:val="0"/>
        <w:bidi w:val="0"/>
        <w:spacing w:line="360" w:lineRule="atLeast"/>
        <w:ind w:firstLine="420" w:firstLineChars="200"/>
        <w:textAlignment w:val="auto"/>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val="en-US" w:eastAsia="zh-CN"/>
        </w:rPr>
        <w:t>3.</w:t>
      </w:r>
      <w:r>
        <w:rPr>
          <w:rFonts w:hint="eastAsia" w:ascii="宋体" w:hAnsi="宋体" w:cs="宋体"/>
          <w:bCs/>
          <w:color w:val="000000"/>
          <w:szCs w:val="21"/>
          <w:highlight w:val="none"/>
          <w:lang w:val="en-US" w:eastAsia="zh-CN"/>
        </w:rPr>
        <w:t>2</w:t>
      </w:r>
      <w:r>
        <w:rPr>
          <w:rFonts w:hint="eastAsia" w:ascii="宋体" w:hAnsi="宋体" w:eastAsia="宋体" w:cs="宋体"/>
          <w:bCs/>
          <w:color w:val="000000"/>
          <w:szCs w:val="21"/>
          <w:highlight w:val="none"/>
        </w:rPr>
        <w:t>.落实政府采购政策需满足的资格要求：本项目专门面向小微企业采购。</w:t>
      </w:r>
    </w:p>
    <w:p w14:paraId="3F5F5B5C">
      <w:pPr>
        <w:pageBreakBefore w:val="0"/>
        <w:kinsoku/>
        <w:wordWrap/>
        <w:overflowPunct/>
        <w:topLinePunct w:val="0"/>
        <w:bidi w:val="0"/>
        <w:spacing w:line="36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bCs/>
          <w:color w:val="000000"/>
          <w:szCs w:val="21"/>
          <w:highlight w:val="none"/>
          <w:lang w:val="en-US" w:eastAsia="zh-CN"/>
        </w:rPr>
        <w:t>3.</w:t>
      </w:r>
      <w:r>
        <w:rPr>
          <w:rFonts w:hint="eastAsia" w:ascii="宋体" w:hAnsi="宋体" w:cs="宋体"/>
          <w:bCs/>
          <w:color w:val="000000"/>
          <w:szCs w:val="21"/>
          <w:highlight w:val="none"/>
          <w:lang w:val="en-US" w:eastAsia="zh-CN"/>
        </w:rPr>
        <w:t>3</w:t>
      </w:r>
      <w:r>
        <w:rPr>
          <w:rFonts w:hint="eastAsia" w:ascii="宋体" w:hAnsi="宋体" w:eastAsia="宋体" w:cs="宋体"/>
          <w:bCs/>
          <w:color w:val="000000"/>
          <w:szCs w:val="21"/>
          <w:highlight w:val="none"/>
        </w:rPr>
        <w:t>.本项目的特定资格要求：供应商应具备有效的《食品经营许可证》。</w:t>
      </w:r>
    </w:p>
    <w:p w14:paraId="5DDC93E6">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75" w:name="_Toc15695"/>
      <w:bookmarkStart w:id="76" w:name="_Toc7152"/>
      <w:bookmarkStart w:id="77" w:name="_Toc9430"/>
      <w:bookmarkStart w:id="78" w:name="_Toc15983"/>
      <w:bookmarkStart w:id="79" w:name="_Toc32052"/>
      <w:bookmarkStart w:id="80" w:name="_Toc9840"/>
      <w:r>
        <w:rPr>
          <w:rFonts w:hint="eastAsia" w:ascii="宋体" w:hAnsi="宋体" w:eastAsia="宋体" w:cs="宋体"/>
          <w:color w:val="000000"/>
          <w:sz w:val="21"/>
          <w:szCs w:val="21"/>
          <w:highlight w:val="none"/>
        </w:rPr>
        <w:t>4. 磋商费用</w:t>
      </w:r>
      <w:bookmarkEnd w:id="74"/>
      <w:bookmarkEnd w:id="75"/>
      <w:bookmarkEnd w:id="76"/>
      <w:bookmarkEnd w:id="77"/>
      <w:bookmarkEnd w:id="78"/>
      <w:bookmarkEnd w:id="79"/>
      <w:bookmarkEnd w:id="80"/>
    </w:p>
    <w:p w14:paraId="2CCDB5C3">
      <w:pPr>
        <w:pageBreakBefore w:val="0"/>
        <w:tabs>
          <w:tab w:val="left" w:pos="1635"/>
        </w:tabs>
        <w:kinsoku/>
        <w:wordWrap/>
        <w:overflowPunct/>
        <w:topLinePunct w:val="0"/>
        <w:bidi w:val="0"/>
        <w:spacing w:line="360" w:lineRule="atLeast"/>
        <w:ind w:firstLine="435"/>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不论磋商结果如何，供应商均应自行承担所有与磋商有关的全部费用。</w:t>
      </w:r>
    </w:p>
    <w:p w14:paraId="72530B3D">
      <w:pPr>
        <w:pStyle w:val="4"/>
        <w:pageBreakBefore w:val="0"/>
        <w:numPr>
          <w:ilvl w:val="0"/>
          <w:numId w:val="0"/>
        </w:numPr>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81" w:name="_Toc26519"/>
      <w:bookmarkStart w:id="82" w:name="_Toc13037"/>
      <w:bookmarkStart w:id="83" w:name="_Toc30702"/>
      <w:bookmarkStart w:id="84" w:name="_Toc31376"/>
      <w:bookmarkStart w:id="85" w:name="_Toc6933"/>
      <w:bookmarkStart w:id="86" w:name="_Toc13803"/>
      <w:bookmarkStart w:id="87" w:name="_Toc8899"/>
      <w:r>
        <w:rPr>
          <w:rFonts w:hint="eastAsia" w:ascii="宋体" w:hAnsi="宋体" w:eastAsia="宋体" w:cs="宋体"/>
          <w:b/>
          <w:color w:val="000000"/>
          <w:kern w:val="0"/>
          <w:sz w:val="21"/>
          <w:szCs w:val="21"/>
          <w:highlight w:val="none"/>
          <w:lang w:val="en-US" w:eastAsia="zh-CN" w:bidi="ar-SA"/>
        </w:rPr>
        <w:t>5.</w:t>
      </w:r>
      <w:r>
        <w:rPr>
          <w:rFonts w:hint="eastAsia" w:ascii="宋体" w:hAnsi="宋体" w:eastAsia="宋体" w:cs="宋体"/>
          <w:color w:val="000000"/>
          <w:sz w:val="21"/>
          <w:szCs w:val="21"/>
          <w:highlight w:val="none"/>
        </w:rPr>
        <w:t>联合体要求</w:t>
      </w:r>
      <w:bookmarkEnd w:id="81"/>
      <w:bookmarkEnd w:id="82"/>
      <w:bookmarkEnd w:id="83"/>
      <w:bookmarkEnd w:id="84"/>
      <w:bookmarkEnd w:id="85"/>
      <w:bookmarkEnd w:id="86"/>
      <w:bookmarkEnd w:id="87"/>
    </w:p>
    <w:p w14:paraId="78EAB719">
      <w:pPr>
        <w:pStyle w:val="25"/>
        <w:pageBreakBefore w:val="0"/>
        <w:kinsoku/>
        <w:wordWrap/>
        <w:overflowPunct/>
        <w:topLinePunct w:val="0"/>
        <w:bidi w:val="0"/>
        <w:spacing w:line="360" w:lineRule="atLeast"/>
        <w:ind w:firstLine="420" w:firstLineChars="200"/>
        <w:textAlignment w:val="auto"/>
        <w:rPr>
          <w:rFonts w:hint="eastAsia" w:ascii="宋体" w:hAnsi="宋体" w:eastAsia="宋体" w:cs="宋体"/>
          <w:b/>
          <w:bCs/>
          <w:color w:val="000000"/>
          <w:kern w:val="2"/>
          <w:sz w:val="21"/>
          <w:szCs w:val="21"/>
          <w:highlight w:val="none"/>
        </w:rPr>
      </w:pPr>
      <w:bookmarkStart w:id="88" w:name="_Toc12372"/>
      <w:bookmarkStart w:id="89" w:name="_Toc19416"/>
      <w:bookmarkStart w:id="90" w:name="_Toc6998"/>
      <w:bookmarkStart w:id="91" w:name="_Toc2548"/>
      <w:bookmarkStart w:id="92" w:name="_Toc13910"/>
      <w:bookmarkStart w:id="93" w:name="_Toc6244"/>
      <w:r>
        <w:rPr>
          <w:rFonts w:hint="eastAsia" w:ascii="宋体" w:hAnsi="宋体" w:eastAsia="宋体" w:cs="宋体"/>
          <w:b/>
          <w:bCs/>
          <w:color w:val="000000"/>
          <w:kern w:val="2"/>
          <w:sz w:val="21"/>
          <w:szCs w:val="21"/>
          <w:highlight w:val="none"/>
          <w:lang w:eastAsia="zh-CN"/>
        </w:rPr>
        <w:t>本项目不接受联合体磋商</w:t>
      </w:r>
      <w:r>
        <w:rPr>
          <w:rFonts w:hint="eastAsia" w:ascii="宋体" w:hAnsi="宋体" w:eastAsia="宋体" w:cs="宋体"/>
          <w:b/>
          <w:bCs/>
          <w:color w:val="000000"/>
          <w:kern w:val="2"/>
          <w:sz w:val="21"/>
          <w:szCs w:val="21"/>
          <w:highlight w:val="none"/>
        </w:rPr>
        <w:t>。</w:t>
      </w:r>
      <w:bookmarkEnd w:id="88"/>
    </w:p>
    <w:p w14:paraId="43B0B54D">
      <w:pPr>
        <w:pStyle w:val="4"/>
        <w:pageBreakBefore w:val="0"/>
        <w:numPr>
          <w:ilvl w:val="0"/>
          <w:numId w:val="0"/>
        </w:numPr>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94" w:name="_Toc12327"/>
      <w:bookmarkStart w:id="95" w:name="_Toc22774"/>
      <w:r>
        <w:rPr>
          <w:rFonts w:hint="eastAsia" w:ascii="宋体" w:hAnsi="宋体" w:eastAsia="宋体" w:cs="宋体"/>
          <w:b/>
          <w:color w:val="000000"/>
          <w:kern w:val="0"/>
          <w:sz w:val="21"/>
          <w:szCs w:val="21"/>
          <w:highlight w:val="none"/>
          <w:lang w:val="en-US" w:eastAsia="zh-CN" w:bidi="ar-SA"/>
        </w:rPr>
        <w:t>6.</w:t>
      </w:r>
      <w:r>
        <w:rPr>
          <w:rFonts w:hint="eastAsia" w:ascii="宋体" w:hAnsi="宋体" w:eastAsia="宋体" w:cs="宋体"/>
          <w:color w:val="000000"/>
          <w:sz w:val="21"/>
          <w:szCs w:val="21"/>
          <w:highlight w:val="none"/>
        </w:rPr>
        <w:t>转包与分包</w:t>
      </w:r>
      <w:bookmarkEnd w:id="89"/>
      <w:bookmarkEnd w:id="90"/>
      <w:bookmarkEnd w:id="91"/>
      <w:bookmarkEnd w:id="92"/>
      <w:bookmarkEnd w:id="93"/>
      <w:bookmarkEnd w:id="94"/>
      <w:bookmarkEnd w:id="95"/>
    </w:p>
    <w:p w14:paraId="2A3DCFB2">
      <w:pPr>
        <w:pageBreakBefore w:val="0"/>
        <w:numPr>
          <w:ilvl w:val="0"/>
          <w:numId w:val="0"/>
        </w:numPr>
        <w:kinsoku/>
        <w:wordWrap/>
        <w:overflowPunct/>
        <w:topLinePunct w:val="0"/>
        <w:bidi w:val="0"/>
        <w:spacing w:line="360" w:lineRule="atLeast"/>
        <w:ind w:left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6.1</w:t>
      </w:r>
      <w:r>
        <w:rPr>
          <w:rFonts w:hint="eastAsia" w:ascii="宋体" w:hAnsi="宋体" w:eastAsia="宋体" w:cs="宋体"/>
          <w:highlight w:val="none"/>
        </w:rPr>
        <w:t>本项目不允许转包。</w:t>
      </w:r>
    </w:p>
    <w:p w14:paraId="229C47F3">
      <w:pPr>
        <w:pageBreakBefore w:val="0"/>
        <w:kinsoku/>
        <w:wordWrap/>
        <w:overflowPunct/>
        <w:topLinePunct w:val="0"/>
        <w:bidi w:val="0"/>
        <w:spacing w:line="360" w:lineRule="atLeas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6.2</w:t>
      </w:r>
      <w:r>
        <w:rPr>
          <w:rFonts w:hint="eastAsia" w:ascii="宋体" w:hAnsi="宋体" w:eastAsia="宋体" w:cs="宋体"/>
          <w:color w:val="000000"/>
          <w:highlight w:val="none"/>
        </w:rPr>
        <w:t xml:space="preserve"> 本项目不可以分包。</w:t>
      </w:r>
    </w:p>
    <w:p w14:paraId="7DCC86DE">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96" w:name="_Toc16359"/>
      <w:bookmarkStart w:id="97" w:name="_Toc25278"/>
      <w:bookmarkStart w:id="98" w:name="_Toc29818"/>
      <w:bookmarkStart w:id="99" w:name="_Toc1060"/>
      <w:bookmarkStart w:id="100" w:name="_Toc4152"/>
      <w:bookmarkStart w:id="101" w:name="_Toc23110"/>
      <w:bookmarkStart w:id="102" w:name="_Toc19786"/>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 质疑和投诉</w:t>
      </w:r>
      <w:bookmarkEnd w:id="96"/>
      <w:bookmarkEnd w:id="97"/>
      <w:bookmarkEnd w:id="98"/>
      <w:bookmarkEnd w:id="99"/>
      <w:bookmarkEnd w:id="100"/>
      <w:bookmarkEnd w:id="101"/>
      <w:bookmarkEnd w:id="102"/>
      <w:r>
        <w:rPr>
          <w:rFonts w:hint="eastAsia" w:ascii="宋体" w:hAnsi="宋体" w:eastAsia="宋体" w:cs="宋体"/>
          <w:color w:val="000000"/>
          <w:sz w:val="21"/>
          <w:szCs w:val="21"/>
          <w:highlight w:val="none"/>
        </w:rPr>
        <w:tab/>
      </w:r>
    </w:p>
    <w:p w14:paraId="70602BDC">
      <w:pPr>
        <w:pStyle w:val="25"/>
        <w:pageBreakBefore w:val="0"/>
        <w:kinsoku/>
        <w:wordWrap/>
        <w:overflowPunct/>
        <w:topLinePunct w:val="0"/>
        <w:bidi w:val="0"/>
        <w:spacing w:line="360" w:lineRule="atLeast"/>
        <w:ind w:firstLine="420" w:firstLineChars="200"/>
        <w:textAlignment w:val="auto"/>
        <w:rPr>
          <w:rFonts w:hint="eastAsia" w:ascii="宋体" w:hAnsi="宋体" w:eastAsia="宋体" w:cs="宋体"/>
          <w:kern w:val="2"/>
          <w:sz w:val="21"/>
          <w:szCs w:val="21"/>
          <w:highlight w:val="none"/>
        </w:rPr>
      </w:pPr>
      <w:bookmarkStart w:id="103" w:name="_Toc8195"/>
      <w:bookmarkStart w:id="104" w:name="_Toc26087"/>
      <w:r>
        <w:rPr>
          <w:rFonts w:hint="eastAsia" w:ascii="宋体" w:hAnsi="宋体" w:eastAsia="宋体" w:cs="宋体"/>
          <w:kern w:val="2"/>
          <w:sz w:val="21"/>
          <w:szCs w:val="21"/>
          <w:highlight w:val="none"/>
        </w:rPr>
        <w:t>7.1供应商认为磋商文件使自己的合法权益受到损害的，应当在本项目竞争性磋商公告期限届满之日起七个工作日内以书面形式向采购人或</w:t>
      </w:r>
      <w:r>
        <w:rPr>
          <w:rFonts w:hint="eastAsia" w:ascii="宋体" w:hAnsi="宋体" w:eastAsia="宋体" w:cs="宋体"/>
          <w:kern w:val="2"/>
          <w:sz w:val="21"/>
          <w:szCs w:val="21"/>
          <w:highlight w:val="none"/>
          <w:lang w:eastAsia="zh-CN"/>
        </w:rPr>
        <w:t>广西禾昇项目管理有限公司</w:t>
      </w:r>
      <w:r>
        <w:rPr>
          <w:rFonts w:hint="eastAsia" w:ascii="宋体" w:hAnsi="宋体" w:eastAsia="宋体" w:cs="宋体"/>
          <w:kern w:val="2"/>
          <w:sz w:val="21"/>
          <w:szCs w:val="21"/>
          <w:highlight w:val="none"/>
        </w:rPr>
        <w:t>提出质疑。供应商认为招标过程或</w:t>
      </w:r>
      <w:r>
        <w:rPr>
          <w:rFonts w:hint="eastAsia" w:ascii="宋体" w:hAnsi="宋体" w:eastAsia="宋体" w:cs="宋体"/>
          <w:kern w:val="2"/>
          <w:sz w:val="21"/>
          <w:szCs w:val="21"/>
          <w:highlight w:val="none"/>
          <w:lang w:eastAsia="zh-CN"/>
        </w:rPr>
        <w:t>成交</w:t>
      </w:r>
      <w:r>
        <w:rPr>
          <w:rFonts w:hint="eastAsia" w:ascii="宋体" w:hAnsi="宋体" w:eastAsia="宋体" w:cs="宋体"/>
          <w:kern w:val="2"/>
          <w:sz w:val="21"/>
          <w:szCs w:val="21"/>
          <w:highlight w:val="none"/>
        </w:rPr>
        <w:t>结果使自己的合法权益受到损害的，应当在采购程序环节结束之日或</w:t>
      </w:r>
      <w:r>
        <w:rPr>
          <w:rFonts w:hint="eastAsia" w:ascii="宋体" w:hAnsi="宋体" w:eastAsia="宋体" w:cs="宋体"/>
          <w:kern w:val="2"/>
          <w:sz w:val="21"/>
          <w:szCs w:val="21"/>
          <w:highlight w:val="none"/>
          <w:lang w:eastAsia="zh-CN"/>
        </w:rPr>
        <w:t>成交</w:t>
      </w:r>
      <w:r>
        <w:rPr>
          <w:rFonts w:hint="eastAsia" w:ascii="宋体" w:hAnsi="宋体" w:eastAsia="宋体" w:cs="宋体"/>
          <w:kern w:val="2"/>
          <w:sz w:val="21"/>
          <w:szCs w:val="21"/>
          <w:highlight w:val="none"/>
        </w:rPr>
        <w:t>（成交）公告期限届满之日起七个工作日内，以书面形式向采购人或</w:t>
      </w:r>
      <w:r>
        <w:rPr>
          <w:rFonts w:hint="eastAsia" w:ascii="宋体" w:hAnsi="宋体" w:eastAsia="宋体" w:cs="宋体"/>
          <w:kern w:val="2"/>
          <w:sz w:val="21"/>
          <w:szCs w:val="21"/>
          <w:highlight w:val="none"/>
          <w:lang w:eastAsia="zh-CN"/>
        </w:rPr>
        <w:t>广西禾昇项目管理有限公司</w:t>
      </w:r>
      <w:r>
        <w:rPr>
          <w:rFonts w:hint="eastAsia" w:ascii="宋体" w:hAnsi="宋体" w:eastAsia="宋体" w:cs="宋体"/>
          <w:kern w:val="2"/>
          <w:sz w:val="21"/>
          <w:szCs w:val="21"/>
          <w:highlight w:val="none"/>
        </w:rPr>
        <w:t>提出质疑。</w:t>
      </w:r>
    </w:p>
    <w:p w14:paraId="395792D6">
      <w:pPr>
        <w:pStyle w:val="25"/>
        <w:pageBreakBefore w:val="0"/>
        <w:kinsoku/>
        <w:wordWrap/>
        <w:overflowPunct/>
        <w:topLinePunct w:val="0"/>
        <w:bidi w:val="0"/>
        <w:spacing w:line="360" w:lineRule="atLeast"/>
        <w:ind w:firstLine="420" w:firstLineChars="20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接收质疑函方式：以书面形式（原件）提交。</w:t>
      </w:r>
    </w:p>
    <w:p w14:paraId="6E9DD786">
      <w:pPr>
        <w:pStyle w:val="25"/>
        <w:pageBreakBefore w:val="0"/>
        <w:kinsoku/>
        <w:wordWrap/>
        <w:overflowPunct/>
        <w:topLinePunct w:val="0"/>
        <w:bidi w:val="0"/>
        <w:spacing w:line="360" w:lineRule="atLeast"/>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rPr>
        <w:t>质疑联系人：</w:t>
      </w:r>
      <w:r>
        <w:rPr>
          <w:rFonts w:hint="eastAsia" w:ascii="宋体" w:hAnsi="宋体" w:eastAsia="宋体" w:cs="宋体"/>
          <w:kern w:val="2"/>
          <w:sz w:val="21"/>
          <w:szCs w:val="21"/>
          <w:highlight w:val="none"/>
          <w:lang w:eastAsia="zh-CN"/>
        </w:rPr>
        <w:t>广西禾昇项目管理有限公司</w:t>
      </w:r>
      <w:r>
        <w:rPr>
          <w:rFonts w:hint="eastAsia" w:ascii="宋体" w:hAnsi="宋体" w:eastAsia="宋体" w:cs="宋体"/>
          <w:kern w:val="2"/>
          <w:sz w:val="21"/>
          <w:szCs w:val="21"/>
          <w:highlight w:val="none"/>
        </w:rPr>
        <w:t>，联系电话：</w:t>
      </w:r>
      <w:r>
        <w:rPr>
          <w:rFonts w:hint="eastAsia" w:ascii="宋体" w:hAnsi="宋体" w:eastAsia="宋体" w:cs="宋体"/>
          <w:kern w:val="2"/>
          <w:sz w:val="21"/>
          <w:szCs w:val="21"/>
          <w:highlight w:val="none"/>
          <w:lang w:eastAsia="zh-CN"/>
        </w:rPr>
        <w:t xml:space="preserve">  0773-3919196</w:t>
      </w:r>
    </w:p>
    <w:p w14:paraId="6904FA52">
      <w:pPr>
        <w:pStyle w:val="25"/>
        <w:pageBreakBefore w:val="0"/>
        <w:kinsoku/>
        <w:wordWrap/>
        <w:overflowPunct/>
        <w:topLinePunct w:val="0"/>
        <w:bidi w:val="0"/>
        <w:spacing w:line="360" w:lineRule="atLeast"/>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rPr>
        <w:t>通讯地址：</w:t>
      </w:r>
      <w:bookmarkEnd w:id="103"/>
      <w:bookmarkEnd w:id="104"/>
      <w:bookmarkStart w:id="105" w:name="_Toc3368"/>
      <w:bookmarkStart w:id="106" w:name="_Toc9415"/>
      <w:r>
        <w:rPr>
          <w:rFonts w:hint="eastAsia" w:ascii="宋体" w:hAnsi="宋体" w:eastAsia="宋体" w:cs="宋体"/>
          <w:kern w:val="2"/>
          <w:sz w:val="21"/>
          <w:szCs w:val="21"/>
          <w:highlight w:val="none"/>
          <w:lang w:eastAsia="zh-CN"/>
        </w:rPr>
        <w:t>桂林市七星区朝阳路信息产业园D-12号D座6层602　</w:t>
      </w:r>
    </w:p>
    <w:p w14:paraId="5B6D34E9">
      <w:pPr>
        <w:pStyle w:val="25"/>
        <w:pageBreakBefore w:val="0"/>
        <w:kinsoku/>
        <w:wordWrap/>
        <w:overflowPunct/>
        <w:topLinePunct w:val="0"/>
        <w:bidi w:val="0"/>
        <w:spacing w:line="360" w:lineRule="atLeast"/>
        <w:ind w:firstLine="420" w:firstLineChars="20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7.2收到供应商书面质疑函后，采购人应当在七个工作日内对质疑事项作出答复（答复内容不得涉及商业秘密），并委托采购代理机构以书面形式通知质疑供应商，在财政部门指定的媒体发布质疑答复公告。</w:t>
      </w:r>
    </w:p>
    <w:p w14:paraId="5A18C829">
      <w:pPr>
        <w:pStyle w:val="25"/>
        <w:pageBreakBefore w:val="0"/>
        <w:kinsoku/>
        <w:wordWrap/>
        <w:overflowPunct/>
        <w:topLinePunct w:val="0"/>
        <w:bidi w:val="0"/>
        <w:spacing w:line="360" w:lineRule="atLeast"/>
        <w:ind w:firstLine="420" w:firstLineChars="20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7.3供应商对采购人或采购代理机构的答复不满意，或者采购人或采购代理机构未在规定的时间内作出答复的，可以在答复期满后十五个工作日内向本级财政部门投诉。</w:t>
      </w:r>
    </w:p>
    <w:p w14:paraId="164E17C2">
      <w:pPr>
        <w:pStyle w:val="25"/>
        <w:pageBreakBefore w:val="0"/>
        <w:kinsoku/>
        <w:wordWrap/>
        <w:overflowPunct/>
        <w:topLinePunct w:val="0"/>
        <w:bidi w:val="0"/>
        <w:spacing w:line="360" w:lineRule="atLeast"/>
        <w:ind w:firstLine="420" w:firstLineChars="20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7.4质疑、投诉应当采用书面形式，质疑书、投诉书实行实名制，均应明确阐述</w:t>
      </w:r>
      <w:r>
        <w:rPr>
          <w:rFonts w:hint="eastAsia" w:ascii="宋体" w:hAnsi="宋体" w:eastAsia="宋体" w:cs="宋体"/>
          <w:kern w:val="2"/>
          <w:sz w:val="21"/>
          <w:szCs w:val="21"/>
          <w:highlight w:val="none"/>
          <w:lang w:eastAsia="zh-CN"/>
        </w:rPr>
        <w:t>磋商文件</w:t>
      </w:r>
      <w:r>
        <w:rPr>
          <w:rFonts w:hint="eastAsia" w:ascii="宋体" w:hAnsi="宋体" w:eastAsia="宋体" w:cs="宋体"/>
          <w:kern w:val="2"/>
          <w:sz w:val="21"/>
          <w:szCs w:val="21"/>
          <w:highlight w:val="none"/>
        </w:rPr>
        <w:t>、招标过程或</w:t>
      </w:r>
      <w:r>
        <w:rPr>
          <w:rFonts w:hint="eastAsia" w:ascii="宋体" w:hAnsi="宋体" w:eastAsia="宋体" w:cs="宋体"/>
          <w:kern w:val="2"/>
          <w:sz w:val="21"/>
          <w:szCs w:val="21"/>
          <w:highlight w:val="none"/>
          <w:lang w:eastAsia="zh-CN"/>
        </w:rPr>
        <w:t>成交</w:t>
      </w:r>
      <w:r>
        <w:rPr>
          <w:rFonts w:hint="eastAsia" w:ascii="宋体" w:hAnsi="宋体" w:eastAsia="宋体" w:cs="宋体"/>
          <w:kern w:val="2"/>
          <w:sz w:val="21"/>
          <w:szCs w:val="21"/>
          <w:highlight w:val="none"/>
        </w:rPr>
        <w:t>结果中使自己合法权益受到损害的实质性内容，并提供必要的证明材料。</w:t>
      </w:r>
    </w:p>
    <w:p w14:paraId="76C3729C">
      <w:pPr>
        <w:pStyle w:val="25"/>
        <w:pageBreakBefore w:val="0"/>
        <w:kinsoku/>
        <w:wordWrap/>
        <w:overflowPunct/>
        <w:topLinePunct w:val="0"/>
        <w:bidi w:val="0"/>
        <w:spacing w:line="360" w:lineRule="atLeast"/>
        <w:ind w:firstLine="420" w:firstLineChars="20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7.5供应商在法定质疑期内应当一次性提出针对同一采购程序环节的质疑。</w:t>
      </w:r>
    </w:p>
    <w:p w14:paraId="110637FA">
      <w:pPr>
        <w:pStyle w:val="25"/>
        <w:pageBreakBefore w:val="0"/>
        <w:kinsoku/>
        <w:wordWrap/>
        <w:overflowPunct/>
        <w:topLinePunct w:val="0"/>
        <w:bidi w:val="0"/>
        <w:spacing w:line="360" w:lineRule="atLeast"/>
        <w:ind w:firstLine="420" w:firstLineChars="20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7.6 不在法定质疑期内提出的质疑函可以拒收。不符合要求的质疑函在法定质疑期内及时补充完整，否则作质疑不成立处理。</w:t>
      </w:r>
    </w:p>
    <w:p w14:paraId="03661820">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107" w:name="_Toc20026"/>
      <w:bookmarkStart w:id="108" w:name="_Toc19740"/>
      <w:bookmarkStart w:id="109" w:name="_Toc9110"/>
      <w:bookmarkStart w:id="110" w:name="_Toc23668"/>
      <w:bookmarkStart w:id="111" w:name="_Toc8755"/>
      <w:r>
        <w:rPr>
          <w:rFonts w:hint="eastAsia" w:ascii="宋体" w:hAnsi="宋体" w:eastAsia="宋体" w:cs="宋体"/>
          <w:color w:val="000000"/>
          <w:sz w:val="21"/>
          <w:szCs w:val="21"/>
          <w:highlight w:val="none"/>
        </w:rPr>
        <w:t>8. 特别说明</w:t>
      </w:r>
      <w:bookmarkEnd w:id="105"/>
      <w:bookmarkEnd w:id="106"/>
      <w:bookmarkEnd w:id="107"/>
      <w:bookmarkEnd w:id="108"/>
      <w:bookmarkEnd w:id="109"/>
      <w:bookmarkEnd w:id="110"/>
      <w:bookmarkEnd w:id="111"/>
    </w:p>
    <w:p w14:paraId="2DEA3BA5">
      <w:pPr>
        <w:pageBreakBefore w:val="0"/>
        <w:tabs>
          <w:tab w:val="left" w:pos="1635"/>
        </w:tabs>
        <w:kinsoku/>
        <w:wordWrap/>
        <w:overflowPunct/>
        <w:topLinePunct w:val="0"/>
        <w:bidi w:val="0"/>
        <w:spacing w:line="360" w:lineRule="atLeast"/>
        <w:ind w:firstLine="420" w:firstLineChars="200"/>
        <w:textAlignment w:val="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8.1关联供应商不得参加同一合同项下政府采购活动，否则响应文件将被视为无效：</w:t>
      </w:r>
    </w:p>
    <w:p w14:paraId="77E9E689">
      <w:pPr>
        <w:pageBreakBefore w:val="0"/>
        <w:tabs>
          <w:tab w:val="left" w:pos="1635"/>
        </w:tabs>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（1）单位负责人为同一人或者存在直接控股、管理关系的，不得参加同一合同项下的政府采购活动。</w:t>
      </w:r>
    </w:p>
    <w:p w14:paraId="17ABA311">
      <w:pPr>
        <w:pageBreakBefore w:val="0"/>
        <w:tabs>
          <w:tab w:val="left" w:pos="1635"/>
        </w:tabs>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（2）为本采购项目提供整体设计、规范编制或者项目管理、监理、检测等服务的供应商，不得再参加本次采购活动。</w:t>
      </w:r>
    </w:p>
    <w:p w14:paraId="7801BBB2">
      <w:pPr>
        <w:pageBreakBefore w:val="0"/>
        <w:tabs>
          <w:tab w:val="left" w:pos="1635"/>
        </w:tabs>
        <w:kinsoku/>
        <w:wordWrap/>
        <w:overflowPunct/>
        <w:topLinePunct w:val="0"/>
        <w:bidi w:val="0"/>
        <w:spacing w:line="360" w:lineRule="atLeast"/>
        <w:ind w:firstLine="435"/>
        <w:textAlignment w:val="auto"/>
        <w:rPr>
          <w:rFonts w:hint="eastAsia" w:ascii="宋体" w:hAnsi="宋体" w:eastAsia="宋体" w:cs="宋体"/>
          <w:b/>
          <w:bCs/>
          <w:color w:val="000000"/>
          <w:szCs w:val="21"/>
          <w:highlight w:val="none"/>
        </w:rPr>
      </w:pPr>
      <w:r>
        <w:rPr>
          <w:rFonts w:hint="eastAsia" w:ascii="宋体" w:hAnsi="宋体" w:eastAsia="宋体" w:cs="宋体"/>
          <w:b/>
          <w:color w:val="000000"/>
          <w:szCs w:val="21"/>
          <w:highlight w:val="none"/>
        </w:rPr>
        <w:t>8.2</w:t>
      </w:r>
      <w:r>
        <w:rPr>
          <w:rFonts w:hint="eastAsia" w:ascii="宋体" w:hAnsi="宋体" w:eastAsia="宋体" w:cs="宋体"/>
          <w:b/>
          <w:bCs/>
          <w:color w:val="000000"/>
          <w:szCs w:val="21"/>
          <w:highlight w:val="none"/>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p w14:paraId="6773D2DD">
      <w:pPr>
        <w:pStyle w:val="9"/>
        <w:pageBreakBefore w:val="0"/>
        <w:kinsoku/>
        <w:wordWrap/>
        <w:overflowPunct/>
        <w:topLinePunct w:val="0"/>
        <w:bidi w:val="0"/>
        <w:spacing w:line="360" w:lineRule="atLeast"/>
        <w:textAlignment w:val="auto"/>
        <w:rPr>
          <w:rFonts w:hint="eastAsia" w:ascii="宋体" w:hAnsi="宋体" w:eastAsia="宋体" w:cs="宋体"/>
          <w:color w:val="000000"/>
          <w:highlight w:val="none"/>
        </w:rPr>
      </w:pPr>
    </w:p>
    <w:p w14:paraId="1F9AC1BB">
      <w:pPr>
        <w:pStyle w:val="3"/>
        <w:pageBreakBefore w:val="0"/>
        <w:kinsoku/>
        <w:wordWrap/>
        <w:overflowPunct/>
        <w:topLinePunct w:val="0"/>
        <w:bidi w:val="0"/>
        <w:spacing w:line="360" w:lineRule="atLeast"/>
        <w:jc w:val="center"/>
        <w:textAlignment w:val="auto"/>
        <w:rPr>
          <w:rFonts w:hint="eastAsia" w:ascii="宋体" w:hAnsi="宋体" w:eastAsia="宋体" w:cs="宋体"/>
          <w:b/>
          <w:bCs w:val="0"/>
          <w:szCs w:val="28"/>
          <w:highlight w:val="none"/>
        </w:rPr>
      </w:pPr>
      <w:bookmarkStart w:id="112" w:name="_Toc22498"/>
      <w:bookmarkStart w:id="113" w:name="_Toc8933"/>
      <w:bookmarkStart w:id="114" w:name="_Toc10216"/>
      <w:bookmarkStart w:id="115" w:name="_Toc27434"/>
      <w:bookmarkStart w:id="116" w:name="_Toc2761"/>
      <w:bookmarkStart w:id="117" w:name="_Toc10680"/>
      <w:bookmarkStart w:id="118" w:name="_Toc27062"/>
      <w:r>
        <w:rPr>
          <w:rFonts w:hint="eastAsia" w:ascii="宋体" w:hAnsi="宋体" w:eastAsia="宋体" w:cs="宋体"/>
          <w:b/>
          <w:bCs w:val="0"/>
          <w:szCs w:val="28"/>
          <w:highlight w:val="none"/>
        </w:rPr>
        <w:t>二、</w:t>
      </w:r>
      <w:bookmarkEnd w:id="112"/>
      <w:bookmarkEnd w:id="113"/>
      <w:r>
        <w:rPr>
          <w:rFonts w:hint="eastAsia" w:ascii="宋体" w:hAnsi="宋体" w:eastAsia="宋体" w:cs="宋体"/>
          <w:b/>
          <w:bCs w:val="0"/>
          <w:szCs w:val="28"/>
          <w:highlight w:val="none"/>
        </w:rPr>
        <w:t>磋商文件</w:t>
      </w:r>
      <w:bookmarkEnd w:id="114"/>
      <w:bookmarkEnd w:id="115"/>
      <w:bookmarkEnd w:id="116"/>
      <w:bookmarkEnd w:id="117"/>
      <w:bookmarkEnd w:id="118"/>
    </w:p>
    <w:p w14:paraId="6AFDF0CB">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lang w:val="pt-BR"/>
        </w:rPr>
      </w:pPr>
      <w:bookmarkStart w:id="119" w:name="_Toc32492"/>
      <w:bookmarkStart w:id="120" w:name="_Toc18964"/>
      <w:bookmarkStart w:id="121" w:name="_Toc31355"/>
      <w:bookmarkStart w:id="122" w:name="_Toc31796"/>
      <w:bookmarkStart w:id="123" w:name="_Toc5201"/>
      <w:bookmarkStart w:id="124" w:name="_Toc20523"/>
      <w:bookmarkStart w:id="125" w:name="_Toc27815"/>
      <w:r>
        <w:rPr>
          <w:rFonts w:hint="eastAsia" w:ascii="宋体" w:hAnsi="宋体" w:eastAsia="宋体" w:cs="宋体"/>
          <w:color w:val="000000"/>
          <w:sz w:val="21"/>
          <w:szCs w:val="21"/>
          <w:highlight w:val="none"/>
          <w:lang w:val="pt-BR"/>
        </w:rPr>
        <w:t xml:space="preserve">9. </w:t>
      </w:r>
      <w:r>
        <w:rPr>
          <w:rFonts w:hint="eastAsia" w:ascii="宋体" w:hAnsi="宋体" w:eastAsia="宋体" w:cs="宋体"/>
          <w:color w:val="000000"/>
          <w:sz w:val="21"/>
          <w:szCs w:val="21"/>
          <w:highlight w:val="none"/>
          <w:lang w:eastAsia="zh-CN"/>
        </w:rPr>
        <w:t>磋商文件</w:t>
      </w:r>
      <w:r>
        <w:rPr>
          <w:rFonts w:hint="eastAsia" w:ascii="宋体" w:hAnsi="宋体" w:eastAsia="宋体" w:cs="宋体"/>
          <w:color w:val="000000"/>
          <w:sz w:val="21"/>
          <w:szCs w:val="21"/>
          <w:highlight w:val="none"/>
        </w:rPr>
        <w:t>的构成</w:t>
      </w:r>
      <w:bookmarkEnd w:id="119"/>
      <w:bookmarkEnd w:id="120"/>
      <w:bookmarkEnd w:id="121"/>
      <w:bookmarkEnd w:id="122"/>
      <w:bookmarkEnd w:id="123"/>
      <w:bookmarkEnd w:id="124"/>
      <w:bookmarkEnd w:id="125"/>
    </w:p>
    <w:p w14:paraId="16A2A17A">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（1）竞争性磋商公告；</w:t>
      </w:r>
    </w:p>
    <w:p w14:paraId="59EF0174">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（2）供应商须知；</w:t>
      </w:r>
    </w:p>
    <w:p w14:paraId="47DD00D6">
      <w:pPr>
        <w:pageBreakBefore w:val="0"/>
        <w:kinsoku/>
        <w:wordWrap/>
        <w:overflowPunct/>
        <w:topLinePunct w:val="0"/>
        <w:bidi w:val="0"/>
        <w:spacing w:line="360" w:lineRule="atLeast"/>
        <w:ind w:firstLine="420" w:firstLineChars="200"/>
        <w:textAlignment w:val="auto"/>
        <w:rPr>
          <w:rFonts w:hint="eastAsia" w:ascii="宋体" w:hAnsi="宋体" w:eastAsia="宋体" w:cs="宋体"/>
          <w:b/>
          <w:color w:val="000000"/>
          <w:szCs w:val="21"/>
          <w:highlight w:val="none"/>
        </w:rPr>
      </w:pPr>
      <w:r>
        <w:rPr>
          <w:rFonts w:hint="eastAsia" w:ascii="宋体" w:hAnsi="宋体" w:eastAsia="宋体" w:cs="宋体"/>
          <w:color w:val="000000"/>
          <w:szCs w:val="21"/>
          <w:highlight w:val="none"/>
        </w:rPr>
        <w:t>（3）采购需求</w:t>
      </w:r>
      <w:r>
        <w:rPr>
          <w:rFonts w:hint="eastAsia" w:ascii="宋体" w:hAnsi="宋体" w:eastAsia="宋体" w:cs="宋体"/>
          <w:bCs/>
          <w:color w:val="000000"/>
          <w:szCs w:val="21"/>
          <w:highlight w:val="none"/>
        </w:rPr>
        <w:t>；</w:t>
      </w:r>
    </w:p>
    <w:p w14:paraId="58E798F2">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（4）评审办法；</w:t>
      </w:r>
    </w:p>
    <w:p w14:paraId="51A296B2">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（5）采购合同（合同主要条款及格式）；</w:t>
      </w:r>
    </w:p>
    <w:p w14:paraId="37641BFD">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（6）响应文件（格式）。</w:t>
      </w:r>
    </w:p>
    <w:p w14:paraId="6C04C5FE">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126" w:name="_Toc25893"/>
      <w:bookmarkStart w:id="127" w:name="_Toc26758"/>
      <w:bookmarkStart w:id="128" w:name="_Toc14631"/>
      <w:bookmarkStart w:id="129" w:name="_Toc1452"/>
      <w:bookmarkStart w:id="130" w:name="_Toc9103"/>
      <w:bookmarkStart w:id="131" w:name="_Toc18804"/>
      <w:bookmarkStart w:id="132" w:name="_Toc4828"/>
      <w:r>
        <w:rPr>
          <w:rFonts w:hint="eastAsia" w:ascii="宋体" w:hAnsi="宋体" w:eastAsia="宋体" w:cs="宋体"/>
          <w:color w:val="000000"/>
          <w:sz w:val="21"/>
          <w:szCs w:val="21"/>
          <w:highlight w:val="none"/>
        </w:rPr>
        <w:t xml:space="preserve">10. </w:t>
      </w:r>
      <w:r>
        <w:rPr>
          <w:rFonts w:hint="eastAsia" w:ascii="宋体" w:hAnsi="宋体" w:eastAsia="宋体" w:cs="宋体"/>
          <w:color w:val="000000"/>
          <w:sz w:val="21"/>
          <w:szCs w:val="21"/>
          <w:highlight w:val="none"/>
          <w:lang w:eastAsia="zh-CN"/>
        </w:rPr>
        <w:t>磋商文件</w:t>
      </w:r>
      <w:r>
        <w:rPr>
          <w:rFonts w:hint="eastAsia" w:ascii="宋体" w:hAnsi="宋体" w:eastAsia="宋体" w:cs="宋体"/>
          <w:color w:val="000000"/>
          <w:sz w:val="21"/>
          <w:szCs w:val="21"/>
          <w:highlight w:val="none"/>
        </w:rPr>
        <w:t>的澄清与修改</w:t>
      </w:r>
      <w:bookmarkEnd w:id="126"/>
      <w:bookmarkEnd w:id="127"/>
      <w:bookmarkEnd w:id="128"/>
      <w:bookmarkEnd w:id="129"/>
      <w:bookmarkEnd w:id="130"/>
      <w:bookmarkEnd w:id="131"/>
      <w:bookmarkEnd w:id="132"/>
    </w:p>
    <w:p w14:paraId="72499C64">
      <w:pPr>
        <w:pageBreakBefore w:val="0"/>
        <w:kinsoku/>
        <w:wordWrap/>
        <w:overflowPunct/>
        <w:topLinePunct w:val="0"/>
        <w:bidi w:val="0"/>
        <w:spacing w:line="360" w:lineRule="atLeast"/>
        <w:ind w:left="420" w:left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10.1 提交首次响应文件截止之日前，采购代理机构可以对已发出的磋商文件进行必要澄清、答复、修改或</w:t>
      </w:r>
    </w:p>
    <w:p w14:paraId="683DC3B5">
      <w:pPr>
        <w:pageBreakBefore w:val="0"/>
        <w:kinsoku/>
        <w:wordWrap/>
        <w:overflowPunct/>
        <w:topLinePunct w:val="0"/>
        <w:bidi w:val="0"/>
        <w:spacing w:line="360" w:lineRule="atLeast"/>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
          <w:bCs/>
          <w:color w:val="000000"/>
          <w:szCs w:val="21"/>
          <w:highlight w:val="none"/>
        </w:rPr>
        <w:t>五日</w:t>
      </w:r>
      <w:r>
        <w:rPr>
          <w:rFonts w:hint="eastAsia" w:ascii="宋体" w:hAnsi="宋体" w:eastAsia="宋体" w:cs="宋体"/>
          <w:color w:val="000000"/>
          <w:szCs w:val="21"/>
          <w:highlight w:val="none"/>
        </w:rPr>
        <w:t>前在本项目竞争性磋商公告发布的同一媒体上发布更正公告，不足</w:t>
      </w:r>
      <w:r>
        <w:rPr>
          <w:rFonts w:hint="eastAsia" w:ascii="宋体" w:hAnsi="宋体" w:eastAsia="宋体" w:cs="宋体"/>
          <w:b/>
          <w:bCs/>
          <w:color w:val="000000"/>
          <w:szCs w:val="21"/>
          <w:highlight w:val="none"/>
        </w:rPr>
        <w:t>五日</w:t>
      </w:r>
      <w:r>
        <w:rPr>
          <w:rFonts w:hint="eastAsia" w:ascii="宋体" w:hAnsi="宋体" w:eastAsia="宋体" w:cs="宋体"/>
          <w:color w:val="000000"/>
          <w:szCs w:val="21"/>
          <w:highlight w:val="none"/>
        </w:rPr>
        <w:t>的，应当顺延首次响应文件递交截止时间。</w:t>
      </w:r>
    </w:p>
    <w:p w14:paraId="0F9045EA">
      <w:pPr>
        <w:pageBreakBefore w:val="0"/>
        <w:kinsoku/>
        <w:wordWrap/>
        <w:overflowPunct/>
        <w:topLinePunct w:val="0"/>
        <w:bidi w:val="0"/>
        <w:spacing w:line="360" w:lineRule="atLeast"/>
        <w:ind w:left="420" w:leftChars="200"/>
        <w:jc w:val="left"/>
        <w:textAlignment w:val="auto"/>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10.2</w:t>
      </w:r>
      <w:r>
        <w:rPr>
          <w:rFonts w:hint="eastAsia" w:ascii="宋体" w:hAnsi="宋体" w:eastAsia="宋体" w:cs="宋体"/>
          <w:b/>
          <w:bCs/>
          <w:color w:val="000000"/>
          <w:szCs w:val="21"/>
          <w:highlight w:val="none"/>
        </w:rPr>
        <w:t>供应商应实时关注本项目信息公告发布媒体相关网站了解澄清、修改等与项目有关的内容，如因供应</w:t>
      </w:r>
    </w:p>
    <w:p w14:paraId="033D842D">
      <w:pPr>
        <w:pageBreakBefore w:val="0"/>
        <w:kinsoku/>
        <w:wordWrap/>
        <w:overflowPunct/>
        <w:topLinePunct w:val="0"/>
        <w:bidi w:val="0"/>
        <w:spacing w:line="360" w:lineRule="atLeast"/>
        <w:jc w:val="left"/>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商未及时登录相关网站了解澄清、修改等与项目有关的内容，从而导致响应文件无效的，由供应商自行承担责任。</w:t>
      </w:r>
    </w:p>
    <w:p w14:paraId="732758F3">
      <w:pPr>
        <w:pageBreakBefore w:val="0"/>
        <w:kinsoku/>
        <w:wordWrap/>
        <w:overflowPunct/>
        <w:topLinePunct w:val="0"/>
        <w:bidi w:val="0"/>
        <w:spacing w:line="360" w:lineRule="atLeast"/>
        <w:ind w:left="420" w:left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10.3澄清或者修改的内容为磋商文件的组成部分。当澄清或者修改通知就同一内容的表述不一致时，以最</w:t>
      </w:r>
    </w:p>
    <w:p w14:paraId="5F9EC221">
      <w:pPr>
        <w:pageBreakBefore w:val="0"/>
        <w:kinsoku/>
        <w:wordWrap/>
        <w:overflowPunct/>
        <w:topLinePunct w:val="0"/>
        <w:bidi w:val="0"/>
        <w:spacing w:line="360" w:lineRule="atLeast"/>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后发出的文件为准。</w:t>
      </w:r>
    </w:p>
    <w:p w14:paraId="71A51724">
      <w:pPr>
        <w:pageBreakBefore w:val="0"/>
        <w:kinsoku/>
        <w:wordWrap/>
        <w:overflowPunct/>
        <w:topLinePunct w:val="0"/>
        <w:bidi w:val="0"/>
        <w:spacing w:line="360" w:lineRule="atLeast"/>
        <w:ind w:left="420" w:left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10.4 磋商文件的澄清或者修改都应该通过本项目采购代理机构以法定形式发布，采购人非通过本机构，不</w:t>
      </w:r>
    </w:p>
    <w:p w14:paraId="39CB2E43">
      <w:pPr>
        <w:pageBreakBefore w:val="0"/>
        <w:kinsoku/>
        <w:wordWrap/>
        <w:overflowPunct/>
        <w:topLinePunct w:val="0"/>
        <w:bidi w:val="0"/>
        <w:spacing w:line="360" w:lineRule="atLeast"/>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得擅自澄清或者修改磋商文件。</w:t>
      </w:r>
    </w:p>
    <w:p w14:paraId="23EB939A">
      <w:pPr>
        <w:pageBreakBefore w:val="0"/>
        <w:kinsoku/>
        <w:wordWrap/>
        <w:overflowPunct/>
        <w:topLinePunct w:val="0"/>
        <w:bidi w:val="0"/>
        <w:spacing w:line="360" w:lineRule="atLeast"/>
        <w:ind w:left="420" w:left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10.5采购单位可以视采购具体情况，延长响应文件截止时间和磋商时间，在本项目竞争性磋商公告发布的</w:t>
      </w:r>
    </w:p>
    <w:p w14:paraId="3B01AD6B">
      <w:pPr>
        <w:pageBreakBefore w:val="0"/>
        <w:kinsoku/>
        <w:wordWrap/>
        <w:overflowPunct/>
        <w:topLinePunct w:val="0"/>
        <w:bidi w:val="0"/>
        <w:spacing w:line="360" w:lineRule="atLeast"/>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同一媒体上发布变更公告。</w:t>
      </w:r>
    </w:p>
    <w:p w14:paraId="63AE87EE">
      <w:pPr>
        <w:pStyle w:val="25"/>
        <w:pageBreakBefore w:val="0"/>
        <w:kinsoku/>
        <w:wordWrap/>
        <w:overflowPunct/>
        <w:topLinePunct w:val="0"/>
        <w:bidi w:val="0"/>
        <w:spacing w:line="360" w:lineRule="atLeast"/>
        <w:textAlignment w:val="auto"/>
        <w:rPr>
          <w:rFonts w:hint="eastAsia" w:ascii="宋体" w:hAnsi="宋体" w:eastAsia="宋体" w:cs="宋体"/>
          <w:highlight w:val="none"/>
        </w:rPr>
      </w:pPr>
    </w:p>
    <w:p w14:paraId="16FD4405">
      <w:pPr>
        <w:pStyle w:val="3"/>
        <w:pageBreakBefore w:val="0"/>
        <w:kinsoku/>
        <w:wordWrap/>
        <w:overflowPunct/>
        <w:topLinePunct w:val="0"/>
        <w:bidi w:val="0"/>
        <w:spacing w:line="360" w:lineRule="atLeast"/>
        <w:jc w:val="center"/>
        <w:textAlignment w:val="auto"/>
        <w:rPr>
          <w:rFonts w:hint="eastAsia" w:ascii="宋体" w:hAnsi="宋体" w:eastAsia="宋体" w:cs="宋体"/>
          <w:b/>
          <w:bCs w:val="0"/>
          <w:szCs w:val="28"/>
          <w:highlight w:val="none"/>
        </w:rPr>
      </w:pPr>
      <w:bookmarkStart w:id="133" w:name="_Toc7017"/>
      <w:bookmarkStart w:id="134" w:name="_Toc20830"/>
      <w:bookmarkStart w:id="135" w:name="_Toc18399"/>
      <w:bookmarkStart w:id="136" w:name="_Toc20641"/>
      <w:bookmarkStart w:id="137" w:name="_Toc18914"/>
      <w:bookmarkStart w:id="138" w:name="_Toc285"/>
      <w:bookmarkStart w:id="139" w:name="_Toc8406"/>
      <w:r>
        <w:rPr>
          <w:rFonts w:hint="eastAsia" w:ascii="宋体" w:hAnsi="宋体" w:eastAsia="宋体" w:cs="宋体"/>
          <w:b/>
          <w:bCs w:val="0"/>
          <w:szCs w:val="28"/>
          <w:highlight w:val="none"/>
        </w:rPr>
        <w:t>三、竞争性磋商响应文件的编制</w:t>
      </w:r>
      <w:bookmarkEnd w:id="133"/>
      <w:bookmarkEnd w:id="134"/>
      <w:bookmarkEnd w:id="135"/>
      <w:bookmarkEnd w:id="136"/>
      <w:bookmarkEnd w:id="137"/>
      <w:bookmarkEnd w:id="138"/>
      <w:bookmarkEnd w:id="139"/>
    </w:p>
    <w:p w14:paraId="2D31B4D7">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lang w:val="en-US" w:eastAsia="zh-CN"/>
        </w:rPr>
      </w:pPr>
      <w:bookmarkStart w:id="140" w:name="_Toc27459"/>
      <w:bookmarkStart w:id="141" w:name="_Toc8616"/>
      <w:bookmarkStart w:id="142" w:name="_Toc772"/>
      <w:bookmarkStart w:id="143" w:name="_Toc11045"/>
      <w:bookmarkStart w:id="144" w:name="_Toc15685"/>
      <w:bookmarkStart w:id="145" w:name="_Toc3085"/>
      <w:r>
        <w:rPr>
          <w:rFonts w:hint="eastAsia" w:ascii="宋体" w:hAnsi="宋体" w:eastAsia="宋体" w:cs="宋体"/>
          <w:color w:val="000000"/>
          <w:sz w:val="21"/>
          <w:szCs w:val="21"/>
          <w:highlight w:val="none"/>
          <w:lang w:val="en-US" w:eastAsia="zh-CN"/>
        </w:rPr>
        <w:t>11.竞争性磋商响应文件编制基本要求</w:t>
      </w:r>
      <w:bookmarkEnd w:id="140"/>
      <w:bookmarkEnd w:id="141"/>
      <w:bookmarkEnd w:id="142"/>
      <w:bookmarkEnd w:id="143"/>
      <w:bookmarkEnd w:id="144"/>
      <w:bookmarkEnd w:id="145"/>
    </w:p>
    <w:p w14:paraId="7D566EFE">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11.1 本项目实行电子投标，供应商应准备电子磋商响应文件：</w:t>
      </w:r>
    </w:p>
    <w:p w14:paraId="70934209">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11.1.1 电子响应文件按广西政府采购云平台要求及本磋商文件要求制作、加密并递交。具体操作流程可参考《政府采购项目电子交易管理操作指南-供应商》，指南可在 “</w:t>
      </w:r>
      <w:r>
        <w:rPr>
          <w:rFonts w:hint="eastAsia" w:ascii="宋体" w:hAnsi="宋体" w:eastAsia="宋体" w:cs="宋体"/>
          <w:b/>
          <w:bCs/>
          <w:color w:val="auto"/>
          <w:szCs w:val="21"/>
          <w:highlight w:val="none"/>
          <w:lang w:eastAsia="zh-CN"/>
        </w:rPr>
        <w:t>广西政府采购云平台</w:t>
      </w:r>
      <w:r>
        <w:rPr>
          <w:rFonts w:hint="eastAsia" w:ascii="宋体" w:hAnsi="宋体" w:eastAsia="宋体" w:cs="宋体"/>
          <w:b/>
          <w:bCs/>
          <w:color w:val="000000"/>
          <w:szCs w:val="21"/>
          <w:highlight w:val="none"/>
        </w:rPr>
        <w:t xml:space="preserve">”下载。 </w:t>
      </w:r>
    </w:p>
    <w:p w14:paraId="0FD94883">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11.2竞争性磋商响应文件（以下简称响应文件）的组成及要求</w:t>
      </w:r>
    </w:p>
    <w:p w14:paraId="20A7B541">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11.2.1响应文件组成【格式见第六章“响应文件（格式）”】</w:t>
      </w:r>
    </w:p>
    <w:p w14:paraId="6C11E56B">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rPr>
        <w:t>11.2.1.1资格性响应证明材料：</w:t>
      </w:r>
    </w:p>
    <w:p w14:paraId="5D2956EF">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（1）供应商相应的法定代表人、负责人、自然人身份证正反两面扫描件</w:t>
      </w:r>
      <w:r>
        <w:rPr>
          <w:rFonts w:hint="eastAsia" w:ascii="宋体" w:hAnsi="宋体" w:eastAsia="宋体" w:cs="宋体"/>
          <w:b/>
          <w:bCs/>
          <w:color w:val="000000"/>
          <w:szCs w:val="21"/>
          <w:highlight w:val="none"/>
        </w:rPr>
        <w:t>（必须提供）</w:t>
      </w:r>
      <w:r>
        <w:rPr>
          <w:rFonts w:hint="eastAsia" w:ascii="宋体" w:hAnsi="宋体" w:eastAsia="宋体" w:cs="宋体"/>
          <w:color w:val="000000"/>
          <w:szCs w:val="21"/>
          <w:highlight w:val="none"/>
        </w:rPr>
        <w:t>；</w:t>
      </w:r>
    </w:p>
    <w:p w14:paraId="35CDE578">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的授权委托书原件、委托代理人身份证正反面扫描件以及由县级以上（含县级）社会养老保险经办机构出具的供应商为委托代理人交纳的响应文件递交截止时间前三个月内任意一个月养老保险证明扫描件，除供应商为以下四种情形的：</w:t>
      </w:r>
    </w:p>
    <w:p w14:paraId="43A29BD3">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①如供应商为截标时间前60日以内成立的公司，可以提供供应商与委托代理人签订的劳动合同扫描件代替养老保险证明扫描件；</w:t>
      </w:r>
    </w:p>
    <w:p w14:paraId="1EB36037">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②如供应商为事业单位，可以提供事业单位机构编制管理证扫描件或事业单位机构为其发放工资的工资条扫描件代替养老保险证明扫描件；</w:t>
      </w:r>
    </w:p>
    <w:p w14:paraId="75853A12">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③如委托代理人为免缴纳养老保险人员，提供免缴纳养老保险的证明材料扫描件及供应商与委托代理人签订的劳动合同扫描件代替养老保险证明扫描件。</w:t>
      </w:r>
    </w:p>
    <w:p w14:paraId="72C8BFED">
      <w:pPr>
        <w:pageBreakBefore w:val="0"/>
        <w:kinsoku/>
        <w:wordWrap/>
        <w:overflowPunct/>
        <w:topLinePunct w:val="0"/>
        <w:bidi w:val="0"/>
        <w:spacing w:line="360" w:lineRule="atLeas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6AE0F3B4">
      <w:pPr>
        <w:pageBreakBefore w:val="0"/>
        <w:kinsoku/>
        <w:wordWrap/>
        <w:overflowPunct/>
        <w:topLinePunct w:val="0"/>
        <w:bidi w:val="0"/>
        <w:spacing w:line="360" w:lineRule="atLeast"/>
        <w:ind w:firstLine="420" w:firstLineChars="200"/>
        <w:jc w:val="left"/>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000000"/>
          <w:szCs w:val="21"/>
          <w:highlight w:val="none"/>
        </w:rPr>
        <w:t>】</w:t>
      </w:r>
      <w:r>
        <w:rPr>
          <w:rFonts w:hint="eastAsia" w:ascii="宋体" w:hAnsi="宋体" w:eastAsia="宋体" w:cs="宋体"/>
          <w:b/>
          <w:bCs/>
          <w:color w:val="000000"/>
          <w:szCs w:val="21"/>
          <w:highlight w:val="none"/>
        </w:rPr>
        <w:t>（委托代理时必须提供；如为联合体的，授权委托书原件须由牵头人出具。）</w:t>
      </w:r>
    </w:p>
    <w:p w14:paraId="1ADD6BC5">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（3）供应商参加政府采购活动前3年内在经营活动中没有重大违法记录及有关信用信息的书面声明或专项信用报告</w:t>
      </w:r>
      <w:r>
        <w:rPr>
          <w:rFonts w:hint="eastAsia" w:ascii="宋体" w:hAnsi="宋体" w:eastAsia="宋体" w:cs="宋体"/>
          <w:b/>
          <w:bCs/>
          <w:color w:val="000000"/>
          <w:szCs w:val="21"/>
          <w:highlight w:val="none"/>
        </w:rPr>
        <w:t>（必须提供）；</w:t>
      </w:r>
    </w:p>
    <w:p w14:paraId="128BB9B3">
      <w:pPr>
        <w:pStyle w:val="9"/>
        <w:pageBreakBefore w:val="0"/>
        <w:kinsoku/>
        <w:wordWrap/>
        <w:overflowPunct/>
        <w:topLinePunct w:val="0"/>
        <w:bidi w:val="0"/>
        <w:spacing w:line="360" w:lineRule="atLeas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b/>
          <w:bCs/>
          <w:highlight w:val="non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14:paraId="7F9001AB">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（4）供应商的法人或者其他组织营业执照等证明文件扫描件</w:t>
      </w:r>
      <w:r>
        <w:rPr>
          <w:rFonts w:hint="eastAsia" w:ascii="宋体" w:hAnsi="宋体" w:eastAsia="宋体" w:cs="宋体"/>
          <w:b/>
          <w:bCs/>
          <w:color w:val="000000"/>
          <w:szCs w:val="21"/>
          <w:highlight w:val="none"/>
        </w:rPr>
        <w:t>（必须提供，自然人除外）；</w:t>
      </w:r>
    </w:p>
    <w:p w14:paraId="2BE84998">
      <w:pPr>
        <w:pageBreakBefore w:val="0"/>
        <w:tabs>
          <w:tab w:val="left" w:pos="1305"/>
        </w:tabs>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注：供应商为企业（包括合伙企业），应提供市场监管部门（登记机关）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07BAAD4C">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（5）</w:t>
      </w:r>
      <w:r>
        <w:rPr>
          <w:rFonts w:hint="eastAsia" w:ascii="宋体" w:hAnsi="宋体" w:eastAsia="宋体" w:cs="宋体"/>
          <w:bCs/>
          <w:color w:val="auto"/>
          <w:kern w:val="0"/>
          <w:szCs w:val="21"/>
          <w:highlight w:val="none"/>
        </w:rPr>
        <w:t>供应商</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年度财务状况报告</w:t>
      </w:r>
      <w:r>
        <w:rPr>
          <w:rFonts w:hint="eastAsia" w:ascii="宋体" w:hAnsi="宋体" w:eastAsia="宋体" w:cs="宋体"/>
          <w:b/>
          <w:bCs/>
          <w:color w:val="auto"/>
          <w:szCs w:val="21"/>
          <w:highlight w:val="none"/>
        </w:rPr>
        <w:t>（必须提供，可以是磋商供应商自行编制也可是通过第三方审计公司编制，如为自行编制至少须提供现金流量表、负债表及利润表(损益表)</w:t>
      </w:r>
      <w:r>
        <w:rPr>
          <w:rFonts w:hint="eastAsia" w:ascii="宋体" w:hAnsi="宋体" w:eastAsia="宋体" w:cs="宋体"/>
          <w:b/>
          <w:bCs/>
          <w:color w:val="auto"/>
          <w:szCs w:val="21"/>
          <w:highlight w:val="none"/>
          <w:lang w:eastAsia="zh-CN"/>
        </w:rPr>
        <w:t>，新成立的公司，提供自成立之日起至磋商截止时间前一个月的报告</w:t>
      </w:r>
      <w:r>
        <w:rPr>
          <w:rFonts w:hint="eastAsia" w:ascii="宋体" w:hAnsi="宋体" w:eastAsia="宋体" w:cs="宋体"/>
          <w:b/>
          <w:bCs/>
          <w:color w:val="auto"/>
          <w:szCs w:val="21"/>
          <w:highlight w:val="none"/>
        </w:rPr>
        <w:t>）</w:t>
      </w:r>
      <w:r>
        <w:rPr>
          <w:rFonts w:hint="eastAsia" w:ascii="宋体" w:hAnsi="宋体" w:eastAsia="宋体" w:cs="宋体"/>
          <w:b/>
          <w:bCs/>
          <w:color w:val="000000"/>
          <w:szCs w:val="21"/>
          <w:highlight w:val="none"/>
        </w:rPr>
        <w:t>；</w:t>
      </w:r>
    </w:p>
    <w:p w14:paraId="3D8F15B9">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（6）供应商在磋商当天前近半年内任意一个月或任一季度依法缴纳税收的证明材料【增值税发票(税收完税证明)或企业所得税完税证明或税务部门出具的免税证明或税务部门出具的无欠税证明】扫描件</w:t>
      </w:r>
      <w:r>
        <w:rPr>
          <w:rFonts w:hint="eastAsia" w:ascii="宋体" w:hAnsi="宋体" w:eastAsia="宋体" w:cs="宋体"/>
          <w:b/>
          <w:bCs/>
          <w:color w:val="000000"/>
          <w:szCs w:val="21"/>
          <w:highlight w:val="none"/>
        </w:rPr>
        <w:t>（必须提供）。</w:t>
      </w:r>
    </w:p>
    <w:p w14:paraId="623853C5">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eastAsia="zh-CN"/>
        </w:rPr>
        <w:t>（</w:t>
      </w:r>
      <w:r>
        <w:rPr>
          <w:rFonts w:hint="eastAsia" w:ascii="宋体" w:hAnsi="宋体" w:eastAsia="宋体" w:cs="宋体"/>
          <w:b w:val="0"/>
          <w:bCs w:val="0"/>
          <w:highlight w:val="none"/>
          <w:lang w:val="en-US" w:eastAsia="zh-CN"/>
        </w:rPr>
        <w:t>7</w:t>
      </w:r>
      <w:r>
        <w:rPr>
          <w:rFonts w:hint="eastAsia" w:ascii="宋体" w:hAnsi="宋体" w:eastAsia="宋体" w:cs="宋体"/>
          <w:b w:val="0"/>
          <w:bCs w:val="0"/>
          <w:highlight w:val="none"/>
          <w:lang w:eastAsia="zh-CN"/>
        </w:rPr>
        <w:t>）供应商具备有效的《食品经营许可证》</w:t>
      </w:r>
      <w:r>
        <w:rPr>
          <w:rFonts w:hint="eastAsia" w:ascii="宋体" w:hAnsi="宋体" w:eastAsia="宋体" w:cs="宋体"/>
          <w:b/>
          <w:bCs/>
          <w:highlight w:val="none"/>
          <w:lang w:eastAsia="zh-CN"/>
        </w:rPr>
        <w:t>（必须提供）。</w:t>
      </w:r>
    </w:p>
    <w:p w14:paraId="7299FFA7">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highlight w:val="none"/>
        </w:rPr>
      </w:pP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提供的以上相关证明材料属于“必须提供”的文件应加盖</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公章（CA签章）/自然人签字或加盖个人CA签章，否则投标无效，</w:t>
      </w:r>
      <w:r>
        <w:rPr>
          <w:rFonts w:hint="eastAsia" w:ascii="宋体" w:hAnsi="宋体" w:eastAsia="宋体" w:cs="宋体"/>
          <w:b/>
          <w:szCs w:val="21"/>
          <w:highlight w:val="none"/>
        </w:rPr>
        <w:t>联合体投标的，联合体各方必须同时提供第（2）、（3）、（4）、（5）、（6）项材料，并于本项目投标截止时间前与</w:t>
      </w:r>
      <w:r>
        <w:rPr>
          <w:rFonts w:hint="eastAsia" w:ascii="宋体" w:hAnsi="宋体" w:eastAsia="宋体" w:cs="宋体"/>
          <w:b/>
          <w:szCs w:val="21"/>
          <w:highlight w:val="none"/>
          <w:lang w:eastAsia="zh-CN"/>
        </w:rPr>
        <w:t>响应文件</w:t>
      </w:r>
      <w:r>
        <w:rPr>
          <w:rFonts w:hint="eastAsia" w:ascii="宋体" w:hAnsi="宋体" w:eastAsia="宋体" w:cs="宋体"/>
          <w:b/>
          <w:szCs w:val="21"/>
          <w:highlight w:val="none"/>
        </w:rPr>
        <w:t>同时提交，否则投标无效</w:t>
      </w:r>
      <w:r>
        <w:rPr>
          <w:rFonts w:hint="eastAsia" w:ascii="宋体" w:hAnsi="宋体" w:eastAsia="宋体" w:cs="宋体"/>
          <w:b/>
          <w:bCs/>
          <w:highlight w:val="none"/>
        </w:rPr>
        <w:t>。</w:t>
      </w:r>
    </w:p>
    <w:p w14:paraId="229F4D8B">
      <w:pPr>
        <w:pStyle w:val="20"/>
        <w:pageBreakBefore w:val="0"/>
        <w:kinsoku/>
        <w:wordWrap/>
        <w:overflowPunct/>
        <w:topLinePunct w:val="0"/>
        <w:bidi w:val="0"/>
        <w:spacing w:line="360" w:lineRule="atLeast"/>
        <w:ind w:left="0" w:leftChars="0" w:firstLine="422"/>
        <w:textAlignment w:val="auto"/>
        <w:rPr>
          <w:rFonts w:hint="eastAsia" w:ascii="宋体" w:hAnsi="宋体" w:eastAsia="宋体" w:cs="宋体"/>
          <w:color w:val="000000"/>
          <w:highlight w:val="none"/>
        </w:rPr>
      </w:pPr>
      <w:r>
        <w:rPr>
          <w:rFonts w:hint="eastAsia" w:ascii="宋体" w:hAnsi="宋体" w:eastAsia="宋体" w:cs="宋体"/>
          <w:b/>
          <w:bCs/>
          <w:color w:val="000000"/>
          <w:szCs w:val="21"/>
          <w:highlight w:val="none"/>
        </w:rPr>
        <w:t>11.2.1.2符合性响应证明材料：</w:t>
      </w:r>
    </w:p>
    <w:p w14:paraId="370AF7C4">
      <w:pPr>
        <w:pageBreakBefore w:val="0"/>
        <w:kinsoku/>
        <w:wordWrap/>
        <w:overflowPunct/>
        <w:topLinePunct w:val="0"/>
        <w:bidi w:val="0"/>
        <w:spacing w:line="360" w:lineRule="atLeast"/>
        <w:ind w:left="0" w:leftChars="0" w:firstLine="420" w:firstLineChars="200"/>
        <w:jc w:val="left"/>
        <w:textAlignment w:val="auto"/>
        <w:rPr>
          <w:rFonts w:hint="eastAsia" w:ascii="宋体" w:hAnsi="宋体" w:eastAsia="宋体" w:cs="宋体"/>
          <w:color w:val="auto"/>
          <w:szCs w:val="21"/>
          <w:highlight w:val="none"/>
        </w:rPr>
      </w:pPr>
      <w:bookmarkStart w:id="146" w:name="_Toc294"/>
      <w:bookmarkStart w:id="147" w:name="_Toc28932"/>
      <w:bookmarkStart w:id="148" w:name="_Toc16312"/>
      <w:bookmarkStart w:id="149" w:name="_Toc2809"/>
      <w:r>
        <w:rPr>
          <w:rFonts w:hint="eastAsia" w:ascii="宋体" w:hAnsi="宋体" w:eastAsia="宋体" w:cs="宋体"/>
          <w:bCs w:val="0"/>
          <w:color w:val="auto"/>
          <w:sz w:val="21"/>
          <w:szCs w:val="21"/>
          <w:highlight w:val="none"/>
          <w:lang w:val="en-US"/>
        </w:rPr>
        <w:t>（1）响应函（格式见附件）</w:t>
      </w:r>
      <w:r>
        <w:rPr>
          <w:rFonts w:hint="eastAsia" w:ascii="宋体" w:hAnsi="宋体" w:eastAsia="宋体" w:cs="宋体"/>
          <w:b/>
          <w:bCs/>
          <w:color w:val="auto"/>
          <w:sz w:val="21"/>
          <w:szCs w:val="21"/>
          <w:highlight w:val="none"/>
          <w:lang w:val="en-US"/>
        </w:rPr>
        <w:t>（必须提供）</w:t>
      </w:r>
      <w:r>
        <w:rPr>
          <w:rFonts w:hint="eastAsia" w:ascii="宋体" w:hAnsi="宋体" w:eastAsia="宋体" w:cs="宋体"/>
          <w:b/>
          <w:bCs/>
          <w:color w:val="auto"/>
          <w:sz w:val="21"/>
          <w:szCs w:val="21"/>
          <w:highlight w:val="none"/>
          <w:lang w:val="en-US" w:eastAsia="zh-CN"/>
        </w:rPr>
        <w:t>；</w:t>
      </w:r>
      <w:bookmarkEnd w:id="146"/>
    </w:p>
    <w:p w14:paraId="732EBF20">
      <w:pPr>
        <w:pageBreakBefore w:val="0"/>
        <w:tabs>
          <w:tab w:val="left" w:pos="1305"/>
        </w:tabs>
        <w:kinsoku/>
        <w:wordWrap/>
        <w:overflowPunct/>
        <w:topLinePunct w:val="0"/>
        <w:bidi w:val="0"/>
        <w:spacing w:line="360" w:lineRule="atLeas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）磋商报价表（格式见附件）</w:t>
      </w:r>
      <w:r>
        <w:rPr>
          <w:rFonts w:hint="eastAsia" w:ascii="宋体" w:hAnsi="宋体" w:eastAsia="宋体" w:cs="宋体"/>
          <w:b/>
          <w:bCs/>
          <w:color w:val="auto"/>
          <w:szCs w:val="21"/>
          <w:highlight w:val="none"/>
        </w:rPr>
        <w:t>（必须提供）；</w:t>
      </w:r>
    </w:p>
    <w:p w14:paraId="70C8F53C">
      <w:pPr>
        <w:pageBreakBefore w:val="0"/>
        <w:tabs>
          <w:tab w:val="left" w:pos="1305"/>
        </w:tabs>
        <w:kinsoku/>
        <w:wordWrap/>
        <w:overflowPunct/>
        <w:topLinePunct w:val="0"/>
        <w:bidi w:val="0"/>
        <w:spacing w:line="360" w:lineRule="atLeas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color w:val="auto"/>
          <w:sz w:val="21"/>
          <w:szCs w:val="21"/>
          <w:highlight w:val="none"/>
          <w:lang w:val="en-US" w:eastAsia="zh-CN"/>
        </w:rPr>
        <w:t>（3）服务需求响应表</w:t>
      </w:r>
      <w:r>
        <w:rPr>
          <w:rFonts w:hint="eastAsia" w:ascii="宋体" w:hAnsi="宋体" w:eastAsia="宋体" w:cs="宋体"/>
          <w:b w:val="0"/>
          <w:bCs w:val="0"/>
          <w:color w:val="auto"/>
          <w:sz w:val="21"/>
          <w:szCs w:val="21"/>
          <w:highlight w:val="none"/>
        </w:rPr>
        <w:t>（格式见附件）</w:t>
      </w:r>
      <w:r>
        <w:rPr>
          <w:rFonts w:hint="eastAsia" w:ascii="宋体" w:hAnsi="宋体" w:eastAsia="宋体" w:cs="宋体"/>
          <w:b/>
          <w:bCs/>
          <w:color w:val="auto"/>
          <w:sz w:val="21"/>
          <w:szCs w:val="21"/>
          <w:highlight w:val="none"/>
        </w:rPr>
        <w:t>（必须提供）</w:t>
      </w:r>
      <w:r>
        <w:rPr>
          <w:rFonts w:hint="eastAsia" w:ascii="宋体" w:hAnsi="宋体" w:eastAsia="宋体" w:cs="宋体"/>
          <w:bCs/>
          <w:szCs w:val="21"/>
          <w:highlight w:val="none"/>
        </w:rPr>
        <w:t>；</w:t>
      </w:r>
    </w:p>
    <w:p w14:paraId="7186CF19">
      <w:pPr>
        <w:pageBreakBefore w:val="0"/>
        <w:kinsoku/>
        <w:wordWrap/>
        <w:overflowPunct/>
        <w:topLinePunct w:val="0"/>
        <w:bidi w:val="0"/>
        <w:spacing w:line="360" w:lineRule="atLeas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针对本项目的服务方案（</w:t>
      </w:r>
      <w:r>
        <w:rPr>
          <w:rFonts w:hint="eastAsia" w:ascii="宋体" w:hAnsi="宋体" w:eastAsia="宋体" w:cs="宋体"/>
          <w:color w:val="auto"/>
          <w:szCs w:val="21"/>
          <w:highlight w:val="none"/>
        </w:rPr>
        <w:t>格式见附件）</w:t>
      </w:r>
      <w:r>
        <w:rPr>
          <w:rFonts w:hint="eastAsia" w:ascii="宋体" w:hAnsi="宋体" w:eastAsia="宋体" w:cs="宋体"/>
          <w:b/>
          <w:bCs/>
          <w:color w:val="auto"/>
          <w:szCs w:val="21"/>
          <w:highlight w:val="none"/>
        </w:rPr>
        <w:t>（必须提供）</w:t>
      </w:r>
      <w:r>
        <w:rPr>
          <w:rFonts w:hint="eastAsia" w:ascii="宋体" w:hAnsi="宋体" w:eastAsia="宋体" w:cs="宋体"/>
          <w:b/>
          <w:bCs/>
          <w:color w:val="auto"/>
          <w:szCs w:val="21"/>
          <w:highlight w:val="none"/>
          <w:lang w:eastAsia="zh-CN"/>
        </w:rPr>
        <w:t>。</w:t>
      </w:r>
    </w:p>
    <w:bookmarkEnd w:id="147"/>
    <w:bookmarkEnd w:id="148"/>
    <w:bookmarkEnd w:id="149"/>
    <w:p w14:paraId="78E433C2">
      <w:pPr>
        <w:pStyle w:val="20"/>
        <w:pageBreakBefore w:val="0"/>
        <w:kinsoku/>
        <w:wordWrap/>
        <w:overflowPunct/>
        <w:topLinePunct w:val="0"/>
        <w:bidi w:val="0"/>
        <w:spacing w:line="360" w:lineRule="atLeast"/>
        <w:ind w:left="0" w:leftChars="0" w:firstLine="422"/>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11.2.1.3其他有效证明材料</w:t>
      </w:r>
    </w:p>
    <w:p w14:paraId="39309ACE">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szCs w:val="21"/>
          <w:highlight w:val="none"/>
        </w:rPr>
      </w:pPr>
      <w:r>
        <w:rPr>
          <w:rFonts w:hint="eastAsia" w:ascii="宋体" w:hAnsi="宋体" w:eastAsia="宋体" w:cs="宋体"/>
          <w:szCs w:val="21"/>
          <w:highlight w:val="none"/>
        </w:rPr>
        <w:t>（1）项目实施人员一览表（格式见附件）</w:t>
      </w:r>
      <w:r>
        <w:rPr>
          <w:rFonts w:hint="eastAsia" w:ascii="宋体" w:hAnsi="宋体" w:eastAsia="宋体" w:cs="宋体"/>
          <w:b/>
          <w:bCs/>
          <w:szCs w:val="21"/>
          <w:highlight w:val="none"/>
        </w:rPr>
        <w:t>（如有，请提供）；</w:t>
      </w:r>
    </w:p>
    <w:p w14:paraId="64542D87">
      <w:pPr>
        <w:pageBreakBefore w:val="0"/>
        <w:kinsoku/>
        <w:wordWrap/>
        <w:overflowPunct/>
        <w:topLinePunct w:val="0"/>
        <w:bidi w:val="0"/>
        <w:spacing w:line="360" w:lineRule="atLeast"/>
        <w:ind w:firstLine="420" w:firstLineChars="200"/>
        <w:textAlignment w:val="auto"/>
        <w:rPr>
          <w:rFonts w:hint="eastAsia" w:ascii="宋体" w:hAnsi="宋体" w:eastAsia="宋体" w:cs="宋体"/>
          <w:highlight w:val="none"/>
        </w:rPr>
      </w:pPr>
      <w:r>
        <w:rPr>
          <w:rFonts w:hint="eastAsia" w:ascii="宋体" w:hAnsi="宋体" w:eastAsia="宋体" w:cs="宋体"/>
          <w:szCs w:val="21"/>
          <w:highlight w:val="none"/>
        </w:rPr>
        <w:t>（2）“采购需求”需提供的有效证明文件</w:t>
      </w:r>
      <w:r>
        <w:rPr>
          <w:rFonts w:hint="eastAsia" w:ascii="宋体" w:hAnsi="宋体" w:eastAsia="宋体" w:cs="宋体"/>
          <w:b/>
          <w:bCs/>
          <w:szCs w:val="21"/>
          <w:highlight w:val="none"/>
        </w:rPr>
        <w:t>（如有，请提供）；</w:t>
      </w:r>
    </w:p>
    <w:p w14:paraId="3D2A2681">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szCs w:val="21"/>
          <w:highlight w:val="none"/>
        </w:rPr>
      </w:pPr>
      <w:r>
        <w:rPr>
          <w:rFonts w:hint="eastAsia" w:ascii="宋体" w:hAnsi="宋体" w:eastAsia="宋体" w:cs="宋体"/>
          <w:szCs w:val="21"/>
          <w:highlight w:val="none"/>
        </w:rPr>
        <w:t>（3）供应商</w:t>
      </w:r>
      <w:r>
        <w:rPr>
          <w:rFonts w:hint="eastAsia" w:ascii="宋体" w:hAnsi="宋体" w:eastAsia="宋体" w:cs="宋体"/>
          <w:szCs w:val="21"/>
          <w:highlight w:val="none"/>
          <w:lang w:eastAsia="zh-CN"/>
        </w:rPr>
        <w:t>2019年1月1日</w:t>
      </w:r>
      <w:r>
        <w:rPr>
          <w:rFonts w:hint="eastAsia" w:ascii="宋体" w:hAnsi="宋体" w:eastAsia="宋体" w:cs="宋体"/>
          <w:szCs w:val="21"/>
          <w:highlight w:val="none"/>
        </w:rPr>
        <w:t>以来具有同类项目的业绩相关证明材料（无不良记录，以</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、成交通知书或签订的合同为准，并能清晰反映项目的名称、采购内容、采购金额、采购时间）</w:t>
      </w:r>
      <w:r>
        <w:rPr>
          <w:rFonts w:hint="eastAsia" w:ascii="宋体" w:hAnsi="宋体" w:eastAsia="宋体" w:cs="宋体"/>
          <w:b/>
          <w:bCs/>
          <w:szCs w:val="21"/>
          <w:highlight w:val="none"/>
        </w:rPr>
        <w:t>（如有，请提供）；</w:t>
      </w:r>
    </w:p>
    <w:p w14:paraId="1E9775C0">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（4）《中小企业声明函》（见附件）</w:t>
      </w:r>
      <w:r>
        <w:rPr>
          <w:rFonts w:hint="eastAsia" w:ascii="宋体" w:hAnsi="宋体" w:eastAsia="宋体" w:cs="宋体"/>
          <w:b/>
          <w:bCs/>
          <w:color w:val="000000"/>
          <w:szCs w:val="21"/>
          <w:highlight w:val="none"/>
        </w:rPr>
        <w:t>（</w:t>
      </w:r>
      <w:r>
        <w:rPr>
          <w:rFonts w:hint="eastAsia" w:ascii="宋体" w:hAnsi="宋体" w:eastAsia="宋体" w:cs="宋体"/>
          <w:b/>
          <w:bCs/>
          <w:szCs w:val="21"/>
          <w:highlight w:val="none"/>
          <w:lang w:val="en-US" w:eastAsia="zh-CN"/>
        </w:rPr>
        <w:t>必须</w:t>
      </w:r>
      <w:r>
        <w:rPr>
          <w:rFonts w:hint="eastAsia" w:ascii="宋体" w:hAnsi="宋体" w:eastAsia="宋体" w:cs="宋体"/>
          <w:b/>
          <w:bCs/>
          <w:szCs w:val="21"/>
          <w:highlight w:val="none"/>
        </w:rPr>
        <w:t>提供</w:t>
      </w:r>
      <w:r>
        <w:rPr>
          <w:rFonts w:hint="eastAsia" w:ascii="宋体" w:hAnsi="宋体" w:eastAsia="宋体" w:cs="宋体"/>
          <w:b/>
          <w:bCs/>
          <w:color w:val="000000"/>
          <w:szCs w:val="21"/>
          <w:highlight w:val="none"/>
        </w:rPr>
        <w:t>）；</w:t>
      </w:r>
    </w:p>
    <w:p w14:paraId="6ABAC4F7">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（5）如提供服务的供应商属于监狱企业的，应当提供由省级以上监狱管理局、戒毒管理局等（含新疆生产建设兵团）出具的属于监狱企业的证明文件, 否则不予享受优惠政策</w:t>
      </w:r>
      <w:r>
        <w:rPr>
          <w:rFonts w:hint="eastAsia" w:ascii="宋体" w:hAnsi="宋体" w:eastAsia="宋体" w:cs="宋体"/>
          <w:b/>
          <w:bCs/>
          <w:color w:val="000000"/>
          <w:szCs w:val="21"/>
          <w:highlight w:val="none"/>
        </w:rPr>
        <w:t>（</w:t>
      </w:r>
      <w:r>
        <w:rPr>
          <w:rFonts w:hint="eastAsia" w:ascii="宋体" w:hAnsi="宋体" w:eastAsia="宋体" w:cs="宋体"/>
          <w:b/>
          <w:bCs/>
          <w:szCs w:val="21"/>
          <w:highlight w:val="none"/>
        </w:rPr>
        <w:t>如有，请提供</w:t>
      </w:r>
      <w:r>
        <w:rPr>
          <w:rFonts w:hint="eastAsia" w:ascii="宋体" w:hAnsi="宋体" w:eastAsia="宋体" w:cs="宋体"/>
          <w:b/>
          <w:bCs/>
          <w:color w:val="000000"/>
          <w:szCs w:val="21"/>
          <w:highlight w:val="none"/>
        </w:rPr>
        <w:t>）；</w:t>
      </w:r>
    </w:p>
    <w:p w14:paraId="740BFA19">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szCs w:val="21"/>
          <w:highlight w:val="none"/>
        </w:rPr>
      </w:pPr>
      <w:r>
        <w:rPr>
          <w:rFonts w:hint="eastAsia" w:ascii="宋体" w:hAnsi="宋体" w:eastAsia="宋体" w:cs="宋体"/>
          <w:color w:val="000000"/>
          <w:szCs w:val="21"/>
          <w:highlight w:val="none"/>
        </w:rPr>
        <w:t>（6）符合条件的残疾人福利性单位在参加政府采购活动时，应当提供《残疾人福利性单位声明函》（见附件），并对声明的真实性负责</w:t>
      </w:r>
      <w:r>
        <w:rPr>
          <w:rFonts w:hint="eastAsia" w:ascii="宋体" w:hAnsi="宋体" w:eastAsia="宋体" w:cs="宋体"/>
          <w:b/>
          <w:bCs/>
          <w:color w:val="000000"/>
          <w:szCs w:val="21"/>
          <w:highlight w:val="none"/>
        </w:rPr>
        <w:t>（</w:t>
      </w:r>
      <w:r>
        <w:rPr>
          <w:rFonts w:hint="eastAsia" w:ascii="宋体" w:hAnsi="宋体" w:eastAsia="宋体" w:cs="宋体"/>
          <w:b/>
          <w:bCs/>
          <w:szCs w:val="21"/>
          <w:highlight w:val="none"/>
        </w:rPr>
        <w:t>如有，请提供</w:t>
      </w:r>
      <w:r>
        <w:rPr>
          <w:rFonts w:hint="eastAsia" w:ascii="宋体" w:hAnsi="宋体" w:eastAsia="宋体" w:cs="宋体"/>
          <w:b/>
          <w:bCs/>
          <w:color w:val="000000"/>
          <w:szCs w:val="21"/>
          <w:highlight w:val="none"/>
        </w:rPr>
        <w:t>）；</w:t>
      </w:r>
    </w:p>
    <w:p w14:paraId="7764F759">
      <w:pPr>
        <w:pageBreakBefore w:val="0"/>
        <w:tabs>
          <w:tab w:val="left" w:pos="1305"/>
        </w:tabs>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（7）供应商可结合本项目的评审办法视自身情况自行提交其它相关证明材料</w:t>
      </w:r>
      <w:r>
        <w:rPr>
          <w:rFonts w:hint="eastAsia" w:ascii="宋体" w:hAnsi="宋体" w:eastAsia="宋体" w:cs="宋体"/>
          <w:b/>
          <w:bCs/>
          <w:szCs w:val="21"/>
          <w:highlight w:val="none"/>
        </w:rPr>
        <w:t>（如有，请提供）。</w:t>
      </w:r>
    </w:p>
    <w:p w14:paraId="3D13D842">
      <w:pPr>
        <w:pageBreakBefore w:val="0"/>
        <w:kinsoku/>
        <w:wordWrap/>
        <w:overflowPunct/>
        <w:topLinePunct w:val="0"/>
        <w:bidi w:val="0"/>
        <w:spacing w:line="360" w:lineRule="atLeast"/>
        <w:ind w:firstLine="420"/>
        <w:textAlignment w:val="auto"/>
        <w:rPr>
          <w:rFonts w:hint="eastAsia" w:ascii="宋体" w:hAnsi="宋体" w:eastAsia="宋体" w:cs="宋体"/>
          <w:color w:val="000000"/>
          <w:szCs w:val="21"/>
          <w:highlight w:val="none"/>
        </w:rPr>
      </w:pPr>
      <w:r>
        <w:rPr>
          <w:rFonts w:hint="eastAsia" w:ascii="宋体" w:hAnsi="宋体" w:eastAsia="宋体" w:cs="宋体"/>
          <w:b/>
          <w:bCs/>
          <w:szCs w:val="21"/>
          <w:highlight w:val="none"/>
        </w:rPr>
        <w:t>供应商</w:t>
      </w:r>
      <w:r>
        <w:rPr>
          <w:rFonts w:hint="eastAsia" w:ascii="宋体" w:hAnsi="宋体" w:eastAsia="宋体" w:cs="宋体"/>
          <w:b/>
          <w:bCs/>
          <w:color w:val="000000"/>
          <w:highlight w:val="none"/>
        </w:rPr>
        <w:t>提供的以上相关证明材料属于“必须提供”的文件应加盖磋商供应商公章（CA签章）/自然人签字或个人CA签章，否则响应无效。</w:t>
      </w:r>
    </w:p>
    <w:p w14:paraId="7CD292AD">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11.3 供应商应按竞争性磋商文件第六章“响应文件（格式）”编制响应文件。</w:t>
      </w:r>
    </w:p>
    <w:p w14:paraId="05C9661F">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特别说明：</w:t>
      </w:r>
    </w:p>
    <w:p w14:paraId="2151FDF4">
      <w:pPr>
        <w:pageBreakBefore w:val="0"/>
        <w:kinsoku/>
        <w:wordWrap/>
        <w:overflowPunct/>
        <w:topLinePunct w:val="0"/>
        <w:bidi w:val="0"/>
        <w:spacing w:line="360" w:lineRule="atLeast"/>
        <w:ind w:firstLine="420" w:firstLineChars="200"/>
        <w:textAlignment w:val="auto"/>
        <w:rPr>
          <w:rFonts w:hint="eastAsia" w:ascii="宋体" w:hAnsi="宋体" w:eastAsia="宋体" w:cs="宋体"/>
          <w:b/>
          <w:color w:val="000000"/>
          <w:szCs w:val="21"/>
          <w:highlight w:val="none"/>
        </w:rPr>
      </w:pPr>
      <w:r>
        <w:rPr>
          <w:rFonts w:hint="eastAsia" w:ascii="宋体" w:hAnsi="宋体" w:eastAsia="宋体" w:cs="宋体"/>
          <w:b/>
          <w:bCs/>
          <w:color w:val="000000"/>
          <w:szCs w:val="21"/>
          <w:highlight w:val="none"/>
        </w:rPr>
        <w:t>（1）响</w:t>
      </w:r>
      <w:r>
        <w:rPr>
          <w:rFonts w:hint="eastAsia" w:ascii="宋体" w:hAnsi="宋体" w:eastAsia="宋体" w:cs="宋体"/>
          <w:b/>
          <w:color w:val="000000"/>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33A8B9BC">
      <w:pPr>
        <w:pageBreakBefore w:val="0"/>
        <w:kinsoku/>
        <w:wordWrap/>
        <w:overflowPunct/>
        <w:topLinePunct w:val="0"/>
        <w:bidi w:val="0"/>
        <w:spacing w:line="360" w:lineRule="atLeast"/>
        <w:ind w:firstLine="420" w:firstLineChars="200"/>
        <w:textAlignment w:val="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w:t>
      </w:r>
      <w:r>
        <w:rPr>
          <w:rFonts w:hint="eastAsia" w:ascii="宋体" w:hAnsi="宋体" w:eastAsia="宋体" w:cs="宋体"/>
          <w:b/>
          <w:bCs/>
          <w:szCs w:val="21"/>
          <w:highlight w:val="none"/>
        </w:rPr>
        <w:t>磋商文件要求法定代表人（负责人）或委托代理人签字的部分必须签字然后扫描或者拍照做成 pdf 格式上传（或加盖个人CA签章），无签字的视为响应无效。</w:t>
      </w:r>
    </w:p>
    <w:p w14:paraId="28DC81D9">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150" w:name="_Toc15829"/>
      <w:bookmarkStart w:id="151" w:name="_Toc6845"/>
      <w:bookmarkStart w:id="152" w:name="_Toc11022"/>
      <w:bookmarkStart w:id="153" w:name="_Toc2180"/>
      <w:bookmarkStart w:id="154" w:name="_Toc9575"/>
      <w:bookmarkStart w:id="155" w:name="_Toc4596"/>
      <w:bookmarkStart w:id="156" w:name="_Toc1577"/>
      <w:r>
        <w:rPr>
          <w:rFonts w:hint="eastAsia" w:ascii="宋体" w:hAnsi="宋体" w:eastAsia="宋体" w:cs="宋体"/>
          <w:color w:val="000000"/>
          <w:sz w:val="21"/>
          <w:szCs w:val="21"/>
          <w:highlight w:val="none"/>
        </w:rPr>
        <w:t>12. 响应文件的语言及计量</w:t>
      </w:r>
      <w:bookmarkEnd w:id="150"/>
      <w:bookmarkEnd w:id="151"/>
      <w:bookmarkEnd w:id="152"/>
      <w:bookmarkEnd w:id="153"/>
      <w:bookmarkEnd w:id="154"/>
      <w:bookmarkEnd w:id="155"/>
      <w:bookmarkEnd w:id="156"/>
    </w:p>
    <w:p w14:paraId="4A70C949">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0B112645">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12.2 磋商计量单位，磋商文件已有明确规定的，使用磋商文件规定的计量单位；磋商文件没有规定的，应采用中华人民共和国法定计量单位（货币单位：人民币元），否则视同未响应。</w:t>
      </w:r>
    </w:p>
    <w:p w14:paraId="7F41ABA9">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sz w:val="21"/>
          <w:szCs w:val="21"/>
          <w:highlight w:val="none"/>
        </w:rPr>
      </w:pPr>
      <w:bookmarkStart w:id="157" w:name="_Toc30930"/>
      <w:bookmarkStart w:id="158" w:name="_Toc22516"/>
      <w:bookmarkStart w:id="159" w:name="_Toc20629"/>
      <w:bookmarkStart w:id="160" w:name="_Toc15915"/>
      <w:bookmarkStart w:id="161" w:name="_Toc10838"/>
      <w:bookmarkStart w:id="162" w:name="_Toc20188"/>
      <w:bookmarkStart w:id="163" w:name="_Toc13058"/>
      <w:r>
        <w:rPr>
          <w:rFonts w:hint="eastAsia" w:ascii="宋体" w:hAnsi="宋体" w:eastAsia="宋体" w:cs="宋体"/>
          <w:color w:val="000000"/>
          <w:sz w:val="21"/>
          <w:szCs w:val="21"/>
          <w:highlight w:val="none"/>
        </w:rPr>
        <w:t>13. 磋商报价及采购预算金额</w:t>
      </w:r>
      <w:bookmarkEnd w:id="157"/>
      <w:bookmarkEnd w:id="158"/>
      <w:bookmarkEnd w:id="159"/>
      <w:bookmarkEnd w:id="160"/>
      <w:bookmarkEnd w:id="161"/>
      <w:bookmarkEnd w:id="162"/>
      <w:bookmarkEnd w:id="163"/>
    </w:p>
    <w:p w14:paraId="4159E232">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13.1 磋商报价应按磋商文件中相关附表格式填写。采购预算金额人民币壹佰叁拾万元整（¥1300000.00元）；</w:t>
      </w:r>
    </w:p>
    <w:p w14:paraId="714E4832">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color w:val="000000"/>
          <w:szCs w:val="21"/>
          <w:highlight w:val="none"/>
        </w:rPr>
      </w:pPr>
      <w:r>
        <w:rPr>
          <w:rFonts w:hint="eastAsia" w:ascii="宋体" w:hAnsi="宋体" w:eastAsia="宋体" w:cs="宋体"/>
          <w:b/>
          <w:bCs/>
          <w:szCs w:val="21"/>
          <w:highlight w:val="none"/>
        </w:rPr>
        <w:t>本项目采用折扣率报价，最高磋商报价折扣率为85%。供应商磋商报价折扣率不得高于最高磋商限价，否则被视为无效报价，无效报价将不予评审。</w:t>
      </w:r>
    </w:p>
    <w:p w14:paraId="4345641E">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13.2供应商必须就“采购需求”中所竞所有内容作完整唯一报价，否则，其响应文件无效。响应文件只允许有一个报价，有选择的或有条件的报价将不予接受。</w:t>
      </w:r>
    </w:p>
    <w:p w14:paraId="2AE69A9B">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13.3 磋商报价应包括本次采购范围内所有成本费用的总和；供应商综合考虑在报价中。</w:t>
      </w:r>
    </w:p>
    <w:p w14:paraId="022E2A4E">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13.4</w:t>
      </w:r>
      <w:r>
        <w:rPr>
          <w:rFonts w:hint="eastAsia" w:ascii="宋体" w:hAnsi="宋体" w:eastAsia="宋体" w:cs="宋体"/>
          <w:color w:val="000000"/>
          <w:kern w:val="0"/>
          <w:szCs w:val="21"/>
          <w:highlight w:val="none"/>
        </w:rPr>
        <w:t>供应商应在规定时间内在广西政府采购云平台上提交最后报价，超出评委设定的最后报价时限或其最后报价超出采购预算导致已通过评审的响应文件无效的，按供应商在提交响应文件截止时间后撤回响应文件处理</w:t>
      </w:r>
      <w:r>
        <w:rPr>
          <w:rFonts w:hint="eastAsia" w:ascii="宋体" w:hAnsi="宋体" w:eastAsia="宋体" w:cs="宋体"/>
          <w:color w:val="000000"/>
          <w:szCs w:val="21"/>
          <w:highlight w:val="none"/>
        </w:rPr>
        <w:t>。</w:t>
      </w:r>
    </w:p>
    <w:p w14:paraId="1A53AAEA">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164" w:name="_Toc3632"/>
      <w:bookmarkStart w:id="165" w:name="_Toc3567"/>
      <w:bookmarkStart w:id="166" w:name="_Toc26881"/>
      <w:bookmarkStart w:id="167" w:name="_Toc23620"/>
      <w:bookmarkStart w:id="168" w:name="_Toc27015"/>
      <w:bookmarkStart w:id="169" w:name="_Toc30794"/>
      <w:bookmarkStart w:id="170" w:name="_Toc12191"/>
      <w:r>
        <w:rPr>
          <w:rFonts w:hint="eastAsia" w:ascii="宋体" w:hAnsi="宋体" w:eastAsia="宋体" w:cs="宋体"/>
          <w:color w:val="000000"/>
          <w:sz w:val="21"/>
          <w:szCs w:val="21"/>
          <w:highlight w:val="none"/>
        </w:rPr>
        <w:t>14. 响应文件有效期</w:t>
      </w:r>
      <w:bookmarkEnd w:id="164"/>
      <w:bookmarkEnd w:id="165"/>
      <w:bookmarkEnd w:id="166"/>
      <w:bookmarkEnd w:id="167"/>
      <w:bookmarkEnd w:id="168"/>
      <w:bookmarkEnd w:id="169"/>
      <w:bookmarkEnd w:id="170"/>
    </w:p>
    <w:p w14:paraId="492F3A2D">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14.1 响应文件有效期：响应文件递交截止时间之日起90天，有效期不足的响应文件将被拒绝。</w:t>
      </w:r>
    </w:p>
    <w:p w14:paraId="5528332B">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14.2 出现特殊情况下，需要延长响应文件有效期的，采购代理机构书面通知供应商延长响应文件有效期。供应商同意延长的，但不能修改响应文件。供应商拒绝延长的，其响应文件无效。</w:t>
      </w:r>
    </w:p>
    <w:p w14:paraId="6218A4E0">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171" w:name="_Toc22602"/>
      <w:bookmarkStart w:id="172" w:name="_Toc877"/>
      <w:bookmarkStart w:id="173" w:name="_Toc6057"/>
      <w:bookmarkStart w:id="174" w:name="_Toc24706"/>
      <w:bookmarkStart w:id="175" w:name="_Toc20458"/>
      <w:bookmarkStart w:id="176" w:name="_Toc11098"/>
      <w:bookmarkStart w:id="177" w:name="_Toc29248"/>
      <w:r>
        <w:rPr>
          <w:rFonts w:hint="eastAsia" w:ascii="宋体" w:hAnsi="宋体" w:eastAsia="宋体" w:cs="宋体"/>
          <w:color w:val="000000"/>
          <w:sz w:val="21"/>
          <w:szCs w:val="21"/>
          <w:highlight w:val="none"/>
        </w:rPr>
        <w:t>15. 磋商保证金</w:t>
      </w:r>
      <w:bookmarkEnd w:id="171"/>
      <w:bookmarkEnd w:id="172"/>
      <w:bookmarkEnd w:id="173"/>
      <w:bookmarkEnd w:id="174"/>
      <w:bookmarkEnd w:id="175"/>
      <w:bookmarkEnd w:id="176"/>
      <w:bookmarkEnd w:id="177"/>
    </w:p>
    <w:p w14:paraId="49786625">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本项目无需缴纳磋商保证金。</w:t>
      </w:r>
    </w:p>
    <w:p w14:paraId="351BD11E">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lang w:eastAsia="zh-CN"/>
        </w:rPr>
      </w:pPr>
      <w:bookmarkStart w:id="178" w:name="_Toc387"/>
      <w:bookmarkStart w:id="179" w:name="_Toc8815"/>
      <w:bookmarkStart w:id="180" w:name="_Toc4716"/>
      <w:bookmarkStart w:id="181" w:name="_Toc18123"/>
      <w:bookmarkStart w:id="182" w:name="_Toc3203"/>
      <w:bookmarkStart w:id="183" w:name="_Toc25044"/>
      <w:bookmarkStart w:id="184" w:name="_Toc31523"/>
      <w:r>
        <w:rPr>
          <w:rFonts w:hint="eastAsia" w:ascii="宋体" w:hAnsi="宋体" w:eastAsia="宋体" w:cs="宋体"/>
          <w:color w:val="000000"/>
          <w:sz w:val="21"/>
          <w:szCs w:val="21"/>
          <w:highlight w:val="none"/>
        </w:rPr>
        <w:t>16. 竞争性</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响应文件的</w:t>
      </w:r>
      <w:bookmarkEnd w:id="178"/>
      <w:r>
        <w:rPr>
          <w:rFonts w:hint="eastAsia" w:ascii="宋体" w:hAnsi="宋体" w:eastAsia="宋体" w:cs="宋体"/>
          <w:color w:val="000000"/>
          <w:sz w:val="21"/>
          <w:szCs w:val="21"/>
          <w:highlight w:val="none"/>
          <w:lang w:eastAsia="zh-CN"/>
        </w:rPr>
        <w:t>制作</w:t>
      </w:r>
      <w:bookmarkEnd w:id="179"/>
      <w:bookmarkEnd w:id="180"/>
      <w:bookmarkEnd w:id="181"/>
      <w:bookmarkEnd w:id="182"/>
      <w:bookmarkEnd w:id="183"/>
      <w:bookmarkEnd w:id="184"/>
    </w:p>
    <w:p w14:paraId="14DA31E1">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0AC9FC55">
      <w:pPr>
        <w:pageBreakBefore w:val="0"/>
        <w:kinsoku/>
        <w:wordWrap/>
        <w:overflowPunct/>
        <w:topLinePunct w:val="0"/>
        <w:bidi w:val="0"/>
        <w:spacing w:line="36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16.2供应商法人（负责人）或授权代表持有政采云个人CA签章的，应在响应文件中涉及到签字的位置使用个人CA签章，没有办理政采云个人CA签章的可在响应文件中涉及到签字的位置手写签字后扫描或者拍照做成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71A86504">
      <w:pPr>
        <w:pageBreakBefore w:val="0"/>
        <w:kinsoku/>
        <w:wordWrap/>
        <w:overflowPunct/>
        <w:topLinePunct w:val="0"/>
        <w:bidi w:val="0"/>
        <w:spacing w:line="36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color w:val="000000"/>
          <w:szCs w:val="21"/>
          <w:highlight w:val="none"/>
        </w:rPr>
        <w:t>16.3 磋商响应文件不得涂改</w:t>
      </w:r>
      <w:r>
        <w:rPr>
          <w:rFonts w:hint="eastAsia" w:ascii="宋体" w:hAnsi="宋体" w:eastAsia="宋体" w:cs="宋体"/>
          <w:szCs w:val="21"/>
          <w:highlight w:val="none"/>
        </w:rPr>
        <w:t>，若有修改错漏处，须法定代表人（负责人）或授权委托人签字（或个人CA签章）。磋商响应文件因字迹模糊或表达不清所引起的后果由供应商负责。</w:t>
      </w:r>
    </w:p>
    <w:p w14:paraId="15CA2D59">
      <w:pPr>
        <w:pageBreakBefore w:val="0"/>
        <w:kinsoku/>
        <w:wordWrap/>
        <w:overflowPunct/>
        <w:topLinePunct w:val="0"/>
        <w:bidi w:val="0"/>
        <w:spacing w:line="36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16.4磋商前准备 </w:t>
      </w:r>
    </w:p>
    <w:p w14:paraId="3E5DAA8E">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16.4.1本项目实行在线磋商，采用电子磋商响应文件。若供应商参与磋商，自行承担磋商一切费用。 </w:t>
      </w:r>
    </w:p>
    <w:p w14:paraId="3F4F1463">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14:paraId="530E83CE">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16.4.3供应商将政采云电子交易客户端下载、安装完成后，可通过账号密码或 CA 登录客户端进行响应文件制作。客户端请至网站下载专区查看，如有问题可拨打政采云客户服务热线 95763 进行咨询。</w:t>
      </w:r>
    </w:p>
    <w:p w14:paraId="638CF711">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185" w:name="_Toc15462"/>
      <w:bookmarkStart w:id="186" w:name="_Toc7681"/>
      <w:bookmarkStart w:id="187" w:name="_Toc8570"/>
      <w:bookmarkStart w:id="188" w:name="_Toc13204"/>
      <w:bookmarkStart w:id="189" w:name="_Toc18813"/>
      <w:bookmarkStart w:id="190" w:name="_Toc16281"/>
      <w:r>
        <w:rPr>
          <w:rFonts w:hint="eastAsia" w:ascii="宋体" w:hAnsi="宋体" w:eastAsia="宋体" w:cs="宋体"/>
          <w:color w:val="000000"/>
          <w:sz w:val="21"/>
          <w:szCs w:val="21"/>
          <w:highlight w:val="none"/>
        </w:rPr>
        <w:t>17. 响应文件的修改和撤回</w:t>
      </w:r>
      <w:bookmarkEnd w:id="185"/>
      <w:bookmarkEnd w:id="186"/>
      <w:bookmarkEnd w:id="187"/>
      <w:bookmarkEnd w:id="188"/>
      <w:bookmarkEnd w:id="189"/>
      <w:bookmarkEnd w:id="190"/>
    </w:p>
    <w:p w14:paraId="4C4A6281">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68283BB6">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17.2 在响应文件递交截止时间后的响应文件有效期内，供应商不得撤回其响应文件。</w:t>
      </w:r>
    </w:p>
    <w:p w14:paraId="5E289111">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lang w:eastAsia="zh-CN"/>
        </w:rPr>
      </w:pPr>
      <w:bookmarkStart w:id="191" w:name="_Toc10737"/>
      <w:bookmarkStart w:id="192" w:name="_Toc29241"/>
      <w:bookmarkStart w:id="193" w:name="_Toc27030"/>
      <w:bookmarkStart w:id="194" w:name="_Toc8364"/>
      <w:bookmarkStart w:id="195" w:name="_Toc30156"/>
      <w:bookmarkStart w:id="196" w:name="_Toc24972"/>
      <w:bookmarkStart w:id="197" w:name="_Toc8329"/>
      <w:r>
        <w:rPr>
          <w:rFonts w:hint="eastAsia" w:ascii="宋体" w:hAnsi="宋体" w:eastAsia="宋体" w:cs="宋体"/>
          <w:color w:val="000000"/>
          <w:sz w:val="21"/>
          <w:szCs w:val="21"/>
          <w:highlight w:val="none"/>
        </w:rPr>
        <w:t>18. 响应文件的递交</w:t>
      </w:r>
      <w:r>
        <w:rPr>
          <w:rFonts w:hint="eastAsia" w:ascii="宋体" w:hAnsi="宋体" w:eastAsia="宋体" w:cs="宋体"/>
          <w:color w:val="000000"/>
          <w:sz w:val="21"/>
          <w:szCs w:val="21"/>
          <w:highlight w:val="none"/>
          <w:lang w:eastAsia="zh-CN"/>
        </w:rPr>
        <w:t>和解密</w:t>
      </w:r>
      <w:bookmarkEnd w:id="191"/>
      <w:bookmarkEnd w:id="192"/>
      <w:bookmarkEnd w:id="193"/>
      <w:bookmarkEnd w:id="194"/>
      <w:bookmarkEnd w:id="195"/>
      <w:bookmarkEnd w:id="196"/>
      <w:bookmarkEnd w:id="197"/>
    </w:p>
    <w:p w14:paraId="4E592988">
      <w:pPr>
        <w:pageBreakBefore w:val="0"/>
        <w:kinsoku/>
        <w:wordWrap/>
        <w:overflowPunct/>
        <w:topLinePunct w:val="0"/>
        <w:bidi w:val="0"/>
        <w:spacing w:line="36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color w:val="000000"/>
          <w:szCs w:val="21"/>
          <w:highlight w:val="none"/>
        </w:rPr>
        <w:t>18.1响应文件递交截止时间</w:t>
      </w:r>
      <w:r>
        <w:rPr>
          <w:rFonts w:hint="eastAsia" w:ascii="宋体" w:hAnsi="宋体" w:eastAsia="宋体" w:cs="宋体"/>
          <w:szCs w:val="21"/>
          <w:highlight w:val="none"/>
        </w:rPr>
        <w:t>：于</w:t>
      </w:r>
      <w:r>
        <w:rPr>
          <w:rFonts w:hint="eastAsia" w:ascii="宋体" w:hAnsi="宋体" w:eastAsia="宋体" w:cs="宋体"/>
          <w:szCs w:val="21"/>
          <w:highlight w:val="none"/>
          <w:u w:val="single"/>
          <w:lang w:eastAsia="zh-CN"/>
        </w:rPr>
        <w:t>2026年6月16日</w:t>
      </w:r>
      <w:r>
        <w:rPr>
          <w:rFonts w:hint="eastAsia" w:ascii="宋体" w:hAnsi="宋体" w:eastAsia="宋体" w:cs="宋体"/>
          <w:szCs w:val="21"/>
          <w:highlight w:val="none"/>
          <w:u w:val="single"/>
        </w:rPr>
        <w:t>上午09时30分</w:t>
      </w:r>
      <w:r>
        <w:rPr>
          <w:rFonts w:hint="eastAsia" w:ascii="宋体" w:hAnsi="宋体" w:eastAsia="宋体" w:cs="宋体"/>
          <w:szCs w:val="21"/>
          <w:highlight w:val="none"/>
        </w:rPr>
        <w:t>之前将电子磋商响应文件上传到广西政府采购云平台。应按照本项目磋商文件和广西政府采购云平台的要求编制、加密传输磋商响应文件。供应商在使用系统进行投标的过程中遇到涉及平台使用的任何问题，可致电广西政府采购云平台技术支持热线咨询，联系方式：95763。</w:t>
      </w:r>
    </w:p>
    <w:p w14:paraId="45F0F52F">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szCs w:val="21"/>
          <w:highlight w:val="none"/>
        </w:rPr>
        <w:t>18.2磋商响应文件解密时间：截标时间后</w:t>
      </w:r>
      <w:r>
        <w:rPr>
          <w:rFonts w:hint="eastAsia" w:ascii="宋体" w:hAnsi="宋体" w:eastAsia="宋体" w:cs="宋体"/>
          <w:szCs w:val="21"/>
          <w:highlight w:val="none"/>
          <w:u w:val="single"/>
        </w:rPr>
        <w:t>30</w:t>
      </w:r>
      <w:r>
        <w:rPr>
          <w:rFonts w:hint="eastAsia" w:ascii="宋体" w:hAnsi="宋体" w:eastAsia="宋体" w:cs="宋体"/>
          <w:szCs w:val="21"/>
          <w:highlight w:val="none"/>
        </w:rPr>
        <w:t>分钟内（</w:t>
      </w:r>
      <w:r>
        <w:rPr>
          <w:rFonts w:hint="eastAsia" w:ascii="宋体" w:hAnsi="宋体" w:eastAsia="宋体" w:cs="宋体"/>
          <w:szCs w:val="21"/>
          <w:highlight w:val="none"/>
          <w:u w:val="single"/>
          <w:lang w:eastAsia="zh-CN"/>
        </w:rPr>
        <w:t>2026年6月16日</w:t>
      </w:r>
      <w:r>
        <w:rPr>
          <w:rFonts w:hint="eastAsia" w:ascii="宋体" w:hAnsi="宋体" w:eastAsia="宋体" w:cs="宋体"/>
          <w:szCs w:val="21"/>
          <w:highlight w:val="none"/>
          <w:u w:val="single"/>
        </w:rPr>
        <w:t>上午09时30分至10时00分</w:t>
      </w:r>
      <w:r>
        <w:rPr>
          <w:rFonts w:hint="eastAsia" w:ascii="宋体" w:hAnsi="宋体" w:eastAsia="宋体" w:cs="宋体"/>
          <w:szCs w:val="21"/>
          <w:highlight w:val="none"/>
        </w:rPr>
        <w:t>)</w:t>
      </w:r>
      <w:r>
        <w:rPr>
          <w:rFonts w:hint="eastAsia" w:ascii="宋体" w:hAnsi="宋体" w:eastAsia="宋体" w:cs="宋体"/>
          <w:color w:val="000000"/>
          <w:szCs w:val="21"/>
          <w:highlight w:val="none"/>
        </w:rPr>
        <w:t>磋商供应商可以登录广西政府采购云平台，用“项目采购-开标评标”功能进行解密磋商文件。</w:t>
      </w:r>
    </w:p>
    <w:p w14:paraId="0AA7C699">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注：响应文件网上递交截止时间后，各</w:t>
      </w:r>
      <w:r>
        <w:rPr>
          <w:rFonts w:hint="eastAsia" w:ascii="宋体" w:hAnsi="宋体" w:eastAsia="宋体" w:cs="宋体"/>
          <w:b/>
          <w:bCs/>
          <w:szCs w:val="21"/>
          <w:highlight w:val="none"/>
          <w:lang w:eastAsia="zh-CN"/>
        </w:rPr>
        <w:t>供应商</w:t>
      </w:r>
      <w:r>
        <w:rPr>
          <w:rFonts w:hint="eastAsia" w:ascii="宋体" w:hAnsi="宋体" w:eastAsia="宋体" w:cs="宋体"/>
          <w:b/>
          <w:bCs/>
          <w:szCs w:val="21"/>
          <w:highlight w:val="none"/>
        </w:rPr>
        <w:t>须在解密时限内对上传政采云的响应文件进行解密，所有</w:t>
      </w:r>
      <w:r>
        <w:rPr>
          <w:rFonts w:hint="eastAsia" w:ascii="宋体" w:hAnsi="宋体" w:eastAsia="宋体" w:cs="宋体"/>
          <w:b/>
          <w:bCs/>
          <w:szCs w:val="21"/>
          <w:highlight w:val="none"/>
          <w:lang w:eastAsia="zh-CN"/>
        </w:rPr>
        <w:t>供应商</w:t>
      </w:r>
      <w:r>
        <w:rPr>
          <w:rFonts w:hint="eastAsia" w:ascii="宋体" w:hAnsi="宋体" w:eastAsia="宋体" w:cs="宋体"/>
          <w:b/>
          <w:bCs/>
          <w:szCs w:val="21"/>
          <w:highlight w:val="none"/>
        </w:rPr>
        <w:t>在规定的解密时限内解密完成或解密时限结束后，我中心开启已解密的响应文件。</w:t>
      </w:r>
      <w:r>
        <w:rPr>
          <w:rFonts w:hint="eastAsia" w:ascii="宋体" w:hAnsi="宋体" w:eastAsia="宋体" w:cs="宋体"/>
          <w:b/>
          <w:bCs/>
          <w:szCs w:val="21"/>
          <w:highlight w:val="none"/>
          <w:lang w:eastAsia="zh-CN"/>
        </w:rPr>
        <w:t>供应商</w:t>
      </w:r>
      <w:r>
        <w:rPr>
          <w:rFonts w:hint="eastAsia" w:ascii="宋体" w:hAnsi="宋体" w:eastAsia="宋体" w:cs="宋体"/>
          <w:b/>
          <w:bCs/>
          <w:szCs w:val="21"/>
          <w:highlight w:val="none"/>
        </w:rPr>
        <w:t>超过解密时限未解密的，系统默认自动放弃，造成投标无效的后果由</w:t>
      </w:r>
      <w:r>
        <w:rPr>
          <w:rFonts w:hint="eastAsia" w:ascii="宋体" w:hAnsi="宋体" w:eastAsia="宋体" w:cs="宋体"/>
          <w:b/>
          <w:bCs/>
          <w:szCs w:val="21"/>
          <w:highlight w:val="none"/>
          <w:lang w:eastAsia="zh-CN"/>
        </w:rPr>
        <w:t>供应商</w:t>
      </w:r>
      <w:r>
        <w:rPr>
          <w:rFonts w:hint="eastAsia" w:ascii="宋体" w:hAnsi="宋体" w:eastAsia="宋体" w:cs="宋体"/>
          <w:b/>
          <w:bCs/>
          <w:szCs w:val="21"/>
          <w:highlight w:val="none"/>
        </w:rPr>
        <w:t>自行承担，解密响应文件后，30分钟内在线签字确认，超过时间没有在线签字确认的系统将自动视为供应商认可。</w:t>
      </w:r>
    </w:p>
    <w:p w14:paraId="27D83851">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18.3 除竞争性磋商文件另有规定外，供应商所递交的响应文件不予退还。</w:t>
      </w:r>
    </w:p>
    <w:p w14:paraId="330AA4B0">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18.4 电子响应文件的相关说明</w:t>
      </w:r>
    </w:p>
    <w:p w14:paraId="4DE63F24">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2EA9E9CB">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（2）如有特殊情况，采购代理机构延长截止时间和开标时间，采购代理机构和供应商的权利和义务将受到新的截止时间和开标时间的约束。</w:t>
      </w:r>
    </w:p>
    <w:p w14:paraId="53968B2B">
      <w:pPr>
        <w:pStyle w:val="3"/>
        <w:pageBreakBefore w:val="0"/>
        <w:kinsoku/>
        <w:wordWrap/>
        <w:overflowPunct/>
        <w:topLinePunct w:val="0"/>
        <w:bidi w:val="0"/>
        <w:spacing w:line="360" w:lineRule="atLeast"/>
        <w:jc w:val="center"/>
        <w:textAlignment w:val="auto"/>
        <w:rPr>
          <w:rFonts w:hint="eastAsia" w:ascii="宋体" w:hAnsi="宋体" w:eastAsia="宋体" w:cs="宋体"/>
          <w:b/>
          <w:bCs w:val="0"/>
          <w:szCs w:val="28"/>
          <w:highlight w:val="none"/>
        </w:rPr>
      </w:pPr>
      <w:bookmarkStart w:id="198" w:name="_Toc2433"/>
      <w:bookmarkStart w:id="199" w:name="_Toc25123"/>
      <w:bookmarkStart w:id="200" w:name="_Toc12500"/>
      <w:bookmarkStart w:id="201" w:name="_Toc18044"/>
      <w:bookmarkStart w:id="202" w:name="_Toc3751"/>
      <w:bookmarkStart w:id="203" w:name="_Toc8267"/>
      <w:bookmarkStart w:id="204" w:name="_Toc20401"/>
      <w:r>
        <w:rPr>
          <w:rFonts w:hint="eastAsia" w:ascii="宋体" w:hAnsi="宋体" w:eastAsia="宋体" w:cs="宋体"/>
          <w:b/>
          <w:bCs w:val="0"/>
          <w:szCs w:val="28"/>
          <w:highlight w:val="none"/>
        </w:rPr>
        <w:t>四、竞争性磋商（简称磋商）与评审</w:t>
      </w:r>
      <w:bookmarkEnd w:id="198"/>
      <w:bookmarkEnd w:id="199"/>
      <w:bookmarkEnd w:id="200"/>
      <w:bookmarkEnd w:id="201"/>
      <w:bookmarkEnd w:id="202"/>
      <w:bookmarkEnd w:id="203"/>
      <w:bookmarkEnd w:id="204"/>
    </w:p>
    <w:p w14:paraId="2D0E1378">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205" w:name="_Toc31588"/>
      <w:bookmarkStart w:id="206" w:name="_Toc6216"/>
      <w:bookmarkStart w:id="207" w:name="_Toc16714"/>
      <w:bookmarkStart w:id="208" w:name="_Toc1798"/>
      <w:bookmarkStart w:id="209" w:name="_Toc19060"/>
      <w:bookmarkStart w:id="210" w:name="_Toc28686"/>
      <w:bookmarkStart w:id="211" w:name="_Toc30079"/>
      <w:r>
        <w:rPr>
          <w:rFonts w:hint="eastAsia" w:ascii="宋体" w:hAnsi="宋体" w:eastAsia="宋体" w:cs="宋体"/>
          <w:color w:val="000000"/>
          <w:sz w:val="21"/>
          <w:szCs w:val="21"/>
          <w:highlight w:val="none"/>
        </w:rPr>
        <w:t>19. 磋商小组组成及磋商时间、地点、人员</w:t>
      </w:r>
      <w:bookmarkEnd w:id="205"/>
      <w:bookmarkEnd w:id="206"/>
      <w:bookmarkEnd w:id="207"/>
      <w:bookmarkEnd w:id="208"/>
      <w:bookmarkEnd w:id="209"/>
      <w:bookmarkEnd w:id="210"/>
      <w:bookmarkEnd w:id="211"/>
    </w:p>
    <w:p w14:paraId="3705F59C">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19.1 磋商小组组成：</w:t>
      </w:r>
    </w:p>
    <w:p w14:paraId="5D2E7C70">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磋商及评审工作由采购代理机构负责组织，具体磋商、评审工作由依法组建的磋商小组负责，磋商小组由采购人代表和评审专家组成。磋商小组的构成：</w:t>
      </w:r>
      <w:r>
        <w:rPr>
          <w:rFonts w:hint="eastAsia" w:ascii="宋体" w:hAnsi="宋体" w:eastAsia="宋体" w:cs="宋体"/>
          <w:color w:val="000000"/>
          <w:szCs w:val="21"/>
          <w:highlight w:val="none"/>
          <w:u w:val="single"/>
        </w:rPr>
        <w:t xml:space="preserve"> 3 </w:t>
      </w:r>
      <w:r>
        <w:rPr>
          <w:rFonts w:hint="eastAsia" w:ascii="宋体" w:hAnsi="宋体" w:eastAsia="宋体" w:cs="宋体"/>
          <w:color w:val="000000"/>
          <w:szCs w:val="21"/>
          <w:highlight w:val="none"/>
        </w:rPr>
        <w:t>人，其中采购人代表</w:t>
      </w:r>
      <w:r>
        <w:rPr>
          <w:rFonts w:hint="eastAsia" w:ascii="宋体" w:hAnsi="宋体" w:eastAsia="宋体" w:cs="宋体"/>
          <w:color w:val="000000"/>
          <w:szCs w:val="21"/>
          <w:highlight w:val="none"/>
          <w:u w:val="single"/>
        </w:rPr>
        <w:t xml:space="preserve"> 1 </w:t>
      </w:r>
      <w:r>
        <w:rPr>
          <w:rFonts w:hint="eastAsia" w:ascii="宋体" w:hAnsi="宋体" w:eastAsia="宋体" w:cs="宋体"/>
          <w:color w:val="000000"/>
          <w:szCs w:val="21"/>
          <w:highlight w:val="none"/>
        </w:rPr>
        <w:t>人， 专家</w:t>
      </w:r>
      <w:r>
        <w:rPr>
          <w:rFonts w:hint="eastAsia" w:ascii="宋体" w:hAnsi="宋体" w:eastAsia="宋体" w:cs="宋体"/>
          <w:color w:val="000000"/>
          <w:szCs w:val="21"/>
          <w:highlight w:val="none"/>
          <w:u w:val="single"/>
        </w:rPr>
        <w:t xml:space="preserve"> 2 </w:t>
      </w:r>
      <w:r>
        <w:rPr>
          <w:rFonts w:hint="eastAsia" w:ascii="宋体" w:hAnsi="宋体" w:eastAsia="宋体" w:cs="宋体"/>
          <w:color w:val="000000"/>
          <w:szCs w:val="21"/>
          <w:highlight w:val="none"/>
        </w:rPr>
        <w:t>人。</w:t>
      </w:r>
    </w:p>
    <w:p w14:paraId="437A52BF">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19.2 磋商时间、地点、人员：</w:t>
      </w:r>
    </w:p>
    <w:p w14:paraId="5D337323">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bookmarkStart w:id="212" w:name="_Toc9878"/>
      <w:r>
        <w:rPr>
          <w:rFonts w:hint="eastAsia" w:ascii="宋体" w:hAnsi="宋体" w:eastAsia="宋体" w:cs="宋体"/>
          <w:color w:val="000000"/>
          <w:szCs w:val="21"/>
          <w:highlight w:val="none"/>
        </w:rPr>
        <w:t>19.2.1磋商时间：响应文件递交截止时间后。</w:t>
      </w:r>
      <w:bookmarkEnd w:id="212"/>
    </w:p>
    <w:p w14:paraId="441524F9">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bookmarkStart w:id="213" w:name="_Toc29268"/>
      <w:r>
        <w:rPr>
          <w:rFonts w:hint="eastAsia" w:ascii="宋体" w:hAnsi="宋体" w:eastAsia="宋体" w:cs="宋体"/>
          <w:color w:val="000000"/>
          <w:szCs w:val="21"/>
          <w:highlight w:val="none"/>
        </w:rPr>
        <w:t>19.2.2磋商地点：</w:t>
      </w:r>
      <w:bookmarkEnd w:id="213"/>
      <w:r>
        <w:rPr>
          <w:rFonts w:hint="eastAsia" w:ascii="宋体" w:hAnsi="宋体" w:eastAsia="宋体" w:cs="宋体"/>
          <w:color w:val="000000"/>
          <w:szCs w:val="21"/>
          <w:highlight w:val="none"/>
        </w:rPr>
        <w:t>本项目需要磋商供应商代表在截标当天截标后，按磋商小组要求及时登陆广西政府采购云平台等候在线磋商。</w:t>
      </w:r>
    </w:p>
    <w:p w14:paraId="0D69ADB5">
      <w:pPr>
        <w:pageBreakBefore w:val="0"/>
        <w:kinsoku/>
        <w:wordWrap/>
        <w:overflowPunct/>
        <w:topLinePunct w:val="0"/>
        <w:bidi w:val="0"/>
        <w:spacing w:line="360" w:lineRule="atLeast"/>
        <w:ind w:firstLine="420" w:firstLineChars="200"/>
        <w:textAlignment w:val="auto"/>
        <w:rPr>
          <w:rFonts w:hint="eastAsia" w:ascii="宋体" w:hAnsi="宋体" w:eastAsia="宋体" w:cs="宋体"/>
          <w:bCs/>
          <w:color w:val="000000"/>
          <w:szCs w:val="21"/>
          <w:highlight w:val="none"/>
        </w:rPr>
      </w:pPr>
      <w:bookmarkStart w:id="214" w:name="_Toc21307"/>
      <w:r>
        <w:rPr>
          <w:rFonts w:hint="eastAsia" w:ascii="宋体" w:hAnsi="宋体" w:eastAsia="宋体" w:cs="宋体"/>
          <w:color w:val="000000"/>
          <w:szCs w:val="21"/>
          <w:highlight w:val="none"/>
        </w:rPr>
        <w:t>19</w:t>
      </w:r>
      <w:r>
        <w:rPr>
          <w:rFonts w:hint="eastAsia" w:ascii="宋体" w:hAnsi="宋体" w:eastAsia="宋体" w:cs="宋体"/>
          <w:bCs/>
          <w:color w:val="000000"/>
          <w:szCs w:val="21"/>
          <w:highlight w:val="none"/>
        </w:rPr>
        <w:t>.2.3磋商参加人员：供应商法定代表人、负责人、自然人或相应的委托代理人持</w:t>
      </w:r>
      <w:r>
        <w:rPr>
          <w:rFonts w:hint="eastAsia" w:ascii="宋体" w:hAnsi="宋体" w:eastAsia="宋体" w:cs="宋体"/>
          <w:bCs/>
          <w:color w:val="000000"/>
          <w:szCs w:val="21"/>
          <w:highlight w:val="none"/>
          <w:u w:val="single"/>
        </w:rPr>
        <w:t>有效身份证原件</w:t>
      </w:r>
      <w:r>
        <w:rPr>
          <w:rFonts w:hint="eastAsia" w:ascii="宋体" w:hAnsi="宋体" w:eastAsia="宋体" w:cs="宋体"/>
          <w:bCs/>
          <w:color w:val="000000"/>
          <w:szCs w:val="21"/>
          <w:highlight w:val="none"/>
        </w:rPr>
        <w:t>和供应商</w:t>
      </w:r>
      <w:r>
        <w:rPr>
          <w:rFonts w:hint="eastAsia" w:ascii="宋体" w:hAnsi="宋体" w:eastAsia="宋体" w:cs="宋体"/>
          <w:bCs/>
          <w:color w:val="000000"/>
          <w:szCs w:val="21"/>
          <w:highlight w:val="none"/>
          <w:u w:val="single"/>
        </w:rPr>
        <w:t>广西政府采购云平台CA数字证书</w:t>
      </w:r>
      <w:r>
        <w:rPr>
          <w:rFonts w:hint="eastAsia" w:ascii="宋体" w:hAnsi="宋体" w:eastAsia="宋体" w:cs="宋体"/>
          <w:bCs/>
          <w:color w:val="000000"/>
          <w:szCs w:val="21"/>
          <w:highlight w:val="none"/>
        </w:rPr>
        <w:t>参加磋商。请供应商在广西政府采购云平台在线等候磋商。</w:t>
      </w:r>
      <w:bookmarkEnd w:id="214"/>
    </w:p>
    <w:p w14:paraId="69268A2D">
      <w:pPr>
        <w:pageBreakBefore w:val="0"/>
        <w:kinsoku/>
        <w:wordWrap/>
        <w:overflowPunct/>
        <w:topLinePunct w:val="0"/>
        <w:bidi w:val="0"/>
        <w:spacing w:line="360" w:lineRule="atLeast"/>
        <w:ind w:firstLine="420" w:firstLineChars="200"/>
        <w:textAlignment w:val="auto"/>
        <w:rPr>
          <w:rFonts w:hint="eastAsia" w:ascii="宋体" w:hAnsi="宋体" w:eastAsia="宋体" w:cs="宋体"/>
          <w:bCs/>
          <w:color w:val="000000"/>
          <w:szCs w:val="21"/>
          <w:highlight w:val="none"/>
        </w:rPr>
      </w:pPr>
      <w:bookmarkStart w:id="215" w:name="_Toc6288"/>
      <w:r>
        <w:rPr>
          <w:rFonts w:hint="eastAsia" w:ascii="宋体" w:hAnsi="宋体" w:eastAsia="宋体" w:cs="宋体"/>
          <w:bCs/>
          <w:color w:val="000000"/>
          <w:szCs w:val="21"/>
          <w:highlight w:val="none"/>
        </w:rPr>
        <w:t>19.2.4响应文件递交截止时间后，由磋商小组在评标室内线上开启响应文件。</w:t>
      </w:r>
      <w:bookmarkEnd w:id="215"/>
    </w:p>
    <w:p w14:paraId="2BBC1F1A">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216" w:name="_Toc18640"/>
      <w:bookmarkStart w:id="217" w:name="_Toc14600"/>
      <w:bookmarkStart w:id="218" w:name="_Toc30728"/>
      <w:bookmarkStart w:id="219" w:name="_Toc25777"/>
      <w:bookmarkStart w:id="220" w:name="_Toc25258"/>
      <w:bookmarkStart w:id="221" w:name="_Toc13100"/>
      <w:bookmarkStart w:id="222" w:name="_Toc11953"/>
      <w:r>
        <w:rPr>
          <w:rFonts w:hint="eastAsia" w:ascii="宋体" w:hAnsi="宋体" w:eastAsia="宋体" w:cs="宋体"/>
          <w:color w:val="000000"/>
          <w:sz w:val="21"/>
          <w:szCs w:val="21"/>
          <w:highlight w:val="none"/>
        </w:rPr>
        <w:t>20. 评审原则</w:t>
      </w:r>
      <w:bookmarkEnd w:id="216"/>
      <w:bookmarkEnd w:id="217"/>
      <w:bookmarkEnd w:id="218"/>
      <w:bookmarkEnd w:id="219"/>
      <w:bookmarkEnd w:id="220"/>
      <w:bookmarkEnd w:id="221"/>
      <w:bookmarkEnd w:id="222"/>
    </w:p>
    <w:p w14:paraId="1716A692">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 磋商小组必须坚持公平、公正、科学和择优的原则。</w:t>
      </w:r>
    </w:p>
    <w:p w14:paraId="2FBA5060">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20.2 评审办法：综合评分法，具体详见第四章评审办法。</w:t>
      </w:r>
    </w:p>
    <w:p w14:paraId="3E8E7E44">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20.3 磋商小组应按磋商文件进行评审，不得擅自更改评审办法。</w:t>
      </w:r>
    </w:p>
    <w:p w14:paraId="61CDF3CE">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 在评审过程中，磋商小组任何人不得对某个供应商发表任何倾向性意见，不得向其他磋商小组成员明示或者暗示自己的评审意见。</w:t>
      </w:r>
    </w:p>
    <w:p w14:paraId="0910B96B">
      <w:pPr>
        <w:pageBreakBefore w:val="0"/>
        <w:kinsoku/>
        <w:wordWrap/>
        <w:overflowPunct/>
        <w:topLinePunct w:val="0"/>
        <w:bidi w:val="0"/>
        <w:spacing w:line="360" w:lineRule="atLeas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4ADB9175">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20.6 响应文件最后报价出现前后不一致的，除竞争性磋商文件另有规定外，按照下列规定修正：</w:t>
      </w:r>
    </w:p>
    <w:p w14:paraId="6ACA981E">
      <w:pPr>
        <w:pStyle w:val="26"/>
        <w:pageBreakBefore w:val="0"/>
        <w:tabs>
          <w:tab w:val="left" w:pos="1099"/>
        </w:tabs>
        <w:kinsoku/>
        <w:wordWrap/>
        <w:overflowPunct/>
        <w:topLinePunct w:val="0"/>
        <w:bidi w:val="0"/>
        <w:spacing w:before="130" w:line="360" w:lineRule="atLeast"/>
        <w:ind w:left="420" w:leftChars="200" w:firstLine="0" w:firstLineChars="0"/>
        <w:jc w:val="left"/>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 xml:space="preserve">(1) </w:t>
      </w:r>
      <w:r>
        <w:rPr>
          <w:rFonts w:hint="eastAsia" w:ascii="宋体" w:hAnsi="宋体" w:eastAsia="宋体" w:cs="宋体"/>
          <w:color w:val="000000"/>
          <w:highlight w:val="none"/>
        </w:rPr>
        <w:t>响应文件中磋商报价表内容与响应文件中相应内容不一致的，以最后磋商报价表为准；</w:t>
      </w:r>
    </w:p>
    <w:p w14:paraId="44F50205">
      <w:pPr>
        <w:pStyle w:val="26"/>
        <w:pageBreakBefore w:val="0"/>
        <w:tabs>
          <w:tab w:val="left" w:pos="1099"/>
        </w:tabs>
        <w:kinsoku/>
        <w:wordWrap/>
        <w:overflowPunct/>
        <w:topLinePunct w:val="0"/>
        <w:bidi w:val="0"/>
        <w:spacing w:before="130" w:line="360" w:lineRule="atLeast"/>
        <w:ind w:left="420" w:leftChars="200" w:firstLine="0" w:firstLineChars="0"/>
        <w:jc w:val="left"/>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(2)</w:t>
      </w:r>
      <w:r>
        <w:rPr>
          <w:rFonts w:hint="eastAsia" w:ascii="宋体" w:hAnsi="宋体" w:eastAsia="宋体" w:cs="宋体"/>
          <w:color w:val="000000"/>
          <w:highlight w:val="none"/>
        </w:rPr>
        <w:t xml:space="preserve"> 大写金额和小写金额不一致的，以大写金额为准；</w:t>
      </w:r>
    </w:p>
    <w:p w14:paraId="351CC7BB">
      <w:pPr>
        <w:pStyle w:val="26"/>
        <w:pageBreakBefore w:val="0"/>
        <w:tabs>
          <w:tab w:val="left" w:pos="1099"/>
        </w:tabs>
        <w:kinsoku/>
        <w:wordWrap/>
        <w:overflowPunct/>
        <w:topLinePunct w:val="0"/>
        <w:bidi w:val="0"/>
        <w:spacing w:before="130" w:line="360" w:lineRule="atLeast"/>
        <w:ind w:left="420" w:leftChars="200" w:firstLine="0" w:firstLineChars="0"/>
        <w:jc w:val="left"/>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(3)</w:t>
      </w:r>
      <w:r>
        <w:rPr>
          <w:rFonts w:hint="eastAsia" w:ascii="宋体" w:hAnsi="宋体" w:eastAsia="宋体" w:cs="宋体"/>
          <w:color w:val="000000"/>
          <w:highlight w:val="none"/>
        </w:rPr>
        <w:t xml:space="preserve"> 单价金额小数点或者百分比有明显错位的，以报价表的总价为准，并修改单价；</w:t>
      </w:r>
    </w:p>
    <w:p w14:paraId="5C965934">
      <w:pPr>
        <w:pStyle w:val="26"/>
        <w:pageBreakBefore w:val="0"/>
        <w:tabs>
          <w:tab w:val="left" w:pos="1099"/>
        </w:tabs>
        <w:kinsoku/>
        <w:wordWrap/>
        <w:overflowPunct/>
        <w:topLinePunct w:val="0"/>
        <w:bidi w:val="0"/>
        <w:spacing w:before="130" w:line="360" w:lineRule="atLeast"/>
        <w:ind w:left="420" w:leftChars="200" w:firstLine="0" w:firstLineChars="0"/>
        <w:jc w:val="left"/>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 xml:space="preserve">(4) </w:t>
      </w:r>
      <w:r>
        <w:rPr>
          <w:rFonts w:hint="eastAsia" w:ascii="宋体" w:hAnsi="宋体" w:eastAsia="宋体" w:cs="宋体"/>
          <w:color w:val="000000"/>
          <w:highlight w:val="none"/>
        </w:rPr>
        <w:t>总价金额与按单价汇总金额不一致的，以单价金额计算结果为准。</w:t>
      </w:r>
    </w:p>
    <w:p w14:paraId="46773614">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18DD7BB4">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223" w:name="_Toc10269"/>
      <w:bookmarkStart w:id="224" w:name="_Toc13350"/>
      <w:bookmarkStart w:id="225" w:name="_Toc1312"/>
      <w:bookmarkStart w:id="226" w:name="_Toc12068"/>
      <w:bookmarkStart w:id="227" w:name="_Toc27193"/>
      <w:bookmarkStart w:id="228" w:name="_Toc4348"/>
      <w:bookmarkStart w:id="229" w:name="_Toc30196"/>
      <w:r>
        <w:rPr>
          <w:rFonts w:hint="eastAsia" w:ascii="宋体" w:hAnsi="宋体" w:eastAsia="宋体" w:cs="宋体"/>
          <w:color w:val="000000"/>
          <w:sz w:val="21"/>
          <w:szCs w:val="21"/>
          <w:highlight w:val="none"/>
        </w:rPr>
        <w:t>21. 评审程序及磋商要求</w:t>
      </w:r>
      <w:bookmarkEnd w:id="223"/>
      <w:bookmarkEnd w:id="224"/>
      <w:bookmarkEnd w:id="225"/>
      <w:bookmarkEnd w:id="226"/>
      <w:bookmarkEnd w:id="227"/>
      <w:bookmarkEnd w:id="228"/>
      <w:bookmarkEnd w:id="229"/>
    </w:p>
    <w:p w14:paraId="7C605541">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21.1磋商小组成员的通讯工具或相关电子设备交由桂林市公共资源交易中心统一保管后到达评标室，采购 </w:t>
      </w:r>
    </w:p>
    <w:p w14:paraId="55BAC49F">
      <w:pPr>
        <w:pageBreakBefore w:val="0"/>
        <w:kinsoku/>
        <w:wordWrap/>
        <w:overflowPunct/>
        <w:topLinePunct w:val="0"/>
        <w:bidi w:val="0"/>
        <w:spacing w:line="360" w:lineRule="atLeas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代理机构核实磋商小组成员身份，告知回避要求，宣布评审工作纪律和程序，推选磋商小组组长。</w:t>
      </w:r>
    </w:p>
    <w:p w14:paraId="319D70C6">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4AE8B789">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0548C4F8">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21.4 磋商小组在对供应商进行资格性审查时，将对供应商企业股东及出资等信息进行查询。根据 《中华人民共和国政府采购法实施条例》 第十八条第一款规定，审查中如发现供应商存在单位负责人为同一人或者存在直接控股、管理关系的不同供应商参加同一合同项下的政府采购活动的，按响应文件无效处理。</w:t>
      </w:r>
    </w:p>
    <w:p w14:paraId="0EFAA91B">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21.4.1 查询渠道：《国家企业信用信息公示系统》（网址：www.gsxt.gov.cn/index.html）</w:t>
      </w:r>
    </w:p>
    <w:p w14:paraId="0FA72724">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21.4.2 审查流程：</w:t>
      </w:r>
    </w:p>
    <w:p w14:paraId="4CED3CEA">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（1）进入《国家企业信用信息公示系统》（网址：www.gsxt.gov.cn/index.html），输入企业名称，进入企业信息主页面；</w:t>
      </w:r>
    </w:p>
    <w:p w14:paraId="050B7B1F">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（2）查看主页“股东及出资信息”栏，或年报中的“股东及出资信息”栏信息；</w:t>
      </w:r>
    </w:p>
    <w:p w14:paraId="3A57CE72">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（3）将各供应商的股东及出资信息进行比对，得出审查结论；</w:t>
      </w:r>
    </w:p>
    <w:p w14:paraId="59567D22">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（4）将相关资料作为评审资料打印存档。</w:t>
      </w:r>
    </w:p>
    <w:p w14:paraId="01955F44">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21.5 磋商小组如发现供应商提供的证明文件不齐全或不符合规定格式的，应一次性告知供应商，供应</w:t>
      </w:r>
    </w:p>
    <w:p w14:paraId="60672F68">
      <w:pPr>
        <w:pageBreakBefore w:val="0"/>
        <w:kinsoku/>
        <w:wordWrap/>
        <w:overflowPunct/>
        <w:topLinePunct w:val="0"/>
        <w:bidi w:val="0"/>
        <w:spacing w:line="360" w:lineRule="atLeast"/>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商应在规定的时间内线上补正或更正。</w:t>
      </w:r>
    </w:p>
    <w:p w14:paraId="3DDD4E6B">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21.6 磋商小组在对响应文件的有效性、完整性和响应程度进行审查时，可以要求供应商对响应文件中含义 </w:t>
      </w:r>
    </w:p>
    <w:p w14:paraId="1106FC15">
      <w:pPr>
        <w:pageBreakBefore w:val="0"/>
        <w:kinsoku/>
        <w:wordWrap/>
        <w:overflowPunct/>
        <w:topLinePunct w:val="0"/>
        <w:bidi w:val="0"/>
        <w:spacing w:line="360" w:lineRule="atLeas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不明确、同类问题表述不一致或者有明显文字和计算错误的内容等作出必要的澄清、说明或者更正。供应商的 </w:t>
      </w:r>
    </w:p>
    <w:p w14:paraId="47FB1E3C">
      <w:pPr>
        <w:pageBreakBefore w:val="0"/>
        <w:kinsoku/>
        <w:wordWrap/>
        <w:overflowPunct/>
        <w:topLinePunct w:val="0"/>
        <w:bidi w:val="0"/>
        <w:spacing w:line="360" w:lineRule="atLeas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澄清、说明或者更正不得超出响应文件的范围或者改变响应文件的实质性内容。澄清、说明或者更正应由其法 </w:t>
      </w:r>
    </w:p>
    <w:p w14:paraId="53E8C279">
      <w:pPr>
        <w:pStyle w:val="8"/>
        <w:pageBreakBefore w:val="0"/>
        <w:kinsoku/>
        <w:wordWrap/>
        <w:overflowPunct/>
        <w:topLinePunct w:val="0"/>
        <w:bidi w:val="0"/>
        <w:spacing w:line="360" w:lineRule="atLeas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定代表人或相应的授权委托代表签字（</w:t>
      </w:r>
      <w:r>
        <w:rPr>
          <w:rFonts w:hint="eastAsia" w:ascii="宋体" w:hAnsi="宋体" w:eastAsia="宋体" w:cs="宋体"/>
          <w:highlight w:val="none"/>
        </w:rPr>
        <w:t>个人CA签章)</w:t>
      </w:r>
      <w:r>
        <w:rPr>
          <w:rFonts w:hint="eastAsia" w:ascii="宋体" w:hAnsi="宋体" w:eastAsia="宋体" w:cs="宋体"/>
          <w:color w:val="000000"/>
          <w:szCs w:val="21"/>
          <w:highlight w:val="none"/>
        </w:rPr>
        <w:t>或者加盖供应商公章(CA签章)。</w:t>
      </w:r>
    </w:p>
    <w:p w14:paraId="6DE16D38">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根据磋商文件规定的程序、评定成交的标准等事项与实质性响应竞争性磋商文件要求的供应商进行磋商。 </w:t>
      </w:r>
    </w:p>
    <w:p w14:paraId="086915B2">
      <w:pPr>
        <w:pageBreakBefore w:val="0"/>
        <w:kinsoku/>
        <w:wordWrap/>
        <w:overflowPunct/>
        <w:topLinePunct w:val="0"/>
        <w:bidi w:val="0"/>
        <w:spacing w:line="360" w:lineRule="atLeas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未实质性响应磋商文件的响应文件按无效处理，磋商小组应当告知有关供应商。 </w:t>
      </w:r>
    </w:p>
    <w:p w14:paraId="07AFFCFE">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磋商小组所有成员应当按已确定的磋商顺序集中与单一供应商分别进行磋商，并给予所有实质性响应竞争 </w:t>
      </w:r>
    </w:p>
    <w:p w14:paraId="76B26362">
      <w:pPr>
        <w:pageBreakBefore w:val="0"/>
        <w:kinsoku/>
        <w:wordWrap/>
        <w:overflowPunct/>
        <w:topLinePunct w:val="0"/>
        <w:bidi w:val="0"/>
        <w:spacing w:line="360" w:lineRule="atLeas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性磋商文件要求的供应商平等的磋商机会。 </w:t>
      </w:r>
    </w:p>
    <w:p w14:paraId="2996D361">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磋商中，磋商小组不得透露与磋商有关的其他供应商的技术资料、价格和其他信息。 </w:t>
      </w:r>
    </w:p>
    <w:p w14:paraId="1F2C2C66">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磋商小组对磋商过程和重要磋商内容进行记录，磋商双方在记录上签字确认。 </w:t>
      </w:r>
    </w:p>
    <w:p w14:paraId="1D91625A">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2D227187">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21.8 在磋商过程中，磋商小组可以根据磋商文件和磋商情况实质性变动项目需求中的技术、服务要求以及 </w:t>
      </w:r>
    </w:p>
    <w:p w14:paraId="68868DD8">
      <w:pPr>
        <w:pageBreakBefore w:val="0"/>
        <w:kinsoku/>
        <w:wordWrap/>
        <w:overflowPunct/>
        <w:topLinePunct w:val="0"/>
        <w:bidi w:val="0"/>
        <w:spacing w:line="360" w:lineRule="atLeas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合同草案条款，但不得变动磋商文件中的其他内容。实质性变动的内容，须经采购人代表确认。 </w:t>
      </w:r>
    </w:p>
    <w:p w14:paraId="29F07658">
      <w:pPr>
        <w:pageBreakBefore w:val="0"/>
        <w:kinsoku/>
        <w:wordWrap/>
        <w:overflowPunct/>
        <w:topLinePunct w:val="0"/>
        <w:bidi w:val="0"/>
        <w:spacing w:line="360" w:lineRule="atLeas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对磋商文件作出的实质性变动是磋商文件的有效组成部分，磋商小组应当及时通过广西政府采购云平台同时通知所有参加磋商的供应商。 </w:t>
      </w:r>
    </w:p>
    <w:p w14:paraId="3B551456">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0741D72A">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21.9 第二轮磋商</w:t>
      </w:r>
    </w:p>
    <w:p w14:paraId="6349650C">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磋商小组集中就重新提交的响应文件或磋商小组提出的磋商意见与单一响应供应商分别进行磋商。磋商小组对磋商过程和重要磋商内容进行记录，磋商双方在记录上签字确认（CA签章确认）。</w:t>
      </w:r>
    </w:p>
    <w:p w14:paraId="1996BF17">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磋商后，供应商根据磋商小组统一整理的书面磋商记录要求做出书面承诺，并由其法定代表人或授权代表签字或者加盖公章（CA签章）后按时线上提交。</w:t>
      </w:r>
    </w:p>
    <w:p w14:paraId="25643F84">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1D8BAAAA">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21.10 在采购过程中符合竞争要求的供应商或者报价未超过采购预算的供应商不足 3 家的，采购人或者采购代理机构应当终止竞争性磋商采购活动。 </w:t>
      </w:r>
    </w:p>
    <w:p w14:paraId="083B7E28">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21.11 最后报价 </w:t>
      </w:r>
    </w:p>
    <w:p w14:paraId="67BF6B1F">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21.11.1 磋商文件能够详细列明采购标的的技术、服务要求的，磋商结束后，磋商小组应当要求所有继续参加磋商的供应商在规定时间内线上提交最后报价，提交最后报价的供应商不得少于3家。 </w:t>
      </w:r>
    </w:p>
    <w:p w14:paraId="5DC8F5FF">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5743FB51">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 xml:space="preserve">21.11.3 根据《财政部关于政府采购竞争性磋商采购方式管理暂行办法有关问题的补充通知》(财库〔2014〕214 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14:paraId="11CFE6AB">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21.11.4 根据《政府采购竞争性磋商采购方式管理暂行办法》(财库〔2014〕214 号)的规定：</w:t>
      </w:r>
      <w:r>
        <w:rPr>
          <w:rFonts w:hint="eastAsia" w:ascii="宋体" w:hAnsi="宋体" w:eastAsia="宋体" w:cs="宋体"/>
          <w:b/>
          <w:bCs/>
          <w:color w:val="000000"/>
          <w:szCs w:val="21"/>
          <w:highlight w:val="none"/>
        </w:rPr>
        <w:t xml:space="preserve">最后报价是供应商响应文件的有效组成部分。 </w:t>
      </w:r>
      <w:r>
        <w:rPr>
          <w:rFonts w:hint="eastAsia" w:ascii="宋体" w:hAnsi="宋体" w:eastAsia="宋体" w:cs="宋体"/>
          <w:color w:val="000000"/>
          <w:szCs w:val="21"/>
          <w:highlight w:val="none"/>
        </w:rPr>
        <w:t>符合本办法(财库〔2014〕214号)第三条第四项情形的，提交最后报价的供应商可以为2家。</w:t>
      </w:r>
      <w:r>
        <w:rPr>
          <w:rFonts w:hint="eastAsia" w:ascii="宋体" w:hAnsi="宋体" w:eastAsia="宋体" w:cs="宋体"/>
          <w:b/>
          <w:bCs/>
          <w:color w:val="000000"/>
          <w:szCs w:val="21"/>
          <w:highlight w:val="none"/>
        </w:rPr>
        <w:t>（财库〔2014〕214号文第三条第四项：市场竞争不充分的科研项目，以及需要扶持的科技成果转化项目。）</w:t>
      </w:r>
    </w:p>
    <w:p w14:paraId="58D9AAB0">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21.12 已提交响应文件的供应商，在提交最后报价之前，可以根据磋商情况退出磋商。 </w:t>
      </w:r>
    </w:p>
    <w:p w14:paraId="02B287CC">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kern w:val="0"/>
          <w:szCs w:val="21"/>
          <w:highlight w:val="none"/>
        </w:rPr>
      </w:pPr>
      <w:r>
        <w:rPr>
          <w:rFonts w:hint="eastAsia" w:ascii="宋体" w:hAnsi="宋体" w:eastAsia="宋体" w:cs="宋体"/>
          <w:szCs w:val="21"/>
          <w:highlight w:val="none"/>
        </w:rPr>
        <w:t>未退出磋商的供应商</w:t>
      </w:r>
      <w:r>
        <w:rPr>
          <w:rFonts w:hint="eastAsia" w:ascii="宋体" w:hAnsi="宋体" w:eastAsia="宋体" w:cs="宋体"/>
          <w:color w:val="000000"/>
          <w:kern w:val="0"/>
          <w:szCs w:val="21"/>
          <w:highlight w:val="none"/>
        </w:rPr>
        <w:t>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p w14:paraId="01D1E53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360" w:lineRule="atLeast"/>
        <w:ind w:left="0" w:right="0" w:firstLine="420" w:firstLineChars="200"/>
        <w:jc w:val="both"/>
        <w:textAlignment w:val="auto"/>
        <w:rPr>
          <w:rFonts w:hint="eastAsia" w:ascii="宋体" w:hAnsi="宋体" w:eastAsia="宋体" w:cs="宋体"/>
          <w:b/>
          <w:bCs w:val="0"/>
          <w:i w:val="0"/>
          <w:iCs w:val="0"/>
          <w:caps w:val="0"/>
          <w:color w:val="333333"/>
          <w:spacing w:val="0"/>
          <w:sz w:val="21"/>
          <w:szCs w:val="21"/>
          <w:highlight w:val="none"/>
        </w:rPr>
      </w:pPr>
      <w:r>
        <w:rPr>
          <w:rFonts w:hint="eastAsia" w:ascii="宋体" w:hAnsi="宋体" w:eastAsia="宋体" w:cs="宋体"/>
          <w:color w:val="000000"/>
          <w:kern w:val="0"/>
          <w:sz w:val="21"/>
          <w:szCs w:val="21"/>
          <w:highlight w:val="none"/>
          <w:lang w:val="en-US" w:eastAsia="zh-CN"/>
        </w:rPr>
        <w:t>21.13</w:t>
      </w:r>
      <w:r>
        <w:rPr>
          <w:rFonts w:hint="eastAsia" w:ascii="宋体" w:hAnsi="宋体" w:eastAsia="宋体" w:cs="宋体"/>
          <w:b/>
          <w:color w:val="auto"/>
          <w:sz w:val="21"/>
          <w:szCs w:val="21"/>
          <w:highlight w:val="none"/>
          <w:shd w:val="clear" w:color="auto" w:fill="FFFFFF"/>
        </w:rPr>
        <w:t>根据</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b/>
          <w:color w:val="auto"/>
          <w:sz w:val="21"/>
          <w:szCs w:val="21"/>
          <w:highlight w:val="none"/>
          <w:shd w:val="clear" w:color="auto" w:fill="FFFFFF"/>
        </w:rPr>
        <w:t>关于推动解决政府采购异常低价问题的通知</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财库〔2026〕2号</w:t>
      </w:r>
      <w:r>
        <w:rPr>
          <w:rFonts w:hint="eastAsia" w:ascii="宋体" w:hAnsi="宋体" w:eastAsia="宋体" w:cs="宋体"/>
          <w:b/>
          <w:bCs/>
          <w:color w:val="auto"/>
          <w:sz w:val="21"/>
          <w:szCs w:val="21"/>
          <w:highlight w:val="none"/>
          <w:shd w:val="clear" w:color="auto" w:fill="FFFFFF"/>
          <w:lang w:eastAsia="zh-CN"/>
        </w:rPr>
        <w:t>）规定</w:t>
      </w:r>
      <w:r>
        <w:rPr>
          <w:rFonts w:hint="eastAsia" w:ascii="宋体" w:hAnsi="宋体" w:eastAsia="宋体" w:cs="宋体"/>
          <w:b/>
          <w:bCs w:val="0"/>
          <w:color w:val="auto"/>
          <w:kern w:val="0"/>
          <w:sz w:val="21"/>
          <w:szCs w:val="21"/>
          <w:highlight w:val="none"/>
        </w:rPr>
        <w:t>，</w:t>
      </w:r>
      <w:r>
        <w:rPr>
          <w:rFonts w:hint="eastAsia" w:ascii="宋体" w:hAnsi="宋体" w:eastAsia="宋体" w:cs="宋体"/>
          <w:b/>
          <w:bCs w:val="0"/>
          <w:i w:val="0"/>
          <w:iCs w:val="0"/>
          <w:caps w:val="0"/>
          <w:color w:val="333333"/>
          <w:spacing w:val="0"/>
          <w:sz w:val="21"/>
          <w:szCs w:val="21"/>
          <w:highlight w:val="none"/>
          <w:shd w:val="clear" w:color="auto" w:fill="FFFFFF"/>
        </w:rPr>
        <w:t>政府采购评审中出现下列情形之一的，</w:t>
      </w:r>
      <w:r>
        <w:rPr>
          <w:rFonts w:hint="eastAsia" w:ascii="宋体" w:hAnsi="宋体" w:eastAsia="宋体" w:cs="宋体"/>
          <w:b/>
          <w:bCs w:val="0"/>
          <w:i w:val="0"/>
          <w:iCs w:val="0"/>
          <w:caps w:val="0"/>
          <w:color w:val="333333"/>
          <w:spacing w:val="0"/>
          <w:sz w:val="21"/>
          <w:szCs w:val="21"/>
          <w:highlight w:val="none"/>
          <w:shd w:val="clear" w:color="auto" w:fill="FFFFFF"/>
          <w:lang w:eastAsia="zh-CN"/>
        </w:rPr>
        <w:t>磋商小组</w:t>
      </w:r>
      <w:r>
        <w:rPr>
          <w:rFonts w:hint="eastAsia" w:ascii="宋体" w:hAnsi="宋体" w:eastAsia="宋体" w:cs="宋体"/>
          <w:b/>
          <w:bCs w:val="0"/>
          <w:i w:val="0"/>
          <w:iCs w:val="0"/>
          <w:caps w:val="0"/>
          <w:color w:val="333333"/>
          <w:spacing w:val="0"/>
          <w:sz w:val="21"/>
          <w:szCs w:val="21"/>
          <w:highlight w:val="none"/>
          <w:shd w:val="clear" w:color="auto" w:fill="FFFFFF"/>
        </w:rPr>
        <w:t>应当启动异常低价投标（响应）审查程序： </w:t>
      </w:r>
    </w:p>
    <w:p w14:paraId="3F504AD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360" w:lineRule="atLeast"/>
        <w:ind w:left="0" w:right="0" w:firstLine="420" w:firstLineChars="200"/>
        <w:jc w:val="both"/>
        <w:textAlignment w:val="auto"/>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lang w:eastAsia="zh-CN"/>
        </w:rPr>
        <w:t>（</w:t>
      </w:r>
      <w:r>
        <w:rPr>
          <w:rFonts w:hint="eastAsia" w:ascii="宋体" w:hAnsi="宋体" w:eastAsia="宋体" w:cs="宋体"/>
          <w:i w:val="0"/>
          <w:iCs w:val="0"/>
          <w:caps w:val="0"/>
          <w:color w:val="333333"/>
          <w:spacing w:val="0"/>
          <w:sz w:val="21"/>
          <w:szCs w:val="21"/>
          <w:highlight w:val="none"/>
          <w:shd w:val="clear" w:color="auto" w:fill="FFFFFF"/>
          <w:lang w:val="en-US" w:eastAsia="zh-CN"/>
        </w:rPr>
        <w:t>1</w:t>
      </w:r>
      <w:r>
        <w:rPr>
          <w:rFonts w:hint="eastAsia" w:ascii="宋体" w:hAnsi="宋体" w:eastAsia="宋体" w:cs="宋体"/>
          <w:i w:val="0"/>
          <w:iCs w:val="0"/>
          <w:caps w:val="0"/>
          <w:color w:val="333333"/>
          <w:spacing w:val="0"/>
          <w:sz w:val="21"/>
          <w:szCs w:val="21"/>
          <w:highlight w:val="none"/>
          <w:shd w:val="clear" w:color="auto" w:fill="FFFFFF"/>
          <w:lang w:eastAsia="zh-CN"/>
        </w:rPr>
        <w:t>）</w:t>
      </w:r>
      <w:r>
        <w:rPr>
          <w:rFonts w:hint="eastAsia" w:ascii="宋体" w:hAnsi="宋体" w:eastAsia="宋体" w:cs="宋体"/>
          <w:i w:val="0"/>
          <w:iCs w:val="0"/>
          <w:caps w:val="0"/>
          <w:color w:val="333333"/>
          <w:spacing w:val="0"/>
          <w:sz w:val="21"/>
          <w:szCs w:val="21"/>
          <w:highlight w:val="none"/>
          <w:shd w:val="clear" w:color="auto" w:fill="FFFFFF"/>
        </w:rPr>
        <w:t>投标（响应）报价低于全部通过符合性审查供应商投标（响应）报价平均值50%的，即投标（响应）报价&lt;全部通过符合性审查供应商投标（响应）报价平均值×50%； </w:t>
      </w:r>
    </w:p>
    <w:p w14:paraId="7E519FA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360" w:lineRule="atLeast"/>
        <w:ind w:left="0" w:right="0" w:firstLine="420" w:firstLineChars="200"/>
        <w:jc w:val="both"/>
        <w:textAlignment w:val="auto"/>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lang w:eastAsia="zh-CN"/>
        </w:rPr>
        <w:t>（</w:t>
      </w:r>
      <w:r>
        <w:rPr>
          <w:rFonts w:hint="eastAsia" w:ascii="宋体" w:hAnsi="宋体" w:eastAsia="宋体" w:cs="宋体"/>
          <w:i w:val="0"/>
          <w:iCs w:val="0"/>
          <w:caps w:val="0"/>
          <w:color w:val="333333"/>
          <w:spacing w:val="0"/>
          <w:sz w:val="21"/>
          <w:szCs w:val="21"/>
          <w:highlight w:val="none"/>
          <w:shd w:val="clear" w:color="auto" w:fill="FFFFFF"/>
          <w:lang w:val="en-US" w:eastAsia="zh-CN"/>
        </w:rPr>
        <w:t>2</w:t>
      </w:r>
      <w:r>
        <w:rPr>
          <w:rFonts w:hint="eastAsia" w:ascii="宋体" w:hAnsi="宋体" w:eastAsia="宋体" w:cs="宋体"/>
          <w:i w:val="0"/>
          <w:iCs w:val="0"/>
          <w:caps w:val="0"/>
          <w:color w:val="333333"/>
          <w:spacing w:val="0"/>
          <w:sz w:val="21"/>
          <w:szCs w:val="21"/>
          <w:highlight w:val="none"/>
          <w:shd w:val="clear" w:color="auto" w:fill="FFFFFF"/>
          <w:lang w:eastAsia="zh-CN"/>
        </w:rPr>
        <w:t>）</w:t>
      </w:r>
      <w:r>
        <w:rPr>
          <w:rFonts w:hint="eastAsia" w:ascii="宋体" w:hAnsi="宋体" w:eastAsia="宋体" w:cs="宋体"/>
          <w:i w:val="0"/>
          <w:iCs w:val="0"/>
          <w:caps w:val="0"/>
          <w:color w:val="333333"/>
          <w:spacing w:val="0"/>
          <w:sz w:val="21"/>
          <w:szCs w:val="21"/>
          <w:highlight w:val="none"/>
          <w:shd w:val="clear" w:color="auto" w:fill="FFFFFF"/>
        </w:rPr>
        <w:t>投标（响应）报价低于通过符合性审查的次低报价供应商投标（响应）报价50%的，即投标（响应）报价&lt;通过符合性审查的次低报价供应商投标（响应）报价×50%； </w:t>
      </w:r>
    </w:p>
    <w:p w14:paraId="1042326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360" w:lineRule="atLeast"/>
        <w:ind w:left="0" w:right="0" w:firstLine="420" w:firstLineChars="200"/>
        <w:jc w:val="both"/>
        <w:textAlignment w:val="auto"/>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lang w:eastAsia="zh-CN"/>
        </w:rPr>
        <w:t>（</w:t>
      </w:r>
      <w:r>
        <w:rPr>
          <w:rFonts w:hint="eastAsia" w:ascii="宋体" w:hAnsi="宋体" w:eastAsia="宋体" w:cs="宋体"/>
          <w:i w:val="0"/>
          <w:iCs w:val="0"/>
          <w:caps w:val="0"/>
          <w:color w:val="333333"/>
          <w:spacing w:val="0"/>
          <w:sz w:val="21"/>
          <w:szCs w:val="21"/>
          <w:highlight w:val="none"/>
          <w:shd w:val="clear" w:color="auto" w:fill="FFFFFF"/>
          <w:lang w:val="en-US" w:eastAsia="zh-CN"/>
        </w:rPr>
        <w:t>3</w:t>
      </w:r>
      <w:r>
        <w:rPr>
          <w:rFonts w:hint="eastAsia" w:ascii="宋体" w:hAnsi="宋体" w:eastAsia="宋体" w:cs="宋体"/>
          <w:i w:val="0"/>
          <w:iCs w:val="0"/>
          <w:caps w:val="0"/>
          <w:color w:val="333333"/>
          <w:spacing w:val="0"/>
          <w:sz w:val="21"/>
          <w:szCs w:val="21"/>
          <w:highlight w:val="none"/>
          <w:shd w:val="clear" w:color="auto" w:fill="FFFFFF"/>
          <w:lang w:eastAsia="zh-CN"/>
        </w:rPr>
        <w:t>）</w:t>
      </w:r>
      <w:r>
        <w:rPr>
          <w:rFonts w:hint="eastAsia" w:ascii="宋体" w:hAnsi="宋体" w:eastAsia="宋体" w:cs="宋体"/>
          <w:i w:val="0"/>
          <w:iCs w:val="0"/>
          <w:caps w:val="0"/>
          <w:color w:val="333333"/>
          <w:spacing w:val="0"/>
          <w:sz w:val="21"/>
          <w:szCs w:val="21"/>
          <w:highlight w:val="none"/>
          <w:shd w:val="clear" w:color="auto" w:fill="FFFFFF"/>
        </w:rPr>
        <w:t>投标（响应）报价低于采购项目最高限价45%的，即投标（响应）报价&lt;采购项目最高限价×45%； </w:t>
      </w:r>
    </w:p>
    <w:p w14:paraId="01EBEB4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360" w:lineRule="atLeast"/>
        <w:ind w:left="0" w:right="0" w:firstLine="420" w:firstLineChars="200"/>
        <w:jc w:val="both"/>
        <w:textAlignment w:val="auto"/>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lang w:eastAsia="zh-CN"/>
        </w:rPr>
        <w:t>（</w:t>
      </w:r>
      <w:r>
        <w:rPr>
          <w:rFonts w:hint="eastAsia" w:ascii="宋体" w:hAnsi="宋体" w:eastAsia="宋体" w:cs="宋体"/>
          <w:i w:val="0"/>
          <w:iCs w:val="0"/>
          <w:caps w:val="0"/>
          <w:color w:val="333333"/>
          <w:spacing w:val="0"/>
          <w:sz w:val="21"/>
          <w:szCs w:val="21"/>
          <w:highlight w:val="none"/>
          <w:shd w:val="clear" w:color="auto" w:fill="FFFFFF"/>
          <w:lang w:val="en-US" w:eastAsia="zh-CN"/>
        </w:rPr>
        <w:t>4</w:t>
      </w:r>
      <w:r>
        <w:rPr>
          <w:rFonts w:hint="eastAsia" w:ascii="宋体" w:hAnsi="宋体" w:eastAsia="宋体" w:cs="宋体"/>
          <w:i w:val="0"/>
          <w:iCs w:val="0"/>
          <w:caps w:val="0"/>
          <w:color w:val="333333"/>
          <w:spacing w:val="0"/>
          <w:sz w:val="21"/>
          <w:szCs w:val="21"/>
          <w:highlight w:val="none"/>
          <w:shd w:val="clear" w:color="auto" w:fill="FFFFFF"/>
          <w:lang w:eastAsia="zh-CN"/>
        </w:rPr>
        <w:t>）磋商小组</w:t>
      </w:r>
      <w:r>
        <w:rPr>
          <w:rFonts w:hint="eastAsia" w:ascii="宋体" w:hAnsi="宋体" w:eastAsia="宋体" w:cs="宋体"/>
          <w:i w:val="0"/>
          <w:iCs w:val="0"/>
          <w:caps w:val="0"/>
          <w:color w:val="333333"/>
          <w:spacing w:val="0"/>
          <w:sz w:val="21"/>
          <w:szCs w:val="21"/>
          <w:highlight w:val="none"/>
          <w:shd w:val="clear" w:color="auto" w:fill="FFFFFF"/>
        </w:rPr>
        <w:t>基于专业判断，认为供应商报价过低，有可能影响产品质量或者不能诚信履约的其他情形。 </w:t>
      </w:r>
    </w:p>
    <w:p w14:paraId="1B5C5458">
      <w:pPr>
        <w:pageBreakBefore w:val="0"/>
        <w:kinsoku/>
        <w:wordWrap/>
        <w:overflowPunct/>
        <w:topLinePunct w:val="0"/>
        <w:bidi w:val="0"/>
        <w:spacing w:line="360" w:lineRule="atLeas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i w:val="0"/>
          <w:iCs w:val="0"/>
          <w:caps w:val="0"/>
          <w:color w:val="333333"/>
          <w:spacing w:val="0"/>
          <w:sz w:val="21"/>
          <w:szCs w:val="21"/>
          <w:highlight w:val="none"/>
          <w:shd w:val="clear" w:color="auto" w:fill="FFFFFF"/>
          <w:lang w:eastAsia="zh-CN"/>
        </w:rPr>
        <w:t>磋商小组</w:t>
      </w:r>
      <w:r>
        <w:rPr>
          <w:rFonts w:hint="eastAsia" w:ascii="宋体" w:hAnsi="宋体" w:eastAsia="宋体" w:cs="宋体"/>
          <w:i w:val="0"/>
          <w:iCs w:val="0"/>
          <w:caps w:val="0"/>
          <w:color w:val="333333"/>
          <w:spacing w:val="0"/>
          <w:sz w:val="21"/>
          <w:szCs w:val="21"/>
          <w:highlight w:val="none"/>
          <w:shd w:val="clear" w:color="auto" w:fill="FFFFFF"/>
        </w:rPr>
        <w:t>启动异常低价投标（响应）审查后，属于前述第1项至第4项情形的，应当要求相关供应商</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要求的时间内</w:t>
      </w:r>
      <w:r>
        <w:rPr>
          <w:rFonts w:hint="eastAsia" w:ascii="宋体" w:hAnsi="宋体" w:eastAsia="宋体" w:cs="宋体"/>
          <w:i w:val="0"/>
          <w:iCs w:val="0"/>
          <w:caps w:val="0"/>
          <w:color w:val="333333"/>
          <w:spacing w:val="0"/>
          <w:sz w:val="21"/>
          <w:szCs w:val="21"/>
          <w:highlight w:val="none"/>
          <w:shd w:val="clear" w:color="auto" w:fill="FFFFFF"/>
        </w:rPr>
        <w:t>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w:t>
      </w:r>
      <w:r>
        <w:rPr>
          <w:rFonts w:hint="eastAsia" w:ascii="宋体" w:hAnsi="宋体" w:eastAsia="宋体" w:cs="宋体"/>
          <w:i w:val="0"/>
          <w:iCs w:val="0"/>
          <w:caps w:val="0"/>
          <w:color w:val="333333"/>
          <w:spacing w:val="0"/>
          <w:sz w:val="21"/>
          <w:szCs w:val="21"/>
          <w:highlight w:val="none"/>
          <w:shd w:val="clear" w:color="auto" w:fill="FFFFFF"/>
          <w:lang w:eastAsia="zh-CN"/>
        </w:rPr>
        <w:t>磋商小组</w:t>
      </w:r>
      <w:r>
        <w:rPr>
          <w:rFonts w:hint="eastAsia" w:ascii="宋体" w:hAnsi="宋体" w:eastAsia="宋体" w:cs="宋体"/>
          <w:i w:val="0"/>
          <w:iCs w:val="0"/>
          <w:caps w:val="0"/>
          <w:color w:val="333333"/>
          <w:spacing w:val="0"/>
          <w:sz w:val="21"/>
          <w:szCs w:val="21"/>
          <w:highlight w:val="none"/>
          <w:shd w:val="clear" w:color="auto" w:fill="FFFFFF"/>
        </w:rPr>
        <w:t>应当将其作为无效投标（响应）处理。</w:t>
      </w:r>
      <w:r>
        <w:rPr>
          <w:rFonts w:hint="eastAsia" w:ascii="宋体" w:hAnsi="宋体" w:eastAsia="宋体" w:cs="宋体"/>
          <w:color w:val="auto"/>
          <w:szCs w:val="21"/>
          <w:highlight w:val="none"/>
        </w:rPr>
        <w:t> 异常低价投标（响应）审查的启动原因、审查意见和审查结果应当在评审报告中记录</w:t>
      </w:r>
      <w:r>
        <w:rPr>
          <w:rFonts w:hint="eastAsia" w:ascii="宋体" w:hAnsi="宋体" w:eastAsia="宋体" w:cs="宋体"/>
          <w:color w:val="auto"/>
          <w:szCs w:val="21"/>
          <w:highlight w:val="none"/>
          <w:lang w:eastAsia="zh-CN"/>
        </w:rPr>
        <w:t>。</w:t>
      </w:r>
    </w:p>
    <w:p w14:paraId="40F5AA69">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21.1</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 xml:space="preserve">评审报告 </w:t>
      </w:r>
    </w:p>
    <w:p w14:paraId="7C4BDC21">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磋商小组应当从质量和服务均能满足磋商文件全部实质性响应要求的供应商中，按照最后综合得分由高到低的顺序提出 3 名以上（含 3 名）成交候选人，并编写评审报告。</w:t>
      </w:r>
    </w:p>
    <w:p w14:paraId="1FEAFFD8">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21.1</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 xml:space="preserve">在评审过程中出现法律法规和磋商文件均没有明确规定的情形时，由磋商小组现场协商解决，协商 </w:t>
      </w:r>
    </w:p>
    <w:p w14:paraId="0E50D64C">
      <w:pPr>
        <w:pageBreakBefore w:val="0"/>
        <w:kinsoku/>
        <w:wordWrap/>
        <w:overflowPunct/>
        <w:topLinePunct w:val="0"/>
        <w:bidi w:val="0"/>
        <w:spacing w:line="360" w:lineRule="atLeas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不一致的，由全体磋商小组投票表决，以得票率二分之一以上磋商小组成员的意见为准。 </w:t>
      </w:r>
    </w:p>
    <w:p w14:paraId="6B9DABD5">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21.1</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 xml:space="preserve"> 采购代理机构发现磋商小组有明显的违规倾向或歧视现象，或不按评审办法进行，或其他不正常行 </w:t>
      </w:r>
    </w:p>
    <w:p w14:paraId="78BE6ABC">
      <w:pPr>
        <w:pageBreakBefore w:val="0"/>
        <w:kinsoku/>
        <w:wordWrap/>
        <w:overflowPunct/>
        <w:topLinePunct w:val="0"/>
        <w:bidi w:val="0"/>
        <w:spacing w:line="360" w:lineRule="atLeas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为的，应当及时制止。如制止无效，应及时向桂林市政府采购监督管理机构报告。</w:t>
      </w:r>
    </w:p>
    <w:p w14:paraId="36DD1E63">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color w:val="000000"/>
          <w:highlight w:val="none"/>
        </w:rPr>
      </w:pPr>
      <w:r>
        <w:rPr>
          <w:rFonts w:hint="eastAsia" w:ascii="宋体" w:hAnsi="宋体" w:eastAsia="宋体" w:cs="宋体"/>
          <w:color w:val="000000"/>
          <w:szCs w:val="21"/>
          <w:highlight w:val="none"/>
        </w:rPr>
        <w:t>21.1</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本采购项目的评审依据为竞争性磋商文件和竞争性磋商响应文件，采用的评审方法为</w:t>
      </w:r>
      <w:r>
        <w:rPr>
          <w:rFonts w:hint="eastAsia" w:ascii="宋体" w:hAnsi="宋体" w:eastAsia="宋体" w:cs="宋体"/>
          <w:b/>
          <w:bCs/>
          <w:color w:val="000000"/>
          <w:szCs w:val="21"/>
          <w:highlight w:val="none"/>
        </w:rPr>
        <w:t>综合评分法。</w:t>
      </w:r>
    </w:p>
    <w:p w14:paraId="5A8B9C26">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230" w:name="_Toc27303"/>
      <w:bookmarkStart w:id="231" w:name="_Toc26487"/>
      <w:bookmarkStart w:id="232" w:name="_Toc17505"/>
      <w:bookmarkStart w:id="233" w:name="_Toc21284"/>
      <w:bookmarkStart w:id="234" w:name="_Toc28069"/>
      <w:bookmarkStart w:id="235" w:name="_Toc32470"/>
      <w:bookmarkStart w:id="236" w:name="_Toc12176"/>
      <w:r>
        <w:rPr>
          <w:rFonts w:hint="eastAsia" w:ascii="宋体" w:hAnsi="宋体" w:eastAsia="宋体" w:cs="宋体"/>
          <w:color w:val="000000"/>
          <w:sz w:val="21"/>
          <w:szCs w:val="21"/>
          <w:highlight w:val="none"/>
        </w:rPr>
        <w:t>22. 确定成交供应商</w:t>
      </w:r>
      <w:bookmarkEnd w:id="230"/>
      <w:bookmarkEnd w:id="231"/>
      <w:bookmarkEnd w:id="232"/>
      <w:bookmarkEnd w:id="233"/>
      <w:bookmarkEnd w:id="234"/>
      <w:bookmarkEnd w:id="235"/>
      <w:bookmarkEnd w:id="236"/>
    </w:p>
    <w:p w14:paraId="3CF24F50">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0DABC12D">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22.2采购单位应当确定磋商小组推荐排名第一的成交候选人为成交供应商。</w:t>
      </w:r>
    </w:p>
    <w:p w14:paraId="24DF1B39">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22.3排名第一的成交候选人放弃成交、因不可抗力提出不能履行合同，或信用信息记录不符合相关规定的，或者磋商文件规定应当提交履约保证金而在规定的期限内未能提交的，采购单位可以确定排名第二的成交候选人为成交供应商。</w:t>
      </w:r>
    </w:p>
    <w:p w14:paraId="79157BAF">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22.4排名第二的成交候选人因前款规定的同样原因不能签订合同的，采购单位可以确定排名第三的成交候选人为成交供应商。</w:t>
      </w:r>
    </w:p>
    <w:p w14:paraId="68441E08">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237" w:name="_Toc10691"/>
      <w:bookmarkStart w:id="238" w:name="_Toc9515"/>
      <w:bookmarkStart w:id="239" w:name="_Toc2766"/>
      <w:bookmarkStart w:id="240" w:name="_Toc21715"/>
      <w:bookmarkStart w:id="241" w:name="_Toc26064"/>
      <w:bookmarkStart w:id="242" w:name="_Toc18067"/>
      <w:bookmarkStart w:id="243" w:name="_Toc23745"/>
      <w:r>
        <w:rPr>
          <w:rFonts w:hint="eastAsia" w:ascii="宋体" w:hAnsi="宋体" w:eastAsia="宋体" w:cs="宋体"/>
          <w:color w:val="000000"/>
          <w:sz w:val="21"/>
          <w:szCs w:val="21"/>
          <w:highlight w:val="none"/>
        </w:rPr>
        <w:t>23. 属于下列情况之一者，响应文件无效</w:t>
      </w:r>
      <w:bookmarkEnd w:id="237"/>
      <w:bookmarkEnd w:id="238"/>
      <w:bookmarkEnd w:id="239"/>
      <w:bookmarkEnd w:id="240"/>
      <w:bookmarkEnd w:id="241"/>
      <w:bookmarkEnd w:id="242"/>
      <w:bookmarkEnd w:id="243"/>
    </w:p>
    <w:p w14:paraId="0981049B">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（1）未按磋商文件规定完整线上提交响应文件或未按规定要求线上签字、签章的；</w:t>
      </w:r>
    </w:p>
    <w:p w14:paraId="52D34AC3">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（2）不具备磋商文件规定的资格要求的；</w:t>
      </w:r>
    </w:p>
    <w:p w14:paraId="51182D1A">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（3）响应文件未按磋商文件的内容和要求编制，或提供虚假材料的；</w:t>
      </w:r>
    </w:p>
    <w:p w14:paraId="785ECB6D">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（4）响应文件有效期、交货时间、免费保修期（升级、维护）期/维护期、售后服务不能满足磋商文件要求的；</w:t>
      </w:r>
    </w:p>
    <w:p w14:paraId="706FD7BF">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（5）供应商未就“采购需求”中的所有内容作完整唯一报价的，或报价超出采购预算总金额的；</w:t>
      </w:r>
    </w:p>
    <w:p w14:paraId="5FD2DC8E">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（6）未在磋商小组规定的时间内提交响应文件(包括最后报价)的；</w:t>
      </w:r>
    </w:p>
    <w:p w14:paraId="7B3ED49D">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（7）超越了按照法律法规规定必须获得行政许可或者行政审批的经营范围的；</w:t>
      </w:r>
    </w:p>
    <w:p w14:paraId="410218CD">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（8）未满足磋商文件实质性要求的或者响应文件有采购人不能接受的附加条件的；</w:t>
      </w:r>
    </w:p>
    <w:p w14:paraId="6E74CB97">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（9）响应文件实质性要求未做变动，供应商最后报价高于第一次报价的；</w:t>
      </w:r>
    </w:p>
    <w:p w14:paraId="7D52AB26">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（10）不符合法律、法规和磋商文件规定的其他实质性要求和条件的。</w:t>
      </w:r>
    </w:p>
    <w:p w14:paraId="11D614CC">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供应商有下列情形之一的视为供应商相互串通磋商，响应文件将被视为无效</w:t>
      </w:r>
    </w:p>
    <w:p w14:paraId="671FE144">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（1）不同供应商的响应文件由同一单位或者个人编制；或不同供应商报名的IP地址一致的；</w:t>
      </w:r>
    </w:p>
    <w:p w14:paraId="0924E3D2">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（2）不同供应商委托同一单位或者个人办理磋商事宜；</w:t>
      </w:r>
    </w:p>
    <w:p w14:paraId="7423482A">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（3）不同的供应商的响应文件载明的项目管理员为同一个人；</w:t>
      </w:r>
    </w:p>
    <w:p w14:paraId="77C45F84">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（4）不同供应商的响应文件异常一致或竞标报价呈规律性差异；</w:t>
      </w:r>
    </w:p>
    <w:p w14:paraId="50F2110F">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（5）不同供应商的响应文件相互混编；</w:t>
      </w:r>
    </w:p>
    <w:p w14:paraId="6C6C4B9A">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（6）不同供应商的磋商保证金从同一单位或者个人账户转出。</w:t>
      </w:r>
    </w:p>
    <w:p w14:paraId="27F0A554">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244" w:name="_Toc30193"/>
      <w:bookmarkStart w:id="245" w:name="_Toc23491"/>
      <w:bookmarkStart w:id="246" w:name="_Toc5714"/>
      <w:bookmarkStart w:id="247" w:name="_Toc26236"/>
      <w:bookmarkStart w:id="248" w:name="_Toc20770"/>
      <w:bookmarkStart w:id="249" w:name="_Toc16778"/>
      <w:bookmarkStart w:id="250" w:name="_Toc28306"/>
      <w:r>
        <w:rPr>
          <w:rFonts w:hint="eastAsia" w:ascii="宋体" w:hAnsi="宋体" w:eastAsia="宋体" w:cs="宋体"/>
          <w:color w:val="000000"/>
          <w:sz w:val="21"/>
          <w:szCs w:val="21"/>
          <w:highlight w:val="none"/>
        </w:rPr>
        <w:t>24. 出现下列情形之一的，采购人或者采购代理机构应当终止竞争性磋商采购活动，发布项目终止公告并说明原因，重新开展采购活动</w:t>
      </w:r>
      <w:bookmarkEnd w:id="244"/>
      <w:bookmarkEnd w:id="245"/>
      <w:bookmarkEnd w:id="246"/>
      <w:bookmarkEnd w:id="247"/>
      <w:bookmarkEnd w:id="248"/>
      <w:bookmarkEnd w:id="249"/>
      <w:bookmarkEnd w:id="250"/>
    </w:p>
    <w:p w14:paraId="029CC99B">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（1）因情况变化，不再符合规定的竞争性磋商采购方式适用情形的；</w:t>
      </w:r>
    </w:p>
    <w:p w14:paraId="2BEC769C">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（2）出现影响采购公正的违法、违规行为的； </w:t>
      </w:r>
    </w:p>
    <w:p w14:paraId="3C1107DE">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（3）在采购过程中符合竞争要求的供应商或者报价未超过采购预算的供应商不足3家的。</w:t>
      </w:r>
      <w:r>
        <w:rPr>
          <w:rFonts w:hint="eastAsia" w:ascii="宋体" w:hAnsi="宋体" w:eastAsia="宋体" w:cs="宋体"/>
          <w:b/>
          <w:bCs/>
          <w:color w:val="000000"/>
          <w:szCs w:val="21"/>
          <w:highlight w:val="none"/>
        </w:rPr>
        <w:t xml:space="preserve">（除财库〔2014〕214 号《政府采购竞争性磋商采购方式管理暂行办法》第二十一条第三款规定的情形外） </w:t>
      </w:r>
    </w:p>
    <w:p w14:paraId="4EF595CF">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251" w:name="_Toc10802"/>
      <w:bookmarkStart w:id="252" w:name="_Toc19105"/>
      <w:bookmarkStart w:id="253" w:name="_Toc32461"/>
      <w:bookmarkStart w:id="254" w:name="_Toc6546"/>
      <w:bookmarkStart w:id="255" w:name="_Toc2842"/>
      <w:bookmarkStart w:id="256" w:name="_Toc13861"/>
      <w:bookmarkStart w:id="257" w:name="_Toc13980"/>
      <w:r>
        <w:rPr>
          <w:rFonts w:hint="eastAsia" w:ascii="宋体" w:hAnsi="宋体" w:eastAsia="宋体" w:cs="宋体"/>
          <w:color w:val="000000"/>
          <w:sz w:val="21"/>
          <w:szCs w:val="21"/>
          <w:highlight w:val="none"/>
        </w:rPr>
        <w:t>25. 磋商过程的监控</w:t>
      </w:r>
      <w:bookmarkEnd w:id="251"/>
      <w:bookmarkEnd w:id="252"/>
      <w:bookmarkEnd w:id="253"/>
      <w:bookmarkEnd w:id="254"/>
      <w:bookmarkEnd w:id="255"/>
      <w:bookmarkEnd w:id="256"/>
      <w:bookmarkEnd w:id="257"/>
    </w:p>
    <w:p w14:paraId="08127558">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本项目磋商过程实行全程录音、录像监控，供应商在磋商过程中所进行的试图影响磋商结果的不公正活动，可能导致其磋商被拒绝。</w:t>
      </w:r>
    </w:p>
    <w:p w14:paraId="15B13DEE">
      <w:pPr>
        <w:pStyle w:val="4"/>
        <w:pageBreakBefore w:val="0"/>
        <w:numPr>
          <w:ilvl w:val="0"/>
          <w:numId w:val="2"/>
        </w:numPr>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258" w:name="_Toc32457"/>
      <w:bookmarkStart w:id="259" w:name="_Toc24538"/>
      <w:bookmarkStart w:id="260" w:name="_Toc26652"/>
      <w:bookmarkStart w:id="261" w:name="_Toc28675"/>
      <w:bookmarkStart w:id="262" w:name="_Toc23523"/>
      <w:bookmarkStart w:id="263" w:name="_Toc14787"/>
      <w:bookmarkStart w:id="264" w:name="_Toc18683"/>
      <w:r>
        <w:rPr>
          <w:rFonts w:hint="eastAsia" w:ascii="宋体" w:hAnsi="宋体" w:eastAsia="宋体" w:cs="宋体"/>
          <w:color w:val="000000"/>
          <w:sz w:val="21"/>
          <w:szCs w:val="21"/>
          <w:highlight w:val="none"/>
        </w:rPr>
        <w:t>信用查询</w:t>
      </w:r>
      <w:bookmarkEnd w:id="258"/>
      <w:bookmarkEnd w:id="259"/>
      <w:bookmarkEnd w:id="260"/>
      <w:bookmarkEnd w:id="261"/>
      <w:bookmarkEnd w:id="262"/>
      <w:bookmarkEnd w:id="263"/>
      <w:bookmarkEnd w:id="264"/>
    </w:p>
    <w:p w14:paraId="430B0832">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根据《关于做好政府采购有关信用主体标识码登记及在政府采购活动中查询使用信用记录有关问题的通知》（桂财采〔2016〕37号</w:t>
      </w:r>
      <w:r>
        <w:rPr>
          <w:rFonts w:hint="eastAsia" w:ascii="宋体" w:hAnsi="宋体" w:eastAsia="宋体" w:cs="宋体"/>
          <w:highlight w:val="none"/>
        </w:rPr>
        <w:t>）</w:t>
      </w:r>
      <w:r>
        <w:rPr>
          <w:rFonts w:hint="eastAsia" w:ascii="宋体" w:hAnsi="宋体" w:eastAsia="宋体" w:cs="宋体"/>
          <w:color w:val="000000"/>
          <w:szCs w:val="21"/>
          <w:highlight w:val="none"/>
        </w:rPr>
        <w:t>，采购代理机构对成交人的成交资格进行信用查询：</w:t>
      </w:r>
    </w:p>
    <w:p w14:paraId="6FDAD8B8">
      <w:pPr>
        <w:pageBreakBefore w:val="0"/>
        <w:kinsoku/>
        <w:wordWrap/>
        <w:overflowPunct/>
        <w:topLinePunct w:val="0"/>
        <w:bidi w:val="0"/>
        <w:spacing w:line="360" w:lineRule="atLeast"/>
        <w:ind w:firstLine="210" w:firstLineChars="1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（1）查询渠道：“信用中国”网站(www.creditchina.gov.cn)、中国政府采购网(www.ccgp.gov.cn)等；</w:t>
      </w:r>
    </w:p>
    <w:p w14:paraId="0E892603">
      <w:pPr>
        <w:pageBreakBefore w:val="0"/>
        <w:kinsoku/>
        <w:wordWrap/>
        <w:overflowPunct/>
        <w:topLinePunct w:val="0"/>
        <w:bidi w:val="0"/>
        <w:spacing w:line="360" w:lineRule="atLeast"/>
        <w:ind w:firstLine="210" w:firstLineChars="1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（2）查询时间：成交通知书发出前；</w:t>
      </w:r>
    </w:p>
    <w:p w14:paraId="4FCAA00B">
      <w:pPr>
        <w:pageBreakBefore w:val="0"/>
        <w:kinsoku/>
        <w:wordWrap/>
        <w:overflowPunct/>
        <w:topLinePunct w:val="0"/>
        <w:bidi w:val="0"/>
        <w:spacing w:line="360" w:lineRule="atLeast"/>
        <w:ind w:firstLine="210" w:firstLineChars="1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（3）信用信息查询记录和证据留存方式：在查询网站中直接打印查询记录，打印材料作为采购活动资料保存。</w:t>
      </w:r>
    </w:p>
    <w:p w14:paraId="7E60B172">
      <w:pPr>
        <w:pageBreakBefore w:val="0"/>
        <w:kinsoku/>
        <w:wordWrap/>
        <w:overflowPunct/>
        <w:topLinePunct w:val="0"/>
        <w:bidi w:val="0"/>
        <w:spacing w:line="360" w:lineRule="atLeast"/>
        <w:ind w:firstLine="210" w:firstLineChars="1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7F1E3D22">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C1C7640">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265" w:name="_Toc13282"/>
      <w:bookmarkStart w:id="266" w:name="_Toc9438"/>
      <w:bookmarkStart w:id="267" w:name="_Toc6760"/>
      <w:bookmarkStart w:id="268" w:name="_Toc25627"/>
      <w:bookmarkStart w:id="269" w:name="_Toc778"/>
      <w:bookmarkStart w:id="270" w:name="_Toc22029"/>
      <w:bookmarkStart w:id="271" w:name="_Toc27032"/>
      <w:r>
        <w:rPr>
          <w:rFonts w:hint="eastAsia" w:ascii="宋体" w:hAnsi="宋体" w:eastAsia="宋体" w:cs="宋体"/>
          <w:color w:val="000000"/>
          <w:sz w:val="21"/>
          <w:szCs w:val="21"/>
          <w:highlight w:val="none"/>
        </w:rPr>
        <w:t>27. 成交结果公告及成交通知书</w:t>
      </w:r>
      <w:bookmarkEnd w:id="265"/>
      <w:bookmarkEnd w:id="266"/>
      <w:bookmarkEnd w:id="267"/>
      <w:bookmarkEnd w:id="268"/>
      <w:bookmarkEnd w:id="269"/>
      <w:bookmarkEnd w:id="270"/>
      <w:bookmarkEnd w:id="271"/>
    </w:p>
    <w:p w14:paraId="106C756A">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30EA208">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27.2 成交公告发布的同时，采购代理机构在线向成交供应商发出电子成交通知书。</w:t>
      </w:r>
    </w:p>
    <w:p w14:paraId="4F5385A5">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27.3 采购代理机构无义务向未成交的供应商解释未成交原因和退还响应文件。</w:t>
      </w:r>
    </w:p>
    <w:p w14:paraId="039029F0">
      <w:pPr>
        <w:pStyle w:val="3"/>
        <w:pageBreakBefore w:val="0"/>
        <w:kinsoku/>
        <w:wordWrap/>
        <w:overflowPunct/>
        <w:topLinePunct w:val="0"/>
        <w:bidi w:val="0"/>
        <w:spacing w:line="360" w:lineRule="atLeast"/>
        <w:jc w:val="center"/>
        <w:textAlignment w:val="auto"/>
        <w:rPr>
          <w:rFonts w:hint="eastAsia" w:ascii="宋体" w:hAnsi="宋体" w:eastAsia="宋体" w:cs="宋体"/>
          <w:b/>
          <w:bCs w:val="0"/>
          <w:szCs w:val="28"/>
          <w:highlight w:val="none"/>
        </w:rPr>
      </w:pPr>
      <w:bookmarkStart w:id="272" w:name="_Toc3941"/>
      <w:bookmarkStart w:id="273" w:name="_Toc19479"/>
      <w:bookmarkStart w:id="274" w:name="_Toc2871"/>
      <w:bookmarkStart w:id="275" w:name="_Toc811"/>
      <w:bookmarkStart w:id="276" w:name="_Toc25593"/>
      <w:bookmarkStart w:id="277" w:name="_Toc4030"/>
      <w:bookmarkStart w:id="278" w:name="_Toc31486"/>
      <w:r>
        <w:rPr>
          <w:rFonts w:hint="eastAsia" w:ascii="宋体" w:hAnsi="宋体" w:eastAsia="宋体" w:cs="宋体"/>
          <w:b/>
          <w:bCs w:val="0"/>
          <w:szCs w:val="28"/>
          <w:highlight w:val="none"/>
        </w:rPr>
        <w:t>五、</w:t>
      </w:r>
      <w:r>
        <w:rPr>
          <w:rFonts w:hint="eastAsia" w:ascii="宋体" w:hAnsi="宋体" w:eastAsia="宋体" w:cs="宋体"/>
          <w:b/>
          <w:szCs w:val="28"/>
          <w:highlight w:val="none"/>
        </w:rPr>
        <w:t>履约保证金及</w:t>
      </w:r>
      <w:r>
        <w:rPr>
          <w:rFonts w:hint="eastAsia" w:ascii="宋体" w:hAnsi="宋体" w:eastAsia="宋体" w:cs="宋体"/>
          <w:b/>
          <w:bCs w:val="0"/>
          <w:szCs w:val="28"/>
          <w:highlight w:val="none"/>
        </w:rPr>
        <w:t>签订合同</w:t>
      </w:r>
      <w:bookmarkEnd w:id="272"/>
      <w:bookmarkEnd w:id="273"/>
      <w:bookmarkEnd w:id="274"/>
      <w:bookmarkEnd w:id="275"/>
      <w:bookmarkEnd w:id="276"/>
      <w:bookmarkEnd w:id="277"/>
      <w:bookmarkEnd w:id="278"/>
    </w:p>
    <w:p w14:paraId="0DD8B098">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highlight w:val="none"/>
        </w:rPr>
      </w:pPr>
      <w:bookmarkStart w:id="279" w:name="_Toc15713"/>
      <w:bookmarkStart w:id="280" w:name="_Toc17772"/>
      <w:bookmarkStart w:id="281" w:name="_Toc26520"/>
      <w:bookmarkStart w:id="282" w:name="_Toc3958"/>
      <w:bookmarkStart w:id="283" w:name="_Toc28885"/>
      <w:bookmarkStart w:id="284" w:name="_Toc2100"/>
      <w:bookmarkStart w:id="285" w:name="_Toc15816"/>
      <w:r>
        <w:rPr>
          <w:rFonts w:hint="eastAsia" w:ascii="宋体" w:hAnsi="宋体" w:eastAsia="宋体" w:cs="宋体"/>
          <w:sz w:val="21"/>
          <w:szCs w:val="21"/>
          <w:highlight w:val="none"/>
        </w:rPr>
        <w:t>28. 履约保证金</w:t>
      </w:r>
      <w:bookmarkEnd w:id="279"/>
      <w:bookmarkEnd w:id="280"/>
      <w:bookmarkEnd w:id="281"/>
      <w:bookmarkEnd w:id="282"/>
      <w:bookmarkEnd w:id="283"/>
      <w:bookmarkEnd w:id="284"/>
      <w:bookmarkEnd w:id="285"/>
    </w:p>
    <w:p w14:paraId="4A4C2F83">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bCs/>
          <w:kern w:val="2"/>
          <w:sz w:val="21"/>
          <w:szCs w:val="21"/>
          <w:highlight w:val="none"/>
          <w:lang w:val="en-US" w:eastAsia="zh-CN"/>
        </w:rPr>
      </w:pPr>
      <w:bookmarkStart w:id="286" w:name="_Toc16465"/>
      <w:bookmarkStart w:id="287" w:name="_Toc1552"/>
      <w:bookmarkStart w:id="288" w:name="_Toc3208"/>
      <w:bookmarkStart w:id="289" w:name="_Toc31066"/>
      <w:bookmarkStart w:id="290" w:name="_Toc6067"/>
      <w:bookmarkStart w:id="291" w:name="_Toc1023"/>
      <w:bookmarkStart w:id="292" w:name="_Toc4956"/>
      <w:r>
        <w:rPr>
          <w:rFonts w:hint="eastAsia" w:ascii="宋体" w:hAnsi="宋体" w:eastAsia="宋体" w:cs="宋体"/>
          <w:bCs/>
          <w:kern w:val="2"/>
          <w:sz w:val="21"/>
          <w:szCs w:val="21"/>
          <w:highlight w:val="none"/>
          <w:lang w:val="en-US" w:eastAsia="zh-CN"/>
        </w:rPr>
        <w:t>本项目无需缴纳履约保证金。</w:t>
      </w:r>
      <w:bookmarkEnd w:id="286"/>
      <w:bookmarkEnd w:id="287"/>
      <w:bookmarkEnd w:id="288"/>
      <w:bookmarkEnd w:id="289"/>
      <w:bookmarkEnd w:id="290"/>
    </w:p>
    <w:p w14:paraId="50C10E86">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sz w:val="21"/>
          <w:szCs w:val="21"/>
          <w:highlight w:val="none"/>
        </w:rPr>
      </w:pPr>
      <w:bookmarkStart w:id="293" w:name="_Toc1966"/>
      <w:bookmarkStart w:id="294" w:name="_Toc23909"/>
      <w:bookmarkStart w:id="295" w:name="_Toc22457"/>
      <w:bookmarkStart w:id="296" w:name="_Toc3463"/>
      <w:bookmarkStart w:id="297" w:name="_Toc22454"/>
      <w:r>
        <w:rPr>
          <w:rFonts w:hint="eastAsia" w:ascii="宋体" w:hAnsi="宋体" w:eastAsia="宋体" w:cs="宋体"/>
          <w:sz w:val="21"/>
          <w:szCs w:val="21"/>
          <w:highlight w:val="none"/>
        </w:rPr>
        <w:t>29. 签订合同</w:t>
      </w:r>
      <w:bookmarkEnd w:id="291"/>
      <w:bookmarkEnd w:id="292"/>
      <w:bookmarkEnd w:id="293"/>
      <w:bookmarkEnd w:id="294"/>
      <w:bookmarkEnd w:id="295"/>
      <w:bookmarkEnd w:id="296"/>
      <w:bookmarkEnd w:id="297"/>
    </w:p>
    <w:p w14:paraId="2BE1796A">
      <w:pPr>
        <w:pageBreakBefore w:val="0"/>
        <w:kinsoku/>
        <w:wordWrap/>
        <w:overflowPunct/>
        <w:topLinePunct w:val="0"/>
        <w:bidi w:val="0"/>
        <w:spacing w:line="360" w:lineRule="atLeast"/>
        <w:ind w:firstLine="420"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29.1 签订合同时间：成交通知书发出之日起八个工作日内签订合同。成交供应商收到成交通知书后，应按规定与采购人在“广西政府采购云平台”上在线签订电子合同。</w:t>
      </w:r>
    </w:p>
    <w:p w14:paraId="300B6643">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10E3EDE7">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（1）成交后不与采购人签订合同的（不可抗力除外）；</w:t>
      </w:r>
    </w:p>
    <w:p w14:paraId="57D0D42C">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（2）将成交项目转让给他人，或者在响应文件中未说明，且未经采购人同意，将成交项目分包给他人的；</w:t>
      </w:r>
    </w:p>
    <w:p w14:paraId="3A77A9BC">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（3）拒绝履行合同义务的。</w:t>
      </w:r>
    </w:p>
    <w:p w14:paraId="2F388E39">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szCs w:val="21"/>
          <w:highlight w:val="none"/>
        </w:rPr>
        <w:t>29.3 合同备案存档：</w:t>
      </w:r>
      <w:r>
        <w:rPr>
          <w:rFonts w:hint="eastAsia" w:ascii="宋体" w:hAnsi="宋体" w:eastAsia="宋体" w:cs="宋体"/>
          <w:color w:val="000000"/>
          <w:highlight w:val="none"/>
        </w:rPr>
        <w:t>依据《桂林市财政局关于推动政府采购项目电子合同在线签订有关事项的通知》(桂财采(2023)9号)规定，采购人应将“在线签订”的政府采购合同通过广西政府采购云平台完成备案公告。</w:t>
      </w:r>
    </w:p>
    <w:p w14:paraId="19A5BA62">
      <w:pPr>
        <w:pStyle w:val="3"/>
        <w:pageBreakBefore w:val="0"/>
        <w:kinsoku/>
        <w:wordWrap/>
        <w:overflowPunct/>
        <w:topLinePunct w:val="0"/>
        <w:bidi w:val="0"/>
        <w:spacing w:line="360" w:lineRule="atLeast"/>
        <w:jc w:val="center"/>
        <w:textAlignment w:val="auto"/>
        <w:rPr>
          <w:rFonts w:hint="eastAsia" w:ascii="宋体" w:hAnsi="宋体" w:eastAsia="宋体" w:cs="宋体"/>
          <w:b/>
          <w:bCs w:val="0"/>
          <w:szCs w:val="28"/>
          <w:highlight w:val="none"/>
        </w:rPr>
      </w:pPr>
      <w:bookmarkStart w:id="298" w:name="_Toc8938"/>
      <w:bookmarkStart w:id="299" w:name="_Toc17477"/>
      <w:bookmarkStart w:id="300" w:name="_Toc28350"/>
      <w:bookmarkStart w:id="301" w:name="_Toc18373"/>
      <w:bookmarkStart w:id="302" w:name="_Toc16348"/>
      <w:bookmarkStart w:id="303" w:name="_Toc24170"/>
      <w:bookmarkStart w:id="304" w:name="_Toc23492"/>
      <w:r>
        <w:rPr>
          <w:rFonts w:hint="eastAsia" w:ascii="宋体" w:hAnsi="宋体" w:eastAsia="宋体" w:cs="宋体"/>
          <w:b/>
          <w:bCs w:val="0"/>
          <w:szCs w:val="28"/>
          <w:highlight w:val="none"/>
        </w:rPr>
        <w:t>六、其他事项</w:t>
      </w:r>
      <w:bookmarkEnd w:id="298"/>
      <w:bookmarkEnd w:id="299"/>
      <w:bookmarkEnd w:id="300"/>
      <w:bookmarkEnd w:id="301"/>
      <w:bookmarkEnd w:id="302"/>
      <w:bookmarkEnd w:id="303"/>
      <w:bookmarkEnd w:id="304"/>
    </w:p>
    <w:p w14:paraId="3E6FF444">
      <w:pPr>
        <w:pStyle w:val="4"/>
        <w:pageBreakBefore w:val="0"/>
        <w:kinsoku/>
        <w:wordWrap/>
        <w:overflowPunct/>
        <w:topLinePunct w:val="0"/>
        <w:bidi w:val="0"/>
        <w:spacing w:before="0" w:after="0" w:line="360" w:lineRule="atLeast"/>
        <w:ind w:firstLine="420" w:firstLineChars="200"/>
        <w:textAlignment w:val="auto"/>
        <w:rPr>
          <w:rFonts w:hint="eastAsia" w:ascii="宋体" w:hAnsi="宋体" w:eastAsia="宋体" w:cs="宋体"/>
          <w:color w:val="000000"/>
          <w:sz w:val="21"/>
          <w:szCs w:val="21"/>
          <w:highlight w:val="none"/>
        </w:rPr>
      </w:pPr>
      <w:bookmarkStart w:id="305" w:name="_Toc2872"/>
      <w:bookmarkStart w:id="306" w:name="_Toc24783"/>
      <w:bookmarkStart w:id="307" w:name="_Toc8037"/>
      <w:bookmarkStart w:id="308" w:name="_Toc7969"/>
      <w:bookmarkStart w:id="309" w:name="_Toc28647"/>
      <w:bookmarkStart w:id="310" w:name="_Toc3293"/>
      <w:bookmarkStart w:id="311" w:name="_Toc11339"/>
      <w:r>
        <w:rPr>
          <w:rFonts w:hint="eastAsia" w:ascii="宋体" w:hAnsi="宋体" w:eastAsia="宋体" w:cs="宋体"/>
          <w:color w:val="000000"/>
          <w:sz w:val="21"/>
          <w:szCs w:val="21"/>
          <w:highlight w:val="none"/>
        </w:rPr>
        <w:t>30. 采购代理服务费</w:t>
      </w:r>
      <w:bookmarkEnd w:id="305"/>
      <w:bookmarkEnd w:id="306"/>
      <w:bookmarkEnd w:id="307"/>
      <w:bookmarkEnd w:id="308"/>
      <w:bookmarkEnd w:id="309"/>
      <w:bookmarkEnd w:id="310"/>
      <w:bookmarkEnd w:id="311"/>
    </w:p>
    <w:p w14:paraId="1206E8DD">
      <w:pPr>
        <w:pageBreakBefore w:val="0"/>
        <w:kinsoku/>
        <w:wordWrap/>
        <w:overflowPunct/>
        <w:topLinePunct w:val="0"/>
        <w:bidi w:val="0"/>
        <w:spacing w:line="360" w:lineRule="atLeast"/>
        <w:ind w:firstLine="420" w:firstLineChars="200"/>
        <w:textAlignment w:val="auto"/>
        <w:rPr>
          <w:rFonts w:hint="eastAsia" w:ascii="宋体" w:hAnsi="宋体" w:eastAsia="宋体" w:cs="宋体"/>
          <w:color w:val="000000"/>
          <w:szCs w:val="21"/>
          <w:highlight w:val="none"/>
        </w:rPr>
      </w:pPr>
      <w:bookmarkStart w:id="312" w:name="_Toc12270"/>
      <w:bookmarkStart w:id="313" w:name="_Toc8271"/>
      <w:bookmarkStart w:id="314" w:name="_Toc12374"/>
      <w:bookmarkStart w:id="315" w:name="_Toc7947"/>
      <w:bookmarkStart w:id="316" w:name="_Toc17419"/>
      <w:bookmarkStart w:id="317" w:name="_Toc17"/>
      <w:r>
        <w:rPr>
          <w:rFonts w:hint="eastAsia" w:ascii="宋体" w:hAnsi="宋体" w:eastAsia="宋体" w:cs="宋体"/>
          <w:color w:val="000000"/>
          <w:szCs w:val="21"/>
          <w:highlight w:val="none"/>
        </w:rPr>
        <w:t>参照“计价格[2002]1980号《招标代理服务收费管理暂行办法》服务类收费标准”</w:t>
      </w:r>
      <w:r>
        <w:rPr>
          <w:rFonts w:hint="eastAsia" w:ascii="宋体" w:hAnsi="宋体" w:eastAsia="宋体" w:cs="宋体"/>
          <w:color w:val="000000"/>
          <w:szCs w:val="21"/>
          <w:highlight w:val="none"/>
          <w:lang w:val="en-US" w:eastAsia="zh-CN"/>
        </w:rPr>
        <w:t>40%计取招标代理服务费</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成交</w:t>
      </w:r>
      <w:r>
        <w:rPr>
          <w:rFonts w:hint="eastAsia" w:ascii="宋体" w:hAnsi="宋体" w:eastAsia="宋体" w:cs="宋体"/>
          <w:color w:val="000000"/>
          <w:szCs w:val="21"/>
          <w:highlight w:val="none"/>
        </w:rPr>
        <w:t>供应商领取</w:t>
      </w:r>
      <w:r>
        <w:rPr>
          <w:rFonts w:hint="eastAsia" w:ascii="宋体" w:hAnsi="宋体" w:eastAsia="宋体" w:cs="宋体"/>
          <w:color w:val="000000"/>
          <w:szCs w:val="21"/>
          <w:highlight w:val="none"/>
          <w:lang w:val="en-US" w:eastAsia="zh-CN"/>
        </w:rPr>
        <w:t>成交</w:t>
      </w:r>
      <w:r>
        <w:rPr>
          <w:rFonts w:hint="eastAsia" w:ascii="宋体" w:hAnsi="宋体" w:eastAsia="宋体" w:cs="宋体"/>
          <w:color w:val="000000"/>
          <w:szCs w:val="21"/>
          <w:highlight w:val="none"/>
        </w:rPr>
        <w:t>通知书时</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向采购代理机构一次性付清招标代理服务费。</w:t>
      </w:r>
    </w:p>
    <w:p w14:paraId="4E32AD87">
      <w:pPr>
        <w:pageBreakBefore w:val="0"/>
        <w:kinsoku/>
        <w:wordWrap/>
        <w:overflowPunct/>
        <w:topLinePunct w:val="0"/>
        <w:bidi w:val="0"/>
        <w:spacing w:line="360" w:lineRule="atLeas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采购代理服务收费标准</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527E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19" w:type="dxa"/>
          </w:tcPr>
          <w:p w14:paraId="7BD2C325">
            <w:pPr>
              <w:pStyle w:val="13"/>
              <w:pageBreakBefore w:val="0"/>
              <w:kinsoku/>
              <w:wordWrap/>
              <w:overflowPunct/>
              <w:topLinePunct w:val="0"/>
              <w:bidi w:val="0"/>
              <w:spacing w:line="360" w:lineRule="atLeast"/>
              <w:ind w:left="25"/>
              <w:textAlignment w:val="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0" distR="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1026" name="直接连接符 1"/>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SA+RXUAAAACAEAAA8AAAAAAAAAAQAgAAAAIgAAAGRycy9kb3ducmV2LnhtbFBLAQIU&#10;ABQAAAAIAIdO4kDApgnx9wEAAOoDAAAOAAAAAAAAAAEAIAAAACMBAABkcnMvZTJvRG9jLnhtbFBL&#10;BQYAAAAABgAGAFkBAACMBQ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费率         类型</w:t>
            </w:r>
          </w:p>
          <w:p w14:paraId="358BA0D2">
            <w:pPr>
              <w:pStyle w:val="13"/>
              <w:pageBreakBefore w:val="0"/>
              <w:kinsoku/>
              <w:wordWrap/>
              <w:overflowPunct/>
              <w:topLinePunct w:val="0"/>
              <w:bidi w:val="0"/>
              <w:spacing w:line="360" w:lineRule="atLeast"/>
              <w:ind w:left="25"/>
              <w:textAlignment w:val="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0" distR="0" simplePos="0" relativeHeight="251659264"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1027" name="直接连接符 3"/>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3" o:spid="_x0000_s1026" o:spt="20" style="position:absolute;left:0pt;margin-left:-5.35pt;margin-top:3.55pt;height:31.2pt;width:135pt;z-index:251659264;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a6xid2AAAAAgBAAAPAAAAAAAAAAEAIAAAACIAAABkcnMvZG93bnJldi54&#10;bWxQSwECFAAUAAAACACHTuJA1/PCzfoBAADqAwAADgAAAAAAAAABACAAAAAnAQAAZHJzL2Uyb0Rv&#10;Yy54bWxQSwUGAAAAAAYABgBZAQAAkwUAAAAA&#10;">
                      <v:fill on="f" focussize="0,0"/>
                      <v:stroke color="#000000" joinstyle="round"/>
                      <v:imagedata o:title=""/>
                      <o:lock v:ext="edit" aspectratio="f"/>
                    </v:line>
                  </w:pict>
                </mc:Fallback>
              </mc:AlternateContent>
            </w:r>
          </w:p>
          <w:p w14:paraId="7B59A1E0">
            <w:pPr>
              <w:pStyle w:val="13"/>
              <w:pageBreakBefore w:val="0"/>
              <w:kinsoku/>
              <w:wordWrap/>
              <w:overflowPunct/>
              <w:topLinePunct w:val="0"/>
              <w:bidi w:val="0"/>
              <w:spacing w:line="360" w:lineRule="atLeast"/>
              <w:ind w:left="25"/>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金额（万元）</w:t>
            </w:r>
          </w:p>
        </w:tc>
        <w:tc>
          <w:tcPr>
            <w:tcW w:w="2002" w:type="dxa"/>
            <w:vAlign w:val="center"/>
          </w:tcPr>
          <w:p w14:paraId="727887F6">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货物招标</w:t>
            </w:r>
          </w:p>
        </w:tc>
        <w:tc>
          <w:tcPr>
            <w:tcW w:w="1992" w:type="dxa"/>
            <w:vAlign w:val="center"/>
          </w:tcPr>
          <w:p w14:paraId="2A0A5F58">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服务招标</w:t>
            </w:r>
          </w:p>
        </w:tc>
        <w:tc>
          <w:tcPr>
            <w:tcW w:w="2293" w:type="dxa"/>
            <w:vAlign w:val="center"/>
          </w:tcPr>
          <w:p w14:paraId="726622F6">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工程招标</w:t>
            </w:r>
          </w:p>
        </w:tc>
      </w:tr>
      <w:tr w14:paraId="094F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719" w:type="dxa"/>
          </w:tcPr>
          <w:p w14:paraId="3AC4AFBB">
            <w:pPr>
              <w:pStyle w:val="13"/>
              <w:pageBreakBefore w:val="0"/>
              <w:kinsoku/>
              <w:wordWrap/>
              <w:overflowPunct/>
              <w:topLinePunct w:val="0"/>
              <w:bidi w:val="0"/>
              <w:spacing w:line="360" w:lineRule="atLeast"/>
              <w:ind w:left="25"/>
              <w:textAlignment w:val="auto"/>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2002" w:type="dxa"/>
          </w:tcPr>
          <w:p w14:paraId="7A1B1E84">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992" w:type="dxa"/>
          </w:tcPr>
          <w:p w14:paraId="396DC7FB">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293" w:type="dxa"/>
          </w:tcPr>
          <w:p w14:paraId="0FDA5490">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0CD4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719" w:type="dxa"/>
          </w:tcPr>
          <w:p w14:paraId="2B437C79">
            <w:pPr>
              <w:pStyle w:val="13"/>
              <w:pageBreakBefore w:val="0"/>
              <w:kinsoku/>
              <w:wordWrap/>
              <w:overflowPunct/>
              <w:topLinePunct w:val="0"/>
              <w:bidi w:val="0"/>
              <w:spacing w:line="360" w:lineRule="atLeast"/>
              <w:ind w:left="25"/>
              <w:textAlignment w:val="auto"/>
              <w:rPr>
                <w:rFonts w:hint="eastAsia" w:ascii="宋体" w:hAnsi="宋体" w:eastAsia="宋体" w:cs="宋体"/>
                <w:color w:val="auto"/>
                <w:highlight w:val="none"/>
              </w:rPr>
            </w:pPr>
            <w:r>
              <w:rPr>
                <w:rFonts w:hint="eastAsia" w:ascii="宋体" w:hAnsi="宋体" w:eastAsia="宋体" w:cs="宋体"/>
                <w:color w:val="auto"/>
                <w:highlight w:val="none"/>
              </w:rPr>
              <w:t>100-500</w:t>
            </w:r>
          </w:p>
        </w:tc>
        <w:tc>
          <w:tcPr>
            <w:tcW w:w="2002" w:type="dxa"/>
          </w:tcPr>
          <w:p w14:paraId="188D6475">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992" w:type="dxa"/>
          </w:tcPr>
          <w:p w14:paraId="5610050A">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2293" w:type="dxa"/>
          </w:tcPr>
          <w:p w14:paraId="0E3624EE">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62FB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1A119B94">
            <w:pPr>
              <w:pStyle w:val="13"/>
              <w:pageBreakBefore w:val="0"/>
              <w:kinsoku/>
              <w:wordWrap/>
              <w:overflowPunct/>
              <w:topLinePunct w:val="0"/>
              <w:bidi w:val="0"/>
              <w:spacing w:line="360" w:lineRule="atLeast"/>
              <w:ind w:left="25"/>
              <w:textAlignment w:val="auto"/>
              <w:rPr>
                <w:rFonts w:hint="eastAsia" w:ascii="宋体" w:hAnsi="宋体" w:eastAsia="宋体" w:cs="宋体"/>
                <w:color w:val="auto"/>
                <w:highlight w:val="none"/>
              </w:rPr>
            </w:pPr>
            <w:r>
              <w:rPr>
                <w:rFonts w:hint="eastAsia" w:ascii="宋体" w:hAnsi="宋体" w:eastAsia="宋体" w:cs="宋体"/>
                <w:color w:val="auto"/>
                <w:highlight w:val="none"/>
              </w:rPr>
              <w:t>500-1000</w:t>
            </w:r>
          </w:p>
        </w:tc>
        <w:tc>
          <w:tcPr>
            <w:tcW w:w="2002" w:type="dxa"/>
          </w:tcPr>
          <w:p w14:paraId="7A23084F">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992" w:type="dxa"/>
          </w:tcPr>
          <w:p w14:paraId="1E456DE3">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2293" w:type="dxa"/>
          </w:tcPr>
          <w:p w14:paraId="6AC164B1">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0.55%</w:t>
            </w:r>
          </w:p>
        </w:tc>
      </w:tr>
      <w:tr w14:paraId="61C9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588CE1DE">
            <w:pPr>
              <w:pStyle w:val="13"/>
              <w:pageBreakBefore w:val="0"/>
              <w:kinsoku/>
              <w:wordWrap/>
              <w:overflowPunct/>
              <w:topLinePunct w:val="0"/>
              <w:bidi w:val="0"/>
              <w:spacing w:line="360" w:lineRule="atLeast"/>
              <w:ind w:left="25"/>
              <w:textAlignment w:val="auto"/>
              <w:rPr>
                <w:rFonts w:hint="eastAsia" w:ascii="宋体" w:hAnsi="宋体" w:eastAsia="宋体" w:cs="宋体"/>
                <w:color w:val="auto"/>
                <w:highlight w:val="none"/>
              </w:rPr>
            </w:pPr>
            <w:r>
              <w:rPr>
                <w:rFonts w:hint="eastAsia" w:ascii="宋体" w:hAnsi="宋体" w:eastAsia="宋体" w:cs="宋体"/>
                <w:color w:val="auto"/>
                <w:highlight w:val="none"/>
              </w:rPr>
              <w:t>1000-5000</w:t>
            </w:r>
          </w:p>
        </w:tc>
        <w:tc>
          <w:tcPr>
            <w:tcW w:w="2002" w:type="dxa"/>
          </w:tcPr>
          <w:p w14:paraId="7E5498E9">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0.5%</w:t>
            </w:r>
          </w:p>
        </w:tc>
        <w:tc>
          <w:tcPr>
            <w:tcW w:w="1992" w:type="dxa"/>
          </w:tcPr>
          <w:p w14:paraId="2CB08A96">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2293" w:type="dxa"/>
          </w:tcPr>
          <w:p w14:paraId="7CB22FD9">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7AFA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28ED9160">
            <w:pPr>
              <w:pStyle w:val="13"/>
              <w:pageBreakBefore w:val="0"/>
              <w:kinsoku/>
              <w:wordWrap/>
              <w:overflowPunct/>
              <w:topLinePunct w:val="0"/>
              <w:bidi w:val="0"/>
              <w:spacing w:line="360" w:lineRule="atLeast"/>
              <w:ind w:left="25"/>
              <w:textAlignment w:val="auto"/>
              <w:rPr>
                <w:rFonts w:hint="eastAsia" w:ascii="宋体" w:hAnsi="宋体" w:eastAsia="宋体" w:cs="宋体"/>
                <w:color w:val="auto"/>
                <w:highlight w:val="none"/>
              </w:rPr>
            </w:pPr>
            <w:r>
              <w:rPr>
                <w:rFonts w:hint="eastAsia" w:ascii="宋体" w:hAnsi="宋体" w:eastAsia="宋体" w:cs="宋体"/>
                <w:color w:val="auto"/>
                <w:highlight w:val="none"/>
              </w:rPr>
              <w:t>5000-10000</w:t>
            </w:r>
          </w:p>
        </w:tc>
        <w:tc>
          <w:tcPr>
            <w:tcW w:w="2002" w:type="dxa"/>
          </w:tcPr>
          <w:p w14:paraId="27B75A21">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992" w:type="dxa"/>
          </w:tcPr>
          <w:p w14:paraId="6F6C16E8">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2293" w:type="dxa"/>
          </w:tcPr>
          <w:p w14:paraId="3868EF5A">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0.2%</w:t>
            </w:r>
          </w:p>
        </w:tc>
      </w:tr>
      <w:tr w14:paraId="0CD3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719" w:type="dxa"/>
          </w:tcPr>
          <w:p w14:paraId="0B29A602">
            <w:pPr>
              <w:pStyle w:val="13"/>
              <w:pageBreakBefore w:val="0"/>
              <w:kinsoku/>
              <w:wordWrap/>
              <w:overflowPunct/>
              <w:topLinePunct w:val="0"/>
              <w:bidi w:val="0"/>
              <w:spacing w:line="360" w:lineRule="atLeast"/>
              <w:ind w:left="25"/>
              <w:textAlignment w:val="auto"/>
              <w:rPr>
                <w:rFonts w:hint="eastAsia" w:ascii="宋体" w:hAnsi="宋体" w:eastAsia="宋体" w:cs="宋体"/>
                <w:color w:val="auto"/>
                <w:highlight w:val="none"/>
              </w:rPr>
            </w:pPr>
            <w:r>
              <w:rPr>
                <w:rFonts w:hint="eastAsia" w:ascii="宋体" w:hAnsi="宋体" w:eastAsia="宋体" w:cs="宋体"/>
                <w:color w:val="auto"/>
                <w:highlight w:val="none"/>
              </w:rPr>
              <w:t>10000-50000</w:t>
            </w:r>
          </w:p>
        </w:tc>
        <w:tc>
          <w:tcPr>
            <w:tcW w:w="2002" w:type="dxa"/>
          </w:tcPr>
          <w:p w14:paraId="11DD76FC">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992" w:type="dxa"/>
          </w:tcPr>
          <w:p w14:paraId="3E936216">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2293" w:type="dxa"/>
          </w:tcPr>
          <w:p w14:paraId="68CF92F6">
            <w:pPr>
              <w:pStyle w:val="13"/>
              <w:pageBreakBefore w:val="0"/>
              <w:kinsoku/>
              <w:wordWrap/>
              <w:overflowPunct/>
              <w:topLinePunct w:val="0"/>
              <w:bidi w:val="0"/>
              <w:spacing w:line="360" w:lineRule="atLeast"/>
              <w:ind w:left="25"/>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r>
    </w:tbl>
    <w:p w14:paraId="749E3745">
      <w:pPr>
        <w:pStyle w:val="13"/>
        <w:pageBreakBefore w:val="0"/>
        <w:kinsoku/>
        <w:wordWrap/>
        <w:overflowPunct/>
        <w:topLinePunct w:val="0"/>
        <w:bidi w:val="0"/>
        <w:spacing w:before="156" w:beforeLines="50" w:line="360" w:lineRule="atLeast"/>
        <w:ind w:left="23"/>
        <w:textAlignment w:val="auto"/>
        <w:rPr>
          <w:rFonts w:hint="eastAsia" w:ascii="宋体" w:hAnsi="宋体" w:eastAsia="宋体" w:cs="宋体"/>
          <w:color w:val="auto"/>
          <w:highlight w:val="none"/>
        </w:rPr>
      </w:pPr>
      <w:r>
        <w:rPr>
          <w:rFonts w:hint="eastAsia" w:ascii="宋体" w:hAnsi="宋体" w:eastAsia="宋体" w:cs="宋体"/>
          <w:color w:val="auto"/>
          <w:highlight w:val="none"/>
        </w:rPr>
        <w:t>注：采购代理服务收费按差额定率累进法计算。</w:t>
      </w:r>
    </w:p>
    <w:p w14:paraId="5D064A15">
      <w:pPr>
        <w:pStyle w:val="4"/>
        <w:pageBreakBefore w:val="0"/>
        <w:numPr>
          <w:ilvl w:val="0"/>
          <w:numId w:val="0"/>
        </w:numPr>
        <w:kinsoku/>
        <w:wordWrap/>
        <w:overflowPunct/>
        <w:topLinePunct w:val="0"/>
        <w:bidi w:val="0"/>
        <w:spacing w:before="0" w:after="0" w:line="360" w:lineRule="atLeast"/>
        <w:ind w:firstLine="420" w:firstLineChars="200"/>
        <w:textAlignment w:val="auto"/>
        <w:rPr>
          <w:rStyle w:val="27"/>
          <w:rFonts w:hint="eastAsia" w:ascii="宋体" w:hAnsi="宋体" w:eastAsia="宋体" w:cs="宋体"/>
          <w:b/>
          <w:kern w:val="2"/>
          <w:sz w:val="21"/>
          <w:szCs w:val="21"/>
          <w:highlight w:val="none"/>
        </w:rPr>
      </w:pPr>
      <w:bookmarkStart w:id="318" w:name="_Toc27094"/>
      <w:r>
        <w:rPr>
          <w:rStyle w:val="27"/>
          <w:rFonts w:hint="eastAsia" w:ascii="宋体" w:hAnsi="宋体" w:eastAsia="宋体" w:cs="宋体"/>
          <w:b/>
          <w:kern w:val="2"/>
          <w:sz w:val="21"/>
          <w:szCs w:val="21"/>
          <w:highlight w:val="none"/>
        </w:rPr>
        <w:t>3</w:t>
      </w:r>
      <w:r>
        <w:rPr>
          <w:rStyle w:val="27"/>
          <w:rFonts w:hint="eastAsia" w:ascii="宋体" w:hAnsi="宋体" w:eastAsia="宋体" w:cs="宋体"/>
          <w:b/>
          <w:kern w:val="2"/>
          <w:sz w:val="21"/>
          <w:szCs w:val="21"/>
          <w:highlight w:val="none"/>
          <w:lang w:val="en-US" w:eastAsia="zh-CN"/>
        </w:rPr>
        <w:t>1</w:t>
      </w:r>
      <w:r>
        <w:rPr>
          <w:rStyle w:val="27"/>
          <w:rFonts w:hint="eastAsia" w:ascii="宋体" w:hAnsi="宋体" w:eastAsia="宋体" w:cs="宋体"/>
          <w:b/>
          <w:kern w:val="2"/>
          <w:sz w:val="21"/>
          <w:szCs w:val="21"/>
          <w:highlight w:val="none"/>
        </w:rPr>
        <w:t>、采购代理机构银行账户：</w:t>
      </w:r>
      <w:bookmarkEnd w:id="318"/>
    </w:p>
    <w:p w14:paraId="798649F4">
      <w:pPr>
        <w:pStyle w:val="4"/>
        <w:pageBreakBefore w:val="0"/>
        <w:numPr>
          <w:ilvl w:val="0"/>
          <w:numId w:val="0"/>
        </w:numPr>
        <w:kinsoku/>
        <w:wordWrap/>
        <w:overflowPunct/>
        <w:topLinePunct w:val="0"/>
        <w:bidi w:val="0"/>
        <w:spacing w:before="0" w:after="0" w:line="360" w:lineRule="atLeast"/>
        <w:ind w:left="420" w:leftChars="200" w:firstLine="0" w:firstLineChars="0"/>
        <w:textAlignment w:val="auto"/>
        <w:rPr>
          <w:rStyle w:val="27"/>
          <w:rFonts w:hint="eastAsia" w:ascii="宋体" w:hAnsi="宋体" w:eastAsia="宋体" w:cs="宋体"/>
          <w:b/>
          <w:kern w:val="2"/>
          <w:sz w:val="21"/>
          <w:szCs w:val="21"/>
          <w:highlight w:val="none"/>
          <w:lang w:eastAsia="zh-CN"/>
        </w:rPr>
      </w:pPr>
      <w:bookmarkStart w:id="319" w:name="_Toc5184"/>
      <w:r>
        <w:rPr>
          <w:rStyle w:val="27"/>
          <w:rFonts w:hint="eastAsia" w:ascii="宋体" w:hAnsi="宋体" w:eastAsia="宋体" w:cs="宋体"/>
          <w:b/>
          <w:kern w:val="2"/>
          <w:sz w:val="21"/>
          <w:szCs w:val="21"/>
          <w:highlight w:val="none"/>
        </w:rPr>
        <w:t>开户名称：</w:t>
      </w:r>
      <w:r>
        <w:rPr>
          <w:rStyle w:val="27"/>
          <w:rFonts w:hint="eastAsia" w:ascii="宋体" w:hAnsi="宋体" w:eastAsia="宋体" w:cs="宋体"/>
          <w:b/>
          <w:kern w:val="2"/>
          <w:sz w:val="21"/>
          <w:szCs w:val="21"/>
          <w:highlight w:val="none"/>
          <w:lang w:eastAsia="zh-CN"/>
        </w:rPr>
        <w:t>广西禾昇项目管理有限公司</w:t>
      </w:r>
      <w:bookmarkEnd w:id="319"/>
    </w:p>
    <w:p w14:paraId="279B9DF3">
      <w:pPr>
        <w:pStyle w:val="4"/>
        <w:pageBreakBefore w:val="0"/>
        <w:numPr>
          <w:ilvl w:val="0"/>
          <w:numId w:val="0"/>
        </w:numPr>
        <w:kinsoku/>
        <w:wordWrap/>
        <w:overflowPunct/>
        <w:topLinePunct w:val="0"/>
        <w:bidi w:val="0"/>
        <w:spacing w:before="0" w:after="0" w:line="360" w:lineRule="atLeast"/>
        <w:ind w:left="420" w:leftChars="200" w:firstLine="0" w:firstLineChars="0"/>
        <w:textAlignment w:val="auto"/>
        <w:rPr>
          <w:rStyle w:val="27"/>
          <w:rFonts w:hint="eastAsia" w:ascii="宋体" w:hAnsi="宋体" w:eastAsia="宋体" w:cs="宋体"/>
          <w:b/>
          <w:kern w:val="2"/>
          <w:sz w:val="21"/>
          <w:szCs w:val="21"/>
          <w:highlight w:val="none"/>
        </w:rPr>
      </w:pPr>
      <w:bookmarkStart w:id="320" w:name="_Toc23184"/>
      <w:r>
        <w:rPr>
          <w:rStyle w:val="27"/>
          <w:rFonts w:hint="eastAsia" w:ascii="宋体" w:hAnsi="宋体" w:eastAsia="宋体" w:cs="宋体"/>
          <w:b/>
          <w:kern w:val="2"/>
          <w:sz w:val="21"/>
          <w:szCs w:val="21"/>
          <w:highlight w:val="none"/>
        </w:rPr>
        <w:t>开户银行：桂林银行股份有限公司漓东支行</w:t>
      </w:r>
      <w:bookmarkEnd w:id="320"/>
    </w:p>
    <w:p w14:paraId="789FA5D8">
      <w:pPr>
        <w:pStyle w:val="4"/>
        <w:pageBreakBefore w:val="0"/>
        <w:numPr>
          <w:ilvl w:val="0"/>
          <w:numId w:val="0"/>
        </w:numPr>
        <w:kinsoku/>
        <w:wordWrap/>
        <w:overflowPunct/>
        <w:topLinePunct w:val="0"/>
        <w:bidi w:val="0"/>
        <w:spacing w:before="0" w:after="0" w:line="360" w:lineRule="atLeast"/>
        <w:ind w:firstLine="420" w:firstLineChars="200"/>
        <w:textAlignment w:val="auto"/>
        <w:rPr>
          <w:rStyle w:val="27"/>
          <w:rFonts w:hint="eastAsia" w:ascii="宋体" w:hAnsi="宋体" w:eastAsia="宋体" w:cs="宋体"/>
          <w:b/>
          <w:kern w:val="2"/>
          <w:sz w:val="21"/>
          <w:szCs w:val="21"/>
          <w:highlight w:val="none"/>
        </w:rPr>
      </w:pPr>
      <w:bookmarkStart w:id="321" w:name="_Toc10985"/>
      <w:r>
        <w:rPr>
          <w:rStyle w:val="27"/>
          <w:rFonts w:hint="eastAsia" w:ascii="宋体" w:hAnsi="宋体" w:eastAsia="宋体" w:cs="宋体"/>
          <w:b/>
          <w:kern w:val="2"/>
          <w:sz w:val="21"/>
          <w:szCs w:val="21"/>
          <w:highlight w:val="none"/>
        </w:rPr>
        <w:t>银行账号：6600 0002 4532 9000 17</w:t>
      </w:r>
      <w:bookmarkEnd w:id="321"/>
    </w:p>
    <w:p w14:paraId="38C7722A">
      <w:pPr>
        <w:pStyle w:val="4"/>
        <w:pageBreakBefore w:val="0"/>
        <w:numPr>
          <w:ilvl w:val="0"/>
          <w:numId w:val="0"/>
        </w:numPr>
        <w:kinsoku/>
        <w:wordWrap/>
        <w:overflowPunct/>
        <w:topLinePunct w:val="0"/>
        <w:bidi w:val="0"/>
        <w:spacing w:before="0" w:after="0" w:line="360" w:lineRule="atLeast"/>
        <w:ind w:firstLine="420" w:firstLineChars="200"/>
        <w:textAlignment w:val="auto"/>
        <w:rPr>
          <w:rFonts w:hint="eastAsia" w:ascii="宋体" w:hAnsi="宋体" w:eastAsia="宋体" w:cs="宋体"/>
          <w:highlight w:val="none"/>
        </w:rPr>
      </w:pPr>
      <w:bookmarkStart w:id="322" w:name="_Toc13357"/>
      <w:r>
        <w:rPr>
          <w:rStyle w:val="27"/>
          <w:rFonts w:hint="eastAsia" w:ascii="宋体" w:hAnsi="宋体" w:eastAsia="宋体" w:cs="宋体"/>
          <w:b/>
          <w:kern w:val="2"/>
          <w:sz w:val="21"/>
          <w:szCs w:val="21"/>
          <w:highlight w:val="none"/>
        </w:rPr>
        <w:t>3</w:t>
      </w:r>
      <w:r>
        <w:rPr>
          <w:rStyle w:val="27"/>
          <w:rFonts w:hint="eastAsia" w:ascii="宋体" w:hAnsi="宋体" w:eastAsia="宋体" w:cs="宋体"/>
          <w:b/>
          <w:kern w:val="2"/>
          <w:sz w:val="21"/>
          <w:szCs w:val="21"/>
          <w:highlight w:val="none"/>
          <w:lang w:val="en-US" w:eastAsia="zh-CN"/>
        </w:rPr>
        <w:t>2</w:t>
      </w:r>
      <w:r>
        <w:rPr>
          <w:rStyle w:val="27"/>
          <w:rFonts w:hint="eastAsia" w:ascii="宋体" w:hAnsi="宋体" w:eastAsia="宋体" w:cs="宋体"/>
          <w:b/>
          <w:kern w:val="2"/>
          <w:sz w:val="21"/>
          <w:szCs w:val="21"/>
          <w:highlight w:val="none"/>
        </w:rPr>
        <w:t>.</w:t>
      </w:r>
      <w:bookmarkEnd w:id="312"/>
      <w:bookmarkEnd w:id="313"/>
      <w:bookmarkEnd w:id="314"/>
      <w:bookmarkEnd w:id="315"/>
      <w:bookmarkEnd w:id="316"/>
      <w:r>
        <w:rPr>
          <w:rFonts w:hint="eastAsia" w:ascii="宋体" w:hAnsi="宋体" w:eastAsia="宋体" w:cs="宋体"/>
          <w:sz w:val="21"/>
          <w:szCs w:val="21"/>
          <w:highlight w:val="none"/>
          <w:lang w:eastAsia="zh-CN"/>
        </w:rPr>
        <w:t>编制</w:t>
      </w:r>
      <w:r>
        <w:rPr>
          <w:rFonts w:hint="eastAsia" w:ascii="宋体" w:hAnsi="宋体" w:eastAsia="宋体" w:cs="宋体"/>
          <w:sz w:val="21"/>
          <w:szCs w:val="24"/>
          <w:highlight w:val="none"/>
          <w:lang w:eastAsia="zh-CN"/>
        </w:rPr>
        <w:t>依据</w:t>
      </w:r>
      <w:bookmarkEnd w:id="317"/>
      <w:bookmarkEnd w:id="322"/>
    </w:p>
    <w:p w14:paraId="72FCDB8D">
      <w:pPr>
        <w:pageBreakBefore w:val="0"/>
        <w:kinsoku/>
        <w:wordWrap/>
        <w:overflowPunct/>
        <w:topLinePunct w:val="0"/>
        <w:bidi w:val="0"/>
        <w:spacing w:line="360" w:lineRule="atLeast"/>
        <w:ind w:firstLine="420" w:firstLineChars="200"/>
        <w:textAlignment w:val="auto"/>
        <w:rPr>
          <w:rFonts w:hint="eastAsia" w:ascii="宋体" w:hAnsi="宋体" w:eastAsia="宋体" w:cs="宋体"/>
          <w:highlight w:val="none"/>
        </w:rPr>
      </w:pPr>
      <w:r>
        <w:rPr>
          <w:rFonts w:hint="eastAsia" w:ascii="宋体" w:hAnsi="宋体" w:eastAsia="宋体" w:cs="宋体"/>
          <w:color w:val="000000"/>
          <w:szCs w:val="21"/>
          <w:highlight w:val="none"/>
        </w:rPr>
        <w:t>本竞争性磋商文件是根据《中华人民共和国政府采购法》《中华人民共和国政府采购法实施条例》《政府采购竞争性磋商采购方式管理暂行办法》和政府采购管理有关规定编制</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本竞争性磋商</w:t>
      </w:r>
      <w:r>
        <w:rPr>
          <w:rFonts w:hint="eastAsia" w:ascii="宋体" w:hAnsi="宋体" w:eastAsia="宋体" w:cs="宋体"/>
          <w:color w:val="auto"/>
          <w:szCs w:val="21"/>
          <w:highlight w:val="none"/>
        </w:rPr>
        <w:t>文件的解释权属于采购代理机构</w:t>
      </w:r>
      <w:r>
        <w:rPr>
          <w:rFonts w:hint="eastAsia" w:ascii="宋体" w:hAnsi="宋体" w:eastAsia="宋体" w:cs="宋体"/>
          <w:color w:val="000000"/>
          <w:szCs w:val="21"/>
          <w:highlight w:val="none"/>
        </w:rPr>
        <w:t>。</w:t>
      </w:r>
    </w:p>
    <w:p w14:paraId="2DBF1743">
      <w:pPr>
        <w:pageBreakBefore w:val="0"/>
        <w:kinsoku/>
        <w:wordWrap/>
        <w:overflowPunct/>
        <w:topLinePunct w:val="0"/>
        <w:bidi w:val="0"/>
        <w:snapToGrid w:val="0"/>
        <w:spacing w:line="360" w:lineRule="atLeast"/>
        <w:ind w:firstLine="420" w:firstLineChars="200"/>
        <w:textAlignment w:val="auto"/>
        <w:rPr>
          <w:rFonts w:hint="eastAsia" w:ascii="宋体" w:hAnsi="宋体" w:eastAsia="宋体" w:cs="宋体"/>
          <w:highlight w:val="none"/>
          <w:lang w:eastAsia="zh-CN"/>
        </w:rPr>
      </w:pPr>
      <w:bookmarkStart w:id="323" w:name="_Toc22479"/>
      <w:bookmarkStart w:id="324" w:name="_Toc10339"/>
      <w:bookmarkStart w:id="325" w:name="_Toc24443"/>
      <w:bookmarkStart w:id="326" w:name="_Toc17461"/>
      <w:bookmarkStart w:id="327" w:name="_Toc24087"/>
      <w:r>
        <w:rPr>
          <w:rFonts w:hint="eastAsia" w:ascii="宋体" w:hAnsi="宋体" w:eastAsia="宋体" w:cs="宋体"/>
          <w:b/>
          <w:bCs/>
          <w:color w:val="000000"/>
          <w:kern w:val="0"/>
          <w:sz w:val="21"/>
          <w:szCs w:val="21"/>
          <w:highlight w:val="none"/>
        </w:rPr>
        <w:t>3</w:t>
      </w:r>
      <w:r>
        <w:rPr>
          <w:rFonts w:hint="eastAsia" w:ascii="宋体" w:hAnsi="宋体" w:eastAsia="宋体" w:cs="宋体"/>
          <w:b/>
          <w:bCs/>
          <w:color w:val="000000"/>
          <w:kern w:val="0"/>
          <w:sz w:val="21"/>
          <w:szCs w:val="21"/>
          <w:highlight w:val="none"/>
          <w:lang w:val="en-US" w:eastAsia="zh-CN"/>
        </w:rPr>
        <w:t>3</w:t>
      </w:r>
      <w:r>
        <w:rPr>
          <w:rFonts w:hint="eastAsia" w:ascii="宋体" w:hAnsi="宋体" w:eastAsia="宋体" w:cs="宋体"/>
          <w:b/>
          <w:bCs/>
          <w:color w:val="000000"/>
          <w:kern w:val="0"/>
          <w:sz w:val="21"/>
          <w:szCs w:val="21"/>
          <w:highlight w:val="none"/>
        </w:rPr>
        <w:t>. 监督管理机构</w:t>
      </w:r>
      <w:bookmarkEnd w:id="323"/>
      <w:bookmarkEnd w:id="324"/>
      <w:bookmarkEnd w:id="325"/>
      <w:bookmarkEnd w:id="326"/>
      <w:bookmarkEnd w:id="327"/>
      <w:r>
        <w:rPr>
          <w:rFonts w:hint="eastAsia" w:ascii="宋体" w:hAnsi="宋体" w:eastAsia="宋体" w:cs="宋体"/>
          <w:szCs w:val="21"/>
          <w:highlight w:val="none"/>
        </w:rPr>
        <w:t>：</w:t>
      </w:r>
      <w:r>
        <w:rPr>
          <w:rFonts w:hint="eastAsia" w:ascii="宋体" w:hAnsi="宋体" w:eastAsia="宋体" w:cs="宋体"/>
          <w:szCs w:val="21"/>
          <w:highlight w:val="none"/>
          <w:lang w:eastAsia="zh-CN"/>
        </w:rPr>
        <w:t>七星区政府采购办公室</w:t>
      </w:r>
      <w:r>
        <w:rPr>
          <w:rFonts w:hint="eastAsia" w:ascii="宋体" w:hAnsi="宋体" w:eastAsia="宋体" w:cs="宋体"/>
          <w:szCs w:val="21"/>
          <w:highlight w:val="none"/>
        </w:rPr>
        <w:t xml:space="preserve">   电话：</w:t>
      </w:r>
      <w:r>
        <w:rPr>
          <w:rFonts w:hint="eastAsia" w:ascii="宋体" w:hAnsi="宋体" w:eastAsia="宋体" w:cs="宋体"/>
          <w:szCs w:val="21"/>
          <w:highlight w:val="none"/>
          <w:lang w:eastAsia="zh-CN"/>
        </w:rPr>
        <w:t>0773-2126057</w:t>
      </w:r>
    </w:p>
    <w:p w14:paraId="6EE8A46D">
      <w:pPr>
        <w:rPr>
          <w:rFonts w:hint="eastAsia" w:ascii="宋体" w:hAnsi="宋体" w:eastAsia="宋体" w:cs="宋体"/>
          <w:sz w:val="32"/>
          <w:szCs w:val="32"/>
          <w:highlight w:val="none"/>
        </w:rPr>
      </w:pPr>
      <w:bookmarkStart w:id="328" w:name="_Toc29649"/>
    </w:p>
    <w:p w14:paraId="62A0124E">
      <w:pPr>
        <w:rPr>
          <w:rFonts w:hint="eastAsia" w:ascii="宋体" w:hAnsi="宋体" w:eastAsia="宋体" w:cs="宋体"/>
          <w:sz w:val="32"/>
          <w:szCs w:val="32"/>
          <w:highlight w:val="none"/>
        </w:rPr>
      </w:pPr>
    </w:p>
    <w:p w14:paraId="7292EC74">
      <w:pPr>
        <w:rPr>
          <w:rFonts w:hint="eastAsia" w:ascii="宋体" w:hAnsi="宋体" w:eastAsia="宋体" w:cs="宋体"/>
          <w:sz w:val="32"/>
          <w:szCs w:val="32"/>
          <w:highlight w:val="none"/>
        </w:rPr>
      </w:pPr>
    </w:p>
    <w:p w14:paraId="200576AB">
      <w:pPr>
        <w:rPr>
          <w:rFonts w:hint="eastAsia" w:ascii="宋体" w:hAnsi="宋体" w:eastAsia="宋体" w:cs="宋体"/>
          <w:sz w:val="32"/>
          <w:szCs w:val="32"/>
          <w:highlight w:val="none"/>
        </w:rPr>
      </w:pPr>
    </w:p>
    <w:p w14:paraId="2E71B8AB">
      <w:pPr>
        <w:rPr>
          <w:rFonts w:hint="eastAsia" w:ascii="宋体" w:hAnsi="宋体" w:eastAsia="宋体" w:cs="宋体"/>
          <w:sz w:val="32"/>
          <w:szCs w:val="32"/>
          <w:highlight w:val="none"/>
        </w:rPr>
      </w:pPr>
    </w:p>
    <w:p w14:paraId="21609763">
      <w:pPr>
        <w:rPr>
          <w:rFonts w:hint="eastAsia" w:ascii="宋体" w:hAnsi="宋体" w:eastAsia="宋体" w:cs="宋体"/>
          <w:sz w:val="32"/>
          <w:szCs w:val="32"/>
          <w:highlight w:val="none"/>
        </w:rPr>
      </w:pPr>
    </w:p>
    <w:p w14:paraId="3D2292BC">
      <w:pPr>
        <w:rPr>
          <w:rFonts w:hint="eastAsia" w:ascii="宋体" w:hAnsi="宋体" w:eastAsia="宋体" w:cs="宋体"/>
          <w:sz w:val="32"/>
          <w:szCs w:val="32"/>
          <w:highlight w:val="none"/>
        </w:rPr>
      </w:pPr>
    </w:p>
    <w:p w14:paraId="1F8E3C74">
      <w:pPr>
        <w:rPr>
          <w:rFonts w:hint="eastAsia" w:ascii="宋体" w:hAnsi="宋体" w:eastAsia="宋体" w:cs="宋体"/>
          <w:sz w:val="32"/>
          <w:szCs w:val="32"/>
          <w:highlight w:val="none"/>
        </w:rPr>
      </w:pPr>
    </w:p>
    <w:p w14:paraId="10515C0C">
      <w:pPr>
        <w:rPr>
          <w:rFonts w:hint="eastAsia" w:ascii="宋体" w:hAnsi="宋体" w:eastAsia="宋体" w:cs="宋体"/>
          <w:sz w:val="32"/>
          <w:szCs w:val="32"/>
          <w:highlight w:val="none"/>
        </w:rPr>
      </w:pPr>
    </w:p>
    <w:p w14:paraId="3BF108A6">
      <w:pPr>
        <w:rPr>
          <w:rFonts w:hint="eastAsia" w:ascii="宋体" w:hAnsi="宋体" w:eastAsia="宋体" w:cs="宋体"/>
          <w:sz w:val="32"/>
          <w:szCs w:val="32"/>
          <w:highlight w:val="none"/>
        </w:rPr>
      </w:pPr>
    </w:p>
    <w:p w14:paraId="26CD4463">
      <w:pPr>
        <w:rPr>
          <w:rFonts w:hint="eastAsia" w:ascii="宋体" w:hAnsi="宋体" w:eastAsia="宋体" w:cs="宋体"/>
          <w:sz w:val="32"/>
          <w:szCs w:val="32"/>
          <w:highlight w:val="none"/>
        </w:rPr>
      </w:pPr>
    </w:p>
    <w:p w14:paraId="641BF5CA">
      <w:pPr>
        <w:rPr>
          <w:rFonts w:hint="eastAsia" w:ascii="宋体" w:hAnsi="宋体" w:eastAsia="宋体" w:cs="宋体"/>
          <w:sz w:val="32"/>
          <w:szCs w:val="32"/>
          <w:highlight w:val="none"/>
        </w:rPr>
      </w:pPr>
    </w:p>
    <w:p w14:paraId="02574981">
      <w:pPr>
        <w:pStyle w:val="2"/>
        <w:tabs>
          <w:tab w:val="left" w:pos="0"/>
        </w:tabs>
        <w:autoSpaceDE w:val="0"/>
        <w:autoSpaceDN w:val="0"/>
        <w:adjustRightInd w:val="0"/>
        <w:spacing w:before="0" w:after="0" w:line="360" w:lineRule="auto"/>
        <w:jc w:val="center"/>
        <w:rPr>
          <w:rFonts w:hint="eastAsia" w:ascii="宋体" w:hAnsi="宋体" w:eastAsia="宋体" w:cs="宋体"/>
          <w:sz w:val="32"/>
          <w:szCs w:val="32"/>
          <w:highlight w:val="none"/>
        </w:rPr>
      </w:pPr>
      <w:bookmarkStart w:id="329" w:name="_Toc24535"/>
      <w:bookmarkStart w:id="330" w:name="_Toc369"/>
      <w:bookmarkStart w:id="331" w:name="_Toc914"/>
      <w:bookmarkStart w:id="332" w:name="_Toc20862"/>
      <w:bookmarkStart w:id="333" w:name="_Toc15590"/>
      <w:r>
        <w:rPr>
          <w:rFonts w:hint="eastAsia" w:ascii="宋体" w:hAnsi="宋体" w:eastAsia="宋体" w:cs="宋体"/>
          <w:sz w:val="32"/>
          <w:szCs w:val="32"/>
          <w:highlight w:val="none"/>
          <w:lang w:eastAsia="zh-CN"/>
        </w:rPr>
        <w:t>第三章</w:t>
      </w:r>
      <w:r>
        <w:rPr>
          <w:rFonts w:hint="eastAsia" w:ascii="宋体" w:hAnsi="宋体" w:eastAsia="宋体" w:cs="宋体"/>
          <w:sz w:val="32"/>
          <w:szCs w:val="32"/>
          <w:highlight w:val="none"/>
        </w:rPr>
        <w:t xml:space="preserve"> </w:t>
      </w:r>
      <w:bookmarkStart w:id="334" w:name="_Toc24601"/>
      <w:bookmarkStart w:id="335" w:name="_Toc22353"/>
      <w:r>
        <w:rPr>
          <w:rFonts w:hint="eastAsia" w:ascii="宋体" w:hAnsi="宋体" w:eastAsia="宋体" w:cs="宋体"/>
          <w:sz w:val="32"/>
          <w:szCs w:val="32"/>
          <w:highlight w:val="none"/>
        </w:rPr>
        <w:t>采购需求</w:t>
      </w:r>
      <w:bookmarkEnd w:id="328"/>
      <w:bookmarkEnd w:id="329"/>
      <w:bookmarkEnd w:id="330"/>
      <w:bookmarkEnd w:id="331"/>
      <w:bookmarkEnd w:id="332"/>
      <w:bookmarkEnd w:id="333"/>
      <w:bookmarkEnd w:id="334"/>
      <w:bookmarkEnd w:id="335"/>
    </w:p>
    <w:p w14:paraId="27EC243A">
      <w:pPr>
        <w:keepNext w:val="0"/>
        <w:keepLines w:val="0"/>
        <w:pageBreakBefore w:val="0"/>
        <w:widowControl w:val="0"/>
        <w:kinsoku/>
        <w:wordWrap/>
        <w:overflowPunct/>
        <w:topLinePunct w:val="0"/>
        <w:bidi w:val="0"/>
        <w:spacing w:line="360" w:lineRule="exact"/>
        <w:ind w:firstLine="420" w:firstLineChars="200"/>
        <w:textAlignment w:val="center"/>
        <w:rPr>
          <w:rFonts w:hint="eastAsia" w:ascii="宋体" w:hAnsi="宋体" w:eastAsia="宋体" w:cs="宋体"/>
          <w:b/>
          <w:color w:val="auto"/>
          <w:sz w:val="21"/>
          <w:szCs w:val="21"/>
          <w:highlight w:val="none"/>
        </w:rPr>
      </w:pPr>
      <w:bookmarkStart w:id="336" w:name="_Toc2989"/>
      <w:bookmarkStart w:id="337" w:name="_Toc6574"/>
      <w:r>
        <w:rPr>
          <w:rFonts w:hint="eastAsia" w:ascii="宋体" w:hAnsi="宋体" w:eastAsia="宋体" w:cs="宋体"/>
          <w:b/>
          <w:bCs/>
          <w:color w:val="auto"/>
          <w:sz w:val="21"/>
          <w:szCs w:val="21"/>
          <w:highlight w:val="none"/>
        </w:rPr>
        <w:t>说明：</w:t>
      </w:r>
      <w:r>
        <w:rPr>
          <w:rFonts w:hint="eastAsia" w:ascii="宋体" w:hAnsi="宋体" w:eastAsia="宋体" w:cs="宋体"/>
          <w:b/>
          <w:color w:val="auto"/>
          <w:sz w:val="21"/>
          <w:szCs w:val="21"/>
          <w:highlight w:val="none"/>
        </w:rPr>
        <w:t>本项目采购需求均为实质性要求，不允许负偏离，否则</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rPr>
        <w:t>无效。</w:t>
      </w:r>
    </w:p>
    <w:p w14:paraId="004155F2">
      <w:pPr>
        <w:keepNext w:val="0"/>
        <w:keepLines w:val="0"/>
        <w:pageBreakBefore w:val="0"/>
        <w:widowControl w:val="0"/>
        <w:kinsoku/>
        <w:wordWrap/>
        <w:overflowPunct/>
        <w:topLinePunct w:val="0"/>
        <w:bidi w:val="0"/>
        <w:spacing w:line="360" w:lineRule="exact"/>
        <w:ind w:firstLine="420" w:firstLineChars="200"/>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w:t>
      </w:r>
      <w:r>
        <w:rPr>
          <w:rFonts w:hint="eastAsia" w:ascii="宋体" w:hAnsi="宋体" w:eastAsia="宋体" w:cs="宋体"/>
          <w:b/>
          <w:color w:val="auto"/>
          <w:sz w:val="21"/>
          <w:szCs w:val="21"/>
          <w:highlight w:val="none"/>
          <w:lang w:val="en-US" w:eastAsia="zh-CN"/>
        </w:rPr>
        <w:t>目</w:t>
      </w:r>
      <w:r>
        <w:rPr>
          <w:rFonts w:hint="eastAsia" w:ascii="宋体" w:hAnsi="宋体" w:eastAsia="宋体" w:cs="宋体"/>
          <w:b/>
          <w:color w:val="auto"/>
          <w:sz w:val="21"/>
          <w:szCs w:val="21"/>
          <w:highlight w:val="none"/>
        </w:rPr>
        <w:t>所属行业:餐饮业。</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
        <w:gridCol w:w="739"/>
        <w:gridCol w:w="1159"/>
        <w:gridCol w:w="7478"/>
      </w:tblGrid>
      <w:tr w14:paraId="37CC6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9854" w:type="dxa"/>
            <w:gridSpan w:val="4"/>
            <w:vAlign w:val="center"/>
          </w:tcPr>
          <w:p w14:paraId="6415BBEC">
            <w:pPr>
              <w:keepNext w:val="0"/>
              <w:keepLines w:val="0"/>
              <w:pageBreakBefore w:val="0"/>
              <w:widowControl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一、采购货物类别及质量要求（采购需求中所有条款为实质性要求）：</w:t>
            </w:r>
          </w:p>
        </w:tc>
      </w:tr>
      <w:tr w14:paraId="37302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8" w:type="dxa"/>
            <w:vAlign w:val="center"/>
          </w:tcPr>
          <w:p w14:paraId="77CE7991">
            <w:pPr>
              <w:keepNext w:val="0"/>
              <w:keepLines w:val="0"/>
              <w:pageBreakBefore w:val="0"/>
              <w:widowControl w:val="0"/>
              <w:kinsoku/>
              <w:wordWrap/>
              <w:overflowPunct/>
              <w:topLinePunct w:val="0"/>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9" w:type="dxa"/>
            <w:vAlign w:val="center"/>
          </w:tcPr>
          <w:p w14:paraId="24ADEF5A">
            <w:pPr>
              <w:keepNext w:val="0"/>
              <w:keepLines w:val="0"/>
              <w:pageBreakBefore w:val="0"/>
              <w:widowControl w:val="0"/>
              <w:kinsoku/>
              <w:wordWrap/>
              <w:overflowPunct/>
              <w:topLinePunct w:val="0"/>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1159" w:type="dxa"/>
            <w:vAlign w:val="center"/>
          </w:tcPr>
          <w:p w14:paraId="44A08E40">
            <w:pPr>
              <w:keepNext w:val="0"/>
              <w:keepLines w:val="0"/>
              <w:pageBreakBefore w:val="0"/>
              <w:widowControl w:val="0"/>
              <w:kinsoku/>
              <w:wordWrap/>
              <w:overflowPunct/>
              <w:topLinePunct w:val="0"/>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品名</w:t>
            </w:r>
          </w:p>
        </w:tc>
        <w:tc>
          <w:tcPr>
            <w:tcW w:w="7478" w:type="dxa"/>
            <w:vAlign w:val="center"/>
          </w:tcPr>
          <w:p w14:paraId="0F92629E">
            <w:pPr>
              <w:keepNext w:val="0"/>
              <w:keepLines w:val="0"/>
              <w:pageBreakBefore w:val="0"/>
              <w:widowControl w:val="0"/>
              <w:kinsoku/>
              <w:wordWrap/>
              <w:overflowPunct/>
              <w:topLinePunct w:val="0"/>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质量要求</w:t>
            </w:r>
          </w:p>
        </w:tc>
      </w:tr>
      <w:tr w14:paraId="509C4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478" w:type="dxa"/>
            <w:vAlign w:val="center"/>
          </w:tcPr>
          <w:p w14:paraId="38C5712C">
            <w:pPr>
              <w:keepNext w:val="0"/>
              <w:keepLines w:val="0"/>
              <w:pageBreakBefore w:val="0"/>
              <w:widowControl w:val="0"/>
              <w:kinsoku/>
              <w:wordWrap/>
              <w:overflowPunct/>
              <w:topLinePunct w:val="0"/>
              <w:bidi w:val="0"/>
              <w:adjustRightIn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739" w:type="dxa"/>
            <w:vAlign w:val="center"/>
          </w:tcPr>
          <w:p w14:paraId="6B497D6B">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肉类</w:t>
            </w:r>
          </w:p>
        </w:tc>
        <w:tc>
          <w:tcPr>
            <w:tcW w:w="1159" w:type="dxa"/>
            <w:vAlign w:val="center"/>
          </w:tcPr>
          <w:p w14:paraId="53351B17">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鲜猪肉、牛肉等</w:t>
            </w:r>
          </w:p>
        </w:tc>
        <w:tc>
          <w:tcPr>
            <w:tcW w:w="7478" w:type="dxa"/>
            <w:vAlign w:val="center"/>
          </w:tcPr>
          <w:p w14:paraId="6D504E8A">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必须符合鲜(冻)畜肉国标GB 2707</w:t>
            </w:r>
            <w:r>
              <w:rPr>
                <w:rFonts w:hint="eastAsia" w:ascii="宋体" w:hAnsi="宋体" w:eastAsia="宋体" w:cs="宋体"/>
                <w:color w:val="auto"/>
                <w:kern w:val="0"/>
                <w:sz w:val="21"/>
                <w:szCs w:val="21"/>
                <w:highlight w:val="none"/>
              </w:rPr>
              <w:noBreakHyphen/>
            </w:r>
            <w:r>
              <w:rPr>
                <w:rFonts w:hint="eastAsia" w:ascii="宋体" w:hAnsi="宋体" w:eastAsia="宋体" w:cs="宋体"/>
                <w:color w:val="auto"/>
                <w:kern w:val="0"/>
                <w:sz w:val="21"/>
                <w:szCs w:val="21"/>
                <w:highlight w:val="none"/>
              </w:rPr>
              <w:t>2016，保证无异味、无霉烂变质。</w:t>
            </w:r>
          </w:p>
          <w:p w14:paraId="4EC17E31">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所供每批次鲜肉必须有齐全的“两证两章”（《肉品品质检验合格证明》、</w:t>
            </w:r>
          </w:p>
          <w:p w14:paraId="3BB880B6">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《动物产品检疫合格证明》、《肉品品质检验合格验讫印章》和《动物产品检疫</w:t>
            </w:r>
          </w:p>
          <w:p w14:paraId="5AF2FE52">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合格印章》），供货现场查验。</w:t>
            </w:r>
          </w:p>
          <w:p w14:paraId="7885839A">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3、</w:t>
            </w:r>
            <w:r>
              <w:rPr>
                <w:rFonts w:hint="eastAsia" w:ascii="宋体" w:hAnsi="宋体" w:eastAsia="宋体" w:cs="宋体"/>
                <w:color w:val="auto"/>
                <w:kern w:val="0"/>
                <w:sz w:val="21"/>
                <w:szCs w:val="21"/>
                <w:highlight w:val="none"/>
              </w:rPr>
              <w:t>色泽：肌肉有光泽，颜色均匀，脂肪乳白色。组织状态：纤维清晰，有坚韧</w:t>
            </w:r>
          </w:p>
          <w:p w14:paraId="28942239">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性，指压后凹陷立即恢复，肉质紧密，有坚韧性。</w:t>
            </w:r>
          </w:p>
          <w:p w14:paraId="54A90186">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粘度：外表湿润，不粘手，切面有渗出液，不粘手。</w:t>
            </w:r>
          </w:p>
          <w:p w14:paraId="2EE20683">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气味：具有肉类固有的气味，无异味，煮沸后肉汤澄清透明，脂肪团聚于表</w:t>
            </w:r>
          </w:p>
          <w:p w14:paraId="4D0C8FB3">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面澄清透明或稍有浑浊。</w:t>
            </w:r>
          </w:p>
        </w:tc>
      </w:tr>
      <w:tr w14:paraId="5CBE0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jc w:val="center"/>
        </w:trPr>
        <w:tc>
          <w:tcPr>
            <w:tcW w:w="478" w:type="dxa"/>
            <w:vAlign w:val="center"/>
          </w:tcPr>
          <w:p w14:paraId="574BEE6B">
            <w:pPr>
              <w:keepNext w:val="0"/>
              <w:keepLines w:val="0"/>
              <w:pageBreakBefore w:val="0"/>
              <w:widowControl w:val="0"/>
              <w:kinsoku/>
              <w:wordWrap/>
              <w:overflowPunct/>
              <w:topLinePunct w:val="0"/>
              <w:bidi w:val="0"/>
              <w:adjustRightIn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p>
        </w:tc>
        <w:tc>
          <w:tcPr>
            <w:tcW w:w="739" w:type="dxa"/>
            <w:vAlign w:val="center"/>
          </w:tcPr>
          <w:p w14:paraId="4B141310">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食用油类</w:t>
            </w:r>
          </w:p>
        </w:tc>
        <w:tc>
          <w:tcPr>
            <w:tcW w:w="1159" w:type="dxa"/>
            <w:vAlign w:val="center"/>
          </w:tcPr>
          <w:p w14:paraId="5B9B528C">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食用油</w:t>
            </w:r>
          </w:p>
        </w:tc>
        <w:tc>
          <w:tcPr>
            <w:tcW w:w="7478" w:type="dxa"/>
            <w:vAlign w:val="center"/>
          </w:tcPr>
          <w:p w14:paraId="2FDD52F7">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color w:val="auto"/>
                <w:kern w:val="0"/>
                <w:sz w:val="21"/>
                <w:szCs w:val="21"/>
                <w:highlight w:val="none"/>
              </w:rPr>
              <w:t>产品符合《大豆油》GB1535-20</w:t>
            </w:r>
            <w:r>
              <w:rPr>
                <w:rFonts w:hint="eastAsia" w:ascii="宋体" w:hAnsi="宋体" w:eastAsia="宋体" w:cs="宋体"/>
                <w:color w:val="auto"/>
                <w:kern w:val="0"/>
                <w:sz w:val="21"/>
                <w:szCs w:val="21"/>
                <w:highlight w:val="none"/>
                <w:lang w:val="en-US" w:eastAsia="zh-CN"/>
              </w:rPr>
              <w:t>17</w:t>
            </w:r>
            <w:r>
              <w:rPr>
                <w:rFonts w:hint="eastAsia" w:ascii="宋体" w:hAnsi="宋体" w:eastAsia="宋体" w:cs="宋体"/>
                <w:color w:val="auto"/>
                <w:kern w:val="0"/>
                <w:sz w:val="21"/>
                <w:szCs w:val="21"/>
                <w:highlight w:val="none"/>
              </w:rPr>
              <w:t>、《花生油》GB1534-20</w:t>
            </w:r>
            <w:r>
              <w:rPr>
                <w:rFonts w:hint="eastAsia" w:ascii="宋体" w:hAnsi="宋体" w:eastAsia="宋体" w:cs="宋体"/>
                <w:color w:val="auto"/>
                <w:kern w:val="0"/>
                <w:sz w:val="21"/>
                <w:szCs w:val="21"/>
                <w:highlight w:val="none"/>
                <w:lang w:val="en-US" w:eastAsia="zh-CN"/>
              </w:rPr>
              <w:t>17</w:t>
            </w:r>
            <w:r>
              <w:rPr>
                <w:rFonts w:hint="eastAsia" w:ascii="宋体" w:hAnsi="宋体" w:eastAsia="宋体" w:cs="宋体"/>
                <w:color w:val="auto"/>
                <w:kern w:val="0"/>
                <w:sz w:val="21"/>
                <w:szCs w:val="21"/>
                <w:highlight w:val="none"/>
              </w:rPr>
              <w:t>国家标准，外包</w:t>
            </w:r>
          </w:p>
          <w:p w14:paraId="1111420F">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装完好，有SC标志，标明品名、厂名、重量、生产日期、保质期或保存期、执行标准，供货时剩余保质期不少于三分二，具有产品合格证。</w:t>
            </w:r>
          </w:p>
          <w:p w14:paraId="58BAE091">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2、</w:t>
            </w:r>
            <w:r>
              <w:rPr>
                <w:rFonts w:hint="eastAsia" w:ascii="宋体" w:hAnsi="宋体" w:eastAsia="宋体" w:cs="宋体"/>
                <w:color w:val="auto"/>
                <w:kern w:val="0"/>
                <w:sz w:val="21"/>
                <w:szCs w:val="21"/>
                <w:highlight w:val="none"/>
              </w:rPr>
              <w:t>具有正常植物油的色泽、透明度、气味和滋味，无焦臭、酸败及其他异味。</w:t>
            </w:r>
          </w:p>
          <w:p w14:paraId="158F24C4">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品类仅限于：一级非转基因大豆油、一级非转基因花生油。</w:t>
            </w:r>
          </w:p>
          <w:p w14:paraId="1104880D">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参考品牌：力源、鲁花</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金龙鱼</w:t>
            </w:r>
            <w:r>
              <w:rPr>
                <w:rFonts w:hint="eastAsia" w:ascii="宋体" w:hAnsi="宋体" w:eastAsia="宋体" w:cs="宋体"/>
                <w:color w:val="auto"/>
                <w:kern w:val="0"/>
                <w:sz w:val="21"/>
                <w:szCs w:val="21"/>
                <w:highlight w:val="none"/>
              </w:rPr>
              <w:t>或同档次及以上。</w:t>
            </w:r>
          </w:p>
        </w:tc>
      </w:tr>
      <w:tr w14:paraId="52861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478" w:type="dxa"/>
            <w:vAlign w:val="center"/>
          </w:tcPr>
          <w:p w14:paraId="24775736">
            <w:pPr>
              <w:keepNext w:val="0"/>
              <w:keepLines w:val="0"/>
              <w:pageBreakBefore w:val="0"/>
              <w:widowControl w:val="0"/>
              <w:kinsoku/>
              <w:wordWrap/>
              <w:overflowPunct/>
              <w:topLinePunct w:val="0"/>
              <w:bidi w:val="0"/>
              <w:adjustRightIn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w:t>
            </w:r>
          </w:p>
        </w:tc>
        <w:tc>
          <w:tcPr>
            <w:tcW w:w="739" w:type="dxa"/>
            <w:vAlign w:val="center"/>
          </w:tcPr>
          <w:p w14:paraId="0D89A320">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蔬菜类</w:t>
            </w:r>
          </w:p>
        </w:tc>
        <w:tc>
          <w:tcPr>
            <w:tcW w:w="1159" w:type="dxa"/>
            <w:vAlign w:val="center"/>
          </w:tcPr>
          <w:p w14:paraId="144B1069">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蔬菜</w:t>
            </w:r>
          </w:p>
        </w:tc>
        <w:tc>
          <w:tcPr>
            <w:tcW w:w="7478" w:type="dxa"/>
            <w:vAlign w:val="center"/>
          </w:tcPr>
          <w:p w14:paraId="7BFFE46C">
            <w:pPr>
              <w:keepNext w:val="0"/>
              <w:keepLines w:val="0"/>
              <w:pageBreakBefore w:val="0"/>
              <w:widowControl w:val="0"/>
              <w:numPr>
                <w:ilvl w:val="0"/>
                <w:numId w:val="3"/>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必须符合国家及行业相关标准，保证新鲜、无异味、无霉烂变质，外观干爽、</w:t>
            </w:r>
          </w:p>
          <w:p w14:paraId="2919D052">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当季。</w:t>
            </w:r>
          </w:p>
          <w:p w14:paraId="14A4F8C1">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必须保证食用安全，绝无农药等有害物质的留存。</w:t>
            </w:r>
          </w:p>
          <w:p w14:paraId="7341438D">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交付采购人前必须经过前期处理，使用率达到98%以上。</w:t>
            </w:r>
          </w:p>
          <w:p w14:paraId="1B65C059">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供应期内每天提交批次残留物检测证明。</w:t>
            </w:r>
          </w:p>
        </w:tc>
      </w:tr>
      <w:tr w14:paraId="00AC5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478" w:type="dxa"/>
            <w:vAlign w:val="center"/>
          </w:tcPr>
          <w:p w14:paraId="607E4BDE">
            <w:pPr>
              <w:keepNext w:val="0"/>
              <w:keepLines w:val="0"/>
              <w:pageBreakBefore w:val="0"/>
              <w:widowControl w:val="0"/>
              <w:kinsoku/>
              <w:wordWrap/>
              <w:overflowPunct/>
              <w:topLinePunct w:val="0"/>
              <w:bidi w:val="0"/>
              <w:adjustRightIn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w:t>
            </w:r>
          </w:p>
        </w:tc>
        <w:tc>
          <w:tcPr>
            <w:tcW w:w="739" w:type="dxa"/>
            <w:vAlign w:val="center"/>
          </w:tcPr>
          <w:p w14:paraId="10D24BA2">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干货、调味品类</w:t>
            </w:r>
          </w:p>
        </w:tc>
        <w:tc>
          <w:tcPr>
            <w:tcW w:w="1159" w:type="dxa"/>
            <w:vAlign w:val="center"/>
          </w:tcPr>
          <w:p w14:paraId="58F65D6C">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干货、调味品</w:t>
            </w:r>
          </w:p>
        </w:tc>
        <w:tc>
          <w:tcPr>
            <w:tcW w:w="7478" w:type="dxa"/>
            <w:vAlign w:val="center"/>
          </w:tcPr>
          <w:p w14:paraId="5361DB52">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color w:val="auto"/>
                <w:kern w:val="0"/>
                <w:sz w:val="21"/>
                <w:szCs w:val="21"/>
                <w:highlight w:val="none"/>
              </w:rPr>
              <w:t>产品符合国家及行业相关标准，有“SC”标志，标明加工厂名称、品名、生</w:t>
            </w:r>
          </w:p>
          <w:p w14:paraId="79D725C5">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产日期、保质期或保存期，供货时的剩余保质期不少于二分之一，产品标准号等内容。</w:t>
            </w:r>
          </w:p>
          <w:p w14:paraId="38CDCAC6">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2、</w:t>
            </w:r>
            <w:r>
              <w:rPr>
                <w:rFonts w:hint="eastAsia" w:ascii="宋体" w:hAnsi="宋体" w:eastAsia="宋体" w:cs="宋体"/>
                <w:color w:val="auto"/>
                <w:kern w:val="0"/>
                <w:sz w:val="21"/>
                <w:szCs w:val="21"/>
                <w:highlight w:val="none"/>
              </w:rPr>
              <w:t>酱油：颜色比较红、亮，有光泽、透明，把这酱油倒在瓶子里后，摇一下，</w:t>
            </w:r>
          </w:p>
          <w:p w14:paraId="587F72A2">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产生的泡沫非常细腻，保持持久，挂碗现象非常好，有一种发黏的感觉。</w:t>
            </w:r>
          </w:p>
          <w:p w14:paraId="78602A9F">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3、</w:t>
            </w:r>
            <w:r>
              <w:rPr>
                <w:rFonts w:hint="eastAsia" w:ascii="宋体" w:hAnsi="宋体" w:eastAsia="宋体" w:cs="宋体"/>
                <w:color w:val="auto"/>
                <w:kern w:val="0"/>
                <w:sz w:val="21"/>
                <w:szCs w:val="21"/>
                <w:highlight w:val="none"/>
              </w:rPr>
              <w:t>醋：具有正常食醋的色泽、气味和滋味，不涩，无其他不良气味与异味，无</w:t>
            </w:r>
          </w:p>
          <w:p w14:paraId="6EFB7DDC">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浮物，不浑浊，无沉淀，无异物，无醋鳗、醋虱。</w:t>
            </w:r>
          </w:p>
          <w:p w14:paraId="7DCF0F39">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4、</w:t>
            </w:r>
            <w:r>
              <w:rPr>
                <w:rFonts w:hint="eastAsia" w:ascii="宋体" w:hAnsi="宋体" w:eastAsia="宋体" w:cs="宋体"/>
                <w:color w:val="auto"/>
                <w:kern w:val="0"/>
                <w:sz w:val="21"/>
                <w:szCs w:val="21"/>
                <w:highlight w:val="none"/>
              </w:rPr>
              <w:t>味精、鸡精等：结晶或粉末，具有特殊的鲜味，无异味，无肉眼可见杂质，</w:t>
            </w:r>
          </w:p>
          <w:p w14:paraId="164E88AB">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无返卤吸潮现象。</w:t>
            </w:r>
          </w:p>
          <w:p w14:paraId="037D91F1">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5、</w:t>
            </w:r>
            <w:r>
              <w:rPr>
                <w:rFonts w:hint="eastAsia" w:ascii="宋体" w:hAnsi="宋体" w:eastAsia="宋体" w:cs="宋体"/>
                <w:color w:val="auto"/>
                <w:kern w:val="0"/>
                <w:sz w:val="21"/>
                <w:szCs w:val="21"/>
                <w:highlight w:val="none"/>
              </w:rPr>
              <w:t>食盐：结晶整齐一致，坚硬光滑，呈透明或半透明，不结块，无反卤吸潮现</w:t>
            </w:r>
          </w:p>
          <w:p w14:paraId="13E2DC32">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象，无杂质，沾取少许尝试具有纯正的咸味。</w:t>
            </w:r>
          </w:p>
          <w:p w14:paraId="0281B945">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6、</w:t>
            </w:r>
            <w:r>
              <w:rPr>
                <w:rFonts w:hint="eastAsia" w:ascii="宋体" w:hAnsi="宋体" w:eastAsia="宋体" w:cs="宋体"/>
                <w:color w:val="auto"/>
                <w:kern w:val="0"/>
                <w:sz w:val="21"/>
                <w:szCs w:val="21"/>
                <w:highlight w:val="none"/>
              </w:rPr>
              <w:t>食糖：色泽洁白明亮，有光泽，具有白糖的正常气味，无酸味、酒味或其他</w:t>
            </w:r>
          </w:p>
          <w:p w14:paraId="05A97BF7">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外来气味。（绵白糖：颗粒细小而均匀，质地绵软、潮润）。</w:t>
            </w:r>
          </w:p>
          <w:p w14:paraId="29197F66">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7、</w:t>
            </w:r>
            <w:r>
              <w:rPr>
                <w:rFonts w:hint="eastAsia" w:ascii="宋体" w:hAnsi="宋体" w:eastAsia="宋体" w:cs="宋体"/>
                <w:color w:val="auto"/>
                <w:kern w:val="0"/>
                <w:sz w:val="21"/>
                <w:szCs w:val="21"/>
                <w:highlight w:val="none"/>
              </w:rPr>
              <w:t>调料粉（黑胡椒粉、椒盐粉、八角、八角粉、孜然粉等）：呈干燥状，具有</w:t>
            </w:r>
          </w:p>
          <w:p w14:paraId="17351D91">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该种香料植物所特有的色、香、味，没有不纯正的气味和味道，无发霉味或其他异味。</w:t>
            </w:r>
          </w:p>
          <w:p w14:paraId="02BA3B45">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其他：具有固有色泽和香味，无污染、色泽、气味、口味正常，无异味或霉</w:t>
            </w:r>
          </w:p>
          <w:p w14:paraId="0DECD48B">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味（霉变），无杂质异物等。</w:t>
            </w:r>
          </w:p>
        </w:tc>
      </w:tr>
      <w:tr w14:paraId="0181D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478" w:type="dxa"/>
            <w:vAlign w:val="center"/>
          </w:tcPr>
          <w:p w14:paraId="254EC32E">
            <w:pPr>
              <w:keepNext w:val="0"/>
              <w:keepLines w:val="0"/>
              <w:pageBreakBefore w:val="0"/>
              <w:widowControl w:val="0"/>
              <w:kinsoku/>
              <w:wordWrap/>
              <w:overflowPunct/>
              <w:topLinePunct w:val="0"/>
              <w:bidi w:val="0"/>
              <w:adjustRightIn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739" w:type="dxa"/>
            <w:vAlign w:val="center"/>
          </w:tcPr>
          <w:p w14:paraId="58844395">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禽蛋类</w:t>
            </w:r>
          </w:p>
        </w:tc>
        <w:tc>
          <w:tcPr>
            <w:tcW w:w="1159" w:type="dxa"/>
            <w:vAlign w:val="center"/>
          </w:tcPr>
          <w:p w14:paraId="42C5C3F2">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禽蛋</w:t>
            </w:r>
          </w:p>
        </w:tc>
        <w:tc>
          <w:tcPr>
            <w:tcW w:w="7478" w:type="dxa"/>
            <w:vAlign w:val="center"/>
          </w:tcPr>
          <w:p w14:paraId="4267DEB5">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符合鲜蛋卫生标准国家标准GB2749</w:t>
            </w:r>
            <w:r>
              <w:rPr>
                <w:rFonts w:hint="eastAsia" w:ascii="宋体" w:hAnsi="宋体" w:eastAsia="宋体" w:cs="宋体"/>
                <w:color w:val="auto"/>
                <w:kern w:val="0"/>
                <w:sz w:val="21"/>
                <w:szCs w:val="21"/>
                <w:highlight w:val="none"/>
              </w:rPr>
              <w:noBreakHyphen/>
            </w:r>
            <w:r>
              <w:rPr>
                <w:rFonts w:hint="eastAsia" w:ascii="宋体" w:hAnsi="宋体" w:eastAsia="宋体" w:cs="宋体"/>
                <w:color w:val="auto"/>
                <w:kern w:val="0"/>
                <w:sz w:val="21"/>
                <w:szCs w:val="21"/>
                <w:highlight w:val="none"/>
              </w:rPr>
              <w:t>2015。</w:t>
            </w:r>
          </w:p>
          <w:p w14:paraId="6E073F51">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蛋壳清洁完整，色泽鲜明，大小均匀、无破损、裂纹，无霉斑，灯光透视时，</w:t>
            </w:r>
          </w:p>
          <w:p w14:paraId="2C5661DA">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整个蛋呈桔黄色至橙红色，蛋黄不见或略见阴影，没有霉味、酸味，臭味等不良</w:t>
            </w:r>
          </w:p>
          <w:p w14:paraId="14C522EA">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气味，打开后蛋黄凸起、完整、有韧性，蛋白澄清、透明、稀稠分明，无异味。</w:t>
            </w:r>
          </w:p>
          <w:p w14:paraId="2B58A7EA">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所供每批次禽蛋必须有《动物检疫合格证明》，供货现场查验。</w:t>
            </w:r>
          </w:p>
        </w:tc>
      </w:tr>
      <w:tr w14:paraId="0A71D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6" w:hRule="atLeast"/>
          <w:jc w:val="center"/>
        </w:trPr>
        <w:tc>
          <w:tcPr>
            <w:tcW w:w="478" w:type="dxa"/>
            <w:vAlign w:val="center"/>
          </w:tcPr>
          <w:p w14:paraId="1F5F7619">
            <w:pPr>
              <w:keepNext w:val="0"/>
              <w:keepLines w:val="0"/>
              <w:pageBreakBefore w:val="0"/>
              <w:widowControl w:val="0"/>
              <w:kinsoku/>
              <w:wordWrap/>
              <w:overflowPunct/>
              <w:topLinePunct w:val="0"/>
              <w:bidi w:val="0"/>
              <w:adjustRightIn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06</w:t>
            </w:r>
          </w:p>
        </w:tc>
        <w:tc>
          <w:tcPr>
            <w:tcW w:w="739" w:type="dxa"/>
            <w:vAlign w:val="center"/>
          </w:tcPr>
          <w:p w14:paraId="5C8C3995">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鲜家禽类</w:t>
            </w:r>
          </w:p>
        </w:tc>
        <w:tc>
          <w:tcPr>
            <w:tcW w:w="1159" w:type="dxa"/>
            <w:vAlign w:val="center"/>
          </w:tcPr>
          <w:p w14:paraId="2A8B86A4">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鲜家禽肉</w:t>
            </w:r>
          </w:p>
        </w:tc>
        <w:tc>
          <w:tcPr>
            <w:tcW w:w="7478" w:type="dxa"/>
            <w:vAlign w:val="center"/>
          </w:tcPr>
          <w:p w14:paraId="35AD2D7B">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产品符合国家及行业相关标准。</w:t>
            </w:r>
          </w:p>
          <w:p w14:paraId="552BBC95">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白条鸡：有检疫证明，鸡龄4个月以上，无伤残，宰杀干净，去爪。宰杀时间</w:t>
            </w:r>
          </w:p>
          <w:p w14:paraId="740E988B">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不超过3小时，单个重量3斤以上。</w:t>
            </w:r>
          </w:p>
          <w:p w14:paraId="29A3F0E9">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3、</w:t>
            </w:r>
            <w:r>
              <w:rPr>
                <w:rFonts w:hint="eastAsia" w:ascii="宋体" w:hAnsi="宋体" w:eastAsia="宋体" w:cs="宋体"/>
                <w:color w:val="auto"/>
                <w:kern w:val="0"/>
                <w:sz w:val="21"/>
                <w:szCs w:val="21"/>
                <w:highlight w:val="none"/>
              </w:rPr>
              <w:t>土鸡：有检疫证明，天然放养，谷物喂养，鸡龄6个月以上，项鸡4个月以上，</w:t>
            </w:r>
          </w:p>
          <w:p w14:paraId="2286E609">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无伤残，宰杀干净、去爪。单个重：项鸡2斤以上，剦鸡3.5斤以上。</w:t>
            </w:r>
          </w:p>
          <w:p w14:paraId="39F3F5AF">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4、</w:t>
            </w:r>
            <w:r>
              <w:rPr>
                <w:rFonts w:hint="eastAsia" w:ascii="宋体" w:hAnsi="宋体" w:eastAsia="宋体" w:cs="宋体"/>
                <w:color w:val="auto"/>
                <w:kern w:val="0"/>
                <w:sz w:val="21"/>
                <w:szCs w:val="21"/>
                <w:highlight w:val="none"/>
              </w:rPr>
              <w:t>白条鸭：有检疫证明，无伤残，宰杀干净，去脚，无异味，单个重量4斤以上，</w:t>
            </w:r>
          </w:p>
          <w:p w14:paraId="39DFA92A">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宰杀时间不超过3小时。</w:t>
            </w:r>
          </w:p>
          <w:p w14:paraId="248CE430">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5、</w:t>
            </w:r>
            <w:r>
              <w:rPr>
                <w:rFonts w:hint="eastAsia" w:ascii="宋体" w:hAnsi="宋体" w:eastAsia="宋体" w:cs="宋体"/>
                <w:color w:val="auto"/>
                <w:kern w:val="0"/>
                <w:sz w:val="21"/>
                <w:szCs w:val="21"/>
                <w:highlight w:val="none"/>
              </w:rPr>
              <w:t>土鸭：有检疫证明，无伤残，宰杀干净，去脚，无异味，单个重量3斤以上，</w:t>
            </w:r>
          </w:p>
          <w:p w14:paraId="5395B2EF">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宰杀时间不超过3小时。</w:t>
            </w:r>
          </w:p>
          <w:p w14:paraId="478A4AA7">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6、</w:t>
            </w:r>
            <w:r>
              <w:rPr>
                <w:rFonts w:hint="eastAsia" w:ascii="宋体" w:hAnsi="宋体" w:eastAsia="宋体" w:cs="宋体"/>
                <w:color w:val="auto"/>
                <w:kern w:val="0"/>
                <w:sz w:val="21"/>
                <w:szCs w:val="21"/>
                <w:highlight w:val="none"/>
              </w:rPr>
              <w:t>西洋鸭：有检疫证明，无伤残，宰杀干净，去脚，无异味，单个重量4斤以上，</w:t>
            </w:r>
          </w:p>
          <w:p w14:paraId="5BDFCF8E">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宰杀时间不超过3小时。</w:t>
            </w:r>
          </w:p>
          <w:p w14:paraId="03A97346">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检疫证明在供货现场查验。</w:t>
            </w:r>
          </w:p>
        </w:tc>
      </w:tr>
      <w:tr w14:paraId="30580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7" w:hRule="atLeast"/>
          <w:jc w:val="center"/>
        </w:trPr>
        <w:tc>
          <w:tcPr>
            <w:tcW w:w="478" w:type="dxa"/>
            <w:vAlign w:val="center"/>
          </w:tcPr>
          <w:p w14:paraId="40251764">
            <w:pPr>
              <w:keepNext w:val="0"/>
              <w:keepLines w:val="0"/>
              <w:pageBreakBefore w:val="0"/>
              <w:widowControl w:val="0"/>
              <w:kinsoku/>
              <w:wordWrap/>
              <w:overflowPunct/>
              <w:topLinePunct w:val="0"/>
              <w:bidi w:val="0"/>
              <w:adjustRightIn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739" w:type="dxa"/>
            <w:vAlign w:val="center"/>
          </w:tcPr>
          <w:p w14:paraId="4DC1F116">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奶制品</w:t>
            </w:r>
          </w:p>
        </w:tc>
        <w:tc>
          <w:tcPr>
            <w:tcW w:w="1159" w:type="dxa"/>
            <w:vAlign w:val="center"/>
          </w:tcPr>
          <w:p w14:paraId="5DDE9036">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牛奶</w:t>
            </w:r>
          </w:p>
          <w:p w14:paraId="2AD7C807">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酸奶</w:t>
            </w:r>
          </w:p>
        </w:tc>
        <w:tc>
          <w:tcPr>
            <w:tcW w:w="7478" w:type="dxa"/>
            <w:vAlign w:val="center"/>
          </w:tcPr>
          <w:p w14:paraId="34CA4BE3">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产品符合国家及行业相关标准。</w:t>
            </w:r>
          </w:p>
          <w:p w14:paraId="58D70922">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外包装要有明确的生产日期与保质期。供货时剩余保质期不少于三分二。</w:t>
            </w:r>
          </w:p>
          <w:p w14:paraId="3678370E">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酸奶参考品牌：</w:t>
            </w:r>
            <w:r>
              <w:rPr>
                <w:rFonts w:hint="eastAsia" w:ascii="宋体" w:hAnsi="宋体" w:eastAsia="宋体" w:cs="宋体"/>
                <w:color w:val="auto"/>
                <w:kern w:val="0"/>
                <w:sz w:val="21"/>
                <w:szCs w:val="21"/>
                <w:highlight w:val="none"/>
                <w:lang w:val="en-US" w:eastAsia="zh-CN"/>
              </w:rPr>
              <w:t>伊利</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蒙牛、卡士</w:t>
            </w:r>
            <w:r>
              <w:rPr>
                <w:rFonts w:hint="eastAsia" w:ascii="宋体" w:hAnsi="宋体" w:eastAsia="宋体" w:cs="宋体"/>
                <w:color w:val="auto"/>
                <w:kern w:val="0"/>
                <w:sz w:val="21"/>
                <w:szCs w:val="21"/>
                <w:highlight w:val="none"/>
              </w:rPr>
              <w:t>或同档次及以上。</w:t>
            </w:r>
          </w:p>
          <w:p w14:paraId="56523DA6">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牛奶参考品牌：特仑苏、金典、伊利纯牛奶、蒙牛纯牛奶或同档次及以上。</w:t>
            </w:r>
          </w:p>
        </w:tc>
      </w:tr>
      <w:tr w14:paraId="2439D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2" w:hRule="atLeast"/>
          <w:jc w:val="center"/>
        </w:trPr>
        <w:tc>
          <w:tcPr>
            <w:tcW w:w="478" w:type="dxa"/>
            <w:vAlign w:val="center"/>
          </w:tcPr>
          <w:p w14:paraId="21C91583">
            <w:pPr>
              <w:keepNext w:val="0"/>
              <w:keepLines w:val="0"/>
              <w:pageBreakBefore w:val="0"/>
              <w:widowControl w:val="0"/>
              <w:kinsoku/>
              <w:wordWrap/>
              <w:overflowPunct/>
              <w:topLinePunct w:val="0"/>
              <w:bidi w:val="0"/>
              <w:adjustRightIn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739" w:type="dxa"/>
            <w:vAlign w:val="center"/>
          </w:tcPr>
          <w:p w14:paraId="467A53D7">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水产类</w:t>
            </w:r>
          </w:p>
        </w:tc>
        <w:tc>
          <w:tcPr>
            <w:tcW w:w="1159" w:type="dxa"/>
            <w:vAlign w:val="center"/>
          </w:tcPr>
          <w:p w14:paraId="6A7ABCA9">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鱼虾类</w:t>
            </w:r>
          </w:p>
        </w:tc>
        <w:tc>
          <w:tcPr>
            <w:tcW w:w="7478" w:type="dxa"/>
            <w:vAlign w:val="center"/>
          </w:tcPr>
          <w:p w14:paraId="76D94C93">
            <w:pPr>
              <w:keepNext w:val="0"/>
              <w:keepLines w:val="0"/>
              <w:pageBreakBefore w:val="0"/>
              <w:widowControl w:val="0"/>
              <w:numPr>
                <w:ilvl w:val="0"/>
                <w:numId w:val="4"/>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鱼标准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游水生猛、对外界刺激敏感、无翻肛、无嘴烂及其它外表损伤。大</w:t>
            </w:r>
          </w:p>
          <w:p w14:paraId="4F42B57E">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小均匀。</w:t>
            </w:r>
          </w:p>
          <w:p w14:paraId="39744D00">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虾标准：游水快、对外界刺激敏感、头尾完整，有一定弯曲度虾眼突起、肉</w:t>
            </w:r>
          </w:p>
          <w:p w14:paraId="2EB13F61">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质坚实。</w:t>
            </w:r>
          </w:p>
        </w:tc>
      </w:tr>
      <w:tr w14:paraId="5DA69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jc w:val="center"/>
        </w:trPr>
        <w:tc>
          <w:tcPr>
            <w:tcW w:w="478" w:type="dxa"/>
            <w:vAlign w:val="center"/>
          </w:tcPr>
          <w:p w14:paraId="18303A3F">
            <w:pPr>
              <w:keepNext w:val="0"/>
              <w:keepLines w:val="0"/>
              <w:pageBreakBefore w:val="0"/>
              <w:widowControl w:val="0"/>
              <w:kinsoku/>
              <w:wordWrap/>
              <w:overflowPunct/>
              <w:topLinePunct w:val="0"/>
              <w:bidi w:val="0"/>
              <w:adjustRightIn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739" w:type="dxa"/>
            <w:vAlign w:val="center"/>
          </w:tcPr>
          <w:p w14:paraId="339BFACF">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大米类</w:t>
            </w:r>
          </w:p>
        </w:tc>
        <w:tc>
          <w:tcPr>
            <w:tcW w:w="1159" w:type="dxa"/>
            <w:vAlign w:val="center"/>
          </w:tcPr>
          <w:p w14:paraId="679C86B9">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大米</w:t>
            </w:r>
          </w:p>
        </w:tc>
        <w:tc>
          <w:tcPr>
            <w:tcW w:w="7478" w:type="dxa"/>
            <w:vAlign w:val="center"/>
          </w:tcPr>
          <w:p w14:paraId="72FE7070">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color w:val="auto"/>
                <w:kern w:val="0"/>
                <w:sz w:val="21"/>
                <w:szCs w:val="21"/>
                <w:highlight w:val="none"/>
              </w:rPr>
              <w:t>符合国标GB1354-20</w:t>
            </w:r>
            <w:r>
              <w:rPr>
                <w:rFonts w:hint="eastAsia" w:ascii="宋体" w:hAnsi="宋体" w:eastAsia="宋体" w:cs="宋体"/>
                <w:color w:val="auto"/>
                <w:kern w:val="0"/>
                <w:sz w:val="21"/>
                <w:szCs w:val="21"/>
                <w:highlight w:val="none"/>
                <w:lang w:val="en-US" w:eastAsia="zh-CN"/>
              </w:rPr>
              <w:t>18标准</w:t>
            </w:r>
          </w:p>
          <w:p w14:paraId="444A1A79">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2、</w:t>
            </w:r>
            <w:r>
              <w:rPr>
                <w:rFonts w:hint="eastAsia" w:ascii="宋体" w:hAnsi="宋体" w:eastAsia="宋体" w:cs="宋体"/>
                <w:color w:val="auto"/>
                <w:kern w:val="0"/>
                <w:sz w:val="21"/>
                <w:szCs w:val="21"/>
                <w:highlight w:val="none"/>
              </w:rPr>
              <w:t>有“SC”标志，标明加工厂名称、品名、生产日期、保质期或保存期。</w:t>
            </w:r>
          </w:p>
          <w:p w14:paraId="34F312F4">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3、</w:t>
            </w:r>
            <w:r>
              <w:rPr>
                <w:rFonts w:hint="eastAsia" w:ascii="宋体" w:hAnsi="宋体" w:eastAsia="宋体" w:cs="宋体"/>
                <w:color w:val="auto"/>
                <w:kern w:val="0"/>
                <w:sz w:val="21"/>
                <w:szCs w:val="21"/>
                <w:highlight w:val="none"/>
              </w:rPr>
              <w:t>供货时的剩余保质期不少于三分之二，质量等级、产品标准号等内容，具有</w:t>
            </w:r>
          </w:p>
          <w:p w14:paraId="64762416">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产品合格证。</w:t>
            </w:r>
          </w:p>
          <w:p w14:paraId="0F0C8EB0">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4、</w:t>
            </w:r>
            <w:r>
              <w:rPr>
                <w:rFonts w:hint="eastAsia" w:ascii="宋体" w:hAnsi="宋体" w:eastAsia="宋体" w:cs="宋体"/>
                <w:color w:val="auto"/>
                <w:kern w:val="0"/>
                <w:sz w:val="21"/>
                <w:szCs w:val="21"/>
                <w:highlight w:val="none"/>
              </w:rPr>
              <w:t>具有固有色泽和香味，无污染、无虫害，色泽、气味、口味正常，无异味或</w:t>
            </w:r>
          </w:p>
          <w:p w14:paraId="2C3CB023">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霉味（霉变），无虫蛀结块挂丝或杂质异物等</w:t>
            </w:r>
            <w:r>
              <w:rPr>
                <w:rFonts w:hint="eastAsia" w:ascii="宋体" w:hAnsi="宋体" w:eastAsia="宋体" w:cs="宋体"/>
                <w:color w:val="auto"/>
                <w:kern w:val="0"/>
                <w:sz w:val="21"/>
                <w:szCs w:val="21"/>
                <w:highlight w:val="none"/>
                <w:lang w:eastAsia="zh-CN"/>
              </w:rPr>
              <w:t>。</w:t>
            </w:r>
          </w:p>
          <w:p w14:paraId="025EB588">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5、</w:t>
            </w:r>
            <w:r>
              <w:rPr>
                <w:rFonts w:hint="eastAsia" w:ascii="宋体" w:hAnsi="宋体" w:eastAsia="宋体" w:cs="宋体"/>
                <w:color w:val="auto"/>
                <w:kern w:val="0"/>
                <w:sz w:val="21"/>
                <w:szCs w:val="21"/>
                <w:highlight w:val="none"/>
              </w:rPr>
              <w:t>不接受陈化粮。</w:t>
            </w:r>
          </w:p>
          <w:p w14:paraId="45CC6C80">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参考品牌：力源、</w:t>
            </w:r>
            <w:r>
              <w:rPr>
                <w:rFonts w:hint="eastAsia" w:ascii="宋体" w:hAnsi="宋体" w:eastAsia="宋体" w:cs="宋体"/>
                <w:color w:val="auto"/>
                <w:kern w:val="0"/>
                <w:sz w:val="21"/>
                <w:szCs w:val="21"/>
                <w:highlight w:val="none"/>
                <w:lang w:val="en-US" w:eastAsia="zh-CN"/>
              </w:rPr>
              <w:t>金龙鱼、香满园</w:t>
            </w:r>
            <w:r>
              <w:rPr>
                <w:rFonts w:hint="eastAsia" w:ascii="宋体" w:hAnsi="宋体" w:eastAsia="宋体" w:cs="宋体"/>
                <w:color w:val="auto"/>
                <w:kern w:val="0"/>
                <w:sz w:val="21"/>
                <w:szCs w:val="21"/>
                <w:highlight w:val="none"/>
              </w:rPr>
              <w:t>或同档次及以上。</w:t>
            </w:r>
          </w:p>
        </w:tc>
      </w:tr>
      <w:tr w14:paraId="769A0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478" w:type="dxa"/>
            <w:vAlign w:val="center"/>
          </w:tcPr>
          <w:p w14:paraId="4CD312A8">
            <w:pPr>
              <w:keepNext w:val="0"/>
              <w:keepLines w:val="0"/>
              <w:pageBreakBefore w:val="0"/>
              <w:widowControl w:val="0"/>
              <w:kinsoku/>
              <w:wordWrap/>
              <w:overflowPunct/>
              <w:topLinePunct w:val="0"/>
              <w:bidi w:val="0"/>
              <w:adjustRightIn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739" w:type="dxa"/>
            <w:vAlign w:val="center"/>
          </w:tcPr>
          <w:p w14:paraId="78AB37C3">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面粉类</w:t>
            </w:r>
          </w:p>
        </w:tc>
        <w:tc>
          <w:tcPr>
            <w:tcW w:w="1159" w:type="dxa"/>
            <w:vAlign w:val="center"/>
          </w:tcPr>
          <w:p w14:paraId="05FFC076">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面粉</w:t>
            </w:r>
          </w:p>
        </w:tc>
        <w:tc>
          <w:tcPr>
            <w:tcW w:w="7478" w:type="dxa"/>
            <w:vAlign w:val="center"/>
          </w:tcPr>
          <w:p w14:paraId="07BF494C">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 ㎏/袋，一级强中筋小麦粉灰分（干基）≤0.55 %，面筋量（14%水分）≥28.0%，面筋指数≥ 60，稳定时间≥ 4.5 min，降落数值≥200 S，粗细度 CB30 全通过，CB36留存≤10%，含砂量≤ 0.02%，磁性金属物≤ 0.003 g/kg，水分≤14.5%，脂肪酸值≤ 50 gKOH/100g，气味、口味正常。</w:t>
            </w:r>
          </w:p>
        </w:tc>
      </w:tr>
      <w:tr w14:paraId="7743C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7" w:hRule="atLeast"/>
          <w:jc w:val="center"/>
        </w:trPr>
        <w:tc>
          <w:tcPr>
            <w:tcW w:w="478" w:type="dxa"/>
            <w:vAlign w:val="center"/>
          </w:tcPr>
          <w:p w14:paraId="39B6BE48">
            <w:pPr>
              <w:keepNext w:val="0"/>
              <w:keepLines w:val="0"/>
              <w:pageBreakBefore w:val="0"/>
              <w:widowControl w:val="0"/>
              <w:kinsoku/>
              <w:wordWrap/>
              <w:overflowPunct/>
              <w:topLinePunct w:val="0"/>
              <w:bidi w:val="0"/>
              <w:adjustRightIn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739" w:type="dxa"/>
            <w:vAlign w:val="center"/>
          </w:tcPr>
          <w:p w14:paraId="25736A5A">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米粉类</w:t>
            </w:r>
          </w:p>
        </w:tc>
        <w:tc>
          <w:tcPr>
            <w:tcW w:w="1159" w:type="dxa"/>
            <w:vAlign w:val="center"/>
          </w:tcPr>
          <w:p w14:paraId="180606C7">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米粉、切粉</w:t>
            </w:r>
          </w:p>
        </w:tc>
        <w:tc>
          <w:tcPr>
            <w:tcW w:w="7478" w:type="dxa"/>
            <w:vAlign w:val="center"/>
          </w:tcPr>
          <w:p w14:paraId="1667BDF0">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米粉必须达到国家颁布的《食品安全法》的各项标准。供应的米粉必须保证质量，符合卫生标准，并在运输途中保证卫生。</w:t>
            </w:r>
          </w:p>
          <w:p w14:paraId="0FBD3DA9">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色泽正常、有光泽，规格大小均匀、一致，无杂质及异物。</w:t>
            </w:r>
          </w:p>
          <w:p w14:paraId="5365EB94">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团粉要均匀、新鲜、不黑、不碎、不干、有光泽、口感好。</w:t>
            </w:r>
          </w:p>
        </w:tc>
      </w:tr>
      <w:tr w14:paraId="4D842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854" w:type="dxa"/>
            <w:gridSpan w:val="4"/>
            <w:vAlign w:val="center"/>
          </w:tcPr>
          <w:p w14:paraId="62F5CDFA">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二、商务要求（商务要求中所有条款为实质性要求）：</w:t>
            </w:r>
          </w:p>
        </w:tc>
      </w:tr>
      <w:tr w14:paraId="4596C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2" w:hRule="atLeast"/>
          <w:jc w:val="center"/>
        </w:trPr>
        <w:tc>
          <w:tcPr>
            <w:tcW w:w="2376" w:type="dxa"/>
            <w:gridSpan w:val="3"/>
            <w:vAlign w:val="center"/>
          </w:tcPr>
          <w:p w14:paraId="158C821F">
            <w:pPr>
              <w:keepNext w:val="0"/>
              <w:keepLines w:val="0"/>
              <w:pageBreakBefore w:val="0"/>
              <w:widowControl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配送货时间及地点</w:t>
            </w:r>
          </w:p>
        </w:tc>
        <w:tc>
          <w:tcPr>
            <w:tcW w:w="7478" w:type="dxa"/>
            <w:vAlign w:val="center"/>
          </w:tcPr>
          <w:p w14:paraId="5BA7E5B9">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早上6:30之前要把早餐用的米粉，青菜送到，上午9点之前要把中餐的的主副</w:t>
            </w:r>
          </w:p>
          <w:p w14:paraId="24B78892">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食品及调料送到，晚餐如果临时有接待任务，还需要4点之前再配送一次接待用的主副食品原材料。</w:t>
            </w:r>
          </w:p>
          <w:p w14:paraId="543DA072">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2.交货地点：食堂及采购单位指定地点。</w:t>
            </w:r>
          </w:p>
        </w:tc>
      </w:tr>
      <w:tr w14:paraId="07CE5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2376" w:type="dxa"/>
            <w:gridSpan w:val="3"/>
            <w:vAlign w:val="center"/>
          </w:tcPr>
          <w:p w14:paraId="5FB48A04">
            <w:pPr>
              <w:keepNext w:val="0"/>
              <w:keepLines w:val="0"/>
              <w:pageBreakBefore w:val="0"/>
              <w:widowControl w:val="0"/>
              <w:kinsoku/>
              <w:wordWrap/>
              <w:overflowPunct/>
              <w:topLinePunct w:val="0"/>
              <w:bidi w:val="0"/>
              <w:adjustRightInd w:val="0"/>
              <w:snapToGrid w:val="0"/>
              <w:spacing w:line="360" w:lineRule="exact"/>
              <w:ind w:firstLine="102" w:firstLineChars="4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合同期限</w:t>
            </w:r>
          </w:p>
        </w:tc>
        <w:tc>
          <w:tcPr>
            <w:tcW w:w="7478" w:type="dxa"/>
            <w:vAlign w:val="center"/>
          </w:tcPr>
          <w:p w14:paraId="3B405DBD">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采购合同采用每年一签，如没有被处罚、没有违反合同的其他规定、采购方满意</w:t>
            </w:r>
          </w:p>
          <w:p w14:paraId="2CDFBBA9">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认可第二年可续签，如出现处罚违规情况将终止合同。</w:t>
            </w:r>
          </w:p>
        </w:tc>
      </w:tr>
      <w:tr w14:paraId="2BF78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7" w:hRule="atLeast"/>
          <w:jc w:val="center"/>
        </w:trPr>
        <w:tc>
          <w:tcPr>
            <w:tcW w:w="2376" w:type="dxa"/>
            <w:gridSpan w:val="3"/>
            <w:vAlign w:val="center"/>
          </w:tcPr>
          <w:p w14:paraId="30801AD0">
            <w:pPr>
              <w:keepNext w:val="0"/>
              <w:keepLines w:val="0"/>
              <w:pageBreakBefore w:val="0"/>
              <w:widowControl w:val="0"/>
              <w:kinsoku/>
              <w:wordWrap/>
              <w:overflowPunct/>
              <w:topLinePunct w:val="0"/>
              <w:bidi w:val="0"/>
              <w:adjustRightInd w:val="0"/>
              <w:snapToGrid w:val="0"/>
              <w:spacing w:line="360" w:lineRule="exact"/>
              <w:ind w:firstLine="102" w:firstLineChars="49"/>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价格约定及报价要求</w:t>
            </w:r>
          </w:p>
        </w:tc>
        <w:tc>
          <w:tcPr>
            <w:tcW w:w="7478" w:type="dxa"/>
            <w:vAlign w:val="center"/>
          </w:tcPr>
          <w:p w14:paraId="61CAC780">
            <w:pPr>
              <w:keepNext w:val="0"/>
              <w:keepLines w:val="0"/>
              <w:pageBreakBefore w:val="0"/>
              <w:widowControl w:val="0"/>
              <w:numPr>
                <w:ilvl w:val="0"/>
                <w:numId w:val="5"/>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本项目采购预算总金额（人民币）：1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00000.00元；此为两年服务期暂定采</w:t>
            </w:r>
          </w:p>
          <w:p w14:paraId="2E9DAFB4">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购金额，按服务期内实际采购数量进行结算，单项结算单价按市场调查价格的平均价乘以</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折扣率（%）计算。</w:t>
            </w:r>
          </w:p>
          <w:p w14:paraId="0A8CCC2B">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报价范围：折扣率≤</w:t>
            </w:r>
            <w:r>
              <w:rPr>
                <w:rFonts w:hint="eastAsia" w:ascii="宋体" w:hAnsi="宋体" w:eastAsia="宋体" w:cs="宋体"/>
                <w:color w:val="auto"/>
                <w:kern w:val="0"/>
                <w:sz w:val="21"/>
                <w:szCs w:val="21"/>
                <w:highlight w:val="none"/>
                <w:lang w:val="en-US" w:eastAsia="zh-CN"/>
              </w:rPr>
              <w:t>85%</w:t>
            </w:r>
            <w:r>
              <w:rPr>
                <w:rFonts w:hint="eastAsia" w:ascii="宋体" w:hAnsi="宋体" w:eastAsia="宋体" w:cs="宋体"/>
                <w:color w:val="auto"/>
                <w:kern w:val="0"/>
                <w:sz w:val="21"/>
                <w:szCs w:val="21"/>
                <w:highlight w:val="none"/>
              </w:rPr>
              <w:t>，超出报价范围的，其</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 xml:space="preserve">无效。 </w:t>
            </w:r>
          </w:p>
          <w:p w14:paraId="30985663">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3.确定为</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后，合同签订后按</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价格折扣供货，折扣价格不变。食材</w:t>
            </w:r>
          </w:p>
          <w:p w14:paraId="494B21D0">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价格采用周期性市场询价、定价，供货价格要按所参照的市场询价和承诺的优惠</w:t>
            </w:r>
          </w:p>
          <w:p w14:paraId="3F8B43E3">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率计算出来的价格供货。市场调查价格的平均价确定：</w:t>
            </w:r>
            <w:r>
              <w:rPr>
                <w:rFonts w:hint="eastAsia" w:ascii="宋体" w:hAnsi="宋体" w:eastAsia="宋体" w:cs="宋体"/>
                <w:color w:val="auto"/>
                <w:kern w:val="0"/>
                <w:sz w:val="21"/>
                <w:szCs w:val="21"/>
                <w:highlight w:val="none"/>
                <w:lang w:val="en-US" w:eastAsia="zh-CN"/>
              </w:rPr>
              <w:t>参照“七星农贸市场、瓦</w:t>
            </w:r>
          </w:p>
          <w:p w14:paraId="42554A8B">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窑市场、西门菜市3家市场确定平均价，按成交综合折扣率和货品质量由食堂每</w:t>
            </w:r>
          </w:p>
          <w:p w14:paraId="13EE8B2C">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周确定配送价格；米粉，大米，调料为定价货品，不参于折扣率。</w:t>
            </w:r>
          </w:p>
          <w:p w14:paraId="214B8615">
            <w:pPr>
              <w:keepNext w:val="0"/>
              <w:keepLines w:val="0"/>
              <w:pageBreakBefore w:val="0"/>
              <w:widowControl w:val="0"/>
              <w:numPr>
                <w:ilvl w:val="0"/>
                <w:numId w:val="6"/>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供货协议期内的每一个定价周期，除消费物价指数（CPI）发生大幅波动等特</w:t>
            </w:r>
          </w:p>
          <w:p w14:paraId="458A2EE6">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殊情况外，不允许供货单位上调本定价同期内的物资协议价。</w:t>
            </w:r>
          </w:p>
        </w:tc>
      </w:tr>
      <w:tr w14:paraId="33289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2376" w:type="dxa"/>
            <w:gridSpan w:val="3"/>
            <w:vAlign w:val="center"/>
          </w:tcPr>
          <w:p w14:paraId="596DBC6F">
            <w:pPr>
              <w:keepNext w:val="0"/>
              <w:keepLines w:val="0"/>
              <w:pageBreakBefore w:val="0"/>
              <w:widowControl w:val="0"/>
              <w:kinsoku/>
              <w:wordWrap/>
              <w:overflowPunct/>
              <w:topLinePunct w:val="0"/>
              <w:bidi w:val="0"/>
              <w:adjustRightInd w:val="0"/>
              <w:snapToGrid w:val="0"/>
              <w:spacing w:line="360" w:lineRule="exact"/>
              <w:ind w:firstLine="102" w:firstLineChars="49"/>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供货方式和供货时限</w:t>
            </w:r>
          </w:p>
        </w:tc>
        <w:tc>
          <w:tcPr>
            <w:tcW w:w="7478" w:type="dxa"/>
            <w:vAlign w:val="center"/>
          </w:tcPr>
          <w:p w14:paraId="1542A0E0">
            <w:pPr>
              <w:keepNext w:val="0"/>
              <w:keepLines w:val="0"/>
              <w:pageBreakBefore w:val="0"/>
              <w:widowControl w:val="0"/>
              <w:numPr>
                <w:ilvl w:val="0"/>
                <w:numId w:val="7"/>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采购单位实行食堂物资统一集中采购，非采购方食堂指定人员通知，严禁私</w:t>
            </w:r>
          </w:p>
          <w:p w14:paraId="355DAAEC">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自交易。采购订单一经确认，</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需确保按时准点、保质保量进行货物配送。</w:t>
            </w:r>
          </w:p>
          <w:p w14:paraId="6C86AC04">
            <w:pPr>
              <w:keepNext w:val="0"/>
              <w:keepLines w:val="0"/>
              <w:pageBreakBefore w:val="0"/>
              <w:widowControl w:val="0"/>
              <w:numPr>
                <w:ilvl w:val="0"/>
                <w:numId w:val="7"/>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一般供货要求：按采购方具体采购批次的时间、品种、数量要求，由供货方</w:t>
            </w:r>
          </w:p>
          <w:p w14:paraId="738F21CD">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按采购方要求的时间，负责配送到采购方指定地点。具体采供时间、品种、数量以采购方通知为准。</w:t>
            </w:r>
          </w:p>
          <w:p w14:paraId="56522416">
            <w:pPr>
              <w:keepNext w:val="0"/>
              <w:keepLines w:val="0"/>
              <w:pageBreakBefore w:val="0"/>
              <w:widowControl w:val="0"/>
              <w:numPr>
                <w:ilvl w:val="0"/>
                <w:numId w:val="7"/>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紧急供货要求：在收到采购方发出紧急供货通知后，供方最迟1小时内完成当</w:t>
            </w:r>
          </w:p>
          <w:p w14:paraId="16AFE98E">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次现场供货。</w:t>
            </w:r>
          </w:p>
          <w:p w14:paraId="059251C2">
            <w:pPr>
              <w:keepNext w:val="0"/>
              <w:keepLines w:val="0"/>
              <w:pageBreakBefore w:val="0"/>
              <w:widowControl w:val="0"/>
              <w:numPr>
                <w:ilvl w:val="0"/>
                <w:numId w:val="7"/>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供应商不能满足供货要求时，应提前1个月通知采购方，经采购方同意后方可</w:t>
            </w:r>
          </w:p>
          <w:p w14:paraId="52D50126">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中止合同。</w:t>
            </w:r>
          </w:p>
          <w:p w14:paraId="3E282AFA">
            <w:pPr>
              <w:keepNext w:val="0"/>
              <w:keepLines w:val="0"/>
              <w:pageBreakBefore w:val="0"/>
              <w:widowControl w:val="0"/>
              <w:numPr>
                <w:ilvl w:val="0"/>
                <w:numId w:val="7"/>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供货方配送使用的车辆为封闭式车辆，不得采用两辆车、三轮车及敞篷的车</w:t>
            </w:r>
          </w:p>
          <w:p w14:paraId="445C5D6F">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辆送货；供货车辆必须采用响应文件中所提供的车辆，如使用响应文件以外的车辆配送，采购方将视为转包可终止合同，如供应商新购的配送车辆需提供在成交供应商名下的行驶证等文件。</w:t>
            </w:r>
          </w:p>
          <w:p w14:paraId="722DEA85">
            <w:pPr>
              <w:keepNext w:val="0"/>
              <w:keepLines w:val="0"/>
              <w:pageBreakBefore w:val="0"/>
              <w:widowControl w:val="0"/>
              <w:numPr>
                <w:ilvl w:val="0"/>
                <w:numId w:val="7"/>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供货方为本项目配送的工作人员必须是响应文件中所提供的人员，需每半年</w:t>
            </w:r>
          </w:p>
          <w:p w14:paraId="4DFDEDD6">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提交一次桂林市社会保险个人参保缴费证明和有效期内的健康证明，如使用响应文件以外的工作人员配送，采购方将视为转包可终止合同，如供应商新招工作人员需提供劳动合同，每三个月桂林市社会保险个人参保缴费证明，健康证明等文件。</w:t>
            </w:r>
          </w:p>
        </w:tc>
      </w:tr>
      <w:tr w14:paraId="4C1A1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7" w:hRule="atLeast"/>
          <w:jc w:val="center"/>
        </w:trPr>
        <w:tc>
          <w:tcPr>
            <w:tcW w:w="2376" w:type="dxa"/>
            <w:gridSpan w:val="3"/>
            <w:vAlign w:val="center"/>
          </w:tcPr>
          <w:p w14:paraId="2D192B8F">
            <w:pPr>
              <w:keepNext w:val="0"/>
              <w:keepLines w:val="0"/>
              <w:pageBreakBefore w:val="0"/>
              <w:widowControl w:val="0"/>
              <w:kinsoku/>
              <w:wordWrap/>
              <w:overflowPunct/>
              <w:topLinePunct w:val="0"/>
              <w:bidi w:val="0"/>
              <w:adjustRightInd w:val="0"/>
              <w:snapToGrid w:val="0"/>
              <w:spacing w:line="360" w:lineRule="exact"/>
              <w:ind w:firstLine="205" w:firstLineChars="98"/>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收货及验收方式</w:t>
            </w:r>
          </w:p>
        </w:tc>
        <w:tc>
          <w:tcPr>
            <w:tcW w:w="7478" w:type="dxa"/>
            <w:vAlign w:val="center"/>
          </w:tcPr>
          <w:p w14:paraId="31C3E9C5">
            <w:pPr>
              <w:keepNext w:val="0"/>
              <w:keepLines w:val="0"/>
              <w:pageBreakBefore w:val="0"/>
              <w:widowControl w:val="0"/>
              <w:numPr>
                <w:ilvl w:val="0"/>
                <w:numId w:val="8"/>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所有采购产品均须由供货方免费配送到采购方指定地点，由采购方、供货方</w:t>
            </w:r>
          </w:p>
          <w:p w14:paraId="51370297">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分别指定的验收人双方共同就采供品名、规格、数量、质量等方面进行验收确认和签字。</w:t>
            </w:r>
          </w:p>
          <w:p w14:paraId="598BA141">
            <w:pPr>
              <w:keepNext w:val="0"/>
              <w:keepLines w:val="0"/>
              <w:pageBreakBefore w:val="0"/>
              <w:widowControl w:val="0"/>
              <w:numPr>
                <w:ilvl w:val="0"/>
                <w:numId w:val="8"/>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供货方所供货物品名、规格、数量与采购方当日采购通知不相符的，或所供</w:t>
            </w:r>
          </w:p>
          <w:p w14:paraId="682D08B7">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质量与合同约定、供货方的产品质量保证不相符的，采购方有权拒收，要求供货方予以更换。验收后，如发现商品存在其他问题，可要求供货方进行换货，供货方应在采购方要求的时间内及时调换符合采购方要求的产品并送达采购方指定地点。</w:t>
            </w:r>
          </w:p>
        </w:tc>
      </w:tr>
      <w:tr w14:paraId="06A69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7" w:hRule="atLeast"/>
          <w:jc w:val="center"/>
        </w:trPr>
        <w:tc>
          <w:tcPr>
            <w:tcW w:w="2376" w:type="dxa"/>
            <w:gridSpan w:val="3"/>
            <w:vAlign w:val="center"/>
          </w:tcPr>
          <w:p w14:paraId="1E74F580">
            <w:pPr>
              <w:keepNext w:val="0"/>
              <w:keepLines w:val="0"/>
              <w:pageBreakBefore w:val="0"/>
              <w:widowControl w:val="0"/>
              <w:kinsoku/>
              <w:wordWrap/>
              <w:overflowPunct/>
              <w:topLinePunct w:val="0"/>
              <w:bidi w:val="0"/>
              <w:adjustRightInd w:val="0"/>
              <w:snapToGrid w:val="0"/>
              <w:spacing w:line="360" w:lineRule="exact"/>
              <w:ind w:firstLine="205" w:firstLineChars="98"/>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结账及付款方式</w:t>
            </w:r>
          </w:p>
        </w:tc>
        <w:tc>
          <w:tcPr>
            <w:tcW w:w="7478" w:type="dxa"/>
            <w:vAlign w:val="center"/>
          </w:tcPr>
          <w:p w14:paraId="737EAA73">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采用先供货后对账再结算方式，采购方无须预付款。</w:t>
            </w:r>
          </w:p>
          <w:p w14:paraId="26587E0B">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合同期内每月10日前，采购方按照供应商上月已交付的产品数量乘以对应产</w:t>
            </w:r>
          </w:p>
          <w:p w14:paraId="2737F85C">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品结算单价，计算本次应付款额，供货方须向采购方提供该批货物等额发票及供</w:t>
            </w:r>
          </w:p>
          <w:p w14:paraId="415E3E5F">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货单据，作为采购方付款依据，采购方收到发票及相关票据后25日内，以银行转</w:t>
            </w:r>
          </w:p>
          <w:p w14:paraId="688C2DAE">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账方式向供货方支付货款。供货方须按时足额提供发票及相关票据，否则采购方</w:t>
            </w:r>
          </w:p>
          <w:p w14:paraId="4772C4A3">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有权拒绝付款而不构成违约。供货方开具的发票必须真实、合法、有效，如供货</w:t>
            </w:r>
          </w:p>
          <w:p w14:paraId="6A345F2C">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360" w:leftChars="0" w:hanging="36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方提供虚假发票，由此引发的一切责任由供货方负责。</w:t>
            </w:r>
          </w:p>
        </w:tc>
      </w:tr>
      <w:tr w14:paraId="75BAC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2376" w:type="dxa"/>
            <w:gridSpan w:val="3"/>
            <w:vAlign w:val="center"/>
          </w:tcPr>
          <w:p w14:paraId="022C32AB">
            <w:pPr>
              <w:keepNext w:val="0"/>
              <w:keepLines w:val="0"/>
              <w:pageBreakBefore w:val="0"/>
              <w:widowControl w:val="0"/>
              <w:kinsoku/>
              <w:wordWrap/>
              <w:overflowPunct/>
              <w:topLinePunct w:val="0"/>
              <w:bidi w:val="0"/>
              <w:adjustRightInd w:val="0"/>
              <w:snapToGrid w:val="0"/>
              <w:spacing w:line="360" w:lineRule="exact"/>
              <w:ind w:firstLine="102" w:firstLineChars="4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违约责任</w:t>
            </w:r>
          </w:p>
        </w:tc>
        <w:tc>
          <w:tcPr>
            <w:tcW w:w="7478" w:type="dxa"/>
            <w:vAlign w:val="center"/>
          </w:tcPr>
          <w:p w14:paraId="1A372568">
            <w:pPr>
              <w:keepNext w:val="0"/>
              <w:keepLines w:val="0"/>
              <w:pageBreakBefore w:val="0"/>
              <w:widowControl w:val="0"/>
              <w:kinsoku/>
              <w:wordWrap/>
              <w:overflowPunct/>
              <w:topLinePunct w:val="0"/>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供货方存在提高价格、质量下降、以次充好、服务质量不达标等问题，采购</w:t>
            </w:r>
          </w:p>
          <w:p w14:paraId="5BCC988A">
            <w:pPr>
              <w:keepNext w:val="0"/>
              <w:keepLines w:val="0"/>
              <w:pageBreakBefore w:val="0"/>
              <w:widowControl w:val="0"/>
              <w:kinsoku/>
              <w:wordWrap/>
              <w:overflowPunct/>
              <w:topLinePunct w:val="0"/>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方视供货方违约情况可要求供货方赔偿损失。供货方在供应的货物中存在下列情形的，采购方可直接单方终止合同，供货方还需承担由此造成的经济责任和法律责任：</w:t>
            </w:r>
          </w:p>
          <w:p w14:paraId="371AAD4D">
            <w:pPr>
              <w:keepNext w:val="0"/>
              <w:keepLines w:val="0"/>
              <w:pageBreakBefore w:val="0"/>
              <w:widowControl w:val="0"/>
              <w:kinsoku/>
              <w:wordWrap/>
              <w:overflowPunct/>
              <w:topLinePunct w:val="0"/>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(1)腐败变质、油脂酸败、霉变、生虫、污秽不洁、混有异物或者其他感官性状异常，对人体健康有害的；</w:t>
            </w:r>
          </w:p>
          <w:p w14:paraId="6132A608">
            <w:pPr>
              <w:keepNext w:val="0"/>
              <w:keepLines w:val="0"/>
              <w:pageBreakBefore w:val="0"/>
              <w:widowControl w:val="0"/>
              <w:kinsoku/>
              <w:wordWrap/>
              <w:overflowPunct/>
              <w:topLinePunct w:val="0"/>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(2)含有毒、有害物质或者被有害物质污染，对人体健康有害的；</w:t>
            </w:r>
          </w:p>
          <w:p w14:paraId="45BB1D56">
            <w:pPr>
              <w:keepNext w:val="0"/>
              <w:keepLines w:val="0"/>
              <w:pageBreakBefore w:val="0"/>
              <w:widowControl w:val="0"/>
              <w:kinsoku/>
              <w:wordWrap/>
              <w:overflowPunct/>
              <w:topLinePunct w:val="0"/>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(3)含有致病性寄生虫、微生物或者微生物含量超过国家限定标准的；</w:t>
            </w:r>
          </w:p>
          <w:p w14:paraId="6B299133">
            <w:pPr>
              <w:keepNext w:val="0"/>
              <w:keepLines w:val="0"/>
              <w:pageBreakBefore w:val="0"/>
              <w:widowControl w:val="0"/>
              <w:kinsoku/>
              <w:wordWrap/>
              <w:overflowPunct/>
              <w:topLinePunct w:val="0"/>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(4)掺假、掺杂、伪造，影响营养、卫生的；</w:t>
            </w:r>
          </w:p>
          <w:p w14:paraId="71C41CC3">
            <w:pPr>
              <w:keepNext w:val="0"/>
              <w:keepLines w:val="0"/>
              <w:pageBreakBefore w:val="0"/>
              <w:widowControl w:val="0"/>
              <w:kinsoku/>
              <w:wordWrap/>
              <w:overflowPunct/>
              <w:topLinePunct w:val="0"/>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(5)用非食品原料加工的，加入非食品用化学物质或者将非食品当作食品的；</w:t>
            </w:r>
          </w:p>
          <w:p w14:paraId="32948B5E">
            <w:pPr>
              <w:keepNext w:val="0"/>
              <w:keepLines w:val="0"/>
              <w:pageBreakBefore w:val="0"/>
              <w:widowControl w:val="0"/>
              <w:kinsoku/>
              <w:wordWrap/>
              <w:overflowPunct/>
              <w:topLinePunct w:val="0"/>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(6)超过保质期限的。</w:t>
            </w:r>
          </w:p>
          <w:p w14:paraId="2EA2A879">
            <w:pPr>
              <w:keepNext w:val="0"/>
              <w:keepLines w:val="0"/>
              <w:pageBreakBefore w:val="0"/>
              <w:widowControl w:val="0"/>
              <w:kinsoku/>
              <w:wordWrap/>
              <w:overflowPunct/>
              <w:topLinePunct w:val="0"/>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供货方在合同有效期内，被国家、行业管理部门通报批评并取消经营资格，</w:t>
            </w:r>
          </w:p>
          <w:p w14:paraId="09CB770F">
            <w:pPr>
              <w:keepNext w:val="0"/>
              <w:keepLines w:val="0"/>
              <w:pageBreakBefore w:val="0"/>
              <w:widowControl w:val="0"/>
              <w:kinsoku/>
              <w:wordWrap/>
              <w:overflowPunct/>
              <w:topLinePunct w:val="0"/>
              <w:bidi w:val="0"/>
              <w:adjustRightInd w:val="0"/>
              <w:snapToGrid w:val="0"/>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或无正当理由中断向采购方供货的，采购方将终止合同。</w:t>
            </w:r>
          </w:p>
        </w:tc>
      </w:tr>
      <w:tr w14:paraId="18C3A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76" w:type="dxa"/>
            <w:gridSpan w:val="3"/>
            <w:vAlign w:val="center"/>
          </w:tcPr>
          <w:p w14:paraId="481A822A">
            <w:pPr>
              <w:keepNext w:val="0"/>
              <w:keepLines w:val="0"/>
              <w:pageBreakBefore w:val="0"/>
              <w:widowControl w:val="0"/>
              <w:kinsoku/>
              <w:wordWrap/>
              <w:overflowPunct/>
              <w:topLinePunct w:val="0"/>
              <w:bidi w:val="0"/>
              <w:spacing w:line="360" w:lineRule="exact"/>
              <w:ind w:firstLine="102" w:firstLineChars="4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综合说明及其它要求</w:t>
            </w:r>
          </w:p>
        </w:tc>
        <w:tc>
          <w:tcPr>
            <w:tcW w:w="7478" w:type="dxa"/>
            <w:vAlign w:val="center"/>
          </w:tcPr>
          <w:p w14:paraId="399B4B53">
            <w:pPr>
              <w:keepNext w:val="0"/>
              <w:keepLines w:val="0"/>
              <w:pageBreakBefore w:val="0"/>
              <w:widowControl w:val="0"/>
              <w:kinsoku/>
              <w:wordWrap/>
              <w:overflowPunct/>
              <w:topLinePunct w:val="0"/>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须保障采购单位在使用该产品时不受到第三方关于侵犯专利权、商标权或工业设计权的指控。如果任何第三方提出侵权指控，</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须与第三方交涉，并承担由此而产生的索赔、损失、损害、支出等一切费用（含律师费）。如采购单位因此而遭致损失的，</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应赔偿该损失。</w:t>
            </w:r>
          </w:p>
          <w:p w14:paraId="2AF74889">
            <w:pPr>
              <w:keepNext w:val="0"/>
              <w:keepLines w:val="0"/>
              <w:pageBreakBefore w:val="0"/>
              <w:widowControl w:val="0"/>
              <w:kinsoku/>
              <w:wordWrap/>
              <w:overflowPunct/>
              <w:topLinePunct w:val="0"/>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必须承诺其所提供材料的真实、有效性，如</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在投标过程中存在任何造假、瞒报行为，一经发现，立即上报政府采购监督管理部门并要求取消</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资格，同时保留追究</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责任的相关权利。</w:t>
            </w:r>
          </w:p>
          <w:p w14:paraId="735BE630">
            <w:pPr>
              <w:keepNext w:val="0"/>
              <w:keepLines w:val="0"/>
              <w:pageBreakBefore w:val="0"/>
              <w:widowControl w:val="0"/>
              <w:kinsoku/>
              <w:wordWrap/>
              <w:overflowPunct/>
              <w:topLinePunct w:val="0"/>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 xml:space="preserve">所投产品的生产厂商生产和销售的产品应符合国家和行业食品卫生安全标准，产品必须是全新的且外观及内在品质良好。 </w:t>
            </w:r>
          </w:p>
          <w:p w14:paraId="4E6BD215">
            <w:pPr>
              <w:keepNext w:val="0"/>
              <w:keepLines w:val="0"/>
              <w:pageBreakBefore w:val="0"/>
              <w:widowControl w:val="0"/>
              <w:kinsoku/>
              <w:wordWrap/>
              <w:overflowPunct/>
              <w:topLinePunct w:val="0"/>
              <w:bidi w:val="0"/>
              <w:adjustRightInd w:val="0"/>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发现其提供的商品存在缺陷，有危及人身、财产安全危险的，应当立即向采购方和有关行政部门报告，并采取停止销售、警示、召回、无害化处理、销毁、停止生产等措施。采取召回措施的，</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应当承担因商品被召回支出的必要费用。在合同期内，</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应对供应货物出现的质量及安全问题负责处理解决并承担一切费用。</w:t>
            </w:r>
          </w:p>
        </w:tc>
      </w:tr>
    </w:tbl>
    <w:p w14:paraId="29588639">
      <w:pPr>
        <w:spacing w:line="360" w:lineRule="atLeast"/>
        <w:rPr>
          <w:rFonts w:hint="eastAsia" w:ascii="宋体" w:hAnsi="宋体" w:eastAsia="宋体" w:cs="宋体"/>
          <w:b/>
          <w:bCs/>
          <w:color w:val="auto"/>
          <w:sz w:val="28"/>
          <w:szCs w:val="28"/>
          <w:highlight w:val="none"/>
        </w:rPr>
      </w:pPr>
    </w:p>
    <w:p w14:paraId="3C7471A0">
      <w:pPr>
        <w:spacing w:line="360" w:lineRule="atLeast"/>
        <w:rPr>
          <w:rFonts w:hint="eastAsia" w:ascii="宋体" w:hAnsi="宋体" w:eastAsia="宋体" w:cs="宋体"/>
          <w:b/>
          <w:bCs/>
          <w:color w:val="auto"/>
          <w:sz w:val="28"/>
          <w:szCs w:val="28"/>
          <w:highlight w:val="none"/>
        </w:rPr>
      </w:pPr>
    </w:p>
    <w:p w14:paraId="55F91D23">
      <w:pPr>
        <w:pStyle w:val="19"/>
        <w:rPr>
          <w:rFonts w:hint="eastAsia" w:ascii="宋体" w:hAnsi="宋体" w:eastAsia="宋体" w:cs="宋体"/>
          <w:b/>
          <w:bCs/>
          <w:color w:val="auto"/>
          <w:sz w:val="28"/>
          <w:szCs w:val="28"/>
          <w:highlight w:val="none"/>
        </w:rPr>
      </w:pPr>
    </w:p>
    <w:p w14:paraId="2796EF1B">
      <w:pPr>
        <w:rPr>
          <w:rFonts w:hint="eastAsia" w:ascii="宋体" w:hAnsi="宋体" w:eastAsia="宋体" w:cs="宋体"/>
          <w:b/>
          <w:bCs/>
          <w:color w:val="auto"/>
          <w:sz w:val="28"/>
          <w:szCs w:val="28"/>
          <w:highlight w:val="none"/>
        </w:rPr>
      </w:pPr>
    </w:p>
    <w:p w14:paraId="034C7244">
      <w:pPr>
        <w:pStyle w:val="19"/>
        <w:rPr>
          <w:rFonts w:hint="eastAsia" w:ascii="宋体" w:hAnsi="宋体" w:eastAsia="宋体" w:cs="宋体"/>
          <w:highlight w:val="none"/>
        </w:rPr>
      </w:pPr>
    </w:p>
    <w:p w14:paraId="553AFABC">
      <w:pPr>
        <w:pStyle w:val="7"/>
        <w:snapToGrid w:val="0"/>
        <w:spacing w:line="360" w:lineRule="exact"/>
        <w:ind w:firstLine="420" w:firstLineChars="200"/>
        <w:rPr>
          <w:rFonts w:hint="eastAsia" w:ascii="宋体" w:hAnsi="宋体" w:eastAsia="宋体" w:cs="宋体"/>
          <w:b/>
          <w:szCs w:val="21"/>
          <w:highlight w:val="none"/>
        </w:rPr>
      </w:pPr>
    </w:p>
    <w:p w14:paraId="13421670">
      <w:pPr>
        <w:pStyle w:val="7"/>
        <w:snapToGrid w:val="0"/>
        <w:spacing w:line="360" w:lineRule="exact"/>
        <w:ind w:firstLine="420" w:firstLineChars="200"/>
        <w:rPr>
          <w:rFonts w:hint="eastAsia" w:ascii="宋体" w:hAnsi="宋体" w:eastAsia="宋体" w:cs="宋体"/>
          <w:b/>
          <w:szCs w:val="21"/>
          <w:highlight w:val="none"/>
        </w:rPr>
      </w:pPr>
    </w:p>
    <w:p w14:paraId="0F8A1D74">
      <w:pPr>
        <w:pStyle w:val="7"/>
        <w:snapToGrid w:val="0"/>
        <w:spacing w:line="360" w:lineRule="exact"/>
        <w:ind w:firstLine="420" w:firstLineChars="200"/>
        <w:rPr>
          <w:rFonts w:hint="eastAsia" w:ascii="宋体" w:hAnsi="宋体" w:eastAsia="宋体" w:cs="宋体"/>
          <w:b/>
          <w:szCs w:val="21"/>
          <w:highlight w:val="none"/>
        </w:rPr>
      </w:pPr>
    </w:p>
    <w:p w14:paraId="71AAB13D">
      <w:pPr>
        <w:pStyle w:val="7"/>
        <w:snapToGrid w:val="0"/>
        <w:spacing w:line="360" w:lineRule="exact"/>
        <w:ind w:firstLine="420" w:firstLineChars="200"/>
        <w:rPr>
          <w:rFonts w:hint="eastAsia" w:ascii="宋体" w:hAnsi="宋体" w:eastAsia="宋体" w:cs="宋体"/>
          <w:b/>
          <w:szCs w:val="21"/>
          <w:highlight w:val="none"/>
        </w:rPr>
      </w:pPr>
    </w:p>
    <w:p w14:paraId="6E1D044B">
      <w:pPr>
        <w:pStyle w:val="7"/>
        <w:snapToGrid w:val="0"/>
        <w:spacing w:line="360" w:lineRule="exact"/>
        <w:ind w:firstLine="420" w:firstLineChars="200"/>
        <w:rPr>
          <w:rFonts w:hint="eastAsia" w:ascii="宋体" w:hAnsi="宋体" w:eastAsia="宋体" w:cs="宋体"/>
          <w:b/>
          <w:szCs w:val="21"/>
          <w:highlight w:val="none"/>
        </w:rPr>
      </w:pPr>
    </w:p>
    <w:p w14:paraId="2C223BC6">
      <w:pPr>
        <w:pStyle w:val="7"/>
        <w:snapToGrid w:val="0"/>
        <w:spacing w:line="360" w:lineRule="exact"/>
        <w:ind w:firstLine="420" w:firstLineChars="200"/>
        <w:rPr>
          <w:rFonts w:hint="eastAsia" w:ascii="宋体" w:hAnsi="宋体" w:eastAsia="宋体" w:cs="宋体"/>
          <w:b/>
          <w:szCs w:val="21"/>
          <w:highlight w:val="none"/>
        </w:rPr>
      </w:pPr>
    </w:p>
    <w:p w14:paraId="1C083661">
      <w:pPr>
        <w:pStyle w:val="7"/>
        <w:snapToGrid w:val="0"/>
        <w:spacing w:line="360" w:lineRule="exact"/>
        <w:ind w:firstLine="420" w:firstLineChars="200"/>
        <w:rPr>
          <w:rFonts w:hint="eastAsia" w:ascii="宋体" w:hAnsi="宋体" w:eastAsia="宋体" w:cs="宋体"/>
          <w:b/>
          <w:szCs w:val="21"/>
          <w:highlight w:val="none"/>
        </w:rPr>
      </w:pPr>
    </w:p>
    <w:p w14:paraId="1D0FED5D">
      <w:pPr>
        <w:pStyle w:val="7"/>
        <w:snapToGrid w:val="0"/>
        <w:spacing w:line="360" w:lineRule="exact"/>
        <w:ind w:firstLine="420" w:firstLineChars="200"/>
        <w:rPr>
          <w:rFonts w:hint="eastAsia" w:ascii="宋体" w:hAnsi="宋体" w:eastAsia="宋体" w:cs="宋体"/>
          <w:b/>
          <w:szCs w:val="21"/>
          <w:highlight w:val="none"/>
        </w:rPr>
      </w:pPr>
    </w:p>
    <w:p w14:paraId="600F102C">
      <w:pPr>
        <w:pStyle w:val="7"/>
        <w:snapToGrid w:val="0"/>
        <w:spacing w:line="360" w:lineRule="exact"/>
        <w:ind w:firstLine="420" w:firstLineChars="200"/>
        <w:rPr>
          <w:rFonts w:hint="eastAsia" w:ascii="宋体" w:hAnsi="宋体" w:eastAsia="宋体" w:cs="宋体"/>
          <w:b/>
          <w:szCs w:val="21"/>
          <w:highlight w:val="none"/>
        </w:rPr>
      </w:pPr>
    </w:p>
    <w:p w14:paraId="403CEC44">
      <w:pPr>
        <w:pStyle w:val="7"/>
        <w:snapToGrid w:val="0"/>
        <w:spacing w:line="360" w:lineRule="exact"/>
        <w:ind w:firstLine="420" w:firstLineChars="200"/>
        <w:rPr>
          <w:rFonts w:hint="eastAsia" w:ascii="宋体" w:hAnsi="宋体" w:eastAsia="宋体" w:cs="宋体"/>
          <w:b/>
          <w:szCs w:val="21"/>
          <w:highlight w:val="none"/>
        </w:rPr>
      </w:pPr>
    </w:p>
    <w:p w14:paraId="62945A2C">
      <w:pPr>
        <w:pStyle w:val="7"/>
        <w:snapToGrid w:val="0"/>
        <w:spacing w:line="360" w:lineRule="exact"/>
        <w:ind w:firstLine="420" w:firstLineChars="200"/>
        <w:rPr>
          <w:rFonts w:hint="eastAsia" w:ascii="宋体" w:hAnsi="宋体" w:eastAsia="宋体" w:cs="宋体"/>
          <w:b/>
          <w:szCs w:val="21"/>
          <w:highlight w:val="none"/>
        </w:rPr>
      </w:pPr>
    </w:p>
    <w:p w14:paraId="64ECA837">
      <w:pPr>
        <w:pStyle w:val="7"/>
        <w:snapToGrid w:val="0"/>
        <w:spacing w:line="360" w:lineRule="exact"/>
        <w:ind w:firstLine="420" w:firstLineChars="200"/>
        <w:rPr>
          <w:rFonts w:hint="eastAsia" w:ascii="宋体" w:hAnsi="宋体" w:eastAsia="宋体" w:cs="宋体"/>
          <w:b/>
          <w:szCs w:val="21"/>
          <w:highlight w:val="none"/>
        </w:rPr>
      </w:pPr>
    </w:p>
    <w:p w14:paraId="1C7350DB">
      <w:pPr>
        <w:pStyle w:val="7"/>
        <w:snapToGrid w:val="0"/>
        <w:spacing w:line="360" w:lineRule="exact"/>
        <w:ind w:firstLine="420" w:firstLineChars="200"/>
        <w:rPr>
          <w:rFonts w:hint="eastAsia" w:ascii="宋体" w:hAnsi="宋体" w:eastAsia="宋体" w:cs="宋体"/>
          <w:b/>
          <w:szCs w:val="21"/>
          <w:highlight w:val="none"/>
        </w:rPr>
      </w:pPr>
    </w:p>
    <w:p w14:paraId="3526C7E9">
      <w:pPr>
        <w:pStyle w:val="7"/>
        <w:snapToGrid w:val="0"/>
        <w:spacing w:line="360" w:lineRule="exact"/>
        <w:ind w:firstLine="420" w:firstLineChars="200"/>
        <w:rPr>
          <w:rFonts w:hint="eastAsia" w:ascii="宋体" w:hAnsi="宋体" w:eastAsia="宋体" w:cs="宋体"/>
          <w:b/>
          <w:szCs w:val="21"/>
          <w:highlight w:val="none"/>
        </w:rPr>
      </w:pPr>
    </w:p>
    <w:p w14:paraId="69815766">
      <w:pPr>
        <w:pStyle w:val="7"/>
        <w:snapToGrid w:val="0"/>
        <w:spacing w:line="360" w:lineRule="exact"/>
        <w:ind w:firstLine="420" w:firstLineChars="200"/>
        <w:rPr>
          <w:rFonts w:hint="eastAsia" w:ascii="宋体" w:hAnsi="宋体" w:eastAsia="宋体" w:cs="宋体"/>
          <w:b/>
          <w:szCs w:val="21"/>
          <w:highlight w:val="none"/>
        </w:rPr>
      </w:pPr>
    </w:p>
    <w:p w14:paraId="2E517D45">
      <w:pPr>
        <w:ind w:firstLine="640" w:firstLineChars="200"/>
        <w:jc w:val="center"/>
        <w:outlineLvl w:val="0"/>
        <w:rPr>
          <w:rFonts w:hint="eastAsia" w:ascii="宋体" w:hAnsi="宋体" w:eastAsia="宋体" w:cs="宋体"/>
          <w:sz w:val="32"/>
          <w:szCs w:val="32"/>
          <w:highlight w:val="none"/>
        </w:rPr>
      </w:pPr>
      <w:bookmarkStart w:id="338" w:name="_Toc22928"/>
      <w:bookmarkStart w:id="339" w:name="_Toc20591"/>
      <w:bookmarkStart w:id="340" w:name="_Toc14444"/>
      <w:bookmarkStart w:id="341" w:name="_Toc10078"/>
      <w:bookmarkStart w:id="342" w:name="_Toc15066"/>
      <w:r>
        <w:rPr>
          <w:rFonts w:hint="eastAsia" w:ascii="宋体" w:hAnsi="宋体" w:eastAsia="宋体" w:cs="宋体"/>
          <w:b/>
          <w:bCs/>
          <w:sz w:val="32"/>
          <w:szCs w:val="32"/>
          <w:highlight w:val="none"/>
        </w:rPr>
        <w:t>第四章 评审办法</w:t>
      </w:r>
      <w:bookmarkEnd w:id="336"/>
      <w:bookmarkEnd w:id="337"/>
      <w:bookmarkEnd w:id="338"/>
      <w:bookmarkEnd w:id="339"/>
      <w:bookmarkEnd w:id="340"/>
      <w:bookmarkEnd w:id="341"/>
      <w:bookmarkEnd w:id="342"/>
    </w:p>
    <w:p w14:paraId="38CE5C85">
      <w:pPr>
        <w:spacing w:line="400" w:lineRule="exact"/>
        <w:ind w:firstLine="420"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一、评审依据</w:t>
      </w:r>
    </w:p>
    <w:p w14:paraId="03A074B6">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评审依据：磋商小组以磋商文件和响应文件为评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依据，</w:t>
      </w:r>
      <w:r>
        <w:rPr>
          <w:rFonts w:hint="eastAsia" w:ascii="宋体" w:hAnsi="宋体" w:eastAsia="宋体" w:cs="宋体"/>
          <w:color w:val="auto"/>
          <w:sz w:val="21"/>
          <w:szCs w:val="21"/>
          <w:highlight w:val="none"/>
        </w:rPr>
        <w:t>对供应商的响应文件进行评审。</w:t>
      </w:r>
    </w:p>
    <w:p w14:paraId="1CFABBC9">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评审方式：以封闭方式进行评审。</w:t>
      </w:r>
    </w:p>
    <w:p w14:paraId="498B2917">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3.采购人和采购代理机构、竞争性磋商小组成员要严格遵守政府采购相关法律制度，依法履行各自职责，公正、客观、审慎地组织和参与评审工作。</w:t>
      </w:r>
    </w:p>
    <w:p w14:paraId="4BD2E170">
      <w:pPr>
        <w:spacing w:line="400" w:lineRule="exact"/>
        <w:ind w:firstLine="420"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二、评审办法</w:t>
      </w:r>
    </w:p>
    <w:p w14:paraId="3FAB016B">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（一）对进入详评的，采用</w:t>
      </w:r>
      <w:r>
        <w:rPr>
          <w:rFonts w:hint="eastAsia" w:ascii="宋体" w:hAnsi="宋体" w:eastAsia="宋体" w:cs="宋体"/>
          <w:b/>
          <w:bCs/>
          <w:color w:val="000000"/>
          <w:szCs w:val="21"/>
          <w:highlight w:val="none"/>
        </w:rPr>
        <w:t>综合评分法</w:t>
      </w:r>
      <w:r>
        <w:rPr>
          <w:rFonts w:hint="eastAsia" w:ascii="宋体" w:hAnsi="宋体" w:eastAsia="宋体" w:cs="宋体"/>
          <w:color w:val="000000"/>
          <w:szCs w:val="21"/>
          <w:highlight w:val="none"/>
        </w:rPr>
        <w:t>。</w:t>
      </w:r>
    </w:p>
    <w:p w14:paraId="59339DD2">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（二）计分办法（</w:t>
      </w:r>
      <w:r>
        <w:rPr>
          <w:rFonts w:hint="eastAsia" w:ascii="宋体" w:hAnsi="宋体" w:eastAsia="宋体" w:cs="宋体"/>
          <w:bCs/>
          <w:szCs w:val="21"/>
          <w:highlight w:val="none"/>
        </w:rPr>
        <w:t>按四舍五入取至百分位</w:t>
      </w:r>
      <w:r>
        <w:rPr>
          <w:rFonts w:hint="eastAsia" w:ascii="宋体" w:hAnsi="宋体" w:eastAsia="宋体" w:cs="宋体"/>
          <w:color w:val="000000"/>
          <w:szCs w:val="21"/>
          <w:highlight w:val="none"/>
        </w:rPr>
        <w:t>）</w:t>
      </w:r>
    </w:p>
    <w:p w14:paraId="54AE99D0">
      <w:pPr>
        <w:spacing w:line="400" w:lineRule="exact"/>
        <w:ind w:firstLine="420" w:firstLineChars="200"/>
        <w:jc w:val="left"/>
        <w:rPr>
          <w:rFonts w:hint="eastAsia" w:ascii="宋体" w:hAnsi="宋体" w:eastAsia="宋体" w:cs="宋体"/>
          <w:highlight w:val="none"/>
        </w:rPr>
      </w:pPr>
      <w:r>
        <w:rPr>
          <w:rFonts w:hint="eastAsia" w:ascii="宋体" w:hAnsi="宋体" w:eastAsia="宋体" w:cs="宋体"/>
          <w:b/>
          <w:bCs/>
          <w:color w:val="000000"/>
          <w:szCs w:val="21"/>
          <w:highlight w:val="none"/>
        </w:rPr>
        <w:t>1、价格分…………………………………………………………</w:t>
      </w:r>
      <w:r>
        <w:rPr>
          <w:rFonts w:hint="eastAsia" w:ascii="宋体" w:hAnsi="宋体" w:eastAsia="宋体" w:cs="宋体"/>
          <w:b/>
          <w:bCs/>
          <w:szCs w:val="21"/>
          <w:highlight w:val="none"/>
        </w:rPr>
        <w:t>……………………………………</w:t>
      </w:r>
      <w:r>
        <w:rPr>
          <w:rFonts w:hint="eastAsia" w:ascii="宋体" w:hAnsi="宋体" w:eastAsia="宋体" w:cs="宋体"/>
          <w:b/>
          <w:bCs/>
          <w:color w:val="000000"/>
          <w:szCs w:val="21"/>
          <w:highlight w:val="none"/>
        </w:rPr>
        <w:t>…</w:t>
      </w:r>
      <w:r>
        <w:rPr>
          <w:rFonts w:hint="eastAsia" w:ascii="宋体" w:hAnsi="宋体" w:eastAsia="宋体" w:cs="宋体"/>
          <w:b/>
          <w:color w:val="000000"/>
          <w:szCs w:val="21"/>
          <w:highlight w:val="none"/>
        </w:rPr>
        <w:t>满分</w:t>
      </w:r>
      <w:r>
        <w:rPr>
          <w:rFonts w:hint="eastAsia" w:ascii="宋体" w:hAnsi="宋体" w:eastAsia="宋体" w:cs="宋体"/>
          <w:b/>
          <w:color w:val="000000"/>
          <w:szCs w:val="21"/>
          <w:highlight w:val="none"/>
          <w:lang w:val="en-US" w:eastAsia="zh-CN"/>
        </w:rPr>
        <w:t>50</w:t>
      </w:r>
      <w:r>
        <w:rPr>
          <w:rFonts w:hint="eastAsia" w:ascii="宋体" w:hAnsi="宋体" w:eastAsia="宋体" w:cs="宋体"/>
          <w:b/>
          <w:bCs/>
          <w:color w:val="000000"/>
          <w:szCs w:val="21"/>
          <w:highlight w:val="none"/>
        </w:rPr>
        <w:t>分</w:t>
      </w:r>
    </w:p>
    <w:p w14:paraId="1F4D5025">
      <w:pPr>
        <w:spacing w:line="400" w:lineRule="exact"/>
        <w:ind w:firstLine="420" w:firstLineChars="200"/>
        <w:rPr>
          <w:rFonts w:hint="eastAsia" w:ascii="宋体" w:hAnsi="宋体" w:eastAsia="宋体" w:cs="宋体"/>
          <w:bCs/>
          <w:szCs w:val="21"/>
          <w:highlight w:val="none"/>
        </w:rPr>
      </w:pPr>
      <w:bookmarkStart w:id="343" w:name="OLE_LINK19"/>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1</w:t>
      </w:r>
      <w:r>
        <w:rPr>
          <w:rFonts w:hint="eastAsia" w:ascii="宋体" w:hAnsi="宋体" w:eastAsia="宋体" w:cs="宋体"/>
          <w:bCs/>
          <w:szCs w:val="21"/>
          <w:highlight w:val="none"/>
        </w:rPr>
        <w:t>）以进入综合评分环节的最低的评审报价为</w:t>
      </w:r>
      <w:r>
        <w:rPr>
          <w:rFonts w:hint="eastAsia" w:ascii="宋体" w:hAnsi="宋体" w:eastAsia="宋体" w:cs="宋体"/>
          <w:bCs/>
          <w:szCs w:val="21"/>
          <w:highlight w:val="none"/>
          <w:lang w:val="en-US" w:eastAsia="zh-CN"/>
        </w:rPr>
        <w:t>磋商</w:t>
      </w:r>
      <w:r>
        <w:rPr>
          <w:rFonts w:hint="eastAsia" w:ascii="宋体" w:hAnsi="宋体" w:eastAsia="宋体" w:cs="宋体"/>
          <w:bCs/>
          <w:szCs w:val="21"/>
          <w:highlight w:val="none"/>
        </w:rPr>
        <w:t>基准价，</w:t>
      </w:r>
      <w:r>
        <w:rPr>
          <w:rFonts w:hint="eastAsia" w:ascii="宋体" w:hAnsi="宋体" w:eastAsia="宋体" w:cs="宋体"/>
          <w:bCs/>
          <w:szCs w:val="21"/>
          <w:highlight w:val="none"/>
          <w:lang w:val="en-US" w:eastAsia="zh-CN"/>
        </w:rPr>
        <w:t>磋商</w:t>
      </w:r>
      <w:r>
        <w:rPr>
          <w:rFonts w:hint="eastAsia" w:ascii="宋体" w:hAnsi="宋体" w:eastAsia="宋体" w:cs="宋体"/>
          <w:bCs/>
          <w:szCs w:val="21"/>
          <w:highlight w:val="none"/>
        </w:rPr>
        <w:t>基准价报价得分为</w:t>
      </w:r>
      <w:r>
        <w:rPr>
          <w:rFonts w:hint="eastAsia" w:ascii="宋体" w:hAnsi="宋体" w:eastAsia="宋体" w:cs="宋体"/>
          <w:bCs/>
          <w:szCs w:val="21"/>
          <w:highlight w:val="none"/>
          <w:lang w:val="en-US" w:eastAsia="zh-CN"/>
        </w:rPr>
        <w:t>50</w:t>
      </w:r>
      <w:r>
        <w:rPr>
          <w:rFonts w:hint="eastAsia" w:ascii="宋体" w:hAnsi="宋体" w:eastAsia="宋体" w:cs="宋体"/>
          <w:bCs/>
          <w:szCs w:val="21"/>
          <w:highlight w:val="none"/>
        </w:rPr>
        <w:t xml:space="preserve">分。 </w:t>
      </w:r>
    </w:p>
    <w:p w14:paraId="48B72CFE">
      <w:pPr>
        <w:spacing w:line="400" w:lineRule="exact"/>
        <w:ind w:firstLine="420" w:firstLineChars="200"/>
        <w:rPr>
          <w:rFonts w:hint="eastAsia" w:ascii="宋体" w:hAnsi="宋体" w:eastAsia="宋体" w:cs="宋体"/>
          <w:b/>
          <w:szCs w:val="21"/>
          <w:highlight w:val="none"/>
        </w:rPr>
      </w:pPr>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2</w:t>
      </w:r>
      <w:r>
        <w:rPr>
          <w:rFonts w:hint="eastAsia" w:ascii="宋体" w:hAnsi="宋体" w:eastAsia="宋体" w:cs="宋体"/>
          <w:bCs/>
          <w:szCs w:val="21"/>
          <w:highlight w:val="none"/>
        </w:rPr>
        <w:t>）供应商磋商报价得分=（磋商基准价/供应商的</w:t>
      </w:r>
      <w:r>
        <w:rPr>
          <w:rFonts w:hint="eastAsia" w:ascii="宋体" w:hAnsi="宋体" w:eastAsia="宋体" w:cs="宋体"/>
          <w:bCs/>
          <w:szCs w:val="21"/>
          <w:highlight w:val="none"/>
          <w:lang w:val="en-US" w:eastAsia="zh-CN"/>
        </w:rPr>
        <w:t>磋商</w:t>
      </w:r>
      <w:r>
        <w:rPr>
          <w:rFonts w:hint="eastAsia" w:ascii="宋体" w:hAnsi="宋体" w:eastAsia="宋体" w:cs="宋体"/>
          <w:bCs/>
          <w:szCs w:val="21"/>
          <w:highlight w:val="none"/>
        </w:rPr>
        <w:t>报价）×</w:t>
      </w:r>
      <w:r>
        <w:rPr>
          <w:rFonts w:hint="eastAsia" w:ascii="宋体" w:hAnsi="宋体" w:eastAsia="宋体" w:cs="宋体"/>
          <w:bCs/>
          <w:szCs w:val="21"/>
          <w:highlight w:val="none"/>
          <w:lang w:val="en-US" w:eastAsia="zh-CN"/>
        </w:rPr>
        <w:t>50</w:t>
      </w:r>
      <w:r>
        <w:rPr>
          <w:rFonts w:hint="eastAsia" w:ascii="宋体" w:hAnsi="宋体" w:eastAsia="宋体" w:cs="宋体"/>
          <w:bCs/>
          <w:szCs w:val="21"/>
          <w:highlight w:val="none"/>
        </w:rPr>
        <w:t>分。</w:t>
      </w:r>
      <w:bookmarkEnd w:id="343"/>
    </w:p>
    <w:p w14:paraId="0980DAC9">
      <w:pPr>
        <w:spacing w:line="400" w:lineRule="exact"/>
        <w:ind w:firstLine="420" w:firstLineChars="200"/>
        <w:rPr>
          <w:rFonts w:hint="eastAsia" w:ascii="宋体" w:hAnsi="宋体" w:eastAsia="宋体" w:cs="宋体"/>
          <w:b/>
          <w:bCs w:val="0"/>
          <w:color w:val="000000"/>
          <w:szCs w:val="21"/>
          <w:highlight w:val="none"/>
        </w:rPr>
      </w:pPr>
      <w:bookmarkStart w:id="344" w:name="_Toc9893"/>
      <w:r>
        <w:rPr>
          <w:rFonts w:hint="eastAsia" w:ascii="宋体" w:hAnsi="宋体" w:eastAsia="宋体" w:cs="宋体"/>
          <w:b/>
          <w:bCs w:val="0"/>
          <w:color w:val="000000"/>
          <w:szCs w:val="21"/>
          <w:highlight w:val="none"/>
        </w:rPr>
        <w:t>2、</w:t>
      </w:r>
      <w:r>
        <w:rPr>
          <w:rFonts w:hint="eastAsia" w:ascii="宋体" w:hAnsi="宋体" w:eastAsia="宋体" w:cs="宋体"/>
          <w:b/>
          <w:bCs w:val="0"/>
          <w:color w:val="000000"/>
          <w:szCs w:val="21"/>
          <w:highlight w:val="none"/>
          <w:lang w:val="en-US" w:eastAsia="zh-CN"/>
        </w:rPr>
        <w:t>服务方案</w:t>
      </w:r>
      <w:r>
        <w:rPr>
          <w:rFonts w:hint="eastAsia" w:ascii="宋体" w:hAnsi="宋体" w:eastAsia="宋体" w:cs="宋体"/>
          <w:b/>
          <w:bCs w:val="0"/>
          <w:color w:val="000000"/>
          <w:szCs w:val="21"/>
          <w:highlight w:val="none"/>
          <w:lang w:eastAsia="zh-CN"/>
        </w:rPr>
        <w:t>分</w:t>
      </w:r>
      <w:r>
        <w:rPr>
          <w:rFonts w:hint="eastAsia" w:ascii="宋体" w:hAnsi="宋体" w:eastAsia="宋体" w:cs="宋体"/>
          <w:b/>
          <w:bCs w:val="0"/>
          <w:color w:val="000000"/>
          <w:szCs w:val="21"/>
          <w:highlight w:val="none"/>
        </w:rPr>
        <w:t>……………………………………………………………………………………………</w:t>
      </w:r>
      <w:r>
        <w:rPr>
          <w:rFonts w:hint="eastAsia" w:ascii="宋体" w:hAnsi="宋体" w:eastAsia="宋体" w:cs="宋体"/>
          <w:b/>
          <w:color w:val="000000"/>
          <w:szCs w:val="21"/>
          <w:highlight w:val="none"/>
        </w:rPr>
        <w:t>满分</w:t>
      </w:r>
      <w:r>
        <w:rPr>
          <w:rFonts w:hint="eastAsia" w:ascii="宋体" w:hAnsi="宋体" w:eastAsia="宋体" w:cs="宋体"/>
          <w:b/>
          <w:color w:val="000000"/>
          <w:szCs w:val="21"/>
          <w:highlight w:val="none"/>
          <w:lang w:val="en-US" w:eastAsia="zh-CN"/>
        </w:rPr>
        <w:t>41</w:t>
      </w:r>
      <w:r>
        <w:rPr>
          <w:rFonts w:hint="eastAsia" w:ascii="宋体" w:hAnsi="宋体" w:eastAsia="宋体" w:cs="宋体"/>
          <w:b/>
          <w:bCs w:val="0"/>
          <w:color w:val="000000"/>
          <w:szCs w:val="21"/>
          <w:highlight w:val="none"/>
        </w:rPr>
        <w:t>分</w:t>
      </w:r>
      <w:bookmarkEnd w:id="344"/>
    </w:p>
    <w:p w14:paraId="139B087D">
      <w:pPr>
        <w:spacing w:line="440" w:lineRule="exact"/>
        <w:ind w:firstLine="525" w:firstLineChars="250"/>
        <w:rPr>
          <w:rFonts w:hint="eastAsia" w:ascii="宋体" w:hAnsi="宋体" w:eastAsia="宋体" w:cs="宋体"/>
          <w:color w:val="000000"/>
          <w:szCs w:val="21"/>
          <w:highlight w:val="none"/>
        </w:rPr>
      </w:pPr>
      <w:r>
        <w:rPr>
          <w:rFonts w:hint="eastAsia" w:ascii="宋体" w:hAnsi="宋体" w:eastAsia="宋体" w:cs="宋体"/>
          <w:b/>
          <w:szCs w:val="21"/>
          <w:highlight w:val="none"/>
        </w:rPr>
        <w:t>（1）服务计划方案</w:t>
      </w:r>
      <w:r>
        <w:rPr>
          <w:rFonts w:hint="eastAsia" w:ascii="宋体" w:hAnsi="宋体" w:eastAsia="宋体" w:cs="宋体"/>
          <w:b/>
          <w:bCs w:val="0"/>
          <w:color w:val="000000"/>
          <w:szCs w:val="21"/>
          <w:highlight w:val="none"/>
        </w:rPr>
        <w:t>………………………………………………………………………………</w:t>
      </w:r>
      <w:r>
        <w:rPr>
          <w:rFonts w:hint="eastAsia" w:ascii="宋体" w:hAnsi="宋体" w:eastAsia="宋体" w:cs="宋体"/>
          <w:b/>
          <w:szCs w:val="21"/>
          <w:highlight w:val="none"/>
        </w:rPr>
        <w:t>（满分</w:t>
      </w:r>
      <w:r>
        <w:rPr>
          <w:rFonts w:hint="eastAsia" w:ascii="宋体" w:hAnsi="宋体" w:eastAsia="宋体" w:cs="宋体"/>
          <w:b/>
          <w:szCs w:val="21"/>
          <w:highlight w:val="none"/>
          <w:lang w:val="en-US" w:eastAsia="zh-CN"/>
        </w:rPr>
        <w:t>13</w:t>
      </w:r>
      <w:r>
        <w:rPr>
          <w:rFonts w:hint="eastAsia" w:ascii="宋体" w:hAnsi="宋体" w:eastAsia="宋体" w:cs="宋体"/>
          <w:b/>
          <w:szCs w:val="21"/>
          <w:highlight w:val="none"/>
        </w:rPr>
        <w:t>分）</w:t>
      </w:r>
    </w:p>
    <w:p w14:paraId="0217679C">
      <w:pPr>
        <w:pStyle w:val="13"/>
        <w:spacing w:line="360" w:lineRule="atLeast"/>
        <w:ind w:firstLine="420" w:firstLineChars="200"/>
        <w:jc w:val="left"/>
        <w:rPr>
          <w:rFonts w:hint="eastAsia" w:ascii="宋体" w:hAnsi="宋体" w:eastAsia="宋体" w:cs="宋体"/>
          <w:b w:val="0"/>
          <w:bCs/>
          <w:szCs w:val="21"/>
          <w:highlight w:val="none"/>
        </w:rPr>
      </w:pPr>
      <w:r>
        <w:rPr>
          <w:rFonts w:hint="eastAsia" w:ascii="宋体" w:hAnsi="宋体" w:eastAsia="宋体" w:cs="宋体"/>
          <w:b w:val="0"/>
          <w:bCs/>
          <w:szCs w:val="21"/>
          <w:highlight w:val="none"/>
          <w:lang w:val="en-US" w:eastAsia="zh-CN"/>
        </w:rPr>
        <w:t>①提供</w:t>
      </w:r>
      <w:r>
        <w:rPr>
          <w:rFonts w:hint="eastAsia" w:ascii="宋体" w:hAnsi="宋体" w:eastAsia="宋体" w:cs="宋体"/>
          <w:b w:val="0"/>
          <w:bCs/>
          <w:szCs w:val="21"/>
          <w:highlight w:val="none"/>
        </w:rPr>
        <w:t>有针对性的配送服务流程和各季节供应计划</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lang w:val="en-US" w:eastAsia="zh-CN"/>
        </w:rPr>
        <w:t>得4分</w:t>
      </w:r>
      <w:r>
        <w:rPr>
          <w:rFonts w:hint="eastAsia" w:ascii="宋体" w:hAnsi="宋体" w:eastAsia="宋体" w:cs="宋体"/>
          <w:b w:val="0"/>
          <w:bCs/>
          <w:szCs w:val="21"/>
          <w:highlight w:val="none"/>
        </w:rPr>
        <w:t>；</w:t>
      </w:r>
    </w:p>
    <w:p w14:paraId="196E0EB3">
      <w:pPr>
        <w:pStyle w:val="13"/>
        <w:spacing w:line="360" w:lineRule="atLeast"/>
        <w:ind w:firstLine="420" w:firstLineChars="200"/>
        <w:jc w:val="left"/>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②提供</w:t>
      </w:r>
      <w:r>
        <w:rPr>
          <w:rFonts w:hint="eastAsia" w:ascii="宋体" w:hAnsi="宋体" w:eastAsia="宋体" w:cs="宋体"/>
          <w:b w:val="0"/>
          <w:bCs/>
          <w:szCs w:val="21"/>
          <w:highlight w:val="none"/>
        </w:rPr>
        <w:t>有针对性的配送服务流程和各季节供应计划</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rPr>
        <w:t>服务主要措施可行性强，提出有利于食堂物资定点采购服务的意见和建议</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lang w:val="en-US" w:eastAsia="zh-CN"/>
        </w:rPr>
        <w:t>得8分；</w:t>
      </w:r>
    </w:p>
    <w:p w14:paraId="7B511883">
      <w:pPr>
        <w:pStyle w:val="13"/>
        <w:spacing w:line="360" w:lineRule="atLeast"/>
        <w:ind w:firstLine="420" w:firstLineChars="200"/>
        <w:jc w:val="left"/>
        <w:rPr>
          <w:rFonts w:hint="eastAsia" w:ascii="宋体" w:hAnsi="宋体" w:eastAsia="宋体" w:cs="宋体"/>
          <w:b w:val="0"/>
          <w:bCs/>
          <w:szCs w:val="21"/>
          <w:highlight w:val="none"/>
        </w:rPr>
      </w:pPr>
      <w:r>
        <w:rPr>
          <w:rFonts w:hint="eastAsia" w:ascii="宋体" w:hAnsi="宋体" w:eastAsia="宋体" w:cs="宋体"/>
          <w:b w:val="0"/>
          <w:bCs/>
          <w:szCs w:val="21"/>
          <w:highlight w:val="none"/>
          <w:lang w:val="en-US" w:eastAsia="zh-CN"/>
        </w:rPr>
        <w:t>③提供</w:t>
      </w:r>
      <w:r>
        <w:rPr>
          <w:rFonts w:hint="eastAsia" w:ascii="宋体" w:hAnsi="宋体" w:eastAsia="宋体" w:cs="宋体"/>
          <w:b w:val="0"/>
          <w:bCs/>
          <w:szCs w:val="21"/>
          <w:highlight w:val="none"/>
        </w:rPr>
        <w:t>有针对性的配送服务流程和各季节供应计划</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rPr>
        <w:t>服务主要措施可行性强，同时提出有利于食堂物资定点采购服务的意见和建议</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rPr>
        <w:t>对各环节服务人员、设备的配备合理、分工明确，完全满足项目需求</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lang w:val="en-US" w:eastAsia="zh-CN"/>
        </w:rPr>
        <w:t>得13分</w:t>
      </w:r>
      <w:r>
        <w:rPr>
          <w:rFonts w:hint="eastAsia" w:ascii="宋体" w:hAnsi="宋体" w:eastAsia="宋体" w:cs="宋体"/>
          <w:b w:val="0"/>
          <w:bCs/>
          <w:szCs w:val="21"/>
          <w:highlight w:val="none"/>
        </w:rPr>
        <w:t>。</w:t>
      </w:r>
    </w:p>
    <w:p w14:paraId="6BF32520">
      <w:pPr>
        <w:pStyle w:val="13"/>
        <w:spacing w:line="360" w:lineRule="atLeast"/>
        <w:ind w:firstLine="420" w:firstLineChars="200"/>
        <w:jc w:val="left"/>
        <w:rPr>
          <w:rFonts w:hint="eastAsia" w:ascii="宋体" w:hAnsi="宋体" w:eastAsia="宋体" w:cs="宋体"/>
          <w:b/>
          <w:bCs w:val="0"/>
          <w:szCs w:val="21"/>
          <w:highlight w:val="none"/>
        </w:rPr>
      </w:pPr>
      <w:r>
        <w:rPr>
          <w:rFonts w:hint="eastAsia" w:ascii="宋体" w:hAnsi="宋体" w:eastAsia="宋体" w:cs="宋体"/>
          <w:b/>
          <w:bCs w:val="0"/>
          <w:szCs w:val="21"/>
          <w:highlight w:val="none"/>
        </w:rPr>
        <w:t>（2）配送实施方案</w:t>
      </w:r>
      <w:r>
        <w:rPr>
          <w:rFonts w:hint="eastAsia" w:ascii="宋体" w:hAnsi="宋体" w:eastAsia="宋体" w:cs="宋体"/>
          <w:b/>
          <w:szCs w:val="21"/>
          <w:highlight w:val="none"/>
        </w:rPr>
        <w:t>……………………………………………………………………………………</w:t>
      </w:r>
      <w:r>
        <w:rPr>
          <w:rFonts w:hint="eastAsia" w:ascii="宋体" w:hAnsi="宋体" w:eastAsia="宋体" w:cs="宋体"/>
          <w:b/>
          <w:bCs w:val="0"/>
          <w:szCs w:val="21"/>
          <w:highlight w:val="none"/>
        </w:rPr>
        <w:t>（满分</w:t>
      </w:r>
      <w:r>
        <w:rPr>
          <w:rFonts w:hint="eastAsia" w:ascii="宋体" w:hAnsi="宋体" w:eastAsia="宋体" w:cs="宋体"/>
          <w:b/>
          <w:bCs w:val="0"/>
          <w:szCs w:val="21"/>
          <w:highlight w:val="none"/>
          <w:lang w:val="en-US" w:eastAsia="zh-CN"/>
        </w:rPr>
        <w:t>13</w:t>
      </w:r>
      <w:r>
        <w:rPr>
          <w:rFonts w:hint="eastAsia" w:ascii="宋体" w:hAnsi="宋体" w:eastAsia="宋体" w:cs="宋体"/>
          <w:b/>
          <w:bCs w:val="0"/>
          <w:szCs w:val="21"/>
          <w:highlight w:val="none"/>
        </w:rPr>
        <w:t>分）</w:t>
      </w:r>
    </w:p>
    <w:p w14:paraId="2D08F3AC">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0" w:leftChars="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①提供</w:t>
      </w:r>
      <w:r>
        <w:rPr>
          <w:rFonts w:hint="eastAsia" w:ascii="宋体" w:hAnsi="宋体" w:eastAsia="宋体" w:cs="宋体"/>
          <w:bCs/>
          <w:color w:val="auto"/>
          <w:szCs w:val="21"/>
          <w:highlight w:val="none"/>
        </w:rPr>
        <w:t>配送实施方案内容详细，有详细合理的配送管理方案及配送能力说明（包含配送的商品质量、商品保存、运输、配送时间等方面）</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得4分；</w:t>
      </w:r>
    </w:p>
    <w:p w14:paraId="4CE527FD">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0" w:leftChars="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②提供</w:t>
      </w:r>
      <w:r>
        <w:rPr>
          <w:rFonts w:hint="eastAsia" w:ascii="宋体" w:hAnsi="宋体" w:eastAsia="宋体" w:cs="宋体"/>
          <w:bCs/>
          <w:color w:val="auto"/>
          <w:szCs w:val="21"/>
          <w:highlight w:val="none"/>
        </w:rPr>
        <w:t>配送实施方案内容详细，有详细合理的配送管理方案及配送能力说明（包含配送的商品质量、商品保存、运输、配送时间等方面）</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应急配送措施合理可行，能充分满足项目特殊情况下的应急供给保障的</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得8分</w:t>
      </w:r>
      <w:r>
        <w:rPr>
          <w:rFonts w:hint="eastAsia" w:ascii="宋体" w:hAnsi="宋体" w:eastAsia="宋体" w:cs="宋体"/>
          <w:bCs/>
          <w:color w:val="auto"/>
          <w:szCs w:val="21"/>
          <w:highlight w:val="none"/>
        </w:rPr>
        <w:t>；</w:t>
      </w:r>
    </w:p>
    <w:p w14:paraId="7FCFA584">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0" w:leftChars="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③提供</w:t>
      </w:r>
      <w:r>
        <w:rPr>
          <w:rFonts w:hint="eastAsia" w:ascii="宋体" w:hAnsi="宋体" w:eastAsia="宋体" w:cs="宋体"/>
          <w:bCs/>
          <w:color w:val="auto"/>
          <w:szCs w:val="21"/>
          <w:highlight w:val="none"/>
        </w:rPr>
        <w:t>配送实施方案内容详细，有详细合理的配送管理方案及配送能力说明（包含配送的商品质量、商品保存、运输、配送时间等方面）</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应急配送措施合理可行，能充分满足项目特殊情况下的应急供给保障</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货源渠道多样，能充分满足采购人对供货时间地点、供货数量、配送、货源质量的要求以及在特殊情况下的供给保障</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得13分</w:t>
      </w:r>
      <w:r>
        <w:rPr>
          <w:rFonts w:hint="eastAsia" w:ascii="宋体" w:hAnsi="宋体" w:eastAsia="宋体" w:cs="宋体"/>
          <w:bCs/>
          <w:color w:val="auto"/>
          <w:szCs w:val="21"/>
          <w:highlight w:val="none"/>
        </w:rPr>
        <w:t>。</w:t>
      </w:r>
    </w:p>
    <w:p w14:paraId="26D72408">
      <w:pPr>
        <w:pStyle w:val="13"/>
        <w:spacing w:line="360" w:lineRule="atLeast"/>
        <w:ind w:firstLine="420" w:firstLineChars="200"/>
        <w:jc w:val="left"/>
        <w:rPr>
          <w:rFonts w:hint="eastAsia" w:ascii="宋体" w:hAnsi="宋体" w:eastAsia="宋体" w:cs="宋体"/>
          <w:b/>
          <w:szCs w:val="21"/>
          <w:highlight w:val="none"/>
        </w:rPr>
      </w:pPr>
      <w:r>
        <w:rPr>
          <w:rFonts w:hint="eastAsia" w:ascii="宋体" w:hAnsi="宋体" w:eastAsia="宋体" w:cs="宋体"/>
          <w:b/>
          <w:szCs w:val="21"/>
          <w:highlight w:val="none"/>
        </w:rPr>
        <w:t>（3）食材质量安全保障措施…………………………………………………………………………（满分</w:t>
      </w:r>
      <w:r>
        <w:rPr>
          <w:rFonts w:hint="eastAsia" w:ascii="宋体" w:hAnsi="宋体" w:eastAsia="宋体" w:cs="宋体"/>
          <w:b/>
          <w:szCs w:val="21"/>
          <w:highlight w:val="none"/>
          <w:lang w:val="en-US" w:eastAsia="zh-CN"/>
        </w:rPr>
        <w:t>15</w:t>
      </w:r>
      <w:r>
        <w:rPr>
          <w:rFonts w:hint="eastAsia" w:ascii="宋体" w:hAnsi="宋体" w:eastAsia="宋体" w:cs="宋体"/>
          <w:b/>
          <w:szCs w:val="21"/>
          <w:highlight w:val="none"/>
        </w:rPr>
        <w:t>分）</w:t>
      </w:r>
    </w:p>
    <w:p w14:paraId="2ABB2726">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0" w:leftChars="0"/>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①供应商提供</w:t>
      </w:r>
      <w:r>
        <w:rPr>
          <w:rFonts w:hint="eastAsia" w:ascii="宋体" w:hAnsi="宋体" w:eastAsia="宋体" w:cs="宋体"/>
          <w:b w:val="0"/>
          <w:bCs/>
          <w:color w:val="auto"/>
          <w:szCs w:val="21"/>
          <w:highlight w:val="none"/>
        </w:rPr>
        <w:t>食材质量安全保障措施各项内容详细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得5分；</w:t>
      </w:r>
    </w:p>
    <w:p w14:paraId="3531AC67">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0" w:leftChars="0"/>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②供应商提供</w:t>
      </w:r>
      <w:r>
        <w:rPr>
          <w:rFonts w:hint="eastAsia" w:ascii="宋体" w:hAnsi="宋体" w:eastAsia="宋体" w:cs="宋体"/>
          <w:b w:val="0"/>
          <w:bCs/>
          <w:color w:val="auto"/>
          <w:szCs w:val="21"/>
          <w:highlight w:val="none"/>
        </w:rPr>
        <w:t>食材质量安全保障措施各项内容详细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有明确的食材质量标准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得10分；</w:t>
      </w:r>
    </w:p>
    <w:p w14:paraId="742930D7">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0" w:leftChars="0"/>
        <w:jc w:val="left"/>
        <w:textAlignment w:val="auto"/>
        <w:rPr>
          <w:rFonts w:hint="eastAsia" w:ascii="宋体" w:hAnsi="宋体" w:eastAsia="宋体" w:cs="宋体"/>
          <w:b w:val="0"/>
          <w:bCs/>
          <w:szCs w:val="21"/>
          <w:highlight w:val="none"/>
        </w:rPr>
      </w:pPr>
      <w:r>
        <w:rPr>
          <w:rFonts w:hint="eastAsia" w:ascii="宋体" w:hAnsi="宋体" w:eastAsia="宋体" w:cs="宋体"/>
          <w:b w:val="0"/>
          <w:bCs/>
          <w:color w:val="auto"/>
          <w:szCs w:val="21"/>
          <w:highlight w:val="none"/>
          <w:lang w:val="en-US" w:eastAsia="zh-CN"/>
        </w:rPr>
        <w:t>③供应商提供</w:t>
      </w:r>
      <w:r>
        <w:rPr>
          <w:rFonts w:hint="eastAsia" w:ascii="宋体" w:hAnsi="宋体" w:eastAsia="宋体" w:cs="宋体"/>
          <w:b w:val="0"/>
          <w:bCs/>
          <w:color w:val="auto"/>
          <w:szCs w:val="21"/>
          <w:highlight w:val="none"/>
        </w:rPr>
        <w:t>食材质量安全保障措施各项内容详细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有明确的食材质量标准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针对本项目的食材质量管理措施、检验措施合理，可行性强，有力确保食材质量安全供应</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得15分</w:t>
      </w:r>
      <w:r>
        <w:rPr>
          <w:rFonts w:hint="eastAsia" w:ascii="宋体" w:hAnsi="宋体" w:eastAsia="宋体" w:cs="宋体"/>
          <w:b w:val="0"/>
          <w:bCs/>
          <w:color w:val="auto"/>
          <w:szCs w:val="21"/>
          <w:highlight w:val="none"/>
        </w:rPr>
        <w:t>。</w:t>
      </w:r>
    </w:p>
    <w:p w14:paraId="054D219D">
      <w:pPr>
        <w:pStyle w:val="13"/>
        <w:spacing w:line="360" w:lineRule="atLeast"/>
        <w:ind w:firstLine="420" w:firstLineChars="200"/>
        <w:jc w:val="left"/>
        <w:rPr>
          <w:rFonts w:hint="eastAsia" w:ascii="宋体" w:hAnsi="宋体" w:eastAsia="宋体" w:cs="宋体"/>
          <w:b/>
          <w:highlight w:val="none"/>
          <w:lang w:val="en-US" w:eastAsia="zh-CN"/>
        </w:rPr>
      </w:pPr>
      <w:r>
        <w:rPr>
          <w:rFonts w:hint="eastAsia" w:ascii="宋体" w:hAnsi="宋体" w:eastAsia="宋体" w:cs="宋体"/>
          <w:b/>
          <w:highlight w:val="none"/>
          <w:lang w:val="en-US" w:eastAsia="zh-CN"/>
        </w:rPr>
        <w:t>3、业绩、履约能力……………………………………………………………………………………（满分9分）</w:t>
      </w:r>
    </w:p>
    <w:p w14:paraId="60A61F41">
      <w:pPr>
        <w:pStyle w:val="13"/>
        <w:spacing w:line="360" w:lineRule="atLeast"/>
        <w:ind w:firstLine="210" w:firstLineChars="10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（1）配送经营场所（包含仓储和办公等）（3分）</w:t>
      </w:r>
    </w:p>
    <w:p w14:paraId="23FF4664">
      <w:pPr>
        <w:pStyle w:val="13"/>
        <w:spacing w:line="360" w:lineRule="atLeast"/>
        <w:ind w:firstLine="420" w:firstLineChars="20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①供应商为本项目拟投入配送经营场所面积在500平方米的，得0.5分，面积在500平方米以上的得1分；满分1分。</w:t>
      </w:r>
    </w:p>
    <w:p w14:paraId="630705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②供应商拟投入自有或租赁冷藏库容积不少于 80 m³（立方）, 得1分，冷冻库不少70 m³（立方）得0.5分，满分1分。</w:t>
      </w:r>
    </w:p>
    <w:p w14:paraId="51FD42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③配送经营场所具有净菜区、水产处理区、肉类加工区、果蔬加工区、检测室等区域的，每具1项得0.2分，满分1分；（提供场地实拍图片，否则不得分）；</w:t>
      </w:r>
    </w:p>
    <w:p w14:paraId="55B395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注：须提供场所产权证明或租赁合同（租赁期必须包含本项目服务期限）提供租赁经营场所近半年任意季度租金支付凭证及发票。</w:t>
      </w:r>
    </w:p>
    <w:p w14:paraId="097CB95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为本项目车辆配置情况（满分1）；</w:t>
      </w:r>
    </w:p>
    <w:p w14:paraId="792E1D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供应商每自有一辆专业冷链（冷藏）运输车辆的0.5分，满分1分。</w:t>
      </w:r>
    </w:p>
    <w:p w14:paraId="5C989E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注：响应文件中须提供以下相关证明材料复印件：车辆行驶证、登记证、车辆照片：车辆正面、侧面、后面照片、购买发票。</w:t>
      </w:r>
    </w:p>
    <w:p w14:paraId="09C0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（3）购买食品安全责任险（满分1分）</w:t>
      </w:r>
    </w:p>
    <w:p w14:paraId="70783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供应商购买有食品安全责任险在有效期内的，保额1000万元的，得0.5分，保额在1000万以上的得1分，满分1分。</w:t>
      </w:r>
    </w:p>
    <w:p w14:paraId="7362F6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注：响应文件中须提供食品安全责任险投保保单及购买发票等相关证明材料复印件，并加盖供应商电子签章（未提供不予以计分）。</w:t>
      </w:r>
    </w:p>
    <w:p w14:paraId="2DB79E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（4）体系认证（1分）</w:t>
      </w:r>
    </w:p>
    <w:p w14:paraId="6D33AA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供应商提供有效期内的食品安全管理体系认证、危害分析与关键控制点HACCP体系认证、供应链安全管理体系认证证书、环境管理体系认证证书、职业健康安全管理体系认证证书，每提供1个得0.2分。满分1分 （提供复印件和全国认证认可信息公共服务平台证书查询截图，否则不得分）。</w:t>
      </w:r>
    </w:p>
    <w:p w14:paraId="31F53F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（5）检测人员及设备（1分）</w:t>
      </w:r>
    </w:p>
    <w:p w14:paraId="69A884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①供应商有相应的专业检测设备，包括但不限于农药残留检测仪器、兽药残留检测仪器、重金属检测仪器、肉类水分检测仪、食品添加剂检测仪、微生物检测仪。每提供 1 项相关检测功能仪器得0.1分，满分0.6分。（需提供设备照片、购买合同、发票否则不得分）</w:t>
      </w:r>
    </w:p>
    <w:p w14:paraId="4FE3FD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val="en-US" w:eastAsia="zh-CN"/>
        </w:rPr>
        <w:t>②供应商具有食品检验员（食品检测员）相关证件的每个得0.2分，满分0.4分(提供供应商为其交纳的开标截止时间前半年内任意连续三个月养老保险证明。）</w:t>
      </w:r>
    </w:p>
    <w:p w14:paraId="3FB2BA07">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下单应用程序………………………………………………………………（满分1分）</w:t>
      </w:r>
    </w:p>
    <w:p w14:paraId="188882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①供应商提供应用程序，能实现网上下单的得0.5分。（应用程序属于购买软件、第三方服务或者委托开发的，提供合同及发票；属于自行开发的，提供相关著作权证书，否则不得分）；</w:t>
      </w:r>
    </w:p>
    <w:p w14:paraId="603031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②应用程序须包括但不限于用户下单、采购、分拣、配送、追溯、进销存、售后等功能。（提供程序使用说明书或功能截图等相关证明材料。功能完全具备得0.5分，否则不得分）；</w:t>
      </w:r>
    </w:p>
    <w:p w14:paraId="0E6256DE">
      <w:pPr>
        <w:pStyle w:val="13"/>
        <w:spacing w:line="360" w:lineRule="atLeast"/>
        <w:ind w:firstLine="420" w:firstLineChars="200"/>
        <w:jc w:val="left"/>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eastAsia="zh-CN"/>
        </w:rPr>
        <w:t>供应商</w:t>
      </w:r>
      <w:r>
        <w:rPr>
          <w:rFonts w:hint="eastAsia" w:ascii="宋体" w:hAnsi="宋体" w:eastAsia="宋体" w:cs="宋体"/>
          <w:highlight w:val="none"/>
        </w:rPr>
        <w:t>提供</w:t>
      </w:r>
      <w:r>
        <w:rPr>
          <w:rFonts w:hint="eastAsia" w:ascii="宋体" w:hAnsi="宋体" w:eastAsia="宋体" w:cs="宋体"/>
          <w:highlight w:val="none"/>
          <w:lang w:eastAsia="zh-CN"/>
        </w:rPr>
        <w:t>2019年1月1日</w:t>
      </w:r>
      <w:r>
        <w:rPr>
          <w:rFonts w:hint="eastAsia" w:ascii="宋体" w:hAnsi="宋体" w:eastAsia="宋体" w:cs="宋体"/>
          <w:highlight w:val="none"/>
        </w:rPr>
        <w:t>以来具有本项目同类业绩（以</w:t>
      </w:r>
      <w:r>
        <w:rPr>
          <w:rFonts w:hint="eastAsia" w:ascii="宋体" w:hAnsi="宋体" w:eastAsia="宋体" w:cs="宋体"/>
          <w:highlight w:val="none"/>
          <w:lang w:eastAsia="zh-CN"/>
        </w:rPr>
        <w:t>成交</w:t>
      </w:r>
      <w:r>
        <w:rPr>
          <w:rFonts w:hint="eastAsia" w:ascii="宋体" w:hAnsi="宋体" w:eastAsia="宋体" w:cs="宋体"/>
          <w:highlight w:val="none"/>
        </w:rPr>
        <w:t>、成交通知书或合同复印件为准并加盖公章</w:t>
      </w:r>
      <w:r>
        <w:rPr>
          <w:rFonts w:hint="eastAsia" w:ascii="宋体" w:hAnsi="宋体" w:eastAsia="宋体" w:cs="宋体"/>
          <w:szCs w:val="21"/>
          <w:highlight w:val="none"/>
        </w:rPr>
        <w:t>（CA证书签章）</w:t>
      </w:r>
      <w:r>
        <w:rPr>
          <w:rFonts w:hint="eastAsia" w:ascii="宋体" w:hAnsi="宋体" w:eastAsia="宋体" w:cs="宋体"/>
          <w:highlight w:val="none"/>
        </w:rPr>
        <w:t>为计分依据，能清晰反映项目名称、类型、日期，否则将不予评审；同一个编号的项目有两个或两个以上的分标</w:t>
      </w:r>
      <w:r>
        <w:rPr>
          <w:rFonts w:hint="eastAsia" w:ascii="宋体" w:hAnsi="宋体" w:eastAsia="宋体" w:cs="宋体"/>
          <w:highlight w:val="none"/>
          <w:lang w:eastAsia="zh-CN"/>
        </w:rPr>
        <w:t>成交</w:t>
      </w:r>
      <w:r>
        <w:rPr>
          <w:rFonts w:hint="eastAsia" w:ascii="宋体" w:hAnsi="宋体" w:eastAsia="宋体" w:cs="宋体"/>
          <w:highlight w:val="none"/>
        </w:rPr>
        <w:t>的只算一次），每项得</w:t>
      </w:r>
      <w:r>
        <w:rPr>
          <w:rFonts w:hint="eastAsia" w:ascii="宋体" w:hAnsi="宋体" w:eastAsia="宋体" w:cs="宋体"/>
          <w:highlight w:val="none"/>
          <w:lang w:val="en-US" w:eastAsia="zh-CN"/>
        </w:rPr>
        <w:t>0.5</w:t>
      </w:r>
      <w:r>
        <w:rPr>
          <w:rFonts w:hint="eastAsia" w:ascii="宋体" w:hAnsi="宋体" w:eastAsia="宋体" w:cs="宋体"/>
          <w:highlight w:val="none"/>
        </w:rPr>
        <w:t>分，满分</w:t>
      </w:r>
      <w:r>
        <w:rPr>
          <w:rFonts w:hint="eastAsia" w:ascii="宋体" w:hAnsi="宋体" w:eastAsia="宋体" w:cs="宋体"/>
          <w:highlight w:val="none"/>
          <w:lang w:val="en-US" w:eastAsia="zh-CN"/>
        </w:rPr>
        <w:t>1</w:t>
      </w:r>
      <w:r>
        <w:rPr>
          <w:rFonts w:hint="eastAsia" w:ascii="宋体" w:hAnsi="宋体" w:eastAsia="宋体" w:cs="宋体"/>
          <w:highlight w:val="none"/>
        </w:rPr>
        <w:t>分。</w:t>
      </w:r>
    </w:p>
    <w:p w14:paraId="143887CD">
      <w:pPr>
        <w:spacing w:line="560" w:lineRule="exact"/>
        <w:ind w:firstLine="315" w:firstLineChars="150"/>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7</w:t>
      </w:r>
      <w:r>
        <w:rPr>
          <w:rFonts w:hint="eastAsia" w:ascii="宋体" w:hAnsi="宋体" w:eastAsia="宋体" w:cs="宋体"/>
          <w:b/>
          <w:color w:val="000000"/>
          <w:szCs w:val="21"/>
          <w:highlight w:val="none"/>
        </w:rPr>
        <w:t>、综合得分＝1+2+3</w:t>
      </w:r>
    </w:p>
    <w:p w14:paraId="7E0EC360">
      <w:pPr>
        <w:pStyle w:val="13"/>
        <w:tabs>
          <w:tab w:val="left" w:pos="4214"/>
        </w:tabs>
        <w:spacing w:line="400" w:lineRule="exact"/>
        <w:ind w:firstLine="420"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三、推荐及确定成交候选供应商原则</w:t>
      </w:r>
    </w:p>
    <w:p w14:paraId="706A2398">
      <w:pPr>
        <w:pStyle w:val="9"/>
        <w:spacing w:before="110" w:line="400" w:lineRule="exact"/>
        <w:ind w:right="597" w:firstLine="368" w:firstLineChars="200"/>
        <w:jc w:val="both"/>
        <w:rPr>
          <w:rFonts w:hint="eastAsia" w:ascii="宋体" w:hAnsi="宋体" w:eastAsia="宋体" w:cs="宋体"/>
          <w:highlight w:val="none"/>
        </w:rPr>
      </w:pPr>
      <w:r>
        <w:rPr>
          <w:rFonts w:hint="eastAsia" w:ascii="宋体" w:hAnsi="宋体" w:eastAsia="宋体" w:cs="宋体"/>
          <w:spacing w:val="-13"/>
          <w:highlight w:val="none"/>
          <w:lang w:eastAsia="zh-CN"/>
        </w:rPr>
        <w:t>（</w:t>
      </w:r>
      <w:r>
        <w:rPr>
          <w:rFonts w:hint="eastAsia" w:ascii="宋体" w:hAnsi="宋体" w:eastAsia="宋体" w:cs="宋体"/>
          <w:spacing w:val="-13"/>
          <w:highlight w:val="none"/>
          <w:lang w:val="en-US" w:eastAsia="zh-CN"/>
        </w:rPr>
        <w:t>1</w:t>
      </w:r>
      <w:r>
        <w:rPr>
          <w:rFonts w:hint="eastAsia" w:ascii="宋体" w:hAnsi="宋体" w:eastAsia="宋体" w:cs="宋体"/>
          <w:spacing w:val="-13"/>
          <w:highlight w:val="none"/>
          <w:lang w:eastAsia="zh-CN"/>
        </w:rPr>
        <w:t>）</w:t>
      </w:r>
      <w:r>
        <w:rPr>
          <w:rFonts w:hint="eastAsia" w:ascii="宋体" w:hAnsi="宋体" w:eastAsia="宋体" w:cs="宋体"/>
          <w:spacing w:val="-7"/>
          <w:highlight w:val="none"/>
        </w:rPr>
        <w:t>磋商小组应当根据综合评分情况，按照综合得分由高到低顺序推荐成交候选供应商，并编写评审</w:t>
      </w:r>
      <w:r>
        <w:rPr>
          <w:rFonts w:hint="eastAsia" w:ascii="宋体" w:hAnsi="宋体" w:eastAsia="宋体" w:cs="宋体"/>
          <w:spacing w:val="-5"/>
          <w:highlight w:val="none"/>
        </w:rPr>
        <w:t>报告。磋商小组根据综合得分由高到低排列次序，若得分相同时，以评审报价由低到高顺序排列；若得分</w:t>
      </w:r>
      <w:r>
        <w:rPr>
          <w:rFonts w:hint="eastAsia" w:ascii="宋体" w:hAnsi="宋体" w:eastAsia="宋体" w:cs="宋体"/>
          <w:spacing w:val="-4"/>
          <w:highlight w:val="none"/>
        </w:rPr>
        <w:t>相同且评审报价相同的，以最后报价由低到高顺序排列；若仍相同的，按技术方案分由高到低顺序排列并</w:t>
      </w:r>
      <w:r>
        <w:rPr>
          <w:rFonts w:hint="eastAsia" w:ascii="宋体" w:hAnsi="宋体" w:eastAsia="宋体" w:cs="宋体"/>
          <w:spacing w:val="-3"/>
          <w:highlight w:val="none"/>
        </w:rPr>
        <w:t>推荐成交候选供应商。</w:t>
      </w:r>
    </w:p>
    <w:p w14:paraId="3367BF3E">
      <w:pPr>
        <w:pStyle w:val="9"/>
        <w:spacing w:before="4" w:line="400" w:lineRule="exact"/>
        <w:ind w:left="0" w:firstLine="42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采购单位应当确定磋商小组推荐排名第一的成交候选供应商为成交供应商。</w:t>
      </w:r>
    </w:p>
    <w:p w14:paraId="7B0EA38E">
      <w:pPr>
        <w:pStyle w:val="9"/>
        <w:spacing w:before="110" w:line="400" w:lineRule="exact"/>
        <w:ind w:right="597" w:firstLine="420"/>
        <w:jc w:val="both"/>
        <w:rPr>
          <w:rFonts w:hint="eastAsia" w:ascii="宋体" w:hAnsi="宋体" w:eastAsia="宋体" w:cs="宋体"/>
          <w:highlight w:val="none"/>
        </w:rPr>
      </w:pPr>
      <w:r>
        <w:rPr>
          <w:rFonts w:hint="eastAsia" w:ascii="宋体" w:hAnsi="宋体" w:eastAsia="宋体" w:cs="宋体"/>
          <w:spacing w:val="-13"/>
          <w:highlight w:val="none"/>
          <w:lang w:eastAsia="zh-CN"/>
        </w:rPr>
        <w:t>（</w:t>
      </w:r>
      <w:r>
        <w:rPr>
          <w:rFonts w:hint="eastAsia" w:ascii="宋体" w:hAnsi="宋体" w:eastAsia="宋体" w:cs="宋体"/>
          <w:spacing w:val="-13"/>
          <w:highlight w:val="none"/>
          <w:lang w:val="en-US" w:eastAsia="zh-CN"/>
        </w:rPr>
        <w:t>3</w:t>
      </w:r>
      <w:r>
        <w:rPr>
          <w:rFonts w:hint="eastAsia" w:ascii="宋体" w:hAnsi="宋体" w:eastAsia="宋体" w:cs="宋体"/>
          <w:spacing w:val="-13"/>
          <w:highlight w:val="none"/>
          <w:lang w:eastAsia="zh-CN"/>
        </w:rPr>
        <w:t>）</w:t>
      </w:r>
      <w:r>
        <w:rPr>
          <w:rFonts w:hint="eastAsia" w:ascii="宋体" w:hAnsi="宋体" w:eastAsia="宋体" w:cs="宋体"/>
          <w:spacing w:val="-6"/>
          <w:highlight w:val="none"/>
        </w:rPr>
        <w:t>排名第一的成交候选供应商放弃成交、因不可抗力提出不能履行合同，或者竞争性磋商文件规定</w:t>
      </w:r>
      <w:r>
        <w:rPr>
          <w:rFonts w:hint="eastAsia" w:ascii="宋体" w:hAnsi="宋体" w:eastAsia="宋体" w:cs="宋体"/>
          <w:spacing w:val="-4"/>
          <w:highlight w:val="none"/>
        </w:rPr>
        <w:t>应当提交履约保证金而在规定的期限内未能提交的，采购单位可以确定排名第二的成交候选供应商为成交</w:t>
      </w:r>
      <w:r>
        <w:rPr>
          <w:rFonts w:hint="eastAsia" w:ascii="宋体" w:hAnsi="宋体" w:eastAsia="宋体" w:cs="宋体"/>
          <w:spacing w:val="-3"/>
          <w:highlight w:val="none"/>
        </w:rPr>
        <w:t>供应商或者重新组织采购。</w:t>
      </w:r>
    </w:p>
    <w:p w14:paraId="0D9B54B6">
      <w:pPr>
        <w:pStyle w:val="13"/>
        <w:tabs>
          <w:tab w:val="left" w:pos="4214"/>
        </w:tabs>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w:t>
      </w:r>
      <w:r>
        <w:rPr>
          <w:rFonts w:hint="eastAsia" w:ascii="宋体" w:hAnsi="宋体" w:eastAsia="宋体" w:cs="宋体"/>
          <w:highlight w:val="none"/>
        </w:rPr>
        <w:t>排名第二的成交候选供应商因前款规定的同样原因不能签订合同的，采购单位可以确定排名第三的成交候选人为成交供应商或者重新组织采购。以此类推。</w:t>
      </w:r>
    </w:p>
    <w:p w14:paraId="08288B75">
      <w:pPr>
        <w:spacing w:line="400" w:lineRule="exact"/>
        <w:ind w:firstLine="424" w:firstLineChars="202"/>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四、特别说明</w:t>
      </w:r>
    </w:p>
    <w:p w14:paraId="33937CF4">
      <w:pPr>
        <w:spacing w:line="360" w:lineRule="auto"/>
        <w:ind w:firstLine="420"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kern w:val="2"/>
          <w:sz w:val="21"/>
          <w:szCs w:val="21"/>
          <w:highlight w:val="none"/>
          <w:lang w:val="en-US"/>
        </w:rPr>
        <w:t>评审时，评标委员会根据《关于推动解决政府采购异常低价问题的通知》</w:t>
      </w:r>
      <w:r>
        <w:rPr>
          <w:rFonts w:hint="eastAsia" w:ascii="宋体" w:hAnsi="宋体" w:eastAsia="宋体" w:cs="宋体"/>
          <w:b/>
          <w:bCs/>
          <w:color w:val="auto"/>
          <w:kern w:val="2"/>
          <w:sz w:val="21"/>
          <w:szCs w:val="21"/>
          <w:highlight w:val="none"/>
          <w:lang w:val="en-US" w:eastAsia="zh-CN"/>
        </w:rPr>
        <w:t>（</w:t>
      </w:r>
      <w:r>
        <w:rPr>
          <w:rFonts w:hint="eastAsia" w:ascii="宋体" w:hAnsi="宋体" w:eastAsia="宋体" w:cs="宋体"/>
          <w:b/>
          <w:bCs/>
          <w:color w:val="auto"/>
          <w:kern w:val="2"/>
          <w:sz w:val="21"/>
          <w:szCs w:val="21"/>
          <w:highlight w:val="none"/>
          <w:lang w:val="en-US"/>
        </w:rPr>
        <w:t>财库〔2026〕2号</w:t>
      </w:r>
      <w:r>
        <w:rPr>
          <w:rFonts w:hint="eastAsia" w:ascii="宋体" w:hAnsi="宋体" w:eastAsia="宋体" w:cs="宋体"/>
          <w:b/>
          <w:bCs/>
          <w:color w:val="auto"/>
          <w:kern w:val="2"/>
          <w:sz w:val="21"/>
          <w:szCs w:val="21"/>
          <w:highlight w:val="none"/>
          <w:lang w:val="en-US" w:eastAsia="zh-CN"/>
        </w:rPr>
        <w:t>）相关规定</w:t>
      </w:r>
      <w:r>
        <w:rPr>
          <w:rFonts w:hint="eastAsia" w:ascii="宋体" w:hAnsi="宋体" w:eastAsia="宋体" w:cs="宋体"/>
          <w:b/>
          <w:bCs/>
          <w:color w:val="auto"/>
          <w:kern w:val="2"/>
          <w:sz w:val="21"/>
          <w:szCs w:val="21"/>
          <w:highlight w:val="none"/>
          <w:lang w:val="en-US"/>
        </w:rPr>
        <w:t>启动异常低价投标（响应）审查程序</w:t>
      </w:r>
      <w:r>
        <w:rPr>
          <w:rFonts w:hint="eastAsia" w:ascii="宋体" w:hAnsi="宋体" w:eastAsia="宋体" w:cs="宋体"/>
          <w:b/>
          <w:bCs/>
          <w:color w:val="auto"/>
          <w:kern w:val="2"/>
          <w:sz w:val="21"/>
          <w:szCs w:val="21"/>
          <w:highlight w:val="none"/>
          <w:lang w:val="en-US" w:eastAsia="zh-CN"/>
        </w:rPr>
        <w:t>。</w:t>
      </w:r>
      <w:r>
        <w:rPr>
          <w:rFonts w:hint="eastAsia" w:ascii="宋体" w:hAnsi="宋体" w:eastAsia="宋体" w:cs="宋体"/>
          <w:b/>
          <w:bCs/>
          <w:color w:val="auto"/>
          <w:szCs w:val="21"/>
          <w:highlight w:val="none"/>
        </w:rPr>
        <w:t>启动异常低价投标（响应）审查后，</w:t>
      </w:r>
      <w:r>
        <w:rPr>
          <w:rStyle w:val="28"/>
          <w:rFonts w:hint="eastAsia" w:ascii="宋体" w:hAnsi="宋体" w:eastAsia="宋体" w:cs="宋体"/>
          <w:b/>
          <w:bCs/>
          <w:color w:val="auto"/>
          <w:szCs w:val="21"/>
          <w:highlight w:val="none"/>
        </w:rPr>
        <w:t>应当要求供应商在</w:t>
      </w:r>
      <w:r>
        <w:rPr>
          <w:rStyle w:val="28"/>
          <w:rFonts w:hint="eastAsia" w:ascii="宋体" w:hAnsi="宋体" w:eastAsia="宋体" w:cs="宋体"/>
          <w:b/>
          <w:bCs/>
          <w:color w:val="auto"/>
          <w:szCs w:val="21"/>
          <w:highlight w:val="none"/>
          <w:lang w:val="en-US"/>
        </w:rPr>
        <w:t>谈判小组要求的时间内</w:t>
      </w:r>
      <w:r>
        <w:rPr>
          <w:rFonts w:hint="eastAsia" w:ascii="宋体" w:hAnsi="宋体" w:eastAsia="宋体" w:cs="宋体"/>
          <w:b/>
          <w:bCs/>
          <w:color w:val="auto"/>
          <w:szCs w:val="21"/>
          <w:highlight w:val="none"/>
        </w:rPr>
        <w:t>对投标（响应）价格作出解释，</w:t>
      </w:r>
      <w:r>
        <w:rPr>
          <w:rFonts w:hint="eastAsia" w:ascii="宋体" w:hAnsi="宋体" w:eastAsia="宋体" w:cs="宋体"/>
          <w:b/>
          <w:bCs/>
          <w:color w:val="auto"/>
          <w:szCs w:val="21"/>
          <w:highlight w:val="none"/>
          <w:shd w:val="clear" w:color="auto" w:fill="FFFFFF"/>
        </w:rPr>
        <w:t>提供项目具体成本测算等与报价合理性相关的书面说明及必要的证明材料（包括但不限于原材料成本、人工成本、制造费用等）。</w:t>
      </w:r>
      <w:r>
        <w:rPr>
          <w:rFonts w:hint="eastAsia" w:ascii="宋体" w:hAnsi="宋体" w:eastAsia="宋体" w:cs="宋体"/>
          <w:b/>
          <w:bCs/>
          <w:color w:val="auto"/>
          <w:szCs w:val="21"/>
          <w:highlight w:val="none"/>
        </w:rPr>
        <w:t>供应商不能提供书面说明、证明材料，或者提供的书面说明、证明材料不能证明其报价合理性的，</w:t>
      </w:r>
      <w:r>
        <w:rPr>
          <w:rFonts w:hint="eastAsia" w:ascii="宋体" w:hAnsi="宋体" w:eastAsia="宋体" w:cs="宋体"/>
          <w:b/>
          <w:bCs/>
          <w:color w:val="auto"/>
          <w:kern w:val="2"/>
          <w:sz w:val="21"/>
          <w:szCs w:val="21"/>
          <w:highlight w:val="none"/>
          <w:lang w:val="en-US"/>
        </w:rPr>
        <w:t>评标委员会</w:t>
      </w:r>
      <w:r>
        <w:rPr>
          <w:rFonts w:hint="eastAsia" w:ascii="宋体" w:hAnsi="宋体" w:eastAsia="宋体" w:cs="宋体"/>
          <w:b/>
          <w:bCs/>
          <w:color w:val="auto"/>
          <w:szCs w:val="21"/>
          <w:highlight w:val="none"/>
        </w:rPr>
        <w:t>应当将其作为无效投标（响应）处理。 异常低价投标（响应）审查的启动原因、审查意见和审查结果应当在评审报告中记录</w:t>
      </w:r>
      <w:r>
        <w:rPr>
          <w:rFonts w:hint="eastAsia" w:ascii="宋体" w:hAnsi="宋体" w:eastAsia="宋体" w:cs="宋体"/>
          <w:b/>
          <w:bCs/>
          <w:color w:val="auto"/>
          <w:szCs w:val="21"/>
          <w:highlight w:val="none"/>
          <w:lang w:eastAsia="zh-CN"/>
        </w:rPr>
        <w:t>。</w:t>
      </w:r>
    </w:p>
    <w:p w14:paraId="631565F4">
      <w:pPr>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Cs w:val="21"/>
          <w:highlight w:val="none"/>
        </w:rPr>
        <w:t>为避免因未能及时提供说明而导致被</w:t>
      </w:r>
      <w:r>
        <w:rPr>
          <w:rFonts w:hint="eastAsia" w:ascii="宋体" w:hAnsi="宋体" w:eastAsia="宋体" w:cs="宋体"/>
          <w:b/>
          <w:bCs/>
          <w:color w:val="auto"/>
          <w:kern w:val="2"/>
          <w:sz w:val="21"/>
          <w:szCs w:val="21"/>
          <w:highlight w:val="none"/>
          <w:lang w:val="en-US"/>
        </w:rPr>
        <w:t>评标委员会</w:t>
      </w:r>
      <w:r>
        <w:rPr>
          <w:rFonts w:hint="eastAsia" w:ascii="宋体" w:hAnsi="宋体" w:eastAsia="宋体" w:cs="宋体"/>
          <w:b/>
          <w:bCs/>
          <w:color w:val="auto"/>
          <w:szCs w:val="21"/>
          <w:highlight w:val="none"/>
        </w:rPr>
        <w:t>作为无效投标情形，</w:t>
      </w:r>
      <w:r>
        <w:rPr>
          <w:rFonts w:hint="eastAsia" w:ascii="宋体" w:hAnsi="宋体" w:eastAsia="宋体" w:cs="宋体"/>
          <w:b/>
          <w:bCs/>
          <w:color w:val="auto"/>
          <w:szCs w:val="21"/>
          <w:highlight w:val="none"/>
          <w:shd w:val="clear" w:color="auto" w:fill="FFFFFF"/>
        </w:rPr>
        <w:t>供应商可提前准备或随投标（响应）文件一并提交相关书面说明及必要的证明材料。</w:t>
      </w:r>
    </w:p>
    <w:p w14:paraId="7FBDED79">
      <w:pPr>
        <w:spacing w:line="280" w:lineRule="exact"/>
        <w:rPr>
          <w:rFonts w:hint="eastAsia" w:ascii="宋体" w:hAnsi="宋体" w:eastAsia="宋体" w:cs="宋体"/>
          <w:b/>
          <w:bCs/>
          <w:sz w:val="24"/>
          <w:highlight w:val="none"/>
        </w:rPr>
      </w:pPr>
    </w:p>
    <w:p w14:paraId="4FB52B27">
      <w:pPr>
        <w:spacing w:line="280" w:lineRule="exact"/>
        <w:rPr>
          <w:rFonts w:hint="eastAsia" w:ascii="宋体" w:hAnsi="宋体" w:eastAsia="宋体" w:cs="宋体"/>
          <w:b/>
          <w:bCs/>
          <w:sz w:val="24"/>
          <w:highlight w:val="none"/>
        </w:rPr>
      </w:pPr>
    </w:p>
    <w:p w14:paraId="6C86675A">
      <w:pPr>
        <w:pStyle w:val="9"/>
        <w:rPr>
          <w:rFonts w:hint="eastAsia" w:ascii="宋体" w:hAnsi="宋体" w:eastAsia="宋体" w:cs="宋体"/>
          <w:b/>
          <w:bCs/>
          <w:sz w:val="32"/>
          <w:szCs w:val="40"/>
          <w:highlight w:val="none"/>
        </w:rPr>
      </w:pPr>
    </w:p>
    <w:p w14:paraId="2D9D72BC">
      <w:pPr>
        <w:pStyle w:val="9"/>
        <w:rPr>
          <w:rFonts w:hint="eastAsia" w:ascii="宋体" w:hAnsi="宋体" w:eastAsia="宋体" w:cs="宋体"/>
          <w:b/>
          <w:bCs/>
          <w:sz w:val="32"/>
          <w:szCs w:val="40"/>
          <w:highlight w:val="none"/>
        </w:rPr>
      </w:pPr>
      <w:r>
        <w:rPr>
          <w:rFonts w:hint="eastAsia" w:ascii="宋体" w:hAnsi="宋体" w:eastAsia="宋体" w:cs="宋体"/>
          <w:b/>
          <w:bCs/>
          <w:sz w:val="32"/>
          <w:szCs w:val="40"/>
          <w:highlight w:val="none"/>
        </w:rPr>
        <w:t>附表</w:t>
      </w:r>
    </w:p>
    <w:p w14:paraId="1EF0ACC4">
      <w:pPr>
        <w:widowControl/>
        <w:spacing w:before="156" w:beforeLines="50" w:after="156" w:afterLines="50" w:line="280" w:lineRule="exact"/>
        <w:jc w:val="center"/>
        <w:rPr>
          <w:rFonts w:hint="eastAsia" w:ascii="宋体" w:hAnsi="宋体" w:eastAsia="宋体" w:cs="宋体"/>
          <w:b/>
          <w:bCs/>
          <w:kern w:val="0"/>
          <w:sz w:val="30"/>
          <w:szCs w:val="30"/>
          <w:highlight w:val="none"/>
        </w:rPr>
      </w:pPr>
      <w:bookmarkStart w:id="345" w:name="_Toc28361_WPSOffice_Level2"/>
      <w:r>
        <w:rPr>
          <w:rFonts w:hint="eastAsia" w:ascii="宋体" w:hAnsi="宋体" w:eastAsia="宋体" w:cs="宋体"/>
          <w:b/>
          <w:bCs/>
          <w:kern w:val="0"/>
          <w:sz w:val="30"/>
          <w:szCs w:val="30"/>
          <w:highlight w:val="none"/>
        </w:rPr>
        <w:t>统计上大小微型企业划分标准</w:t>
      </w:r>
      <w:bookmarkEnd w:id="345"/>
    </w:p>
    <w:tbl>
      <w:tblPr>
        <w:tblStyle w:val="2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14:paraId="411F9E3A">
            <w:pPr>
              <w:widowControl/>
              <w:spacing w:line="280" w:lineRule="exact"/>
              <w:jc w:val="center"/>
              <w:rPr>
                <w:rFonts w:hint="eastAsia" w:ascii="宋体" w:hAnsi="宋体" w:eastAsia="宋体" w:cs="宋体"/>
                <w:b/>
                <w:bCs/>
                <w:kern w:val="0"/>
                <w:sz w:val="18"/>
                <w:szCs w:val="21"/>
                <w:highlight w:val="none"/>
              </w:rPr>
            </w:pPr>
            <w:r>
              <w:rPr>
                <w:rFonts w:hint="eastAsia" w:ascii="宋体" w:hAnsi="宋体" w:eastAsia="宋体" w:cs="宋体"/>
                <w:b/>
                <w:bCs/>
                <w:kern w:val="0"/>
                <w:sz w:val="18"/>
                <w:szCs w:val="21"/>
                <w:highlight w:val="none"/>
              </w:rPr>
              <w:t>行业名称</w:t>
            </w:r>
          </w:p>
        </w:tc>
        <w:tc>
          <w:tcPr>
            <w:tcW w:w="1369" w:type="dxa"/>
            <w:shd w:val="clear" w:color="auto" w:fill="FFFFFF"/>
            <w:vAlign w:val="center"/>
          </w:tcPr>
          <w:p w14:paraId="6F8F5223">
            <w:pPr>
              <w:widowControl/>
              <w:spacing w:line="280" w:lineRule="exact"/>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指标名称</w:t>
            </w:r>
          </w:p>
        </w:tc>
        <w:tc>
          <w:tcPr>
            <w:tcW w:w="709" w:type="dxa"/>
            <w:shd w:val="clear" w:color="auto" w:fill="FFFFFF"/>
            <w:vAlign w:val="center"/>
          </w:tcPr>
          <w:p w14:paraId="263F2672">
            <w:pPr>
              <w:widowControl/>
              <w:spacing w:line="280" w:lineRule="exact"/>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计量</w:t>
            </w:r>
          </w:p>
          <w:p w14:paraId="65D032B7">
            <w:pPr>
              <w:widowControl/>
              <w:spacing w:line="280" w:lineRule="exact"/>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单位</w:t>
            </w:r>
          </w:p>
        </w:tc>
        <w:tc>
          <w:tcPr>
            <w:tcW w:w="1125" w:type="dxa"/>
            <w:shd w:val="clear" w:color="auto" w:fill="FFFFFF"/>
            <w:vAlign w:val="center"/>
          </w:tcPr>
          <w:p w14:paraId="6D4F0E15">
            <w:pPr>
              <w:widowControl/>
              <w:spacing w:line="280" w:lineRule="exact"/>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大型</w:t>
            </w:r>
          </w:p>
        </w:tc>
        <w:tc>
          <w:tcPr>
            <w:tcW w:w="1701" w:type="dxa"/>
            <w:shd w:val="clear" w:color="auto" w:fill="FFFFFF"/>
            <w:vAlign w:val="center"/>
          </w:tcPr>
          <w:p w14:paraId="51C5F245">
            <w:pPr>
              <w:widowControl/>
              <w:spacing w:line="280" w:lineRule="exact"/>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中型</w:t>
            </w:r>
          </w:p>
        </w:tc>
        <w:tc>
          <w:tcPr>
            <w:tcW w:w="1426" w:type="dxa"/>
            <w:shd w:val="clear" w:color="auto" w:fill="FFFFFF"/>
            <w:vAlign w:val="center"/>
          </w:tcPr>
          <w:p w14:paraId="1C545073">
            <w:pPr>
              <w:widowControl/>
              <w:spacing w:line="280" w:lineRule="exact"/>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小型</w:t>
            </w:r>
          </w:p>
        </w:tc>
        <w:tc>
          <w:tcPr>
            <w:tcW w:w="992" w:type="dxa"/>
            <w:shd w:val="clear" w:color="auto" w:fill="FFFFFF"/>
            <w:vAlign w:val="center"/>
          </w:tcPr>
          <w:p w14:paraId="70B41691">
            <w:pPr>
              <w:widowControl/>
              <w:spacing w:line="280" w:lineRule="exact"/>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微型</w:t>
            </w:r>
          </w:p>
        </w:tc>
      </w:tr>
      <w:tr w14:paraId="0C0E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8DD18E7">
            <w:pPr>
              <w:widowControl/>
              <w:spacing w:line="28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农、林、牧、渔业</w:t>
            </w:r>
          </w:p>
        </w:tc>
        <w:tc>
          <w:tcPr>
            <w:tcW w:w="1369" w:type="dxa"/>
            <w:vAlign w:val="center"/>
          </w:tcPr>
          <w:p w14:paraId="0137B03B">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571AC2E3">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2EECC048">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Y≥20000</w:t>
            </w:r>
          </w:p>
        </w:tc>
        <w:tc>
          <w:tcPr>
            <w:tcW w:w="1701" w:type="dxa"/>
            <w:vAlign w:val="center"/>
          </w:tcPr>
          <w:p w14:paraId="44334407">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500≤Y＜20000</w:t>
            </w:r>
          </w:p>
        </w:tc>
        <w:tc>
          <w:tcPr>
            <w:tcW w:w="1426" w:type="dxa"/>
            <w:vAlign w:val="center"/>
          </w:tcPr>
          <w:p w14:paraId="1B9C6476">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50≤Y＜500</w:t>
            </w:r>
          </w:p>
        </w:tc>
        <w:tc>
          <w:tcPr>
            <w:tcW w:w="992" w:type="dxa"/>
            <w:vAlign w:val="center"/>
          </w:tcPr>
          <w:p w14:paraId="6EAEE438">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Y＜50</w:t>
            </w:r>
          </w:p>
        </w:tc>
      </w:tr>
      <w:tr w14:paraId="3BF4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98D4B77">
            <w:pPr>
              <w:widowControl/>
              <w:spacing w:line="28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工业 ※</w:t>
            </w:r>
          </w:p>
        </w:tc>
        <w:tc>
          <w:tcPr>
            <w:tcW w:w="1369" w:type="dxa"/>
            <w:vAlign w:val="center"/>
          </w:tcPr>
          <w:p w14:paraId="1339AC16">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265F3F73">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113FA252">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X≥1000</w:t>
            </w:r>
          </w:p>
        </w:tc>
        <w:tc>
          <w:tcPr>
            <w:tcW w:w="1701" w:type="dxa"/>
            <w:vAlign w:val="center"/>
          </w:tcPr>
          <w:p w14:paraId="415BC41E">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300≤X＜1000</w:t>
            </w:r>
          </w:p>
        </w:tc>
        <w:tc>
          <w:tcPr>
            <w:tcW w:w="1426" w:type="dxa"/>
            <w:vAlign w:val="center"/>
          </w:tcPr>
          <w:p w14:paraId="0BA15692">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20≤X＜300</w:t>
            </w:r>
          </w:p>
        </w:tc>
        <w:tc>
          <w:tcPr>
            <w:tcW w:w="992" w:type="dxa"/>
            <w:vAlign w:val="center"/>
          </w:tcPr>
          <w:p w14:paraId="4A1403EB">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X＜20</w:t>
            </w:r>
          </w:p>
        </w:tc>
      </w:tr>
      <w:tr w14:paraId="2DF7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180BCE1">
            <w:pPr>
              <w:widowControl/>
              <w:spacing w:line="280" w:lineRule="exact"/>
              <w:jc w:val="left"/>
              <w:rPr>
                <w:rFonts w:hint="eastAsia" w:ascii="宋体" w:hAnsi="宋体" w:eastAsia="宋体" w:cs="宋体"/>
                <w:kern w:val="0"/>
                <w:sz w:val="18"/>
                <w:szCs w:val="18"/>
                <w:highlight w:val="none"/>
              </w:rPr>
            </w:pPr>
          </w:p>
        </w:tc>
        <w:tc>
          <w:tcPr>
            <w:tcW w:w="1369" w:type="dxa"/>
            <w:vAlign w:val="center"/>
          </w:tcPr>
          <w:p w14:paraId="41657BDB">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5540D990">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26DB6186">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Y≥40000</w:t>
            </w:r>
          </w:p>
        </w:tc>
        <w:tc>
          <w:tcPr>
            <w:tcW w:w="1701" w:type="dxa"/>
            <w:vAlign w:val="center"/>
          </w:tcPr>
          <w:p w14:paraId="2CD92638">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2000≤Y＜40000</w:t>
            </w:r>
          </w:p>
        </w:tc>
        <w:tc>
          <w:tcPr>
            <w:tcW w:w="1426" w:type="dxa"/>
            <w:vAlign w:val="center"/>
          </w:tcPr>
          <w:p w14:paraId="67E46176">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300≤Y＜2000</w:t>
            </w:r>
          </w:p>
        </w:tc>
        <w:tc>
          <w:tcPr>
            <w:tcW w:w="992" w:type="dxa"/>
            <w:vAlign w:val="center"/>
          </w:tcPr>
          <w:p w14:paraId="21223DCA">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Y＜300</w:t>
            </w:r>
          </w:p>
        </w:tc>
      </w:tr>
      <w:tr w14:paraId="5EE2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0225E69">
            <w:pPr>
              <w:widowControl/>
              <w:spacing w:line="28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建筑业</w:t>
            </w:r>
          </w:p>
        </w:tc>
        <w:tc>
          <w:tcPr>
            <w:tcW w:w="1369" w:type="dxa"/>
            <w:vAlign w:val="center"/>
          </w:tcPr>
          <w:p w14:paraId="3DBA2E64">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65FF6080">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0A3AE208">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Y≥80000</w:t>
            </w:r>
          </w:p>
        </w:tc>
        <w:tc>
          <w:tcPr>
            <w:tcW w:w="1701" w:type="dxa"/>
            <w:vAlign w:val="center"/>
          </w:tcPr>
          <w:p w14:paraId="4C953385">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6000≤Y＜80000</w:t>
            </w:r>
          </w:p>
        </w:tc>
        <w:tc>
          <w:tcPr>
            <w:tcW w:w="1426" w:type="dxa"/>
            <w:vAlign w:val="center"/>
          </w:tcPr>
          <w:p w14:paraId="3F62A9E9">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300≤Y＜6000</w:t>
            </w:r>
          </w:p>
        </w:tc>
        <w:tc>
          <w:tcPr>
            <w:tcW w:w="992" w:type="dxa"/>
            <w:vAlign w:val="center"/>
          </w:tcPr>
          <w:p w14:paraId="5D651414">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Y＜300</w:t>
            </w:r>
          </w:p>
        </w:tc>
      </w:tr>
      <w:tr w14:paraId="527F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F009AC2">
            <w:pPr>
              <w:widowControl/>
              <w:spacing w:line="280" w:lineRule="exact"/>
              <w:jc w:val="left"/>
              <w:rPr>
                <w:rFonts w:hint="eastAsia" w:ascii="宋体" w:hAnsi="宋体" w:eastAsia="宋体" w:cs="宋体"/>
                <w:kern w:val="0"/>
                <w:sz w:val="18"/>
                <w:szCs w:val="18"/>
                <w:highlight w:val="none"/>
              </w:rPr>
            </w:pPr>
          </w:p>
        </w:tc>
        <w:tc>
          <w:tcPr>
            <w:tcW w:w="1369" w:type="dxa"/>
            <w:vAlign w:val="center"/>
          </w:tcPr>
          <w:p w14:paraId="06ED1434">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资产总额(Z)</w:t>
            </w:r>
          </w:p>
        </w:tc>
        <w:tc>
          <w:tcPr>
            <w:tcW w:w="709" w:type="dxa"/>
            <w:vAlign w:val="center"/>
          </w:tcPr>
          <w:p w14:paraId="6A614CDB">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459FEF7E">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Z≥80000</w:t>
            </w:r>
          </w:p>
        </w:tc>
        <w:tc>
          <w:tcPr>
            <w:tcW w:w="1701" w:type="dxa"/>
            <w:vAlign w:val="center"/>
          </w:tcPr>
          <w:p w14:paraId="556EE056">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5000≤Z＜80000</w:t>
            </w:r>
          </w:p>
        </w:tc>
        <w:tc>
          <w:tcPr>
            <w:tcW w:w="1426" w:type="dxa"/>
            <w:vAlign w:val="center"/>
          </w:tcPr>
          <w:p w14:paraId="44CE58B5">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300≤Z＜5000</w:t>
            </w:r>
          </w:p>
        </w:tc>
        <w:tc>
          <w:tcPr>
            <w:tcW w:w="992" w:type="dxa"/>
            <w:vAlign w:val="center"/>
          </w:tcPr>
          <w:p w14:paraId="3D56CF9A">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Z＜300</w:t>
            </w:r>
          </w:p>
        </w:tc>
      </w:tr>
      <w:tr w14:paraId="6209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C3C7A21">
            <w:pPr>
              <w:widowControl/>
              <w:spacing w:line="28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批发业</w:t>
            </w:r>
          </w:p>
        </w:tc>
        <w:tc>
          <w:tcPr>
            <w:tcW w:w="1369" w:type="dxa"/>
            <w:vAlign w:val="center"/>
          </w:tcPr>
          <w:p w14:paraId="2FA861CD">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25C517E8">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3A53BF84">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X≥200</w:t>
            </w:r>
          </w:p>
        </w:tc>
        <w:tc>
          <w:tcPr>
            <w:tcW w:w="1701" w:type="dxa"/>
            <w:vAlign w:val="center"/>
          </w:tcPr>
          <w:p w14:paraId="2582196B">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20≤X＜200</w:t>
            </w:r>
          </w:p>
        </w:tc>
        <w:tc>
          <w:tcPr>
            <w:tcW w:w="1426" w:type="dxa"/>
            <w:vAlign w:val="center"/>
          </w:tcPr>
          <w:p w14:paraId="561C815B">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5≤X＜20</w:t>
            </w:r>
          </w:p>
        </w:tc>
        <w:tc>
          <w:tcPr>
            <w:tcW w:w="992" w:type="dxa"/>
            <w:vAlign w:val="center"/>
          </w:tcPr>
          <w:p w14:paraId="5844A407">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X＜5</w:t>
            </w:r>
          </w:p>
        </w:tc>
      </w:tr>
      <w:tr w14:paraId="3B7C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3DD5863">
            <w:pPr>
              <w:widowControl/>
              <w:spacing w:line="280" w:lineRule="exact"/>
              <w:jc w:val="left"/>
              <w:rPr>
                <w:rFonts w:hint="eastAsia" w:ascii="宋体" w:hAnsi="宋体" w:eastAsia="宋体" w:cs="宋体"/>
                <w:kern w:val="0"/>
                <w:sz w:val="18"/>
                <w:szCs w:val="18"/>
                <w:highlight w:val="none"/>
              </w:rPr>
            </w:pPr>
          </w:p>
        </w:tc>
        <w:tc>
          <w:tcPr>
            <w:tcW w:w="1369" w:type="dxa"/>
            <w:vAlign w:val="center"/>
          </w:tcPr>
          <w:p w14:paraId="21A15A83">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2DF5B305">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2BA913E2">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Y≥40000</w:t>
            </w:r>
          </w:p>
        </w:tc>
        <w:tc>
          <w:tcPr>
            <w:tcW w:w="1701" w:type="dxa"/>
            <w:vAlign w:val="center"/>
          </w:tcPr>
          <w:p w14:paraId="5D8E5BA9">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5000≤Y＜40000</w:t>
            </w:r>
          </w:p>
        </w:tc>
        <w:tc>
          <w:tcPr>
            <w:tcW w:w="1426" w:type="dxa"/>
            <w:vAlign w:val="center"/>
          </w:tcPr>
          <w:p w14:paraId="0998E859">
            <w:pPr>
              <w:widowControl/>
              <w:spacing w:line="280" w:lineRule="exact"/>
              <w:ind w:left="-1" w:leftChars="-1" w:hanging="1"/>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1000≤Y＜5000</w:t>
            </w:r>
          </w:p>
        </w:tc>
        <w:tc>
          <w:tcPr>
            <w:tcW w:w="992" w:type="dxa"/>
            <w:vAlign w:val="center"/>
          </w:tcPr>
          <w:p w14:paraId="217D6DA8">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Y＜1000</w:t>
            </w:r>
          </w:p>
        </w:tc>
      </w:tr>
      <w:tr w14:paraId="5CC7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6EF8538">
            <w:pPr>
              <w:widowControl/>
              <w:spacing w:line="28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零售业</w:t>
            </w:r>
          </w:p>
        </w:tc>
        <w:tc>
          <w:tcPr>
            <w:tcW w:w="1369" w:type="dxa"/>
            <w:vAlign w:val="center"/>
          </w:tcPr>
          <w:p w14:paraId="420E3636">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2A4AB969">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1B7FE3D6">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X≥300</w:t>
            </w:r>
          </w:p>
        </w:tc>
        <w:tc>
          <w:tcPr>
            <w:tcW w:w="1701" w:type="dxa"/>
            <w:vAlign w:val="center"/>
          </w:tcPr>
          <w:p w14:paraId="1584D47B">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50≤X＜300</w:t>
            </w:r>
          </w:p>
        </w:tc>
        <w:tc>
          <w:tcPr>
            <w:tcW w:w="1426" w:type="dxa"/>
            <w:vAlign w:val="center"/>
          </w:tcPr>
          <w:p w14:paraId="335DCEC0">
            <w:pPr>
              <w:widowControl/>
              <w:spacing w:line="280" w:lineRule="exact"/>
              <w:ind w:left="-1" w:leftChars="-1" w:hanging="1"/>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 xml:space="preserve">10≤X＜50 </w:t>
            </w:r>
          </w:p>
        </w:tc>
        <w:tc>
          <w:tcPr>
            <w:tcW w:w="992" w:type="dxa"/>
            <w:vAlign w:val="center"/>
          </w:tcPr>
          <w:p w14:paraId="0768A56B">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26B4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E93D635">
            <w:pPr>
              <w:widowControl/>
              <w:spacing w:line="280" w:lineRule="exact"/>
              <w:jc w:val="left"/>
              <w:rPr>
                <w:rFonts w:hint="eastAsia" w:ascii="宋体" w:hAnsi="宋体" w:eastAsia="宋体" w:cs="宋体"/>
                <w:kern w:val="0"/>
                <w:sz w:val="18"/>
                <w:szCs w:val="18"/>
                <w:highlight w:val="none"/>
              </w:rPr>
            </w:pPr>
          </w:p>
        </w:tc>
        <w:tc>
          <w:tcPr>
            <w:tcW w:w="1369" w:type="dxa"/>
            <w:vAlign w:val="center"/>
          </w:tcPr>
          <w:p w14:paraId="1CFD78C8">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1AB22343">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622C4D7E">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Y≥20000</w:t>
            </w:r>
          </w:p>
        </w:tc>
        <w:tc>
          <w:tcPr>
            <w:tcW w:w="1701" w:type="dxa"/>
            <w:vAlign w:val="center"/>
          </w:tcPr>
          <w:p w14:paraId="1E5ECA60">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500≤Y＜20000</w:t>
            </w:r>
          </w:p>
        </w:tc>
        <w:tc>
          <w:tcPr>
            <w:tcW w:w="1426" w:type="dxa"/>
            <w:vAlign w:val="center"/>
          </w:tcPr>
          <w:p w14:paraId="2BA31656">
            <w:pPr>
              <w:widowControl/>
              <w:spacing w:line="280" w:lineRule="exact"/>
              <w:ind w:left="-1" w:leftChars="-1" w:hanging="1"/>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100≤Y＜500</w:t>
            </w:r>
          </w:p>
        </w:tc>
        <w:tc>
          <w:tcPr>
            <w:tcW w:w="992" w:type="dxa"/>
            <w:vAlign w:val="center"/>
          </w:tcPr>
          <w:p w14:paraId="665B6270">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1F25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D9E7DEF">
            <w:pPr>
              <w:widowControl/>
              <w:spacing w:line="28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交通运输业 ※</w:t>
            </w:r>
          </w:p>
        </w:tc>
        <w:tc>
          <w:tcPr>
            <w:tcW w:w="1369" w:type="dxa"/>
            <w:vAlign w:val="center"/>
          </w:tcPr>
          <w:p w14:paraId="4D5F0B01">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5FDDFE1F">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484BD8F8">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X≥1000</w:t>
            </w:r>
          </w:p>
        </w:tc>
        <w:tc>
          <w:tcPr>
            <w:tcW w:w="1701" w:type="dxa"/>
            <w:vAlign w:val="center"/>
          </w:tcPr>
          <w:p w14:paraId="3F4C812E">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300≤X＜1000</w:t>
            </w:r>
          </w:p>
        </w:tc>
        <w:tc>
          <w:tcPr>
            <w:tcW w:w="1426" w:type="dxa"/>
            <w:vAlign w:val="center"/>
          </w:tcPr>
          <w:p w14:paraId="054A6E73">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20≤X＜300</w:t>
            </w:r>
          </w:p>
        </w:tc>
        <w:tc>
          <w:tcPr>
            <w:tcW w:w="992" w:type="dxa"/>
            <w:vAlign w:val="center"/>
          </w:tcPr>
          <w:p w14:paraId="2D2970E7">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X＜20</w:t>
            </w:r>
          </w:p>
        </w:tc>
      </w:tr>
      <w:tr w14:paraId="61DD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9E9C1B1">
            <w:pPr>
              <w:widowControl/>
              <w:spacing w:line="280" w:lineRule="exact"/>
              <w:jc w:val="left"/>
              <w:rPr>
                <w:rFonts w:hint="eastAsia" w:ascii="宋体" w:hAnsi="宋体" w:eastAsia="宋体" w:cs="宋体"/>
                <w:kern w:val="0"/>
                <w:sz w:val="18"/>
                <w:szCs w:val="18"/>
                <w:highlight w:val="none"/>
              </w:rPr>
            </w:pPr>
          </w:p>
        </w:tc>
        <w:tc>
          <w:tcPr>
            <w:tcW w:w="1369" w:type="dxa"/>
            <w:vAlign w:val="center"/>
          </w:tcPr>
          <w:p w14:paraId="3229CF04">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7469473E">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653D9A51">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Y≥30000</w:t>
            </w:r>
          </w:p>
        </w:tc>
        <w:tc>
          <w:tcPr>
            <w:tcW w:w="1701" w:type="dxa"/>
            <w:vAlign w:val="center"/>
          </w:tcPr>
          <w:p w14:paraId="381BED9C">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3000≤Y＜30000</w:t>
            </w:r>
          </w:p>
        </w:tc>
        <w:tc>
          <w:tcPr>
            <w:tcW w:w="1426" w:type="dxa"/>
            <w:vAlign w:val="center"/>
          </w:tcPr>
          <w:p w14:paraId="330BDF6E">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200≤Y＜3000</w:t>
            </w:r>
          </w:p>
        </w:tc>
        <w:tc>
          <w:tcPr>
            <w:tcW w:w="992" w:type="dxa"/>
            <w:vAlign w:val="center"/>
          </w:tcPr>
          <w:p w14:paraId="49ED4146">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Y＜200</w:t>
            </w:r>
          </w:p>
        </w:tc>
      </w:tr>
      <w:tr w14:paraId="515D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495C2A7">
            <w:pPr>
              <w:widowControl/>
              <w:spacing w:line="28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仓储业※</w:t>
            </w:r>
          </w:p>
        </w:tc>
        <w:tc>
          <w:tcPr>
            <w:tcW w:w="1369" w:type="dxa"/>
            <w:vAlign w:val="center"/>
          </w:tcPr>
          <w:p w14:paraId="2E3C519B">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477DEF64">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0A4A43CC">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X≥200</w:t>
            </w:r>
          </w:p>
        </w:tc>
        <w:tc>
          <w:tcPr>
            <w:tcW w:w="1701" w:type="dxa"/>
            <w:vAlign w:val="center"/>
          </w:tcPr>
          <w:p w14:paraId="00B21CDB">
            <w:pPr>
              <w:widowControl/>
              <w:spacing w:line="280" w:lineRule="exact"/>
              <w:ind w:left="1" w:leftChars="-51" w:hanging="108" w:hangingChars="6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100≤X＜200</w:t>
            </w:r>
          </w:p>
        </w:tc>
        <w:tc>
          <w:tcPr>
            <w:tcW w:w="1426" w:type="dxa"/>
            <w:vAlign w:val="center"/>
          </w:tcPr>
          <w:p w14:paraId="18B0D08A">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20≤X＜100</w:t>
            </w:r>
          </w:p>
        </w:tc>
        <w:tc>
          <w:tcPr>
            <w:tcW w:w="992" w:type="dxa"/>
            <w:vAlign w:val="center"/>
          </w:tcPr>
          <w:p w14:paraId="28B79CB5">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X＜20</w:t>
            </w:r>
          </w:p>
        </w:tc>
      </w:tr>
      <w:tr w14:paraId="6735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5874172">
            <w:pPr>
              <w:widowControl/>
              <w:spacing w:line="280" w:lineRule="exact"/>
              <w:jc w:val="left"/>
              <w:rPr>
                <w:rFonts w:hint="eastAsia" w:ascii="宋体" w:hAnsi="宋体" w:eastAsia="宋体" w:cs="宋体"/>
                <w:kern w:val="0"/>
                <w:sz w:val="18"/>
                <w:szCs w:val="18"/>
                <w:highlight w:val="none"/>
              </w:rPr>
            </w:pPr>
          </w:p>
        </w:tc>
        <w:tc>
          <w:tcPr>
            <w:tcW w:w="1369" w:type="dxa"/>
            <w:vAlign w:val="center"/>
          </w:tcPr>
          <w:p w14:paraId="7A7DB59C">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2240D413">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43A0E448">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Y≥30000</w:t>
            </w:r>
          </w:p>
        </w:tc>
        <w:tc>
          <w:tcPr>
            <w:tcW w:w="1701" w:type="dxa"/>
            <w:vAlign w:val="center"/>
          </w:tcPr>
          <w:p w14:paraId="1BA1CF1B">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1000≤Y＜30000</w:t>
            </w:r>
          </w:p>
        </w:tc>
        <w:tc>
          <w:tcPr>
            <w:tcW w:w="1426" w:type="dxa"/>
            <w:vAlign w:val="center"/>
          </w:tcPr>
          <w:p w14:paraId="38EFF8F4">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100≤Y＜1000</w:t>
            </w:r>
          </w:p>
        </w:tc>
        <w:tc>
          <w:tcPr>
            <w:tcW w:w="992" w:type="dxa"/>
            <w:vAlign w:val="center"/>
          </w:tcPr>
          <w:p w14:paraId="3876A2FF">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1410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EF2735F">
            <w:pPr>
              <w:widowControl/>
              <w:spacing w:line="28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邮政业</w:t>
            </w:r>
          </w:p>
        </w:tc>
        <w:tc>
          <w:tcPr>
            <w:tcW w:w="1369" w:type="dxa"/>
            <w:vAlign w:val="center"/>
          </w:tcPr>
          <w:p w14:paraId="3C275450">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5BCE1597">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48292FCF">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X≥1000</w:t>
            </w:r>
          </w:p>
        </w:tc>
        <w:tc>
          <w:tcPr>
            <w:tcW w:w="1701" w:type="dxa"/>
            <w:vAlign w:val="center"/>
          </w:tcPr>
          <w:p w14:paraId="2894A642">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300≤X＜1000</w:t>
            </w:r>
          </w:p>
        </w:tc>
        <w:tc>
          <w:tcPr>
            <w:tcW w:w="1426" w:type="dxa"/>
            <w:vAlign w:val="center"/>
          </w:tcPr>
          <w:p w14:paraId="37D7E5D6">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20≤X＜300</w:t>
            </w:r>
          </w:p>
        </w:tc>
        <w:tc>
          <w:tcPr>
            <w:tcW w:w="992" w:type="dxa"/>
            <w:vAlign w:val="center"/>
          </w:tcPr>
          <w:p w14:paraId="50AB3F66">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X＜20</w:t>
            </w:r>
          </w:p>
        </w:tc>
      </w:tr>
      <w:tr w14:paraId="71C1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083EB89">
            <w:pPr>
              <w:widowControl/>
              <w:spacing w:line="280" w:lineRule="exact"/>
              <w:jc w:val="left"/>
              <w:rPr>
                <w:rFonts w:hint="eastAsia" w:ascii="宋体" w:hAnsi="宋体" w:eastAsia="宋体" w:cs="宋体"/>
                <w:kern w:val="0"/>
                <w:sz w:val="18"/>
                <w:szCs w:val="18"/>
                <w:highlight w:val="none"/>
              </w:rPr>
            </w:pPr>
          </w:p>
        </w:tc>
        <w:tc>
          <w:tcPr>
            <w:tcW w:w="1369" w:type="dxa"/>
            <w:vAlign w:val="center"/>
          </w:tcPr>
          <w:p w14:paraId="05ECF422">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31C11098">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663832EB">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Y≥30000</w:t>
            </w:r>
          </w:p>
        </w:tc>
        <w:tc>
          <w:tcPr>
            <w:tcW w:w="1701" w:type="dxa"/>
            <w:vAlign w:val="center"/>
          </w:tcPr>
          <w:p w14:paraId="46714309">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2000≤Y＜30000</w:t>
            </w:r>
          </w:p>
        </w:tc>
        <w:tc>
          <w:tcPr>
            <w:tcW w:w="1426" w:type="dxa"/>
            <w:vAlign w:val="center"/>
          </w:tcPr>
          <w:p w14:paraId="6F8DD1BE">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100≤Y＜2000</w:t>
            </w:r>
          </w:p>
        </w:tc>
        <w:tc>
          <w:tcPr>
            <w:tcW w:w="992" w:type="dxa"/>
            <w:vAlign w:val="center"/>
          </w:tcPr>
          <w:p w14:paraId="69289D70">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3190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4B4B03E">
            <w:pPr>
              <w:widowControl/>
              <w:spacing w:line="28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住宿业</w:t>
            </w:r>
          </w:p>
        </w:tc>
        <w:tc>
          <w:tcPr>
            <w:tcW w:w="1369" w:type="dxa"/>
            <w:vAlign w:val="center"/>
          </w:tcPr>
          <w:p w14:paraId="4FA95ADA">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2C022131">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19C04346">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X≥300</w:t>
            </w:r>
          </w:p>
        </w:tc>
        <w:tc>
          <w:tcPr>
            <w:tcW w:w="1701" w:type="dxa"/>
            <w:vAlign w:val="center"/>
          </w:tcPr>
          <w:p w14:paraId="13DFBB8F">
            <w:pPr>
              <w:widowControl/>
              <w:spacing w:line="280" w:lineRule="exact"/>
              <w:ind w:left="1" w:leftChars="-51" w:hanging="108" w:hangingChars="6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26" w:type="dxa"/>
            <w:vAlign w:val="center"/>
          </w:tcPr>
          <w:p w14:paraId="4693D3D5">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992" w:type="dxa"/>
            <w:vAlign w:val="center"/>
          </w:tcPr>
          <w:p w14:paraId="1DB73B05">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071A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A3EE764">
            <w:pPr>
              <w:widowControl/>
              <w:spacing w:line="280" w:lineRule="exact"/>
              <w:jc w:val="left"/>
              <w:rPr>
                <w:rFonts w:hint="eastAsia" w:ascii="宋体" w:hAnsi="宋体" w:eastAsia="宋体" w:cs="宋体"/>
                <w:kern w:val="0"/>
                <w:sz w:val="18"/>
                <w:szCs w:val="18"/>
                <w:highlight w:val="none"/>
              </w:rPr>
            </w:pPr>
          </w:p>
        </w:tc>
        <w:tc>
          <w:tcPr>
            <w:tcW w:w="1369" w:type="dxa"/>
            <w:vAlign w:val="center"/>
          </w:tcPr>
          <w:p w14:paraId="7712317B">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317AC667">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4B50890C">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Y≥10000</w:t>
            </w:r>
          </w:p>
        </w:tc>
        <w:tc>
          <w:tcPr>
            <w:tcW w:w="1701" w:type="dxa"/>
            <w:vAlign w:val="center"/>
          </w:tcPr>
          <w:p w14:paraId="1D55CD3C">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2000≤Y＜10000</w:t>
            </w:r>
          </w:p>
        </w:tc>
        <w:tc>
          <w:tcPr>
            <w:tcW w:w="1426" w:type="dxa"/>
            <w:vAlign w:val="center"/>
          </w:tcPr>
          <w:p w14:paraId="01BE979E">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100≤Y＜2000</w:t>
            </w:r>
          </w:p>
        </w:tc>
        <w:tc>
          <w:tcPr>
            <w:tcW w:w="992" w:type="dxa"/>
            <w:vAlign w:val="center"/>
          </w:tcPr>
          <w:p w14:paraId="49A333F8">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6E71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51EA1A2">
            <w:pPr>
              <w:widowControl/>
              <w:spacing w:line="28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餐饮业</w:t>
            </w:r>
          </w:p>
        </w:tc>
        <w:tc>
          <w:tcPr>
            <w:tcW w:w="1369" w:type="dxa"/>
            <w:vAlign w:val="center"/>
          </w:tcPr>
          <w:p w14:paraId="4C090ADA">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2C357C89">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53EA2FFF">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X≥300</w:t>
            </w:r>
          </w:p>
        </w:tc>
        <w:tc>
          <w:tcPr>
            <w:tcW w:w="1701" w:type="dxa"/>
            <w:vAlign w:val="center"/>
          </w:tcPr>
          <w:p w14:paraId="39858BDE">
            <w:pPr>
              <w:widowControl/>
              <w:spacing w:line="280" w:lineRule="exact"/>
              <w:ind w:left="1" w:leftChars="-51" w:hanging="108" w:hangingChars="6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 xml:space="preserve">100≤X＜300 </w:t>
            </w:r>
          </w:p>
        </w:tc>
        <w:tc>
          <w:tcPr>
            <w:tcW w:w="1426" w:type="dxa"/>
            <w:vAlign w:val="center"/>
          </w:tcPr>
          <w:p w14:paraId="4F6BDA23">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992" w:type="dxa"/>
            <w:vAlign w:val="center"/>
          </w:tcPr>
          <w:p w14:paraId="35D513C8">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43C1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2A09FC8">
            <w:pPr>
              <w:widowControl/>
              <w:spacing w:line="280" w:lineRule="exact"/>
              <w:jc w:val="left"/>
              <w:rPr>
                <w:rFonts w:hint="eastAsia" w:ascii="宋体" w:hAnsi="宋体" w:eastAsia="宋体" w:cs="宋体"/>
                <w:kern w:val="0"/>
                <w:sz w:val="18"/>
                <w:szCs w:val="18"/>
                <w:highlight w:val="none"/>
              </w:rPr>
            </w:pPr>
          </w:p>
        </w:tc>
        <w:tc>
          <w:tcPr>
            <w:tcW w:w="1369" w:type="dxa"/>
            <w:vAlign w:val="center"/>
          </w:tcPr>
          <w:p w14:paraId="1E7143CC">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6D5C0318">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1560F9E5">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Y≥10000</w:t>
            </w:r>
          </w:p>
        </w:tc>
        <w:tc>
          <w:tcPr>
            <w:tcW w:w="1701" w:type="dxa"/>
            <w:vAlign w:val="center"/>
          </w:tcPr>
          <w:p w14:paraId="12A92C72">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2000≤Y＜10000</w:t>
            </w:r>
          </w:p>
        </w:tc>
        <w:tc>
          <w:tcPr>
            <w:tcW w:w="1426" w:type="dxa"/>
            <w:vAlign w:val="center"/>
          </w:tcPr>
          <w:p w14:paraId="5275660A">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100≤Y＜2000</w:t>
            </w:r>
          </w:p>
        </w:tc>
        <w:tc>
          <w:tcPr>
            <w:tcW w:w="992" w:type="dxa"/>
            <w:vAlign w:val="center"/>
          </w:tcPr>
          <w:p w14:paraId="053C9909">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6641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9A043D9">
            <w:pPr>
              <w:widowControl/>
              <w:spacing w:line="28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信息传输业※</w:t>
            </w:r>
          </w:p>
        </w:tc>
        <w:tc>
          <w:tcPr>
            <w:tcW w:w="1369" w:type="dxa"/>
            <w:vAlign w:val="center"/>
          </w:tcPr>
          <w:p w14:paraId="76CA90AC">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48A415F6">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2FBDC7DC">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X≥2000</w:t>
            </w:r>
          </w:p>
        </w:tc>
        <w:tc>
          <w:tcPr>
            <w:tcW w:w="1701" w:type="dxa"/>
            <w:vAlign w:val="center"/>
          </w:tcPr>
          <w:p w14:paraId="07D7F4C5">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100≤X＜2000</w:t>
            </w:r>
          </w:p>
        </w:tc>
        <w:tc>
          <w:tcPr>
            <w:tcW w:w="1426" w:type="dxa"/>
            <w:vAlign w:val="center"/>
          </w:tcPr>
          <w:p w14:paraId="3E2EDF74">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992" w:type="dxa"/>
            <w:vAlign w:val="center"/>
          </w:tcPr>
          <w:p w14:paraId="638EE573">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167C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1DEC123">
            <w:pPr>
              <w:widowControl/>
              <w:spacing w:line="280" w:lineRule="exact"/>
              <w:jc w:val="left"/>
              <w:rPr>
                <w:rFonts w:hint="eastAsia" w:ascii="宋体" w:hAnsi="宋体" w:eastAsia="宋体" w:cs="宋体"/>
                <w:kern w:val="0"/>
                <w:sz w:val="18"/>
                <w:szCs w:val="18"/>
                <w:highlight w:val="none"/>
              </w:rPr>
            </w:pPr>
          </w:p>
        </w:tc>
        <w:tc>
          <w:tcPr>
            <w:tcW w:w="1369" w:type="dxa"/>
            <w:vAlign w:val="center"/>
          </w:tcPr>
          <w:p w14:paraId="20EB3DFC">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0BE4B3BE">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2EAC7DDB">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Y≥100000</w:t>
            </w:r>
          </w:p>
        </w:tc>
        <w:tc>
          <w:tcPr>
            <w:tcW w:w="1701" w:type="dxa"/>
            <w:vAlign w:val="center"/>
          </w:tcPr>
          <w:p w14:paraId="10C1BA5C">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1000≤Y＜100000</w:t>
            </w:r>
          </w:p>
        </w:tc>
        <w:tc>
          <w:tcPr>
            <w:tcW w:w="1426" w:type="dxa"/>
            <w:vAlign w:val="center"/>
          </w:tcPr>
          <w:p w14:paraId="0C841FD7">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100≤Y＜1000</w:t>
            </w:r>
          </w:p>
        </w:tc>
        <w:tc>
          <w:tcPr>
            <w:tcW w:w="992" w:type="dxa"/>
            <w:vAlign w:val="center"/>
          </w:tcPr>
          <w:p w14:paraId="78CA7A66">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1286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94DBFBF">
            <w:pPr>
              <w:widowControl/>
              <w:spacing w:line="280" w:lineRule="exact"/>
              <w:jc w:val="left"/>
              <w:rPr>
                <w:rFonts w:hint="eastAsia" w:ascii="宋体" w:hAnsi="宋体" w:eastAsia="宋体" w:cs="宋体"/>
                <w:spacing w:val="-12"/>
                <w:kern w:val="0"/>
                <w:sz w:val="18"/>
                <w:szCs w:val="18"/>
                <w:highlight w:val="none"/>
              </w:rPr>
            </w:pPr>
            <w:r>
              <w:rPr>
                <w:rFonts w:hint="eastAsia" w:ascii="宋体" w:hAnsi="宋体" w:eastAsia="宋体" w:cs="宋体"/>
                <w:spacing w:val="-12"/>
                <w:kern w:val="0"/>
                <w:sz w:val="18"/>
                <w:szCs w:val="18"/>
                <w:highlight w:val="none"/>
              </w:rPr>
              <w:t>软件和信息技术服</w:t>
            </w:r>
            <w:r>
              <w:rPr>
                <w:rFonts w:hint="eastAsia" w:ascii="宋体" w:hAnsi="宋体" w:eastAsia="宋体" w:cs="宋体"/>
                <w:kern w:val="0"/>
                <w:sz w:val="18"/>
                <w:szCs w:val="18"/>
                <w:highlight w:val="none"/>
              </w:rPr>
              <w:t>务业</w:t>
            </w:r>
          </w:p>
        </w:tc>
        <w:tc>
          <w:tcPr>
            <w:tcW w:w="1369" w:type="dxa"/>
            <w:vAlign w:val="center"/>
          </w:tcPr>
          <w:p w14:paraId="55AE383C">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0BF7BE19">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2AE96611">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X≥300</w:t>
            </w:r>
          </w:p>
        </w:tc>
        <w:tc>
          <w:tcPr>
            <w:tcW w:w="1701" w:type="dxa"/>
            <w:vAlign w:val="center"/>
          </w:tcPr>
          <w:p w14:paraId="41CF744D">
            <w:pPr>
              <w:widowControl/>
              <w:spacing w:line="280" w:lineRule="exact"/>
              <w:ind w:left="1" w:leftChars="-51" w:hanging="108" w:hangingChars="6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 xml:space="preserve">100≤X＜300 </w:t>
            </w:r>
          </w:p>
        </w:tc>
        <w:tc>
          <w:tcPr>
            <w:tcW w:w="1426" w:type="dxa"/>
            <w:vAlign w:val="center"/>
          </w:tcPr>
          <w:p w14:paraId="582C4E36">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992" w:type="dxa"/>
            <w:vAlign w:val="center"/>
          </w:tcPr>
          <w:p w14:paraId="22588BF4">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3D18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30A401D">
            <w:pPr>
              <w:widowControl/>
              <w:spacing w:line="280" w:lineRule="exact"/>
              <w:jc w:val="left"/>
              <w:rPr>
                <w:rFonts w:hint="eastAsia" w:ascii="宋体" w:hAnsi="宋体" w:eastAsia="宋体" w:cs="宋体"/>
                <w:spacing w:val="-12"/>
                <w:kern w:val="0"/>
                <w:sz w:val="18"/>
                <w:szCs w:val="18"/>
                <w:highlight w:val="none"/>
              </w:rPr>
            </w:pPr>
          </w:p>
        </w:tc>
        <w:tc>
          <w:tcPr>
            <w:tcW w:w="1369" w:type="dxa"/>
            <w:vAlign w:val="center"/>
          </w:tcPr>
          <w:p w14:paraId="2AF8C5DF">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100740E8">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1D36416B">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Y≥10000</w:t>
            </w:r>
          </w:p>
        </w:tc>
        <w:tc>
          <w:tcPr>
            <w:tcW w:w="1701" w:type="dxa"/>
            <w:vAlign w:val="center"/>
          </w:tcPr>
          <w:p w14:paraId="1D8AE387">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1000≤Y＜10000</w:t>
            </w:r>
          </w:p>
        </w:tc>
        <w:tc>
          <w:tcPr>
            <w:tcW w:w="1426" w:type="dxa"/>
            <w:vAlign w:val="center"/>
          </w:tcPr>
          <w:p w14:paraId="5670C1C9">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50≤Y＜1000</w:t>
            </w:r>
          </w:p>
        </w:tc>
        <w:tc>
          <w:tcPr>
            <w:tcW w:w="992" w:type="dxa"/>
            <w:vAlign w:val="center"/>
          </w:tcPr>
          <w:p w14:paraId="7CC1C3CE">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Y＜50</w:t>
            </w:r>
          </w:p>
        </w:tc>
      </w:tr>
      <w:tr w14:paraId="6CF2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D48D2F9">
            <w:pPr>
              <w:widowControl/>
              <w:spacing w:line="28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房地产开发经营</w:t>
            </w:r>
          </w:p>
        </w:tc>
        <w:tc>
          <w:tcPr>
            <w:tcW w:w="1369" w:type="dxa"/>
            <w:vAlign w:val="center"/>
          </w:tcPr>
          <w:p w14:paraId="7057E20C">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7BE95470">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02A2D88A">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Y≥200000</w:t>
            </w:r>
          </w:p>
        </w:tc>
        <w:tc>
          <w:tcPr>
            <w:tcW w:w="1701" w:type="dxa"/>
            <w:vAlign w:val="center"/>
          </w:tcPr>
          <w:p w14:paraId="6049A7C7">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1000≤Y＜200000</w:t>
            </w:r>
          </w:p>
        </w:tc>
        <w:tc>
          <w:tcPr>
            <w:tcW w:w="1426" w:type="dxa"/>
            <w:vAlign w:val="center"/>
          </w:tcPr>
          <w:p w14:paraId="7107534F">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100≤Y＜1000</w:t>
            </w:r>
          </w:p>
        </w:tc>
        <w:tc>
          <w:tcPr>
            <w:tcW w:w="992" w:type="dxa"/>
            <w:vAlign w:val="center"/>
          </w:tcPr>
          <w:p w14:paraId="37DD1843">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621A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D336E50">
            <w:pPr>
              <w:widowControl/>
              <w:spacing w:line="280" w:lineRule="exact"/>
              <w:jc w:val="left"/>
              <w:rPr>
                <w:rFonts w:hint="eastAsia" w:ascii="宋体" w:hAnsi="宋体" w:eastAsia="宋体" w:cs="宋体"/>
                <w:kern w:val="0"/>
                <w:sz w:val="18"/>
                <w:szCs w:val="18"/>
                <w:highlight w:val="none"/>
              </w:rPr>
            </w:pPr>
          </w:p>
        </w:tc>
        <w:tc>
          <w:tcPr>
            <w:tcW w:w="1369" w:type="dxa"/>
            <w:vAlign w:val="center"/>
          </w:tcPr>
          <w:p w14:paraId="59ED0945">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资产总额(Z)</w:t>
            </w:r>
          </w:p>
        </w:tc>
        <w:tc>
          <w:tcPr>
            <w:tcW w:w="709" w:type="dxa"/>
            <w:vAlign w:val="center"/>
          </w:tcPr>
          <w:p w14:paraId="580BF46B">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6AA38484">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Z≥10000</w:t>
            </w:r>
          </w:p>
        </w:tc>
        <w:tc>
          <w:tcPr>
            <w:tcW w:w="1701" w:type="dxa"/>
            <w:vAlign w:val="center"/>
          </w:tcPr>
          <w:p w14:paraId="055F593F">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5000≤Z＜10000</w:t>
            </w:r>
          </w:p>
        </w:tc>
        <w:tc>
          <w:tcPr>
            <w:tcW w:w="1426" w:type="dxa"/>
            <w:vAlign w:val="center"/>
          </w:tcPr>
          <w:p w14:paraId="10E05A29">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2000≤Z＜5000</w:t>
            </w:r>
          </w:p>
        </w:tc>
        <w:tc>
          <w:tcPr>
            <w:tcW w:w="992" w:type="dxa"/>
            <w:vAlign w:val="center"/>
          </w:tcPr>
          <w:p w14:paraId="51BD3C37">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Z＜2000</w:t>
            </w:r>
          </w:p>
        </w:tc>
      </w:tr>
      <w:tr w14:paraId="1F48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C65BE20">
            <w:pPr>
              <w:widowControl/>
              <w:spacing w:line="28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物业管理</w:t>
            </w:r>
          </w:p>
        </w:tc>
        <w:tc>
          <w:tcPr>
            <w:tcW w:w="1369" w:type="dxa"/>
            <w:vAlign w:val="center"/>
          </w:tcPr>
          <w:p w14:paraId="490A8448">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0391A6FC">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67617ED9">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X≥1000</w:t>
            </w:r>
          </w:p>
        </w:tc>
        <w:tc>
          <w:tcPr>
            <w:tcW w:w="1701" w:type="dxa"/>
            <w:vAlign w:val="center"/>
          </w:tcPr>
          <w:p w14:paraId="4408632F">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300≤X＜1000</w:t>
            </w:r>
          </w:p>
        </w:tc>
        <w:tc>
          <w:tcPr>
            <w:tcW w:w="1426" w:type="dxa"/>
            <w:vAlign w:val="center"/>
          </w:tcPr>
          <w:p w14:paraId="1FCE811A">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992" w:type="dxa"/>
            <w:vAlign w:val="center"/>
          </w:tcPr>
          <w:p w14:paraId="045E3448">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X＜100</w:t>
            </w:r>
          </w:p>
        </w:tc>
      </w:tr>
      <w:tr w14:paraId="7975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08A4470">
            <w:pPr>
              <w:widowControl/>
              <w:spacing w:line="280" w:lineRule="exact"/>
              <w:jc w:val="left"/>
              <w:rPr>
                <w:rFonts w:hint="eastAsia" w:ascii="宋体" w:hAnsi="宋体" w:eastAsia="宋体" w:cs="宋体"/>
                <w:kern w:val="0"/>
                <w:sz w:val="18"/>
                <w:szCs w:val="18"/>
                <w:highlight w:val="none"/>
              </w:rPr>
            </w:pPr>
          </w:p>
        </w:tc>
        <w:tc>
          <w:tcPr>
            <w:tcW w:w="1369" w:type="dxa"/>
            <w:vAlign w:val="center"/>
          </w:tcPr>
          <w:p w14:paraId="70DF2411">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4AAEFB9A">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2B916396">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Y≥5000</w:t>
            </w:r>
          </w:p>
        </w:tc>
        <w:tc>
          <w:tcPr>
            <w:tcW w:w="1701" w:type="dxa"/>
            <w:vAlign w:val="center"/>
          </w:tcPr>
          <w:p w14:paraId="39F84188">
            <w:pPr>
              <w:widowControl/>
              <w:spacing w:line="280" w:lineRule="exact"/>
              <w:ind w:left="1" w:leftChars="-51" w:hanging="108" w:hangingChars="6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1000≤Y＜5000</w:t>
            </w:r>
          </w:p>
        </w:tc>
        <w:tc>
          <w:tcPr>
            <w:tcW w:w="1426" w:type="dxa"/>
            <w:vAlign w:val="center"/>
          </w:tcPr>
          <w:p w14:paraId="09E6E3CE">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500≤Y＜1000</w:t>
            </w:r>
          </w:p>
        </w:tc>
        <w:tc>
          <w:tcPr>
            <w:tcW w:w="992" w:type="dxa"/>
            <w:vAlign w:val="center"/>
          </w:tcPr>
          <w:p w14:paraId="6F0C6E0D">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Y＜500</w:t>
            </w:r>
          </w:p>
        </w:tc>
      </w:tr>
      <w:tr w14:paraId="49F4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325DF9B">
            <w:pPr>
              <w:widowControl/>
              <w:spacing w:line="28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租赁和商务服务业</w:t>
            </w:r>
          </w:p>
        </w:tc>
        <w:tc>
          <w:tcPr>
            <w:tcW w:w="1369" w:type="dxa"/>
            <w:vAlign w:val="center"/>
          </w:tcPr>
          <w:p w14:paraId="2B05DE88">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65175F12">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4329FDBD">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X≥300</w:t>
            </w:r>
          </w:p>
        </w:tc>
        <w:tc>
          <w:tcPr>
            <w:tcW w:w="1701" w:type="dxa"/>
            <w:vAlign w:val="center"/>
          </w:tcPr>
          <w:p w14:paraId="38FE5FD3">
            <w:pPr>
              <w:widowControl/>
              <w:spacing w:line="280" w:lineRule="exact"/>
              <w:ind w:left="1" w:leftChars="-51" w:hanging="108" w:hangingChars="6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26" w:type="dxa"/>
            <w:vAlign w:val="center"/>
          </w:tcPr>
          <w:p w14:paraId="41972CC3">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992" w:type="dxa"/>
            <w:vAlign w:val="center"/>
          </w:tcPr>
          <w:p w14:paraId="3EEDF443">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4BC3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CF58466">
            <w:pPr>
              <w:widowControl/>
              <w:spacing w:line="280" w:lineRule="exact"/>
              <w:jc w:val="left"/>
              <w:rPr>
                <w:rFonts w:hint="eastAsia" w:ascii="宋体" w:hAnsi="宋体" w:eastAsia="宋体" w:cs="宋体"/>
                <w:kern w:val="0"/>
                <w:sz w:val="18"/>
                <w:szCs w:val="18"/>
                <w:highlight w:val="none"/>
              </w:rPr>
            </w:pPr>
          </w:p>
        </w:tc>
        <w:tc>
          <w:tcPr>
            <w:tcW w:w="1369" w:type="dxa"/>
            <w:vAlign w:val="center"/>
          </w:tcPr>
          <w:p w14:paraId="1E441FCA">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资产总额(Z)</w:t>
            </w:r>
          </w:p>
        </w:tc>
        <w:tc>
          <w:tcPr>
            <w:tcW w:w="709" w:type="dxa"/>
            <w:vAlign w:val="center"/>
          </w:tcPr>
          <w:p w14:paraId="38F63155">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2FC4D7EE">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Z≥120000</w:t>
            </w:r>
          </w:p>
        </w:tc>
        <w:tc>
          <w:tcPr>
            <w:tcW w:w="1701" w:type="dxa"/>
            <w:vAlign w:val="center"/>
          </w:tcPr>
          <w:p w14:paraId="3FC71D25">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8000≤Z＜120000</w:t>
            </w:r>
          </w:p>
        </w:tc>
        <w:tc>
          <w:tcPr>
            <w:tcW w:w="1426" w:type="dxa"/>
            <w:vAlign w:val="center"/>
          </w:tcPr>
          <w:p w14:paraId="02D72C5A">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100≤Z＜8000</w:t>
            </w:r>
          </w:p>
        </w:tc>
        <w:tc>
          <w:tcPr>
            <w:tcW w:w="992" w:type="dxa"/>
            <w:vAlign w:val="center"/>
          </w:tcPr>
          <w:p w14:paraId="777DDDBB">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Z＜100</w:t>
            </w:r>
          </w:p>
        </w:tc>
      </w:tr>
      <w:tr w14:paraId="4DD1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A54EF1E">
            <w:pPr>
              <w:widowControl/>
              <w:spacing w:line="28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其他未列明行业 ※</w:t>
            </w:r>
          </w:p>
        </w:tc>
        <w:tc>
          <w:tcPr>
            <w:tcW w:w="1369" w:type="dxa"/>
            <w:vAlign w:val="center"/>
          </w:tcPr>
          <w:p w14:paraId="552A06A4">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36F889C7">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5AC51B5B">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X≥300</w:t>
            </w:r>
          </w:p>
        </w:tc>
        <w:tc>
          <w:tcPr>
            <w:tcW w:w="1701" w:type="dxa"/>
            <w:vAlign w:val="center"/>
          </w:tcPr>
          <w:p w14:paraId="564A3AAC">
            <w:pPr>
              <w:widowControl/>
              <w:spacing w:line="280" w:lineRule="exact"/>
              <w:ind w:left="1" w:leftChars="-51" w:hanging="108" w:hangingChars="6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26" w:type="dxa"/>
            <w:vAlign w:val="center"/>
          </w:tcPr>
          <w:p w14:paraId="2B698FDC">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992" w:type="dxa"/>
            <w:vAlign w:val="center"/>
          </w:tcPr>
          <w:p w14:paraId="7BEE950E">
            <w:pPr>
              <w:widowControl/>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bl>
    <w:p w14:paraId="365B19B4">
      <w:pPr>
        <w:widowControl/>
        <w:spacing w:line="280" w:lineRule="exact"/>
        <w:rPr>
          <w:rFonts w:hint="eastAsia" w:ascii="宋体" w:hAnsi="宋体" w:eastAsia="宋体" w:cs="宋体"/>
          <w:spacing w:val="8"/>
          <w:kern w:val="0"/>
          <w:sz w:val="24"/>
          <w:highlight w:val="none"/>
        </w:rPr>
      </w:pPr>
    </w:p>
    <w:p w14:paraId="7205DAAB">
      <w:pPr>
        <w:widowControl/>
        <w:spacing w:line="280" w:lineRule="exact"/>
        <w:rPr>
          <w:rFonts w:hint="eastAsia" w:ascii="宋体" w:hAnsi="宋体" w:eastAsia="宋体" w:cs="宋体"/>
          <w:spacing w:val="8"/>
          <w:kern w:val="0"/>
          <w:sz w:val="24"/>
          <w:highlight w:val="none"/>
        </w:rPr>
      </w:pPr>
    </w:p>
    <w:p w14:paraId="125C98B6">
      <w:pPr>
        <w:widowControl/>
        <w:spacing w:line="280" w:lineRule="exact"/>
        <w:rPr>
          <w:rFonts w:hint="eastAsia" w:ascii="宋体" w:hAnsi="宋体" w:eastAsia="宋体" w:cs="宋体"/>
          <w:spacing w:val="8"/>
          <w:kern w:val="0"/>
          <w:sz w:val="18"/>
          <w:szCs w:val="18"/>
          <w:highlight w:val="none"/>
        </w:rPr>
      </w:pPr>
    </w:p>
    <w:p w14:paraId="080097BF">
      <w:pPr>
        <w:widowControl/>
        <w:spacing w:line="280" w:lineRule="exact"/>
        <w:rPr>
          <w:rFonts w:hint="eastAsia" w:ascii="宋体" w:hAnsi="宋体" w:eastAsia="宋体" w:cs="宋体"/>
          <w:spacing w:val="8"/>
          <w:kern w:val="0"/>
          <w:sz w:val="18"/>
          <w:szCs w:val="18"/>
          <w:highlight w:val="none"/>
        </w:rPr>
      </w:pPr>
      <w:r>
        <w:rPr>
          <w:rFonts w:hint="eastAsia" w:ascii="宋体" w:hAnsi="宋体" w:eastAsia="宋体" w:cs="宋体"/>
          <w:spacing w:val="8"/>
          <w:kern w:val="0"/>
          <w:sz w:val="18"/>
          <w:szCs w:val="18"/>
          <w:highlight w:val="none"/>
        </w:rPr>
        <w:t>说明：</w:t>
      </w:r>
    </w:p>
    <w:p w14:paraId="2629D541">
      <w:pPr>
        <w:pStyle w:val="13"/>
        <w:adjustRightInd w:val="0"/>
        <w:spacing w:line="280" w:lineRule="exact"/>
        <w:ind w:firstLine="392" w:firstLineChars="200"/>
        <w:contextualSpacing/>
        <w:rPr>
          <w:rFonts w:hint="eastAsia" w:ascii="宋体" w:hAnsi="宋体" w:eastAsia="宋体" w:cs="宋体"/>
          <w:spacing w:val="8"/>
          <w:kern w:val="0"/>
          <w:sz w:val="18"/>
          <w:szCs w:val="18"/>
          <w:highlight w:val="none"/>
        </w:rPr>
      </w:pPr>
      <w:r>
        <w:rPr>
          <w:rFonts w:hint="eastAsia" w:ascii="宋体" w:hAnsi="宋体" w:eastAsia="宋体" w:cs="宋体"/>
          <w:spacing w:val="8"/>
          <w:kern w:val="0"/>
          <w:sz w:val="18"/>
          <w:szCs w:val="18"/>
          <w:highlight w:val="none"/>
        </w:rPr>
        <w:t>1.大型、中型和小型企业须同时满足所列指标的下限，否则下划一档；微型企业只须满足所列指标中的一项即可。</w:t>
      </w:r>
    </w:p>
    <w:p w14:paraId="68ED44EE">
      <w:pPr>
        <w:pStyle w:val="13"/>
        <w:adjustRightInd w:val="0"/>
        <w:spacing w:line="280" w:lineRule="exact"/>
        <w:ind w:firstLine="392" w:firstLineChars="200"/>
        <w:contextualSpacing/>
        <w:rPr>
          <w:rFonts w:hint="eastAsia" w:ascii="宋体" w:hAnsi="宋体" w:eastAsia="宋体" w:cs="宋体"/>
          <w:spacing w:val="8"/>
          <w:kern w:val="0"/>
          <w:sz w:val="18"/>
          <w:szCs w:val="18"/>
          <w:highlight w:val="none"/>
        </w:rPr>
      </w:pPr>
      <w:r>
        <w:rPr>
          <w:rFonts w:hint="eastAsia" w:ascii="宋体" w:hAnsi="宋体" w:eastAsia="宋体" w:cs="宋体"/>
          <w:spacing w:val="8"/>
          <w:kern w:val="0"/>
          <w:sz w:val="18"/>
          <w:szCs w:val="18"/>
          <w:highlight w:val="none"/>
        </w:rPr>
        <w:t>2.附表中各行业的范围以《国民经济行业分类》（GB/T4754-2017）为准。带</w:t>
      </w:r>
      <w:r>
        <w:rPr>
          <w:rFonts w:hint="eastAsia" w:ascii="宋体" w:hAnsi="宋体" w:eastAsia="宋体" w:cs="宋体"/>
          <w:kern w:val="0"/>
          <w:sz w:val="18"/>
          <w:szCs w:val="18"/>
          <w:highlight w:val="none"/>
        </w:rPr>
        <w:t>※</w:t>
      </w:r>
      <w:r>
        <w:rPr>
          <w:rFonts w:hint="eastAsia" w:ascii="宋体" w:hAnsi="宋体" w:eastAsia="宋体" w:cs="宋体"/>
          <w:spacing w:val="8"/>
          <w:kern w:val="0"/>
          <w:sz w:val="18"/>
          <w:szCs w:val="18"/>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742140">
      <w:pPr>
        <w:pStyle w:val="13"/>
        <w:spacing w:line="280" w:lineRule="exact"/>
        <w:ind w:firstLine="392" w:firstLineChars="200"/>
        <w:rPr>
          <w:rFonts w:hint="eastAsia" w:ascii="宋体" w:hAnsi="宋体" w:eastAsia="宋体" w:cs="宋体"/>
          <w:sz w:val="18"/>
          <w:szCs w:val="18"/>
          <w:highlight w:val="none"/>
        </w:rPr>
      </w:pPr>
      <w:r>
        <w:rPr>
          <w:rFonts w:hint="eastAsia" w:ascii="宋体" w:hAnsi="宋体" w:eastAsia="宋体" w:cs="宋体"/>
          <w:spacing w:val="8"/>
          <w:kern w:val="0"/>
          <w:sz w:val="18"/>
          <w:szCs w:val="18"/>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346" w:name="_Toc8466"/>
      <w:bookmarkStart w:id="347" w:name="_Toc4774"/>
    </w:p>
    <w:p w14:paraId="43177556">
      <w:pPr>
        <w:pStyle w:val="2"/>
        <w:tabs>
          <w:tab w:val="left" w:pos="0"/>
        </w:tabs>
        <w:autoSpaceDE w:val="0"/>
        <w:autoSpaceDN w:val="0"/>
        <w:adjustRightInd w:val="0"/>
        <w:spacing w:before="0" w:after="0" w:line="360" w:lineRule="auto"/>
        <w:jc w:val="center"/>
        <w:rPr>
          <w:rFonts w:hint="eastAsia" w:ascii="宋体" w:hAnsi="宋体" w:eastAsia="宋体" w:cs="宋体"/>
          <w:sz w:val="32"/>
          <w:szCs w:val="32"/>
          <w:highlight w:val="none"/>
        </w:rPr>
      </w:pPr>
      <w:bookmarkStart w:id="348" w:name="_Toc5351"/>
      <w:r>
        <w:rPr>
          <w:rFonts w:hint="eastAsia" w:ascii="宋体" w:hAnsi="宋体" w:eastAsia="宋体" w:cs="宋体"/>
          <w:sz w:val="32"/>
          <w:szCs w:val="32"/>
          <w:highlight w:val="none"/>
          <w:lang w:eastAsia="zh-CN"/>
        </w:rPr>
        <w:br w:type="page"/>
      </w:r>
      <w:bookmarkStart w:id="349" w:name="_Toc20433"/>
      <w:bookmarkStart w:id="350" w:name="_Toc14376"/>
      <w:bookmarkStart w:id="351" w:name="_Toc29183"/>
      <w:bookmarkStart w:id="352" w:name="_Toc26804"/>
      <w:bookmarkStart w:id="353" w:name="_Toc10130"/>
      <w:r>
        <w:rPr>
          <w:rFonts w:hint="eastAsia" w:ascii="宋体" w:hAnsi="宋体" w:eastAsia="宋体" w:cs="宋体"/>
          <w:sz w:val="32"/>
          <w:szCs w:val="32"/>
          <w:highlight w:val="none"/>
          <w:lang w:eastAsia="zh-CN"/>
        </w:rPr>
        <w:t>第五章</w:t>
      </w:r>
      <w:r>
        <w:rPr>
          <w:rFonts w:hint="eastAsia" w:ascii="宋体" w:hAnsi="宋体" w:eastAsia="宋体" w:cs="宋体"/>
          <w:sz w:val="32"/>
          <w:szCs w:val="32"/>
          <w:highlight w:val="none"/>
          <w:lang w:val="en-US" w:eastAsia="zh-CN"/>
        </w:rPr>
        <w:t xml:space="preserve"> </w:t>
      </w:r>
      <w:bookmarkEnd w:id="346"/>
      <w:bookmarkEnd w:id="347"/>
      <w:bookmarkEnd w:id="348"/>
      <w:bookmarkEnd w:id="349"/>
      <w:bookmarkEnd w:id="350"/>
      <w:bookmarkEnd w:id="351"/>
      <w:bookmarkEnd w:id="352"/>
      <w:r>
        <w:rPr>
          <w:rFonts w:hint="eastAsia" w:ascii="宋体" w:hAnsi="宋体" w:eastAsia="宋体" w:cs="宋体"/>
          <w:sz w:val="32"/>
          <w:szCs w:val="32"/>
          <w:highlight w:val="none"/>
        </w:rPr>
        <w:t>采购合同（合同主要条款及格式）</w:t>
      </w:r>
      <w:bookmarkEnd w:id="353"/>
      <w:bookmarkStart w:id="354" w:name="_Toc24269"/>
      <w:bookmarkStart w:id="355" w:name="_Toc10014"/>
      <w:bookmarkStart w:id="356" w:name="_Toc24171"/>
      <w:bookmarkStart w:id="357" w:name="_Toc23905"/>
      <w:bookmarkStart w:id="358" w:name="_Toc5992"/>
      <w:bookmarkStart w:id="359" w:name="_Toc5077"/>
      <w:bookmarkStart w:id="360" w:name="_Toc27658"/>
    </w:p>
    <w:p w14:paraId="0EE08BB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项目名称： </w:t>
      </w:r>
    </w:p>
    <w:p w14:paraId="763D806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项目编号：      </w:t>
      </w:r>
    </w:p>
    <w:p w14:paraId="28F814DD">
      <w:pPr>
        <w:tabs>
          <w:tab w:val="left" w:pos="8767"/>
        </w:tabs>
        <w:spacing w:line="360" w:lineRule="auto"/>
        <w:rPr>
          <w:rFonts w:hint="eastAsia" w:ascii="宋体" w:hAnsi="宋体" w:eastAsia="宋体" w:cs="宋体"/>
          <w:highlight w:val="none"/>
        </w:rPr>
      </w:pPr>
      <w:r>
        <w:rPr>
          <w:rFonts w:hint="eastAsia" w:ascii="宋体" w:hAnsi="宋体" w:eastAsia="宋体" w:cs="宋体"/>
          <w:highlight w:val="none"/>
        </w:rPr>
        <w:t>甲方：（采购人）</w:t>
      </w:r>
      <w:r>
        <w:rPr>
          <w:rFonts w:hint="eastAsia" w:ascii="宋体" w:hAnsi="宋体" w:eastAsia="宋体" w:cs="宋体"/>
          <w:highlight w:val="none"/>
        </w:rPr>
        <w:tab/>
      </w:r>
    </w:p>
    <w:p w14:paraId="69E36799">
      <w:pPr>
        <w:spacing w:line="360" w:lineRule="auto"/>
        <w:rPr>
          <w:rFonts w:hint="eastAsia" w:ascii="宋体" w:hAnsi="宋体" w:eastAsia="宋体" w:cs="宋体"/>
          <w:highlight w:val="none"/>
        </w:rPr>
      </w:pPr>
      <w:r>
        <w:rPr>
          <w:rFonts w:hint="eastAsia" w:ascii="宋体" w:hAnsi="宋体" w:eastAsia="宋体" w:cs="宋体"/>
          <w:highlight w:val="none"/>
        </w:rPr>
        <w:t>乙方：（成交供应商）</w:t>
      </w:r>
    </w:p>
    <w:p w14:paraId="2E4AE08D">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中华人民共和国政府采购法实施条例》《中华人民共和国民法典》等法律、法规规定，按照竞争性谈判文件（以下简称谈判文件）、响应文件规定条款和乙方的承诺、甲乙双方签订本采购合同。</w:t>
      </w:r>
    </w:p>
    <w:p w14:paraId="74383D6C">
      <w:pPr>
        <w:pStyle w:val="3"/>
        <w:widowControl/>
        <w:ind w:left="567" w:leftChars="200" w:hanging="147" w:hangingChars="70"/>
        <w:rPr>
          <w:rFonts w:hint="eastAsia" w:ascii="宋体" w:hAnsi="宋体" w:eastAsia="宋体" w:cs="宋体"/>
          <w:b/>
          <w:bCs w:val="0"/>
          <w:color w:val="auto"/>
          <w:sz w:val="21"/>
          <w:szCs w:val="21"/>
          <w:highlight w:val="none"/>
        </w:rPr>
      </w:pPr>
      <w:bookmarkStart w:id="361" w:name="_Toc28183"/>
      <w:bookmarkStart w:id="362" w:name="_Toc30275"/>
      <w:bookmarkStart w:id="363" w:name="_Toc21697"/>
      <w:bookmarkStart w:id="364" w:name="_Toc20217"/>
      <w:bookmarkStart w:id="365" w:name="_Toc24800"/>
      <w:r>
        <w:rPr>
          <w:rFonts w:hint="eastAsia" w:ascii="宋体" w:hAnsi="宋体" w:eastAsia="宋体" w:cs="宋体"/>
          <w:b/>
          <w:bCs w:val="0"/>
          <w:color w:val="auto"/>
          <w:sz w:val="21"/>
          <w:szCs w:val="21"/>
          <w:highlight w:val="none"/>
        </w:rPr>
        <w:t>第一条合同文件</w:t>
      </w:r>
      <w:bookmarkEnd w:id="361"/>
      <w:bookmarkEnd w:id="362"/>
      <w:bookmarkEnd w:id="363"/>
      <w:bookmarkEnd w:id="364"/>
      <w:bookmarkEnd w:id="365"/>
    </w:p>
    <w:p w14:paraId="6C9A4FDF">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1、本合同所附下列文件是构成本合同不可分割的部分：</w:t>
      </w:r>
    </w:p>
    <w:p w14:paraId="3D4CA482">
      <w:pPr>
        <w:spacing w:line="360" w:lineRule="auto"/>
        <w:ind w:firstLine="315" w:firstLineChars="150"/>
        <w:rPr>
          <w:rFonts w:hint="eastAsia" w:ascii="宋体" w:hAnsi="宋体" w:eastAsia="宋体" w:cs="宋体"/>
          <w:highlight w:val="none"/>
        </w:rPr>
      </w:pPr>
      <w:r>
        <w:rPr>
          <w:rFonts w:hint="eastAsia" w:ascii="宋体" w:hAnsi="宋体" w:eastAsia="宋体" w:cs="宋体"/>
          <w:highlight w:val="none"/>
        </w:rPr>
        <w:t>（1）乙方提交的</w:t>
      </w:r>
      <w:r>
        <w:rPr>
          <w:rFonts w:hint="eastAsia" w:ascii="宋体" w:hAnsi="宋体" w:eastAsia="宋体" w:cs="宋体"/>
          <w:szCs w:val="21"/>
          <w:highlight w:val="none"/>
        </w:rPr>
        <w:t>谈判</w:t>
      </w:r>
      <w:r>
        <w:rPr>
          <w:rFonts w:hint="eastAsia" w:ascii="宋体" w:hAnsi="宋体" w:eastAsia="宋体" w:cs="宋体"/>
          <w:highlight w:val="none"/>
        </w:rPr>
        <w:t>报价表；</w:t>
      </w:r>
    </w:p>
    <w:p w14:paraId="51621948">
      <w:pPr>
        <w:spacing w:line="360" w:lineRule="auto"/>
        <w:ind w:firstLine="315" w:firstLineChars="150"/>
        <w:rPr>
          <w:rFonts w:hint="eastAsia" w:ascii="宋体" w:hAnsi="宋体" w:eastAsia="宋体" w:cs="宋体"/>
          <w:highlight w:val="none"/>
        </w:rPr>
      </w:pPr>
      <w:r>
        <w:rPr>
          <w:rFonts w:hint="eastAsia" w:ascii="宋体" w:hAnsi="宋体" w:eastAsia="宋体" w:cs="宋体"/>
          <w:highlight w:val="none"/>
        </w:rPr>
        <w:t>（2）成交通知书；</w:t>
      </w:r>
    </w:p>
    <w:p w14:paraId="743D8E6E">
      <w:pPr>
        <w:spacing w:line="360" w:lineRule="auto"/>
        <w:ind w:firstLine="315" w:firstLineChars="150"/>
        <w:rPr>
          <w:rFonts w:hint="eastAsia" w:ascii="宋体" w:hAnsi="宋体" w:eastAsia="宋体" w:cs="宋体"/>
          <w:highlight w:val="none"/>
        </w:rPr>
      </w:pPr>
      <w:r>
        <w:rPr>
          <w:rFonts w:hint="eastAsia" w:ascii="宋体" w:hAnsi="宋体" w:eastAsia="宋体" w:cs="宋体"/>
          <w:highlight w:val="none"/>
        </w:rPr>
        <w:t>（3）本合同协议书及有关补充资料；</w:t>
      </w:r>
    </w:p>
    <w:p w14:paraId="2B072B57">
      <w:pPr>
        <w:spacing w:line="360" w:lineRule="auto"/>
        <w:ind w:firstLine="315" w:firstLineChars="150"/>
        <w:rPr>
          <w:rFonts w:hint="eastAsia" w:ascii="宋体" w:hAnsi="宋体" w:eastAsia="宋体" w:cs="宋体"/>
          <w:highlight w:val="none"/>
        </w:rPr>
      </w:pPr>
      <w:r>
        <w:rPr>
          <w:rFonts w:hint="eastAsia" w:ascii="宋体" w:hAnsi="宋体" w:eastAsia="宋体" w:cs="宋体"/>
          <w:highlight w:val="none"/>
        </w:rPr>
        <w:t>（4）谈判文件的条款要求。</w:t>
      </w:r>
    </w:p>
    <w:p w14:paraId="00CFE739">
      <w:pPr>
        <w:tabs>
          <w:tab w:val="left" w:pos="1305"/>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2、合同价金额包括：服务过程中相关的一切费用。</w:t>
      </w:r>
    </w:p>
    <w:p w14:paraId="634CA3B5">
      <w:pPr>
        <w:pStyle w:val="3"/>
        <w:widowControl/>
        <w:ind w:left="567" w:leftChars="200" w:hanging="147" w:hangingChars="70"/>
        <w:rPr>
          <w:rFonts w:hint="eastAsia" w:ascii="宋体" w:hAnsi="宋体" w:eastAsia="宋体" w:cs="宋体"/>
          <w:b/>
          <w:bCs w:val="0"/>
          <w:color w:val="auto"/>
          <w:sz w:val="21"/>
          <w:szCs w:val="21"/>
          <w:highlight w:val="none"/>
        </w:rPr>
      </w:pPr>
      <w:bookmarkStart w:id="366" w:name="_Toc6972"/>
      <w:bookmarkStart w:id="367" w:name="_Toc17282"/>
      <w:bookmarkStart w:id="368" w:name="_Toc28710"/>
      <w:bookmarkStart w:id="369" w:name="_Toc11281"/>
      <w:bookmarkStart w:id="370" w:name="_Toc23810"/>
      <w:r>
        <w:rPr>
          <w:rFonts w:hint="eastAsia" w:ascii="宋体" w:hAnsi="宋体" w:eastAsia="宋体" w:cs="宋体"/>
          <w:b/>
          <w:bCs w:val="0"/>
          <w:color w:val="auto"/>
          <w:sz w:val="21"/>
          <w:szCs w:val="21"/>
          <w:highlight w:val="none"/>
        </w:rPr>
        <w:t>第二条　合同金额</w:t>
      </w:r>
      <w:bookmarkEnd w:id="366"/>
      <w:bookmarkEnd w:id="367"/>
      <w:bookmarkEnd w:id="368"/>
      <w:bookmarkEnd w:id="369"/>
      <w:bookmarkEnd w:id="370"/>
    </w:p>
    <w:p w14:paraId="00CAFF37">
      <w:pPr>
        <w:spacing w:line="360" w:lineRule="auto"/>
        <w:ind w:firstLine="411" w:firstLineChars="196"/>
        <w:rPr>
          <w:rFonts w:hint="eastAsia" w:ascii="宋体" w:hAnsi="宋体" w:eastAsia="宋体" w:cs="宋体"/>
          <w:szCs w:val="21"/>
          <w:highlight w:val="none"/>
          <w:u w:val="single" w:color="FFFFFF"/>
        </w:rPr>
      </w:pPr>
      <w:r>
        <w:rPr>
          <w:rFonts w:hint="eastAsia" w:ascii="宋体" w:hAnsi="宋体" w:eastAsia="宋体" w:cs="宋体"/>
          <w:szCs w:val="21"/>
          <w:highlight w:val="none"/>
        </w:rPr>
        <w:t>根据《成交通知书》的成交内容，合同的</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color="FFFFFF"/>
        </w:rPr>
        <w:t>，最终结算以实际供货金额为准。</w:t>
      </w:r>
    </w:p>
    <w:p w14:paraId="7F2F1A91">
      <w:pPr>
        <w:pStyle w:val="3"/>
        <w:widowControl/>
        <w:ind w:left="567" w:leftChars="200" w:hanging="147" w:hangingChars="70"/>
        <w:rPr>
          <w:rFonts w:hint="eastAsia" w:ascii="宋体" w:hAnsi="宋体" w:eastAsia="宋体" w:cs="宋体"/>
          <w:b/>
          <w:bCs w:val="0"/>
          <w:color w:val="auto"/>
          <w:sz w:val="21"/>
          <w:szCs w:val="21"/>
          <w:highlight w:val="none"/>
        </w:rPr>
      </w:pPr>
      <w:bookmarkStart w:id="371" w:name="_Toc9581"/>
      <w:bookmarkStart w:id="372" w:name="_Toc19508"/>
      <w:bookmarkStart w:id="373" w:name="_Toc30480"/>
      <w:bookmarkStart w:id="374" w:name="_Toc16138"/>
      <w:bookmarkStart w:id="375" w:name="_Toc15658"/>
      <w:r>
        <w:rPr>
          <w:rFonts w:hint="eastAsia" w:ascii="宋体" w:hAnsi="宋体" w:eastAsia="宋体" w:cs="宋体"/>
          <w:b/>
          <w:bCs w:val="0"/>
          <w:color w:val="auto"/>
          <w:sz w:val="21"/>
          <w:szCs w:val="21"/>
          <w:highlight w:val="none"/>
        </w:rPr>
        <w:t>第三条服务保证</w:t>
      </w:r>
      <w:bookmarkEnd w:id="371"/>
      <w:bookmarkEnd w:id="372"/>
      <w:bookmarkEnd w:id="373"/>
      <w:bookmarkEnd w:id="374"/>
      <w:bookmarkEnd w:id="375"/>
    </w:p>
    <w:p w14:paraId="6AF04485">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乙方应按谈判文件、响应文件和承诺规定的服务内容向甲方提供相应服务。</w:t>
      </w:r>
    </w:p>
    <w:p w14:paraId="647D109F">
      <w:pPr>
        <w:pStyle w:val="3"/>
        <w:widowControl/>
        <w:ind w:left="567" w:leftChars="200" w:hanging="147" w:hangingChars="70"/>
        <w:rPr>
          <w:rFonts w:hint="eastAsia" w:ascii="宋体" w:hAnsi="宋体" w:eastAsia="宋体" w:cs="宋体"/>
          <w:b/>
          <w:bCs w:val="0"/>
          <w:color w:val="auto"/>
          <w:sz w:val="21"/>
          <w:szCs w:val="21"/>
          <w:highlight w:val="none"/>
        </w:rPr>
      </w:pPr>
      <w:bookmarkStart w:id="376" w:name="_Toc8771"/>
      <w:bookmarkStart w:id="377" w:name="_Toc31657"/>
      <w:bookmarkStart w:id="378" w:name="_Toc8669"/>
      <w:bookmarkStart w:id="379" w:name="_Toc25056"/>
      <w:bookmarkStart w:id="380" w:name="_Toc30969"/>
      <w:r>
        <w:rPr>
          <w:rFonts w:hint="eastAsia" w:ascii="宋体" w:hAnsi="宋体" w:eastAsia="宋体" w:cs="宋体"/>
          <w:b/>
          <w:bCs w:val="0"/>
          <w:color w:val="auto"/>
          <w:sz w:val="21"/>
          <w:szCs w:val="21"/>
          <w:highlight w:val="none"/>
        </w:rPr>
        <w:t>第四条服务期限</w:t>
      </w:r>
      <w:bookmarkEnd w:id="376"/>
      <w:bookmarkEnd w:id="377"/>
      <w:bookmarkEnd w:id="378"/>
      <w:bookmarkEnd w:id="379"/>
      <w:bookmarkEnd w:id="380"/>
    </w:p>
    <w:p w14:paraId="11314450">
      <w:pPr>
        <w:spacing w:line="360" w:lineRule="auto"/>
        <w:ind w:firstLine="411" w:firstLineChars="196"/>
        <w:rPr>
          <w:rFonts w:hint="eastAsia" w:ascii="宋体" w:hAnsi="宋体" w:eastAsia="宋体" w:cs="宋体"/>
          <w:szCs w:val="21"/>
          <w:highlight w:val="none"/>
          <w:u w:val="single"/>
          <w:lang w:eastAsia="zh-CN"/>
        </w:rPr>
      </w:pPr>
      <w:r>
        <w:rPr>
          <w:rFonts w:hint="eastAsia" w:ascii="宋体" w:hAnsi="宋体" w:eastAsia="宋体" w:cs="宋体"/>
          <w:szCs w:val="21"/>
          <w:highlight w:val="none"/>
        </w:rPr>
        <w:t xml:space="preserve">服务期限: </w:t>
      </w:r>
      <w:r>
        <w:rPr>
          <w:rFonts w:hint="eastAsia" w:ascii="宋体" w:hAnsi="宋体" w:eastAsia="宋体" w:cs="宋体"/>
          <w:szCs w:val="21"/>
          <w:highlight w:val="none"/>
          <w:u w:val="single"/>
        </w:rPr>
        <w:t>自合同签订之日起2年</w:t>
      </w:r>
      <w:r>
        <w:rPr>
          <w:rFonts w:hint="eastAsia" w:ascii="宋体" w:hAnsi="宋体" w:eastAsia="宋体" w:cs="宋体"/>
          <w:szCs w:val="21"/>
          <w:highlight w:val="none"/>
          <w:u w:val="single"/>
          <w:lang w:eastAsia="zh-CN"/>
        </w:rPr>
        <w:t>。</w:t>
      </w:r>
    </w:p>
    <w:p w14:paraId="60537D8B">
      <w:pPr>
        <w:pStyle w:val="3"/>
        <w:widowControl/>
        <w:ind w:left="567" w:leftChars="200" w:hanging="147" w:hangingChars="70"/>
        <w:rPr>
          <w:rFonts w:hint="eastAsia" w:ascii="宋体" w:hAnsi="宋体" w:eastAsia="宋体" w:cs="宋体"/>
          <w:b/>
          <w:bCs w:val="0"/>
          <w:color w:val="auto"/>
          <w:sz w:val="21"/>
          <w:szCs w:val="21"/>
          <w:highlight w:val="none"/>
        </w:rPr>
      </w:pPr>
      <w:bookmarkStart w:id="381" w:name="_Toc15179"/>
      <w:bookmarkStart w:id="382" w:name="_Toc8196"/>
      <w:bookmarkStart w:id="383" w:name="_Toc17053"/>
      <w:bookmarkStart w:id="384" w:name="_Toc25521"/>
      <w:bookmarkStart w:id="385" w:name="_Toc25319"/>
      <w:r>
        <w:rPr>
          <w:rFonts w:hint="eastAsia" w:ascii="宋体" w:hAnsi="宋体" w:eastAsia="宋体" w:cs="宋体"/>
          <w:b/>
          <w:bCs w:val="0"/>
          <w:color w:val="auto"/>
          <w:sz w:val="21"/>
          <w:szCs w:val="21"/>
          <w:highlight w:val="none"/>
        </w:rPr>
        <w:t>第五条交付</w:t>
      </w:r>
      <w:bookmarkEnd w:id="381"/>
      <w:bookmarkEnd w:id="382"/>
      <w:bookmarkEnd w:id="383"/>
      <w:bookmarkEnd w:id="384"/>
      <w:bookmarkEnd w:id="385"/>
    </w:p>
    <w:p w14:paraId="6476FA7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1、服务时间：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地点：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CN"/>
        </w:rPr>
        <w:t>七星区</w:t>
      </w:r>
      <w:r>
        <w:rPr>
          <w:rFonts w:hint="eastAsia" w:ascii="宋体" w:hAnsi="宋体" w:eastAsia="宋体" w:cs="宋体"/>
          <w:szCs w:val="21"/>
          <w:highlight w:val="none"/>
          <w:u w:val="single"/>
        </w:rPr>
        <w:t xml:space="preserve">机关食堂    </w:t>
      </w:r>
      <w:r>
        <w:rPr>
          <w:rFonts w:hint="eastAsia" w:ascii="宋体" w:hAnsi="宋体" w:eastAsia="宋体" w:cs="宋体"/>
          <w:szCs w:val="21"/>
          <w:highlight w:val="none"/>
        </w:rPr>
        <w:t>。</w:t>
      </w:r>
    </w:p>
    <w:p w14:paraId="039817A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2、乙方提供不符合谈判文件、响应文件和本合同规定的服务，甲方有权拒绝接受。</w:t>
      </w:r>
    </w:p>
    <w:p w14:paraId="122C2ADA">
      <w:pPr>
        <w:pStyle w:val="3"/>
        <w:widowControl/>
        <w:ind w:left="567" w:leftChars="200" w:hanging="147" w:hangingChars="70"/>
        <w:rPr>
          <w:rFonts w:hint="eastAsia" w:ascii="宋体" w:hAnsi="宋体" w:eastAsia="宋体" w:cs="宋体"/>
          <w:b/>
          <w:bCs w:val="0"/>
          <w:color w:val="auto"/>
          <w:sz w:val="21"/>
          <w:szCs w:val="21"/>
          <w:highlight w:val="none"/>
        </w:rPr>
      </w:pPr>
      <w:bookmarkStart w:id="386" w:name="_Toc11438"/>
      <w:bookmarkStart w:id="387" w:name="_Toc8253"/>
      <w:bookmarkStart w:id="388" w:name="_Toc22519"/>
      <w:bookmarkStart w:id="389" w:name="_Toc26669"/>
      <w:bookmarkStart w:id="390" w:name="_Toc30329"/>
      <w:r>
        <w:rPr>
          <w:rFonts w:hint="eastAsia" w:ascii="宋体" w:hAnsi="宋体" w:eastAsia="宋体" w:cs="宋体"/>
          <w:b/>
          <w:bCs w:val="0"/>
          <w:color w:val="auto"/>
          <w:sz w:val="21"/>
          <w:szCs w:val="21"/>
          <w:highlight w:val="none"/>
        </w:rPr>
        <w:t>第六条税费</w:t>
      </w:r>
      <w:bookmarkEnd w:id="386"/>
      <w:bookmarkEnd w:id="387"/>
      <w:bookmarkEnd w:id="388"/>
      <w:bookmarkEnd w:id="389"/>
      <w:bookmarkEnd w:id="390"/>
    </w:p>
    <w:p w14:paraId="23D0F99E">
      <w:pPr>
        <w:spacing w:line="360"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本合同执行中相关的一切税费均由乙方负担。</w:t>
      </w:r>
    </w:p>
    <w:p w14:paraId="12B84BCD">
      <w:pPr>
        <w:pStyle w:val="3"/>
        <w:widowControl/>
        <w:ind w:left="567" w:leftChars="200" w:hanging="147" w:hangingChars="70"/>
        <w:rPr>
          <w:rFonts w:hint="eastAsia" w:ascii="宋体" w:hAnsi="宋体" w:eastAsia="宋体" w:cs="宋体"/>
          <w:b/>
          <w:bCs w:val="0"/>
          <w:color w:val="auto"/>
          <w:sz w:val="21"/>
          <w:szCs w:val="21"/>
          <w:highlight w:val="none"/>
        </w:rPr>
      </w:pPr>
      <w:bookmarkStart w:id="391" w:name="_Toc11829"/>
      <w:bookmarkStart w:id="392" w:name="_Toc22803"/>
      <w:bookmarkStart w:id="393" w:name="_Toc31516"/>
      <w:bookmarkStart w:id="394" w:name="_Toc10473"/>
      <w:bookmarkStart w:id="395" w:name="_Toc2909"/>
      <w:r>
        <w:rPr>
          <w:rFonts w:hint="eastAsia" w:ascii="宋体" w:hAnsi="宋体" w:eastAsia="宋体" w:cs="宋体"/>
          <w:b/>
          <w:bCs w:val="0"/>
          <w:color w:val="auto"/>
          <w:sz w:val="21"/>
          <w:szCs w:val="21"/>
          <w:highlight w:val="none"/>
        </w:rPr>
        <w:t>第七条付款方式</w:t>
      </w:r>
      <w:bookmarkEnd w:id="391"/>
      <w:bookmarkEnd w:id="392"/>
      <w:bookmarkEnd w:id="393"/>
      <w:bookmarkEnd w:id="394"/>
      <w:bookmarkEnd w:id="395"/>
    </w:p>
    <w:p w14:paraId="79A7588E">
      <w:pPr>
        <w:pStyle w:val="3"/>
        <w:widowControl/>
        <w:ind w:left="567" w:leftChars="200" w:hanging="147" w:hangingChars="70"/>
        <w:rPr>
          <w:rFonts w:hint="eastAsia" w:ascii="宋体" w:hAnsi="宋体" w:eastAsia="宋体" w:cs="宋体"/>
          <w:b/>
          <w:bCs w:val="0"/>
          <w:color w:val="auto"/>
          <w:sz w:val="21"/>
          <w:szCs w:val="21"/>
          <w:highlight w:val="none"/>
          <w:lang w:val="en-US" w:eastAsia="zh-CN"/>
        </w:rPr>
      </w:pPr>
      <w:bookmarkStart w:id="396" w:name="_Toc21209"/>
      <w:bookmarkStart w:id="397" w:name="_Toc16722"/>
      <w:bookmarkStart w:id="398" w:name="_Toc24383"/>
      <w:bookmarkStart w:id="399" w:name="_Toc2652"/>
      <w:bookmarkStart w:id="400" w:name="_Toc7272"/>
      <w:r>
        <w:rPr>
          <w:rFonts w:hint="eastAsia" w:ascii="宋体" w:hAnsi="宋体" w:eastAsia="宋体" w:cs="宋体"/>
          <w:b/>
          <w:bCs w:val="0"/>
          <w:color w:val="auto"/>
          <w:sz w:val="21"/>
          <w:szCs w:val="21"/>
          <w:highlight w:val="none"/>
          <w:lang w:val="en-US" w:eastAsia="zh-CN"/>
        </w:rPr>
        <w:t>详见服务需求</w:t>
      </w:r>
      <w:bookmarkEnd w:id="396"/>
    </w:p>
    <w:p w14:paraId="28D7C374">
      <w:pPr>
        <w:pStyle w:val="3"/>
        <w:widowControl/>
        <w:ind w:left="567" w:leftChars="200" w:hanging="147" w:hangingChars="70"/>
        <w:rPr>
          <w:rFonts w:hint="eastAsia" w:ascii="宋体" w:hAnsi="宋体" w:eastAsia="宋体" w:cs="宋体"/>
          <w:b/>
          <w:bCs w:val="0"/>
          <w:color w:val="auto"/>
          <w:sz w:val="21"/>
          <w:szCs w:val="21"/>
          <w:highlight w:val="none"/>
        </w:rPr>
      </w:pPr>
      <w:bookmarkStart w:id="401" w:name="_Toc19232"/>
      <w:r>
        <w:rPr>
          <w:rFonts w:hint="eastAsia" w:ascii="宋体" w:hAnsi="宋体" w:eastAsia="宋体" w:cs="宋体"/>
          <w:b/>
          <w:bCs w:val="0"/>
          <w:color w:val="auto"/>
          <w:sz w:val="21"/>
          <w:szCs w:val="21"/>
          <w:highlight w:val="none"/>
        </w:rPr>
        <w:t>第八条违约责任</w:t>
      </w:r>
      <w:bookmarkEnd w:id="397"/>
      <w:bookmarkEnd w:id="398"/>
      <w:bookmarkEnd w:id="399"/>
      <w:bookmarkEnd w:id="400"/>
      <w:bookmarkEnd w:id="401"/>
    </w:p>
    <w:p w14:paraId="1269E72E">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1.甲方延迟付款，造成乙方损失的，应按《中华人民共和国民法典》有关规定赔偿损失。</w:t>
      </w:r>
    </w:p>
    <w:p w14:paraId="74BCB607">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供应商存在提高价格、质量下降、以次充好、服务质量不达标等问题，甲方视供应商违约情况可要求供应商赔偿损失。供应商在供应的货物中存在下列情形的，甲方可直接单方终止合同，供应商还需承担由此造成的经济责任和法律责任:</w:t>
      </w:r>
    </w:p>
    <w:p w14:paraId="518229CD">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(1)腐败变质、油脂酸败、霉变、生虫、污秽不洁、混有异物或者其他感官性状异常，对人体健康有害的；</w:t>
      </w:r>
    </w:p>
    <w:p w14:paraId="76E919CF">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(2)含有毒、有害物质或者被有害物质污染，对人体健康有害的；</w:t>
      </w:r>
    </w:p>
    <w:p w14:paraId="51EC24D8">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(3)含有致病性寄生虫、微生物或者微生物含量超过国家限定标准的；</w:t>
      </w:r>
    </w:p>
    <w:p w14:paraId="71D7A43E">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(4)掺假、掺杂、伪造，影响营养、卫生的；</w:t>
      </w:r>
    </w:p>
    <w:p w14:paraId="78D272EE">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(5)用非食品原料加工的，加入非食品用化学物质或者将非食品当作食品的；</w:t>
      </w:r>
    </w:p>
    <w:p w14:paraId="6212AC6A">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(6)超过保质期限的。</w:t>
      </w:r>
    </w:p>
    <w:p w14:paraId="2BB2CE83">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3.供应商在合同有效期内，被国家、行业管理部门通报批评并取消经营资格，或无正当理由中断向甲方供货的，甲方将终止合同。</w:t>
      </w:r>
    </w:p>
    <w:p w14:paraId="75F8ADB6">
      <w:pPr>
        <w:pStyle w:val="3"/>
        <w:widowControl/>
        <w:ind w:left="567" w:leftChars="200" w:hanging="147" w:hangingChars="70"/>
        <w:rPr>
          <w:rFonts w:hint="eastAsia" w:ascii="宋体" w:hAnsi="宋体" w:eastAsia="宋体" w:cs="宋体"/>
          <w:b/>
          <w:bCs w:val="0"/>
          <w:color w:val="auto"/>
          <w:sz w:val="21"/>
          <w:szCs w:val="21"/>
          <w:highlight w:val="none"/>
        </w:rPr>
      </w:pPr>
      <w:bookmarkStart w:id="402" w:name="_Toc30891"/>
      <w:bookmarkStart w:id="403" w:name="_Toc17947"/>
      <w:bookmarkStart w:id="404" w:name="_Toc1538"/>
      <w:bookmarkStart w:id="405" w:name="_Toc8363"/>
      <w:bookmarkStart w:id="406" w:name="_Toc4742"/>
      <w:r>
        <w:rPr>
          <w:rFonts w:hint="eastAsia" w:ascii="宋体" w:hAnsi="宋体" w:eastAsia="宋体" w:cs="宋体"/>
          <w:b/>
          <w:bCs w:val="0"/>
          <w:color w:val="auto"/>
          <w:sz w:val="21"/>
          <w:szCs w:val="21"/>
          <w:highlight w:val="none"/>
        </w:rPr>
        <w:t>第九条不可抗力事件处理</w:t>
      </w:r>
      <w:bookmarkEnd w:id="402"/>
      <w:bookmarkEnd w:id="403"/>
      <w:bookmarkEnd w:id="404"/>
      <w:bookmarkEnd w:id="405"/>
      <w:bookmarkEnd w:id="406"/>
    </w:p>
    <w:p w14:paraId="4B6516B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1、在合同有效期内，乙方因不可抗力事件导致不能履行合同，则合同履行期可延长，其延长期与不可抗力影响期相同。</w:t>
      </w:r>
    </w:p>
    <w:p w14:paraId="0A827173">
      <w:pPr>
        <w:numPr>
          <w:ilvl w:val="0"/>
          <w:numId w:val="11"/>
        </w:num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不可抗力事件发生后，应立即通知对方，并寄送有关权威机构出具的证明。</w:t>
      </w:r>
    </w:p>
    <w:p w14:paraId="08408F36">
      <w:pPr>
        <w:numPr>
          <w:ilvl w:val="0"/>
          <w:numId w:val="11"/>
        </w:num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不可抗力事件延续一百二十天以上，双方应通过友好协商，确定是否继续履行合同。</w:t>
      </w:r>
    </w:p>
    <w:p w14:paraId="52E14A6B">
      <w:pPr>
        <w:pStyle w:val="3"/>
        <w:widowControl/>
        <w:ind w:left="567" w:leftChars="200" w:hanging="147" w:hangingChars="70"/>
        <w:rPr>
          <w:rFonts w:hint="eastAsia" w:ascii="宋体" w:hAnsi="宋体" w:eastAsia="宋体" w:cs="宋体"/>
          <w:b/>
          <w:bCs w:val="0"/>
          <w:color w:val="auto"/>
          <w:sz w:val="21"/>
          <w:szCs w:val="21"/>
          <w:highlight w:val="none"/>
        </w:rPr>
      </w:pPr>
      <w:bookmarkStart w:id="407" w:name="_Toc8638"/>
      <w:bookmarkStart w:id="408" w:name="_Toc4892"/>
      <w:bookmarkStart w:id="409" w:name="_Toc7311"/>
      <w:bookmarkStart w:id="410" w:name="_Toc24465"/>
      <w:bookmarkStart w:id="411" w:name="_Toc5716"/>
      <w:r>
        <w:rPr>
          <w:rFonts w:hint="eastAsia" w:ascii="宋体" w:hAnsi="宋体" w:eastAsia="宋体" w:cs="宋体"/>
          <w:b/>
          <w:bCs w:val="0"/>
          <w:color w:val="auto"/>
          <w:sz w:val="21"/>
          <w:szCs w:val="21"/>
          <w:highlight w:val="none"/>
        </w:rPr>
        <w:t>第十条合同争议解决</w:t>
      </w:r>
      <w:bookmarkEnd w:id="407"/>
      <w:bookmarkEnd w:id="408"/>
      <w:bookmarkEnd w:id="409"/>
      <w:bookmarkEnd w:id="410"/>
      <w:bookmarkEnd w:id="411"/>
    </w:p>
    <w:p w14:paraId="04E1E9E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1、因服务问题发生争议的，应邀请国家认可的相关机构进行鉴定。服务符合要求的，鉴定费由甲方承担；服务不符合要求的，鉴定费由乙方承担。</w:t>
      </w:r>
    </w:p>
    <w:p w14:paraId="34BBDDF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2、因履行本合同引起的或与本合同有关的争议，甲乙双方应首先通过友好协商解决，如果协商不能解决，可向</w:t>
      </w:r>
      <w:r>
        <w:rPr>
          <w:rFonts w:hint="eastAsia" w:ascii="宋体" w:hAnsi="宋体" w:eastAsia="宋体" w:cs="宋体"/>
          <w:highlight w:val="none"/>
          <w:lang w:eastAsia="zh-CN"/>
        </w:rPr>
        <w:t>七星区</w:t>
      </w:r>
      <w:r>
        <w:rPr>
          <w:rFonts w:hint="eastAsia" w:ascii="宋体" w:hAnsi="宋体" w:eastAsia="宋体" w:cs="宋体"/>
          <w:highlight w:val="none"/>
        </w:rPr>
        <w:t>人民法院</w:t>
      </w:r>
      <w:r>
        <w:rPr>
          <w:rFonts w:hint="eastAsia" w:ascii="宋体" w:hAnsi="宋体" w:eastAsia="宋体" w:cs="宋体"/>
          <w:szCs w:val="21"/>
          <w:highlight w:val="none"/>
        </w:rPr>
        <w:t>提起诉讼。</w:t>
      </w:r>
    </w:p>
    <w:p w14:paraId="6515F944">
      <w:pPr>
        <w:spacing w:line="360" w:lineRule="auto"/>
        <w:ind w:left="435"/>
        <w:rPr>
          <w:rFonts w:hint="eastAsia" w:ascii="宋体" w:hAnsi="宋体" w:eastAsia="宋体" w:cs="宋体"/>
          <w:szCs w:val="21"/>
          <w:highlight w:val="none"/>
        </w:rPr>
      </w:pPr>
      <w:r>
        <w:rPr>
          <w:rFonts w:hint="eastAsia" w:ascii="宋体" w:hAnsi="宋体" w:eastAsia="宋体" w:cs="宋体"/>
          <w:szCs w:val="21"/>
          <w:highlight w:val="none"/>
        </w:rPr>
        <w:t>3、诉讼期间，本合同继续履行。</w:t>
      </w:r>
    </w:p>
    <w:p w14:paraId="597A84FF">
      <w:pPr>
        <w:pStyle w:val="3"/>
        <w:widowControl/>
        <w:ind w:left="567" w:leftChars="200" w:hanging="147" w:hangingChars="70"/>
        <w:rPr>
          <w:rFonts w:hint="eastAsia" w:ascii="宋体" w:hAnsi="宋体" w:eastAsia="宋体" w:cs="宋体"/>
          <w:b/>
          <w:bCs w:val="0"/>
          <w:color w:val="auto"/>
          <w:sz w:val="21"/>
          <w:szCs w:val="21"/>
          <w:highlight w:val="none"/>
        </w:rPr>
      </w:pPr>
      <w:bookmarkStart w:id="412" w:name="_Toc11392"/>
      <w:bookmarkStart w:id="413" w:name="_Toc2504"/>
      <w:bookmarkStart w:id="414" w:name="_Toc27483"/>
      <w:bookmarkStart w:id="415" w:name="_Toc17823"/>
      <w:bookmarkStart w:id="416" w:name="_Toc31963"/>
      <w:r>
        <w:rPr>
          <w:rFonts w:hint="eastAsia" w:ascii="宋体" w:hAnsi="宋体" w:eastAsia="宋体" w:cs="宋体"/>
          <w:b/>
          <w:bCs w:val="0"/>
          <w:color w:val="auto"/>
          <w:sz w:val="21"/>
          <w:szCs w:val="21"/>
          <w:highlight w:val="none"/>
        </w:rPr>
        <w:t>第十一条合同生效及其它</w:t>
      </w:r>
      <w:bookmarkEnd w:id="412"/>
      <w:bookmarkEnd w:id="413"/>
      <w:bookmarkEnd w:id="414"/>
      <w:bookmarkEnd w:id="415"/>
      <w:bookmarkEnd w:id="416"/>
    </w:p>
    <w:p w14:paraId="53E735C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1、合同经甲乙双方法定代表人或授权代表签字并加盖单位公章后生效。</w:t>
      </w:r>
    </w:p>
    <w:p w14:paraId="74F56AB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2、合同执行中涉及采购资金和采购内容修改或补充的，需</w:t>
      </w:r>
      <w:r>
        <w:rPr>
          <w:rFonts w:hint="eastAsia" w:ascii="宋体" w:hAnsi="宋体" w:eastAsia="宋体" w:cs="宋体"/>
          <w:szCs w:val="21"/>
          <w:highlight w:val="none"/>
          <w:lang w:val="en-US" w:eastAsia="zh-CN"/>
        </w:rPr>
        <w:t>七星</w:t>
      </w:r>
      <w:r>
        <w:rPr>
          <w:rFonts w:hint="eastAsia" w:ascii="宋体" w:hAnsi="宋体" w:eastAsia="宋体" w:cs="宋体"/>
          <w:szCs w:val="21"/>
          <w:highlight w:val="none"/>
        </w:rPr>
        <w:t>区财政局审批，并签订书面补充协议报</w:t>
      </w:r>
      <w:r>
        <w:rPr>
          <w:rFonts w:hint="eastAsia" w:ascii="宋体" w:hAnsi="宋体" w:eastAsia="宋体" w:cs="宋体"/>
          <w:highlight w:val="none"/>
          <w:lang w:val="en-US" w:eastAsia="zh-CN"/>
        </w:rPr>
        <w:t>七星</w:t>
      </w:r>
      <w:r>
        <w:rPr>
          <w:rFonts w:hint="eastAsia" w:ascii="宋体" w:hAnsi="宋体" w:eastAsia="宋体" w:cs="宋体"/>
          <w:highlight w:val="none"/>
        </w:rPr>
        <w:t>区财政局</w:t>
      </w:r>
      <w:r>
        <w:rPr>
          <w:rFonts w:hint="eastAsia" w:ascii="宋体" w:hAnsi="宋体" w:eastAsia="宋体" w:cs="宋体"/>
          <w:szCs w:val="21"/>
          <w:highlight w:val="none"/>
        </w:rPr>
        <w:t>备案，方可作为主合同不可分割的一部分。</w:t>
      </w:r>
    </w:p>
    <w:p w14:paraId="2E052B77">
      <w:pPr>
        <w:spacing w:line="360" w:lineRule="auto"/>
        <w:ind w:left="435"/>
        <w:rPr>
          <w:rFonts w:hint="eastAsia" w:ascii="宋体" w:hAnsi="宋体" w:eastAsia="宋体" w:cs="宋体"/>
          <w:szCs w:val="21"/>
          <w:highlight w:val="none"/>
        </w:rPr>
      </w:pPr>
      <w:r>
        <w:rPr>
          <w:rFonts w:hint="eastAsia" w:ascii="宋体" w:hAnsi="宋体" w:eastAsia="宋体" w:cs="宋体"/>
          <w:szCs w:val="21"/>
          <w:highlight w:val="none"/>
        </w:rPr>
        <w:t>3、本合同未尽事宜，遵照《中华人民共和国民法典》有关条文执行。</w:t>
      </w:r>
    </w:p>
    <w:p w14:paraId="53E3AD80">
      <w:pPr>
        <w:pStyle w:val="3"/>
        <w:widowControl/>
        <w:ind w:left="567" w:leftChars="200" w:hanging="147" w:hangingChars="70"/>
        <w:rPr>
          <w:rFonts w:hint="eastAsia" w:ascii="宋体" w:hAnsi="宋体" w:eastAsia="宋体" w:cs="宋体"/>
          <w:b/>
          <w:bCs w:val="0"/>
          <w:color w:val="auto"/>
          <w:sz w:val="21"/>
          <w:szCs w:val="21"/>
          <w:highlight w:val="none"/>
        </w:rPr>
      </w:pPr>
      <w:bookmarkStart w:id="417" w:name="_Toc1917"/>
      <w:bookmarkStart w:id="418" w:name="_Toc9577"/>
      <w:bookmarkStart w:id="419" w:name="_Toc12956"/>
      <w:bookmarkStart w:id="420" w:name="_Toc31438"/>
      <w:bookmarkStart w:id="421" w:name="_Toc13215"/>
      <w:r>
        <w:rPr>
          <w:rFonts w:hint="eastAsia" w:ascii="宋体" w:hAnsi="宋体" w:eastAsia="宋体" w:cs="宋体"/>
          <w:b/>
          <w:bCs w:val="0"/>
          <w:color w:val="auto"/>
          <w:sz w:val="21"/>
          <w:szCs w:val="21"/>
          <w:highlight w:val="none"/>
        </w:rPr>
        <w:t>第十二条合同的变更、终止与转让</w:t>
      </w:r>
      <w:bookmarkEnd w:id="417"/>
      <w:bookmarkEnd w:id="418"/>
      <w:bookmarkEnd w:id="419"/>
      <w:bookmarkEnd w:id="420"/>
      <w:bookmarkEnd w:id="421"/>
    </w:p>
    <w:p w14:paraId="1444E14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1、除《中华人民共和国政府采购法》第五十条规定的情形外，本合同一经签订，甲乙双方不得擅自变更，中止或终止。</w:t>
      </w:r>
    </w:p>
    <w:p w14:paraId="778F323E">
      <w:pPr>
        <w:numPr>
          <w:ilvl w:val="0"/>
          <w:numId w:val="12"/>
        </w:num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乙方不得擅自转让其应履行的合同义务。</w:t>
      </w:r>
    </w:p>
    <w:p w14:paraId="0E5D8B1E">
      <w:pPr>
        <w:pStyle w:val="3"/>
        <w:widowControl/>
        <w:ind w:left="567" w:leftChars="200" w:hanging="147" w:hangingChars="70"/>
        <w:rPr>
          <w:rFonts w:hint="eastAsia" w:ascii="宋体" w:hAnsi="宋体" w:eastAsia="宋体" w:cs="宋体"/>
          <w:b/>
          <w:bCs w:val="0"/>
          <w:color w:val="auto"/>
          <w:sz w:val="21"/>
          <w:szCs w:val="21"/>
          <w:highlight w:val="none"/>
        </w:rPr>
      </w:pPr>
      <w:bookmarkStart w:id="422" w:name="_Toc7447"/>
      <w:bookmarkStart w:id="423" w:name="_Toc18823"/>
      <w:bookmarkStart w:id="424" w:name="_Toc32608"/>
      <w:bookmarkStart w:id="425" w:name="_Toc14327"/>
      <w:bookmarkStart w:id="426" w:name="_Toc20409"/>
      <w:r>
        <w:rPr>
          <w:rFonts w:hint="eastAsia" w:ascii="宋体" w:hAnsi="宋体" w:eastAsia="宋体" w:cs="宋体"/>
          <w:b/>
          <w:bCs w:val="0"/>
          <w:color w:val="auto"/>
          <w:sz w:val="21"/>
          <w:szCs w:val="21"/>
          <w:highlight w:val="none"/>
        </w:rPr>
        <w:t>第十三条签订本合同依据</w:t>
      </w:r>
      <w:bookmarkEnd w:id="422"/>
      <w:bookmarkEnd w:id="423"/>
      <w:bookmarkEnd w:id="424"/>
      <w:bookmarkEnd w:id="425"/>
      <w:bookmarkEnd w:id="426"/>
    </w:p>
    <w:p w14:paraId="49E72EE0">
      <w:pPr>
        <w:spacing w:line="360" w:lineRule="auto"/>
        <w:ind w:left="420"/>
        <w:rPr>
          <w:rFonts w:hint="eastAsia" w:ascii="宋体" w:hAnsi="宋体" w:eastAsia="宋体" w:cs="宋体"/>
          <w:szCs w:val="21"/>
          <w:highlight w:val="none"/>
        </w:rPr>
      </w:pPr>
      <w:r>
        <w:rPr>
          <w:rFonts w:hint="eastAsia" w:ascii="宋体" w:hAnsi="宋体" w:eastAsia="宋体" w:cs="宋体"/>
          <w:szCs w:val="21"/>
          <w:highlight w:val="none"/>
        </w:rPr>
        <w:t>1、竞争性</w:t>
      </w:r>
      <w:r>
        <w:rPr>
          <w:rFonts w:hint="eastAsia" w:ascii="宋体" w:hAnsi="宋体" w:eastAsia="宋体" w:cs="宋体"/>
          <w:szCs w:val="21"/>
          <w:highlight w:val="none"/>
          <w:lang w:val="en-US" w:eastAsia="zh-CN"/>
        </w:rPr>
        <w:t>磋商</w:t>
      </w:r>
      <w:r>
        <w:rPr>
          <w:rFonts w:hint="eastAsia" w:ascii="宋体" w:hAnsi="宋体" w:eastAsia="宋体" w:cs="宋体"/>
          <w:szCs w:val="21"/>
          <w:highlight w:val="none"/>
        </w:rPr>
        <w:t>文件；</w:t>
      </w:r>
    </w:p>
    <w:p w14:paraId="56236969">
      <w:pPr>
        <w:spacing w:line="360" w:lineRule="auto"/>
        <w:ind w:left="224" w:leftChars="107" w:firstLine="210" w:firstLineChars="100"/>
        <w:rPr>
          <w:rFonts w:hint="eastAsia" w:ascii="宋体" w:hAnsi="宋体" w:eastAsia="宋体" w:cs="宋体"/>
          <w:szCs w:val="21"/>
          <w:highlight w:val="none"/>
        </w:rPr>
      </w:pPr>
      <w:r>
        <w:rPr>
          <w:rFonts w:hint="eastAsia" w:ascii="宋体" w:hAnsi="宋体" w:eastAsia="宋体" w:cs="宋体"/>
          <w:szCs w:val="21"/>
          <w:highlight w:val="none"/>
        </w:rPr>
        <w:t>2、乙方的响应（或应答）文件；</w:t>
      </w:r>
    </w:p>
    <w:p w14:paraId="08407E66">
      <w:pPr>
        <w:spacing w:line="360" w:lineRule="auto"/>
        <w:ind w:left="224" w:leftChars="107" w:firstLine="210" w:firstLineChars="100"/>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磋商</w:t>
      </w:r>
      <w:r>
        <w:rPr>
          <w:rFonts w:hint="eastAsia" w:ascii="宋体" w:hAnsi="宋体" w:eastAsia="宋体" w:cs="宋体"/>
          <w:szCs w:val="21"/>
          <w:highlight w:val="none"/>
        </w:rPr>
        <w:t>中的谈判记录；</w:t>
      </w:r>
    </w:p>
    <w:p w14:paraId="29CF420F">
      <w:pPr>
        <w:spacing w:line="360" w:lineRule="auto"/>
        <w:ind w:left="224" w:leftChars="107" w:firstLine="210" w:firstLineChars="100"/>
        <w:rPr>
          <w:rFonts w:hint="eastAsia" w:ascii="宋体" w:hAnsi="宋体" w:eastAsia="宋体" w:cs="宋体"/>
          <w:szCs w:val="21"/>
          <w:highlight w:val="none"/>
        </w:rPr>
      </w:pPr>
      <w:r>
        <w:rPr>
          <w:rFonts w:hint="eastAsia" w:ascii="宋体" w:hAnsi="宋体" w:eastAsia="宋体" w:cs="宋体"/>
          <w:szCs w:val="21"/>
          <w:highlight w:val="none"/>
        </w:rPr>
        <w:t>4、成交通知书。</w:t>
      </w:r>
    </w:p>
    <w:p w14:paraId="6120D419">
      <w:pPr>
        <w:spacing w:line="400" w:lineRule="exact"/>
        <w:ind w:firstLine="420" w:firstLineChars="200"/>
        <w:rPr>
          <w:rFonts w:hint="eastAsia" w:ascii="宋体" w:hAnsi="宋体" w:eastAsia="宋体" w:cs="宋体"/>
          <w:b/>
          <w:color w:val="0D0D0D"/>
          <w:szCs w:val="21"/>
          <w:highlight w:val="none"/>
        </w:rPr>
      </w:pPr>
      <w:r>
        <w:rPr>
          <w:rFonts w:hint="eastAsia" w:ascii="宋体" w:hAnsi="宋体" w:eastAsia="宋体" w:cs="宋体"/>
          <w:b/>
          <w:color w:val="0D0D0D"/>
          <w:szCs w:val="21"/>
          <w:highlight w:val="none"/>
        </w:rPr>
        <w:t xml:space="preserve">第十四条  </w:t>
      </w:r>
    </w:p>
    <w:p w14:paraId="2C36B4C4">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本合同甲乙双方签字盖章后生效，一式四份，具有同等法律效力，甲乙双方各持一份。双方自签订之日起一个工作日内，乙方将合同原件一份交采购代理机构。甲方于合同签订之日起七个工作日内将一份合同原件送</w:t>
      </w:r>
      <w:r>
        <w:rPr>
          <w:rFonts w:hint="eastAsia" w:ascii="宋体" w:hAnsi="宋体" w:eastAsia="宋体" w:cs="宋体"/>
          <w:highlight w:val="none"/>
          <w:lang w:val="en-US" w:eastAsia="zh-CN"/>
        </w:rPr>
        <w:t>七星区</w:t>
      </w:r>
      <w:r>
        <w:rPr>
          <w:rFonts w:hint="eastAsia" w:ascii="宋体" w:hAnsi="宋体" w:eastAsia="宋体" w:cs="宋体"/>
          <w:highlight w:val="none"/>
        </w:rPr>
        <w:t>财政局备案。</w:t>
      </w:r>
    </w:p>
    <w:p w14:paraId="50A7BBDD">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 xml:space="preserve"> 甲方名称（公章）：     乙方（公章，自然人除外）：</w:t>
      </w:r>
    </w:p>
    <w:p w14:paraId="2DAFA404">
      <w:pPr>
        <w:spacing w:line="360" w:lineRule="auto"/>
        <w:ind w:left="4620" w:hanging="4620" w:hangingChars="2200"/>
        <w:rPr>
          <w:rFonts w:hint="eastAsia" w:ascii="宋体" w:hAnsi="宋体" w:eastAsia="宋体" w:cs="宋体"/>
          <w:highlight w:val="none"/>
        </w:rPr>
      </w:pPr>
      <w:r>
        <w:rPr>
          <w:rFonts w:hint="eastAsia" w:ascii="宋体" w:hAnsi="宋体" w:eastAsia="宋体" w:cs="宋体"/>
          <w:szCs w:val="21"/>
          <w:highlight w:val="none"/>
        </w:rPr>
        <w:t>法定代表人：</w:t>
      </w:r>
      <w:r>
        <w:rPr>
          <w:rFonts w:hint="eastAsia" w:ascii="宋体" w:hAnsi="宋体" w:eastAsia="宋体" w:cs="宋体"/>
          <w:highlight w:val="none"/>
        </w:rPr>
        <w:t>法定代表人（负责人、自然人）签字</w:t>
      </w:r>
    </w:p>
    <w:p w14:paraId="293ECCD4">
      <w:pPr>
        <w:spacing w:line="360" w:lineRule="auto"/>
        <w:ind w:left="4620" w:leftChars="2150" w:hanging="105" w:hangingChars="50"/>
        <w:rPr>
          <w:rFonts w:hint="eastAsia" w:ascii="宋体" w:hAnsi="宋体" w:eastAsia="宋体" w:cs="宋体"/>
          <w:szCs w:val="21"/>
          <w:highlight w:val="none"/>
          <w:u w:val="single"/>
        </w:rPr>
      </w:pPr>
      <w:r>
        <w:rPr>
          <w:rFonts w:hint="eastAsia" w:ascii="宋体" w:hAnsi="宋体" w:eastAsia="宋体" w:cs="宋体"/>
          <w:highlight w:val="none"/>
        </w:rPr>
        <w:t>（属自然人的应在签名处加盖大拇指指印）</w:t>
      </w:r>
      <w:r>
        <w:rPr>
          <w:rFonts w:hint="eastAsia" w:ascii="宋体" w:hAnsi="宋体" w:eastAsia="宋体" w:cs="宋体"/>
          <w:szCs w:val="21"/>
          <w:highlight w:val="none"/>
        </w:rPr>
        <w:t>：</w:t>
      </w:r>
    </w:p>
    <w:p w14:paraId="4ECBA39E">
      <w:pPr>
        <w:tabs>
          <w:tab w:val="left" w:pos="4680"/>
        </w:tabs>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委托代理人：     委托代理人：</w:t>
      </w:r>
    </w:p>
    <w:p w14:paraId="0D269131">
      <w:pPr>
        <w:tabs>
          <w:tab w:val="left" w:pos="5040"/>
        </w:tabs>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 xml:space="preserve">电  话：     电   话： </w:t>
      </w:r>
    </w:p>
    <w:p w14:paraId="2689A406">
      <w:pPr>
        <w:tabs>
          <w:tab w:val="left" w:pos="5040"/>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t>开户名称：     开户名称：</w:t>
      </w:r>
    </w:p>
    <w:p w14:paraId="21DC34AE">
      <w:pPr>
        <w:tabs>
          <w:tab w:val="left" w:pos="5040"/>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t>开户银行：     开户银行：</w:t>
      </w:r>
    </w:p>
    <w:p w14:paraId="654784E9">
      <w:pPr>
        <w:tabs>
          <w:tab w:val="left" w:pos="5040"/>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t>银行账号：     银行账号：</w:t>
      </w:r>
    </w:p>
    <w:p w14:paraId="39744BE9">
      <w:pPr>
        <w:tabs>
          <w:tab w:val="left" w:pos="5040"/>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t>日    期：     日    期：</w:t>
      </w:r>
    </w:p>
    <w:p w14:paraId="051EC330">
      <w:pPr>
        <w:pStyle w:val="25"/>
        <w:rPr>
          <w:rFonts w:hint="eastAsia" w:ascii="宋体" w:hAnsi="宋体" w:eastAsia="宋体" w:cs="宋体"/>
          <w:color w:val="auto"/>
          <w:highlight w:val="none"/>
        </w:rPr>
      </w:pPr>
    </w:p>
    <w:p w14:paraId="47A482F3">
      <w:pPr>
        <w:pStyle w:val="25"/>
        <w:rPr>
          <w:rFonts w:hint="eastAsia" w:ascii="宋体" w:hAnsi="宋体" w:eastAsia="宋体" w:cs="宋体"/>
          <w:color w:val="auto"/>
          <w:highlight w:val="none"/>
        </w:rPr>
      </w:pPr>
    </w:p>
    <w:p w14:paraId="1AE8CDE5">
      <w:pPr>
        <w:pStyle w:val="2"/>
        <w:jc w:val="center"/>
        <w:rPr>
          <w:rFonts w:hint="eastAsia" w:ascii="宋体" w:hAnsi="宋体" w:eastAsia="宋体" w:cs="宋体"/>
          <w:sz w:val="32"/>
          <w:szCs w:val="32"/>
          <w:highlight w:val="none"/>
        </w:rPr>
      </w:pPr>
    </w:p>
    <w:p w14:paraId="1B702086">
      <w:pPr>
        <w:rPr>
          <w:rFonts w:hint="eastAsia" w:ascii="宋体" w:hAnsi="宋体" w:eastAsia="宋体" w:cs="宋体"/>
          <w:sz w:val="32"/>
          <w:szCs w:val="32"/>
          <w:highlight w:val="none"/>
        </w:rPr>
      </w:pPr>
    </w:p>
    <w:p w14:paraId="0F6F18C7">
      <w:pPr>
        <w:rPr>
          <w:rFonts w:hint="eastAsia" w:ascii="宋体" w:hAnsi="宋体" w:eastAsia="宋体" w:cs="宋体"/>
          <w:sz w:val="32"/>
          <w:szCs w:val="32"/>
          <w:highlight w:val="none"/>
        </w:rPr>
      </w:pPr>
    </w:p>
    <w:p w14:paraId="087D795E">
      <w:pPr>
        <w:rPr>
          <w:rFonts w:hint="eastAsia" w:ascii="宋体" w:hAnsi="宋体" w:eastAsia="宋体" w:cs="宋体"/>
          <w:sz w:val="32"/>
          <w:szCs w:val="32"/>
          <w:highlight w:val="none"/>
        </w:rPr>
      </w:pPr>
    </w:p>
    <w:p w14:paraId="4C61569B">
      <w:pPr>
        <w:pStyle w:val="2"/>
        <w:jc w:val="center"/>
        <w:rPr>
          <w:rFonts w:hint="eastAsia" w:ascii="宋体" w:hAnsi="宋体" w:eastAsia="宋体" w:cs="宋体"/>
          <w:highlight w:val="none"/>
        </w:rPr>
      </w:pPr>
      <w:bookmarkStart w:id="427" w:name="_Toc31725"/>
      <w:r>
        <w:rPr>
          <w:rFonts w:hint="eastAsia" w:ascii="宋体" w:hAnsi="宋体" w:eastAsia="宋体" w:cs="宋体"/>
          <w:sz w:val="32"/>
          <w:szCs w:val="32"/>
          <w:highlight w:val="none"/>
        </w:rPr>
        <w:t xml:space="preserve">第六章  </w:t>
      </w:r>
      <w:bookmarkEnd w:id="354"/>
      <w:bookmarkEnd w:id="355"/>
      <w:bookmarkStart w:id="428" w:name="_Toc13185"/>
      <w:r>
        <w:rPr>
          <w:rFonts w:hint="eastAsia" w:ascii="宋体" w:hAnsi="宋体" w:eastAsia="宋体" w:cs="宋体"/>
          <w:sz w:val="32"/>
          <w:szCs w:val="32"/>
          <w:highlight w:val="none"/>
        </w:rPr>
        <w:t>响应文件（格式）</w:t>
      </w:r>
      <w:bookmarkEnd w:id="356"/>
      <w:bookmarkEnd w:id="357"/>
      <w:bookmarkEnd w:id="358"/>
      <w:bookmarkEnd w:id="359"/>
      <w:bookmarkEnd w:id="360"/>
      <w:bookmarkEnd w:id="427"/>
      <w:bookmarkEnd w:id="428"/>
    </w:p>
    <w:p w14:paraId="6EC726FD">
      <w:pPr>
        <w:rPr>
          <w:rFonts w:hint="eastAsia" w:ascii="宋体" w:hAnsi="宋体" w:eastAsia="宋体" w:cs="宋体"/>
          <w:highlight w:val="none"/>
        </w:rPr>
      </w:pPr>
    </w:p>
    <w:p w14:paraId="5AA9A1F3">
      <w:pPr>
        <w:pStyle w:val="13"/>
        <w:rPr>
          <w:rFonts w:hint="eastAsia" w:ascii="宋体" w:hAnsi="宋体" w:eastAsia="宋体" w:cs="宋体"/>
          <w:b/>
          <w:sz w:val="32"/>
          <w:highlight w:val="none"/>
        </w:rPr>
      </w:pPr>
      <w:bookmarkStart w:id="429" w:name="_Toc21496"/>
      <w:bookmarkStart w:id="430" w:name="_Toc18351"/>
      <w:bookmarkStart w:id="431" w:name="_Toc497927069"/>
      <w:r>
        <w:rPr>
          <w:rFonts w:hint="eastAsia" w:ascii="宋体" w:hAnsi="宋体" w:eastAsia="宋体" w:cs="宋体"/>
          <w:b/>
          <w:sz w:val="32"/>
          <w:highlight w:val="none"/>
        </w:rPr>
        <w:t>一、响应文件袋（盒、箱）标记</w:t>
      </w:r>
      <w:bookmarkEnd w:id="429"/>
      <w:bookmarkEnd w:id="430"/>
      <w:bookmarkEnd w:id="431"/>
    </w:p>
    <w:p w14:paraId="27C2C6B9">
      <w:pPr>
        <w:adjustRightInd w:val="0"/>
        <w:snapToGrid w:val="0"/>
        <w:rPr>
          <w:rFonts w:hint="eastAsia" w:ascii="宋体" w:hAnsi="宋体" w:eastAsia="宋体" w:cs="宋体"/>
          <w:b/>
          <w:sz w:val="44"/>
          <w:szCs w:val="44"/>
          <w:highlight w:val="none"/>
        </w:rPr>
      </w:pPr>
    </w:p>
    <w:p w14:paraId="458C3BC8">
      <w:pPr>
        <w:pStyle w:val="25"/>
        <w:rPr>
          <w:rFonts w:hint="eastAsia" w:ascii="宋体" w:hAnsi="宋体" w:eastAsia="宋体" w:cs="宋体"/>
          <w:highlight w:val="none"/>
        </w:rPr>
      </w:pPr>
    </w:p>
    <w:p w14:paraId="6255C47D">
      <w:pPr>
        <w:snapToGrid w:val="0"/>
        <w:spacing w:before="156" w:beforeLines="50" w:after="50"/>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响 应 文 件</w:t>
      </w:r>
    </w:p>
    <w:p w14:paraId="221C90A0">
      <w:pPr>
        <w:snapToGrid w:val="0"/>
        <w:spacing w:before="156" w:beforeLines="50" w:after="50"/>
        <w:ind w:firstLine="480" w:firstLineChars="150"/>
        <w:rPr>
          <w:rFonts w:hint="eastAsia" w:ascii="宋体" w:hAnsi="宋体" w:eastAsia="宋体" w:cs="宋体"/>
          <w:b/>
          <w:sz w:val="28"/>
          <w:szCs w:val="28"/>
          <w:highlight w:val="none"/>
        </w:rPr>
      </w:pPr>
      <w:r>
        <w:rPr>
          <w:rFonts w:hint="eastAsia" w:ascii="宋体" w:hAnsi="宋体" w:eastAsia="宋体" w:cs="宋体"/>
          <w:sz w:val="32"/>
          <w:szCs w:val="32"/>
          <w:highlight w:val="none"/>
        </w:rPr>
        <w:t xml:space="preserve">                       </w:t>
      </w:r>
    </w:p>
    <w:p w14:paraId="31FEFA4D">
      <w:pPr>
        <w:snapToGrid w:val="0"/>
        <w:spacing w:before="156" w:beforeLines="50" w:after="50"/>
        <w:ind w:firstLine="420" w:firstLineChars="150"/>
        <w:rPr>
          <w:rFonts w:hint="eastAsia" w:ascii="宋体" w:hAnsi="宋体" w:eastAsia="宋体" w:cs="宋体"/>
          <w:b/>
          <w:sz w:val="28"/>
          <w:szCs w:val="28"/>
          <w:highlight w:val="none"/>
        </w:rPr>
      </w:pPr>
    </w:p>
    <w:p w14:paraId="2DE4197A">
      <w:pPr>
        <w:snapToGrid w:val="0"/>
        <w:spacing w:before="156" w:beforeLines="50" w:after="50"/>
        <w:jc w:val="center"/>
        <w:rPr>
          <w:rFonts w:hint="eastAsia" w:ascii="宋体" w:hAnsi="宋体" w:eastAsia="宋体" w:cs="宋体"/>
          <w:b/>
          <w:sz w:val="28"/>
          <w:szCs w:val="28"/>
          <w:highlight w:val="none"/>
          <w:u w:val="single"/>
          <w:lang w:eastAsia="zh-CN"/>
        </w:rPr>
      </w:pPr>
      <w:r>
        <w:rPr>
          <w:rFonts w:hint="eastAsia" w:ascii="宋体" w:hAnsi="宋体" w:eastAsia="宋体" w:cs="宋体"/>
          <w:b/>
          <w:sz w:val="28"/>
          <w:szCs w:val="28"/>
          <w:highlight w:val="none"/>
        </w:rPr>
        <w:t>项目名称：</w:t>
      </w:r>
      <w:r>
        <w:rPr>
          <w:rFonts w:hint="eastAsia" w:ascii="宋体" w:hAnsi="宋体" w:eastAsia="宋体" w:cs="宋体"/>
          <w:b/>
          <w:sz w:val="28"/>
          <w:szCs w:val="28"/>
          <w:highlight w:val="none"/>
          <w:u w:val="single"/>
          <w:lang w:eastAsia="zh-CN"/>
        </w:rPr>
        <w:t>七星区机关食堂物资定点供应商采购服务</w:t>
      </w:r>
    </w:p>
    <w:p w14:paraId="725312B9">
      <w:pPr>
        <w:snapToGrid w:val="0"/>
        <w:spacing w:before="156" w:beforeLines="50" w:after="50"/>
        <w:ind w:firstLine="2693" w:firstLineChars="962"/>
        <w:rPr>
          <w:rFonts w:hint="eastAsia" w:ascii="宋体" w:hAnsi="宋体" w:eastAsia="宋体" w:cs="宋体"/>
          <w:b/>
          <w:sz w:val="28"/>
          <w:szCs w:val="28"/>
          <w:highlight w:val="none"/>
        </w:rPr>
      </w:pPr>
    </w:p>
    <w:p w14:paraId="5553D1D1">
      <w:pPr>
        <w:snapToGrid w:val="0"/>
        <w:spacing w:before="156" w:beforeLines="50" w:after="50"/>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项目编号：</w:t>
      </w:r>
      <w:r>
        <w:rPr>
          <w:rFonts w:hint="eastAsia" w:ascii="宋体" w:hAnsi="宋体" w:eastAsia="宋体" w:cs="宋体"/>
          <w:b/>
          <w:sz w:val="28"/>
          <w:szCs w:val="28"/>
          <w:highlight w:val="none"/>
          <w:u w:val="single"/>
          <w:lang w:eastAsia="zh-CN"/>
        </w:rPr>
        <w:t>GLZC2026-C1-990217-GXHS</w:t>
      </w:r>
    </w:p>
    <w:p w14:paraId="791FA5C8">
      <w:pPr>
        <w:rPr>
          <w:rFonts w:hint="eastAsia" w:ascii="宋体" w:hAnsi="宋体" w:eastAsia="宋体" w:cs="宋体"/>
          <w:b/>
          <w:highlight w:val="none"/>
        </w:rPr>
      </w:pPr>
    </w:p>
    <w:p w14:paraId="719430B2">
      <w:pPr>
        <w:pStyle w:val="25"/>
        <w:rPr>
          <w:rFonts w:hint="eastAsia" w:ascii="宋体" w:hAnsi="宋体" w:eastAsia="宋体" w:cs="宋体"/>
          <w:b/>
          <w:color w:val="auto"/>
          <w:sz w:val="28"/>
          <w:szCs w:val="28"/>
          <w:highlight w:val="none"/>
        </w:rPr>
      </w:pPr>
    </w:p>
    <w:p w14:paraId="00E5C1E9">
      <w:pPr>
        <w:snapToGrid w:val="0"/>
        <w:spacing w:before="156" w:beforeLines="50" w:after="50"/>
        <w:ind w:firstLine="2693" w:firstLineChars="962"/>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采购代理机构：</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u w:val="single"/>
          <w:lang w:eastAsia="zh-CN"/>
        </w:rPr>
        <w:t>广西禾昇项目管理有限公司</w:t>
      </w:r>
      <w:r>
        <w:rPr>
          <w:rFonts w:hint="eastAsia" w:ascii="宋体" w:hAnsi="宋体" w:eastAsia="宋体" w:cs="宋体"/>
          <w:b/>
          <w:sz w:val="28"/>
          <w:szCs w:val="28"/>
          <w:highlight w:val="none"/>
          <w:u w:val="single"/>
        </w:rPr>
        <w:t xml:space="preserve">   </w:t>
      </w:r>
    </w:p>
    <w:p w14:paraId="2005F687">
      <w:pPr>
        <w:pStyle w:val="10"/>
        <w:ind w:left="980" w:hanging="560" w:hangingChars="200"/>
        <w:rPr>
          <w:rFonts w:hint="eastAsia" w:ascii="宋体" w:hAnsi="宋体" w:eastAsia="宋体" w:cs="宋体"/>
          <w:bCs/>
          <w:sz w:val="28"/>
          <w:szCs w:val="28"/>
          <w:highlight w:val="none"/>
        </w:rPr>
      </w:pPr>
      <w:bookmarkStart w:id="432" w:name="_Toc4932_WPSOffice_Level2"/>
      <w:bookmarkStart w:id="433" w:name="_Toc20319_WPSOffice_Level2"/>
      <w:r>
        <w:rPr>
          <w:rFonts w:hint="eastAsia" w:ascii="宋体" w:hAnsi="宋体" w:eastAsia="宋体" w:cs="宋体"/>
          <w:bCs/>
          <w:sz w:val="28"/>
          <w:szCs w:val="28"/>
          <w:highlight w:val="none"/>
        </w:rPr>
        <w:t>磋商供应商[公章(CA签章)、自然人除外]：</w:t>
      </w:r>
      <w:r>
        <w:rPr>
          <w:rFonts w:hint="eastAsia" w:ascii="宋体" w:hAnsi="宋体" w:eastAsia="宋体" w:cs="宋体"/>
          <w:bCs/>
          <w:sz w:val="28"/>
          <w:szCs w:val="28"/>
          <w:highlight w:val="none"/>
          <w:u w:val="single"/>
        </w:rPr>
        <w:t xml:space="preserve">                       </w:t>
      </w:r>
      <w:bookmarkEnd w:id="432"/>
      <w:bookmarkEnd w:id="433"/>
      <w:r>
        <w:rPr>
          <w:rFonts w:hint="eastAsia" w:ascii="宋体" w:hAnsi="宋体" w:eastAsia="宋体" w:cs="宋体"/>
          <w:bCs/>
          <w:sz w:val="28"/>
          <w:szCs w:val="28"/>
          <w:highlight w:val="none"/>
          <w:u w:val="single"/>
        </w:rPr>
        <w:t xml:space="preserve">       </w:t>
      </w:r>
    </w:p>
    <w:p w14:paraId="4615303E">
      <w:pPr>
        <w:pStyle w:val="13"/>
        <w:spacing w:line="320" w:lineRule="exact"/>
        <w:ind w:firstLine="420"/>
        <w:rPr>
          <w:rFonts w:hint="eastAsia" w:ascii="宋体" w:hAnsi="宋体" w:eastAsia="宋体" w:cs="宋体"/>
          <w:sz w:val="28"/>
          <w:szCs w:val="28"/>
          <w:highlight w:val="none"/>
        </w:rPr>
      </w:pPr>
      <w:bookmarkStart w:id="434" w:name="_Toc9622_WPSOffice_Level2"/>
      <w:bookmarkStart w:id="435" w:name="_Toc32056_WPSOffice_Level2"/>
      <w:r>
        <w:rPr>
          <w:rFonts w:hint="eastAsia" w:ascii="宋体" w:hAnsi="宋体" w:eastAsia="宋体" w:cs="宋体"/>
          <w:sz w:val="28"/>
          <w:szCs w:val="28"/>
          <w:highlight w:val="none"/>
        </w:rPr>
        <w:t>法定代表人、负责人、自然人或相应的委托代理人签字[或盖章(CA签章)]</w:t>
      </w:r>
    </w:p>
    <w:p w14:paraId="409DB874">
      <w:pPr>
        <w:pStyle w:val="10"/>
        <w:ind w:left="980" w:hanging="560" w:hanging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（属自然人的应在签名处加盖大拇指指印或个人CA签章）：</w:t>
      </w:r>
      <w:r>
        <w:rPr>
          <w:rFonts w:hint="eastAsia" w:ascii="宋体" w:hAnsi="宋体" w:eastAsia="宋体" w:cs="宋体"/>
          <w:sz w:val="28"/>
          <w:szCs w:val="28"/>
          <w:highlight w:val="none"/>
          <w:u w:val="single"/>
        </w:rPr>
        <w:t xml:space="preserve">              </w:t>
      </w:r>
    </w:p>
    <w:p w14:paraId="5B87AFD3">
      <w:pPr>
        <w:pStyle w:val="10"/>
        <w:ind w:left="980" w:hanging="560" w:hangingChars="200"/>
        <w:rPr>
          <w:rFonts w:hint="eastAsia" w:ascii="宋体" w:hAnsi="宋体" w:eastAsia="宋体" w:cs="宋体"/>
          <w:bCs/>
          <w:sz w:val="28"/>
          <w:szCs w:val="28"/>
          <w:highlight w:val="none"/>
          <w:u w:val="single"/>
        </w:rPr>
      </w:pPr>
      <w:r>
        <w:rPr>
          <w:rFonts w:hint="eastAsia" w:ascii="宋体" w:hAnsi="宋体" w:eastAsia="宋体" w:cs="宋体"/>
          <w:bCs/>
          <w:sz w:val="28"/>
          <w:szCs w:val="28"/>
          <w:highlight w:val="none"/>
        </w:rPr>
        <w:t>联系电话：</w:t>
      </w:r>
      <w:bookmarkEnd w:id="434"/>
      <w:bookmarkEnd w:id="435"/>
      <w:r>
        <w:rPr>
          <w:rFonts w:hint="eastAsia" w:ascii="宋体" w:hAnsi="宋体" w:eastAsia="宋体" w:cs="宋体"/>
          <w:bCs/>
          <w:sz w:val="28"/>
          <w:szCs w:val="28"/>
          <w:highlight w:val="none"/>
          <w:u w:val="single"/>
        </w:rPr>
        <w:t xml:space="preserve">                                                </w:t>
      </w:r>
    </w:p>
    <w:p w14:paraId="0B1A1E53">
      <w:pPr>
        <w:pStyle w:val="10"/>
        <w:ind w:left="980" w:hanging="560" w:hangingChars="200"/>
        <w:rPr>
          <w:rFonts w:hint="eastAsia" w:ascii="宋体" w:hAnsi="宋体" w:eastAsia="宋体" w:cs="宋体"/>
          <w:bCs/>
          <w:sz w:val="28"/>
          <w:szCs w:val="28"/>
          <w:highlight w:val="none"/>
        </w:rPr>
      </w:pPr>
      <w:bookmarkStart w:id="436" w:name="_Toc26465_WPSOffice_Level2"/>
      <w:bookmarkStart w:id="437" w:name="_Toc15933_WPSOffice_Level2"/>
      <w:r>
        <w:rPr>
          <w:rFonts w:hint="eastAsia" w:ascii="宋体" w:hAnsi="宋体" w:eastAsia="宋体" w:cs="宋体"/>
          <w:bCs/>
          <w:sz w:val="28"/>
          <w:szCs w:val="28"/>
          <w:highlight w:val="none"/>
        </w:rPr>
        <w:t>日期：</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年</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月</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日</w:t>
      </w:r>
      <w:bookmarkEnd w:id="436"/>
      <w:bookmarkEnd w:id="437"/>
    </w:p>
    <w:p w14:paraId="4BF6CB41">
      <w:pPr>
        <w:pStyle w:val="10"/>
        <w:ind w:left="980" w:hanging="560" w:hangingChars="200"/>
        <w:rPr>
          <w:rFonts w:hint="eastAsia" w:ascii="宋体" w:hAnsi="宋体" w:eastAsia="宋体" w:cs="宋体"/>
          <w:bCs/>
          <w:sz w:val="28"/>
          <w:szCs w:val="28"/>
          <w:highlight w:val="none"/>
        </w:rPr>
      </w:pPr>
    </w:p>
    <w:p w14:paraId="17E27F63">
      <w:pPr>
        <w:rPr>
          <w:rFonts w:hint="eastAsia" w:ascii="宋体" w:hAnsi="宋体" w:eastAsia="宋体" w:cs="宋体"/>
          <w:b/>
          <w:bCs/>
          <w:sz w:val="32"/>
          <w:szCs w:val="32"/>
          <w:highlight w:val="none"/>
        </w:rPr>
      </w:pPr>
      <w:bookmarkStart w:id="438" w:name="_Toc497927070"/>
      <w:bookmarkStart w:id="439" w:name="_Toc19430"/>
      <w:bookmarkStart w:id="440" w:name="_Toc21615"/>
      <w:r>
        <w:rPr>
          <w:rFonts w:hint="eastAsia" w:ascii="宋体" w:hAnsi="宋体" w:eastAsia="宋体" w:cs="宋体"/>
          <w:b/>
          <w:bCs/>
          <w:sz w:val="32"/>
          <w:szCs w:val="32"/>
          <w:highlight w:val="none"/>
        </w:rPr>
        <w:br w:type="page"/>
      </w:r>
    </w:p>
    <w:p w14:paraId="484DEB6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二、响应文件组成</w:t>
      </w:r>
      <w:bookmarkEnd w:id="438"/>
      <w:bookmarkEnd w:id="439"/>
      <w:bookmarkEnd w:id="440"/>
    </w:p>
    <w:p w14:paraId="289206E1">
      <w:pPr>
        <w:pStyle w:val="9"/>
        <w:rPr>
          <w:rFonts w:hint="eastAsia" w:ascii="宋体" w:hAnsi="宋体" w:eastAsia="宋体" w:cs="宋体"/>
          <w:highlight w:val="none"/>
        </w:rPr>
      </w:pPr>
    </w:p>
    <w:p w14:paraId="2CD77A60">
      <w:pPr>
        <w:pStyle w:val="9"/>
        <w:rPr>
          <w:rFonts w:hint="eastAsia" w:ascii="宋体" w:hAnsi="宋体" w:eastAsia="宋体" w:cs="宋体"/>
          <w:highlight w:val="none"/>
        </w:rPr>
      </w:pPr>
    </w:p>
    <w:p w14:paraId="11EF1FB6">
      <w:pPr>
        <w:pStyle w:val="9"/>
        <w:rPr>
          <w:rFonts w:hint="eastAsia" w:ascii="宋体" w:hAnsi="宋体" w:eastAsia="宋体" w:cs="宋体"/>
          <w:b/>
          <w:bCs/>
          <w:sz w:val="28"/>
          <w:szCs w:val="28"/>
          <w:highlight w:val="none"/>
        </w:rPr>
      </w:pPr>
    </w:p>
    <w:p w14:paraId="254B95F2">
      <w:pPr>
        <w:numPr>
          <w:ilvl w:val="0"/>
          <w:numId w:val="0"/>
        </w:numPr>
        <w:spacing w:line="400" w:lineRule="exact"/>
        <w:ind w:firstLine="565" w:firstLineChars="202"/>
        <w:rPr>
          <w:rFonts w:hint="eastAsia" w:ascii="宋体" w:hAnsi="宋体" w:eastAsia="宋体" w:cs="宋体"/>
          <w:b/>
          <w:bCs/>
          <w:sz w:val="28"/>
          <w:szCs w:val="28"/>
          <w:highlight w:val="none"/>
        </w:rPr>
      </w:pPr>
      <w:r>
        <w:rPr>
          <w:rFonts w:hint="eastAsia" w:ascii="宋体" w:hAnsi="宋体" w:eastAsia="宋体" w:cs="宋体"/>
          <w:b/>
          <w:bCs/>
          <w:kern w:val="2"/>
          <w:sz w:val="28"/>
          <w:szCs w:val="28"/>
          <w:lang w:val="en-US" w:eastAsia="zh-CN" w:bidi="ar-SA"/>
        </w:rPr>
        <w:t>（一）</w:t>
      </w:r>
      <w:r>
        <w:rPr>
          <w:rFonts w:hint="eastAsia" w:ascii="宋体" w:hAnsi="宋体" w:eastAsia="宋体" w:cs="宋体"/>
          <w:b/>
          <w:bCs/>
          <w:sz w:val="28"/>
          <w:szCs w:val="28"/>
          <w:highlight w:val="none"/>
        </w:rPr>
        <w:t>资格性响应证明材料</w:t>
      </w:r>
    </w:p>
    <w:p w14:paraId="06CAEC45">
      <w:pPr>
        <w:pStyle w:val="9"/>
        <w:rPr>
          <w:rFonts w:hint="eastAsia" w:ascii="宋体" w:hAnsi="宋体" w:eastAsia="宋体" w:cs="宋体"/>
          <w:b/>
          <w:bCs/>
          <w:sz w:val="28"/>
          <w:szCs w:val="28"/>
          <w:highlight w:val="none"/>
        </w:rPr>
      </w:pPr>
    </w:p>
    <w:p w14:paraId="5351170E">
      <w:pPr>
        <w:pStyle w:val="9"/>
        <w:rPr>
          <w:rFonts w:hint="eastAsia" w:ascii="宋体" w:hAnsi="宋体" w:eastAsia="宋体" w:cs="宋体"/>
          <w:b/>
          <w:bCs/>
          <w:sz w:val="28"/>
          <w:szCs w:val="28"/>
          <w:highlight w:val="none"/>
        </w:rPr>
      </w:pPr>
    </w:p>
    <w:p w14:paraId="7227117F">
      <w:pPr>
        <w:numPr>
          <w:ilvl w:val="0"/>
          <w:numId w:val="0"/>
        </w:numPr>
        <w:spacing w:line="400" w:lineRule="exact"/>
        <w:ind w:firstLine="565" w:firstLineChars="202"/>
        <w:rPr>
          <w:rFonts w:hint="eastAsia" w:ascii="宋体" w:hAnsi="宋体" w:eastAsia="宋体" w:cs="宋体"/>
          <w:b/>
          <w:bCs/>
          <w:sz w:val="28"/>
          <w:szCs w:val="28"/>
          <w:highlight w:val="none"/>
        </w:rPr>
      </w:pPr>
      <w:r>
        <w:rPr>
          <w:rFonts w:hint="eastAsia" w:ascii="宋体" w:hAnsi="宋体" w:eastAsia="宋体" w:cs="宋体"/>
          <w:b/>
          <w:bCs/>
          <w:kern w:val="2"/>
          <w:sz w:val="28"/>
          <w:szCs w:val="28"/>
          <w:lang w:val="en-US" w:eastAsia="zh-CN" w:bidi="ar-SA"/>
        </w:rPr>
        <w:t>（二）</w:t>
      </w:r>
      <w:r>
        <w:rPr>
          <w:rFonts w:hint="eastAsia" w:ascii="宋体" w:hAnsi="宋体" w:eastAsia="宋体" w:cs="宋体"/>
          <w:b/>
          <w:bCs/>
          <w:sz w:val="28"/>
          <w:szCs w:val="28"/>
          <w:highlight w:val="none"/>
        </w:rPr>
        <w:t>符合性响应证明材料</w:t>
      </w:r>
    </w:p>
    <w:p w14:paraId="65A24D1B">
      <w:pPr>
        <w:pStyle w:val="9"/>
        <w:rPr>
          <w:rFonts w:hint="eastAsia" w:ascii="宋体" w:hAnsi="宋体" w:eastAsia="宋体" w:cs="宋体"/>
          <w:b/>
          <w:bCs/>
          <w:sz w:val="28"/>
          <w:szCs w:val="28"/>
          <w:highlight w:val="none"/>
        </w:rPr>
      </w:pPr>
    </w:p>
    <w:p w14:paraId="45933E64">
      <w:pPr>
        <w:pStyle w:val="9"/>
        <w:rPr>
          <w:rFonts w:hint="eastAsia" w:ascii="宋体" w:hAnsi="宋体" w:eastAsia="宋体" w:cs="宋体"/>
          <w:b/>
          <w:bCs/>
          <w:sz w:val="28"/>
          <w:szCs w:val="28"/>
          <w:highlight w:val="none"/>
        </w:rPr>
      </w:pPr>
    </w:p>
    <w:p w14:paraId="2D32649E">
      <w:pPr>
        <w:numPr>
          <w:ilvl w:val="0"/>
          <w:numId w:val="0"/>
        </w:numPr>
        <w:spacing w:line="400" w:lineRule="exact"/>
        <w:ind w:firstLine="565" w:firstLineChars="202"/>
        <w:rPr>
          <w:rFonts w:hint="eastAsia" w:ascii="宋体" w:hAnsi="宋体" w:eastAsia="宋体" w:cs="宋体"/>
          <w:b/>
          <w:bCs/>
          <w:sz w:val="28"/>
          <w:szCs w:val="28"/>
          <w:highlight w:val="none"/>
        </w:rPr>
      </w:pPr>
      <w:r>
        <w:rPr>
          <w:rFonts w:hint="eastAsia" w:ascii="宋体" w:hAnsi="宋体" w:eastAsia="宋体" w:cs="宋体"/>
          <w:b/>
          <w:bCs/>
          <w:kern w:val="2"/>
          <w:sz w:val="28"/>
          <w:szCs w:val="28"/>
          <w:lang w:val="en-US" w:eastAsia="zh-CN" w:bidi="ar-SA"/>
        </w:rPr>
        <w:t>（三）</w:t>
      </w:r>
      <w:r>
        <w:rPr>
          <w:rFonts w:hint="eastAsia" w:ascii="宋体" w:hAnsi="宋体" w:eastAsia="宋体" w:cs="宋体"/>
          <w:b/>
          <w:bCs/>
          <w:sz w:val="28"/>
          <w:szCs w:val="28"/>
          <w:highlight w:val="none"/>
        </w:rPr>
        <w:t>其他有效证明材料</w:t>
      </w:r>
    </w:p>
    <w:p w14:paraId="5B9437FC">
      <w:pPr>
        <w:pStyle w:val="25"/>
        <w:rPr>
          <w:rFonts w:hint="eastAsia" w:ascii="宋体" w:hAnsi="宋体" w:eastAsia="宋体" w:cs="宋体"/>
          <w:color w:val="auto"/>
          <w:highlight w:val="none"/>
        </w:rPr>
      </w:pPr>
    </w:p>
    <w:p w14:paraId="43A44900">
      <w:pPr>
        <w:tabs>
          <w:tab w:val="left" w:pos="5040"/>
        </w:tabs>
        <w:spacing w:line="400" w:lineRule="exact"/>
        <w:rPr>
          <w:rFonts w:hint="eastAsia" w:ascii="宋体" w:hAnsi="宋体" w:eastAsia="宋体" w:cs="宋体"/>
          <w:szCs w:val="21"/>
          <w:highlight w:val="none"/>
        </w:rPr>
      </w:pPr>
    </w:p>
    <w:p w14:paraId="7B43F6E7">
      <w:pPr>
        <w:pStyle w:val="9"/>
        <w:rPr>
          <w:rFonts w:hint="eastAsia" w:ascii="宋体" w:hAnsi="宋体" w:eastAsia="宋体" w:cs="宋体"/>
          <w:szCs w:val="21"/>
          <w:highlight w:val="none"/>
        </w:rPr>
      </w:pPr>
    </w:p>
    <w:p w14:paraId="4B3E4EC3">
      <w:pPr>
        <w:pStyle w:val="9"/>
        <w:rPr>
          <w:rFonts w:hint="eastAsia" w:ascii="宋体" w:hAnsi="宋体" w:eastAsia="宋体" w:cs="宋体"/>
          <w:szCs w:val="21"/>
          <w:highlight w:val="none"/>
        </w:rPr>
      </w:pPr>
    </w:p>
    <w:p w14:paraId="251CC3F4">
      <w:pPr>
        <w:pStyle w:val="9"/>
        <w:rPr>
          <w:rFonts w:hint="eastAsia" w:ascii="宋体" w:hAnsi="宋体" w:eastAsia="宋体" w:cs="宋体"/>
          <w:szCs w:val="21"/>
          <w:highlight w:val="none"/>
        </w:rPr>
      </w:pPr>
    </w:p>
    <w:p w14:paraId="4E2E4238">
      <w:pPr>
        <w:pStyle w:val="9"/>
        <w:rPr>
          <w:rFonts w:hint="eastAsia" w:ascii="宋体" w:hAnsi="宋体" w:eastAsia="宋体" w:cs="宋体"/>
          <w:szCs w:val="21"/>
          <w:highlight w:val="none"/>
        </w:rPr>
      </w:pPr>
    </w:p>
    <w:p w14:paraId="6060128E">
      <w:pPr>
        <w:rPr>
          <w:rFonts w:hint="eastAsia" w:ascii="宋体" w:hAnsi="宋体" w:eastAsia="宋体" w:cs="宋体"/>
          <w:szCs w:val="21"/>
          <w:highlight w:val="none"/>
        </w:rPr>
      </w:pPr>
    </w:p>
    <w:p w14:paraId="3E5DFFE5">
      <w:pPr>
        <w:pStyle w:val="25"/>
        <w:rPr>
          <w:rFonts w:hint="eastAsia" w:ascii="宋体" w:hAnsi="宋体" w:eastAsia="宋体" w:cs="宋体"/>
          <w:color w:val="auto"/>
          <w:szCs w:val="21"/>
          <w:highlight w:val="none"/>
        </w:rPr>
      </w:pPr>
    </w:p>
    <w:p w14:paraId="016CAFFF">
      <w:pPr>
        <w:pStyle w:val="25"/>
        <w:rPr>
          <w:rFonts w:hint="eastAsia" w:ascii="宋体" w:hAnsi="宋体" w:eastAsia="宋体" w:cs="宋体"/>
          <w:color w:val="auto"/>
          <w:szCs w:val="21"/>
          <w:highlight w:val="none"/>
        </w:rPr>
      </w:pPr>
    </w:p>
    <w:p w14:paraId="574CB766">
      <w:pPr>
        <w:pStyle w:val="25"/>
        <w:rPr>
          <w:rFonts w:hint="eastAsia" w:ascii="宋体" w:hAnsi="宋体" w:eastAsia="宋体" w:cs="宋体"/>
          <w:color w:val="auto"/>
          <w:szCs w:val="21"/>
          <w:highlight w:val="none"/>
        </w:rPr>
      </w:pPr>
    </w:p>
    <w:p w14:paraId="21E7644B">
      <w:pPr>
        <w:pStyle w:val="25"/>
        <w:rPr>
          <w:rFonts w:hint="eastAsia" w:ascii="宋体" w:hAnsi="宋体" w:eastAsia="宋体" w:cs="宋体"/>
          <w:color w:val="auto"/>
          <w:szCs w:val="21"/>
          <w:highlight w:val="none"/>
        </w:rPr>
      </w:pPr>
    </w:p>
    <w:p w14:paraId="72687D9E">
      <w:pPr>
        <w:pStyle w:val="25"/>
        <w:rPr>
          <w:rFonts w:hint="eastAsia" w:ascii="宋体" w:hAnsi="宋体" w:eastAsia="宋体" w:cs="宋体"/>
          <w:color w:val="auto"/>
          <w:szCs w:val="21"/>
          <w:highlight w:val="none"/>
        </w:rPr>
      </w:pPr>
    </w:p>
    <w:p w14:paraId="6DE5E463">
      <w:pPr>
        <w:pStyle w:val="25"/>
        <w:rPr>
          <w:rFonts w:hint="eastAsia" w:ascii="宋体" w:hAnsi="宋体" w:eastAsia="宋体" w:cs="宋体"/>
          <w:color w:val="auto"/>
          <w:szCs w:val="21"/>
          <w:highlight w:val="none"/>
        </w:rPr>
      </w:pPr>
    </w:p>
    <w:p w14:paraId="0ACE1A62">
      <w:pPr>
        <w:pStyle w:val="25"/>
        <w:rPr>
          <w:rFonts w:hint="eastAsia" w:ascii="宋体" w:hAnsi="宋体" w:eastAsia="宋体" w:cs="宋体"/>
          <w:color w:val="auto"/>
          <w:szCs w:val="21"/>
          <w:highlight w:val="none"/>
        </w:rPr>
      </w:pPr>
    </w:p>
    <w:p w14:paraId="2F8606EB">
      <w:pPr>
        <w:pStyle w:val="25"/>
        <w:rPr>
          <w:rFonts w:hint="eastAsia" w:ascii="宋体" w:hAnsi="宋体" w:eastAsia="宋体" w:cs="宋体"/>
          <w:color w:val="auto"/>
          <w:szCs w:val="21"/>
          <w:highlight w:val="none"/>
        </w:rPr>
      </w:pPr>
    </w:p>
    <w:p w14:paraId="5184C4C9">
      <w:pPr>
        <w:pStyle w:val="25"/>
        <w:rPr>
          <w:rFonts w:hint="eastAsia" w:ascii="宋体" w:hAnsi="宋体" w:eastAsia="宋体" w:cs="宋体"/>
          <w:color w:val="auto"/>
          <w:szCs w:val="21"/>
          <w:highlight w:val="none"/>
        </w:rPr>
      </w:pPr>
    </w:p>
    <w:p w14:paraId="10C2371E">
      <w:pPr>
        <w:pStyle w:val="25"/>
        <w:rPr>
          <w:rFonts w:hint="eastAsia" w:ascii="宋体" w:hAnsi="宋体" w:eastAsia="宋体" w:cs="宋体"/>
          <w:color w:val="auto"/>
          <w:szCs w:val="21"/>
          <w:highlight w:val="none"/>
        </w:rPr>
      </w:pPr>
    </w:p>
    <w:p w14:paraId="2D1AD41A">
      <w:pPr>
        <w:pStyle w:val="25"/>
        <w:rPr>
          <w:rFonts w:hint="eastAsia" w:ascii="宋体" w:hAnsi="宋体" w:eastAsia="宋体" w:cs="宋体"/>
          <w:color w:val="auto"/>
          <w:szCs w:val="21"/>
          <w:highlight w:val="none"/>
        </w:rPr>
      </w:pPr>
    </w:p>
    <w:p w14:paraId="04DDC85C">
      <w:pPr>
        <w:pStyle w:val="25"/>
        <w:rPr>
          <w:rFonts w:hint="eastAsia" w:ascii="宋体" w:hAnsi="宋体" w:eastAsia="宋体" w:cs="宋体"/>
          <w:color w:val="auto"/>
          <w:szCs w:val="21"/>
          <w:highlight w:val="none"/>
        </w:rPr>
      </w:pPr>
    </w:p>
    <w:p w14:paraId="10D01082">
      <w:pPr>
        <w:pStyle w:val="25"/>
        <w:rPr>
          <w:rFonts w:hint="eastAsia" w:ascii="宋体" w:hAnsi="宋体" w:eastAsia="宋体" w:cs="宋体"/>
          <w:color w:val="auto"/>
          <w:szCs w:val="21"/>
          <w:highlight w:val="none"/>
        </w:rPr>
      </w:pPr>
    </w:p>
    <w:p w14:paraId="6E6D9F2F">
      <w:pPr>
        <w:pStyle w:val="25"/>
        <w:rPr>
          <w:rFonts w:hint="eastAsia" w:ascii="宋体" w:hAnsi="宋体" w:eastAsia="宋体" w:cs="宋体"/>
          <w:color w:val="auto"/>
          <w:szCs w:val="21"/>
          <w:highlight w:val="none"/>
        </w:rPr>
      </w:pPr>
    </w:p>
    <w:p w14:paraId="4511FB19">
      <w:pPr>
        <w:pStyle w:val="25"/>
        <w:rPr>
          <w:rFonts w:hint="eastAsia" w:ascii="宋体" w:hAnsi="宋体" w:eastAsia="宋体" w:cs="宋体"/>
          <w:color w:val="auto"/>
          <w:szCs w:val="21"/>
          <w:highlight w:val="none"/>
        </w:rPr>
      </w:pPr>
    </w:p>
    <w:p w14:paraId="73DFCF91">
      <w:pPr>
        <w:pStyle w:val="25"/>
        <w:rPr>
          <w:rFonts w:hint="eastAsia" w:ascii="宋体" w:hAnsi="宋体" w:eastAsia="宋体" w:cs="宋体"/>
          <w:color w:val="auto"/>
          <w:szCs w:val="21"/>
          <w:highlight w:val="none"/>
        </w:rPr>
      </w:pPr>
    </w:p>
    <w:p w14:paraId="0C98F2C9">
      <w:pPr>
        <w:pStyle w:val="25"/>
        <w:rPr>
          <w:rFonts w:hint="eastAsia" w:ascii="宋体" w:hAnsi="宋体" w:eastAsia="宋体" w:cs="宋体"/>
          <w:color w:val="auto"/>
          <w:szCs w:val="21"/>
          <w:highlight w:val="none"/>
        </w:rPr>
      </w:pPr>
    </w:p>
    <w:p w14:paraId="786329CB">
      <w:pPr>
        <w:pStyle w:val="25"/>
        <w:rPr>
          <w:rFonts w:hint="eastAsia" w:ascii="宋体" w:hAnsi="宋体" w:eastAsia="宋体" w:cs="宋体"/>
          <w:color w:val="auto"/>
          <w:szCs w:val="21"/>
          <w:highlight w:val="none"/>
        </w:rPr>
      </w:pPr>
    </w:p>
    <w:p w14:paraId="620FF5AE">
      <w:pPr>
        <w:pStyle w:val="25"/>
        <w:rPr>
          <w:rFonts w:hint="eastAsia" w:ascii="宋体" w:hAnsi="宋体" w:eastAsia="宋体" w:cs="宋体"/>
          <w:color w:val="auto"/>
          <w:szCs w:val="21"/>
          <w:highlight w:val="none"/>
        </w:rPr>
      </w:pPr>
    </w:p>
    <w:p w14:paraId="020AAAE0">
      <w:pPr>
        <w:spacing w:line="440" w:lineRule="atLeast"/>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36CB61A9">
      <w:pPr>
        <w:numPr>
          <w:ilvl w:val="0"/>
          <w:numId w:val="0"/>
        </w:numPr>
        <w:spacing w:line="400" w:lineRule="exact"/>
        <w:jc w:val="center"/>
        <w:outlineLvl w:val="1"/>
        <w:rPr>
          <w:rFonts w:hint="eastAsia" w:ascii="宋体" w:hAnsi="宋体" w:eastAsia="宋体" w:cs="宋体"/>
          <w:b/>
          <w:bCs/>
          <w:sz w:val="28"/>
          <w:szCs w:val="28"/>
          <w:highlight w:val="none"/>
          <w:lang w:eastAsia="zh-CN"/>
        </w:rPr>
      </w:pPr>
      <w:bookmarkStart w:id="441" w:name="_Toc28858"/>
      <w:r>
        <w:rPr>
          <w:rFonts w:hint="eastAsia" w:ascii="宋体" w:hAnsi="宋体" w:eastAsia="宋体" w:cs="宋体"/>
          <w:b/>
          <w:bCs/>
          <w:kern w:val="2"/>
          <w:sz w:val="28"/>
          <w:szCs w:val="28"/>
          <w:lang w:val="en-US" w:eastAsia="zh-CN" w:bidi="ar-SA"/>
        </w:rPr>
        <w:t>（</w:t>
      </w:r>
      <w:r>
        <w:rPr>
          <w:rFonts w:hint="eastAsia" w:ascii="宋体" w:hAnsi="宋体" w:cs="宋体"/>
          <w:b/>
          <w:bCs/>
          <w:kern w:val="2"/>
          <w:sz w:val="28"/>
          <w:szCs w:val="28"/>
          <w:lang w:val="en-US" w:eastAsia="zh-CN" w:bidi="ar-SA"/>
        </w:rPr>
        <w:t>一</w:t>
      </w:r>
      <w:r>
        <w:rPr>
          <w:rFonts w:hint="eastAsia" w:ascii="宋体" w:hAnsi="宋体" w:eastAsia="宋体" w:cs="宋体"/>
          <w:b/>
          <w:bCs/>
          <w:kern w:val="2"/>
          <w:sz w:val="28"/>
          <w:szCs w:val="28"/>
          <w:lang w:val="en-US" w:eastAsia="zh-CN" w:bidi="ar-SA"/>
        </w:rPr>
        <w:t>）</w:t>
      </w:r>
      <w:r>
        <w:rPr>
          <w:rFonts w:hint="eastAsia" w:ascii="宋体" w:hAnsi="宋体" w:eastAsia="宋体" w:cs="宋体"/>
          <w:b/>
          <w:bCs/>
          <w:sz w:val="28"/>
          <w:szCs w:val="28"/>
          <w:highlight w:val="none"/>
        </w:rPr>
        <w:t>资格性响应证明材料</w:t>
      </w:r>
      <w:r>
        <w:rPr>
          <w:rFonts w:hint="eastAsia" w:ascii="宋体" w:hAnsi="宋体" w:cs="宋体"/>
          <w:b/>
          <w:bCs/>
          <w:sz w:val="28"/>
          <w:szCs w:val="28"/>
          <w:highlight w:val="none"/>
          <w:lang w:eastAsia="zh-CN"/>
        </w:rPr>
        <w:t>目录</w:t>
      </w:r>
      <w:bookmarkEnd w:id="441"/>
    </w:p>
    <w:p w14:paraId="1ED499A7">
      <w:pPr>
        <w:spacing w:line="440" w:lineRule="atLeast"/>
        <w:rPr>
          <w:rFonts w:hint="eastAsia" w:ascii="宋体" w:hAnsi="宋体" w:eastAsia="宋体" w:cs="宋体"/>
          <w:b/>
          <w:sz w:val="28"/>
          <w:szCs w:val="28"/>
          <w:highlight w:val="none"/>
        </w:rPr>
      </w:pPr>
      <w:r>
        <w:rPr>
          <w:rFonts w:hint="eastAsia" w:ascii="宋体" w:hAnsi="宋体" w:eastAsia="宋体" w:cs="宋体"/>
          <w:b/>
          <w:sz w:val="28"/>
          <w:szCs w:val="28"/>
          <w:highlight w:val="none"/>
        </w:rPr>
        <w:t>1.供应商相应的法定代表人、负责人、自然人身份证正反两面扫描件（必须提供）；</w:t>
      </w:r>
    </w:p>
    <w:p w14:paraId="32109EF6">
      <w:pPr>
        <w:spacing w:line="440" w:lineRule="atLeast"/>
        <w:rPr>
          <w:rFonts w:hint="eastAsia" w:ascii="宋体" w:hAnsi="宋体" w:eastAsia="宋体" w:cs="宋体"/>
          <w:b/>
          <w:sz w:val="28"/>
          <w:szCs w:val="28"/>
          <w:highlight w:val="none"/>
        </w:rPr>
      </w:pPr>
      <w:r>
        <w:rPr>
          <w:rFonts w:hint="eastAsia" w:ascii="宋体" w:hAnsi="宋体" w:eastAsia="宋体" w:cs="宋体"/>
          <w:b/>
          <w:sz w:val="28"/>
          <w:szCs w:val="28"/>
          <w:highlight w:val="none"/>
        </w:rPr>
        <w:t>2.供应商的授权委托书原件、委托代理人身份证正反面扫描件以及由县级以上（含县级）社会养老保险经办机构出具的供应商为委托代理人交纳的响应文件递交截止时间前三个月内任意一个月养老保险证明扫描件，除供应商为以下四种情形的：</w:t>
      </w:r>
    </w:p>
    <w:p w14:paraId="4F5F1293">
      <w:pPr>
        <w:spacing w:line="440" w:lineRule="atLeast"/>
        <w:rPr>
          <w:rFonts w:hint="eastAsia" w:ascii="宋体" w:hAnsi="宋体" w:eastAsia="宋体" w:cs="宋体"/>
          <w:b/>
          <w:sz w:val="28"/>
          <w:szCs w:val="28"/>
          <w:highlight w:val="none"/>
        </w:rPr>
      </w:pPr>
      <w:r>
        <w:rPr>
          <w:rFonts w:hint="eastAsia" w:ascii="宋体" w:hAnsi="宋体" w:eastAsia="宋体" w:cs="宋体"/>
          <w:b/>
          <w:sz w:val="28"/>
          <w:szCs w:val="28"/>
          <w:highlight w:val="none"/>
        </w:rPr>
        <w:t>（1） 如供应商为截标时间前60日以内成立的公司，可以提供供应商与委托代理人签订的劳动合同扫描件代替养老保险证明扫描件；</w:t>
      </w:r>
    </w:p>
    <w:p w14:paraId="7EF6033F">
      <w:pPr>
        <w:spacing w:line="440" w:lineRule="atLeast"/>
        <w:rPr>
          <w:rFonts w:hint="eastAsia" w:ascii="宋体" w:hAnsi="宋体" w:eastAsia="宋体" w:cs="宋体"/>
          <w:b/>
          <w:sz w:val="28"/>
          <w:szCs w:val="28"/>
          <w:highlight w:val="none"/>
        </w:rPr>
      </w:pPr>
      <w:r>
        <w:rPr>
          <w:rFonts w:hint="eastAsia" w:ascii="宋体" w:hAnsi="宋体" w:eastAsia="宋体" w:cs="宋体"/>
          <w:b/>
          <w:sz w:val="28"/>
          <w:szCs w:val="28"/>
          <w:highlight w:val="none"/>
        </w:rPr>
        <w:t>（2）如供应商为事业单位，可以提供事业单位机构编制管理证扫描件或事业单位机构为其发放工资的工资条扫描件代替养老保险证明扫描件；</w:t>
      </w:r>
    </w:p>
    <w:p w14:paraId="32BD175E">
      <w:pPr>
        <w:spacing w:line="440" w:lineRule="atLeast"/>
        <w:rPr>
          <w:rFonts w:hint="eastAsia" w:ascii="宋体" w:hAnsi="宋体" w:eastAsia="宋体" w:cs="宋体"/>
          <w:b/>
          <w:sz w:val="28"/>
          <w:szCs w:val="28"/>
          <w:highlight w:val="none"/>
        </w:rPr>
      </w:pPr>
      <w:r>
        <w:rPr>
          <w:rFonts w:hint="eastAsia" w:ascii="宋体" w:hAnsi="宋体" w:eastAsia="宋体" w:cs="宋体"/>
          <w:b/>
          <w:sz w:val="28"/>
          <w:szCs w:val="28"/>
          <w:highlight w:val="none"/>
        </w:rPr>
        <w:t>（3）如委托代理人为免缴纳养老保险人员，提供免缴纳养老保险的证明材料扫描件及供应商与委托代理人签订的劳动合同扫描件代替养老保险证明扫描件。</w:t>
      </w:r>
    </w:p>
    <w:p w14:paraId="38F2F3FB">
      <w:pPr>
        <w:spacing w:line="440" w:lineRule="atLeast"/>
        <w:rPr>
          <w:rFonts w:hint="eastAsia" w:ascii="宋体" w:hAnsi="宋体" w:eastAsia="宋体" w:cs="宋体"/>
          <w:b/>
          <w:sz w:val="28"/>
          <w:szCs w:val="28"/>
          <w:highlight w:val="none"/>
        </w:rPr>
      </w:pPr>
      <w:r>
        <w:rPr>
          <w:rFonts w:hint="eastAsia" w:ascii="宋体" w:hAnsi="宋体" w:eastAsia="宋体" w:cs="宋体"/>
          <w:b/>
          <w:sz w:val="28"/>
          <w:szCs w:val="28"/>
          <w:highlight w:val="none"/>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33D9FD5B">
      <w:pPr>
        <w:spacing w:line="440" w:lineRule="atLeast"/>
        <w:rPr>
          <w:rFonts w:hint="eastAsia" w:ascii="宋体" w:hAnsi="宋体" w:eastAsia="宋体" w:cs="宋体"/>
          <w:b/>
          <w:sz w:val="28"/>
          <w:szCs w:val="28"/>
          <w:highlight w:val="none"/>
        </w:rPr>
      </w:pPr>
      <w:r>
        <w:rPr>
          <w:rFonts w:hint="eastAsia" w:ascii="宋体" w:hAnsi="宋体" w:eastAsia="宋体" w:cs="宋体"/>
          <w:b/>
          <w:sz w:val="28"/>
          <w:szCs w:val="28"/>
          <w:highlight w:val="none"/>
        </w:rPr>
        <w:t>【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如为联合体的，授权委托书原件须由牵头人出具）</w:t>
      </w:r>
    </w:p>
    <w:p w14:paraId="0AB82FA1">
      <w:pPr>
        <w:pStyle w:val="13"/>
        <w:rPr>
          <w:rFonts w:hint="eastAsia" w:ascii="宋体" w:hAnsi="宋体" w:eastAsia="宋体" w:cs="宋体"/>
          <w:b/>
          <w:sz w:val="32"/>
          <w:highlight w:val="none"/>
        </w:rPr>
      </w:pPr>
      <w:r>
        <w:rPr>
          <w:rFonts w:hint="eastAsia" w:ascii="宋体" w:hAnsi="宋体" w:eastAsia="宋体" w:cs="宋体"/>
          <w:b/>
          <w:sz w:val="32"/>
          <w:highlight w:val="none"/>
        </w:rPr>
        <w:t xml:space="preserve">附件：            </w:t>
      </w:r>
    </w:p>
    <w:p w14:paraId="62C66F49">
      <w:pPr>
        <w:pStyle w:val="13"/>
        <w:ind w:firstLine="627" w:firstLineChars="196"/>
        <w:jc w:val="center"/>
        <w:rPr>
          <w:rFonts w:hint="eastAsia" w:ascii="宋体" w:hAnsi="宋体" w:eastAsia="宋体" w:cs="宋体"/>
          <w:b/>
          <w:sz w:val="32"/>
          <w:highlight w:val="none"/>
        </w:rPr>
      </w:pPr>
      <w:bookmarkStart w:id="442" w:name="_Toc964_WPSOffice_Level1"/>
      <w:bookmarkStart w:id="443" w:name="_Toc5420_WPSOffice_Level1"/>
      <w:r>
        <w:rPr>
          <w:rFonts w:hint="eastAsia" w:ascii="宋体" w:hAnsi="宋体" w:eastAsia="宋体" w:cs="宋体"/>
          <w:b/>
          <w:sz w:val="32"/>
          <w:highlight w:val="none"/>
        </w:rPr>
        <w:t>授权委托书（格式一）</w:t>
      </w:r>
      <w:bookmarkEnd w:id="442"/>
      <w:bookmarkEnd w:id="443"/>
    </w:p>
    <w:p w14:paraId="7DADAC5C">
      <w:pPr>
        <w:pStyle w:val="13"/>
        <w:rPr>
          <w:rFonts w:hint="eastAsia" w:ascii="宋体" w:hAnsi="宋体" w:eastAsia="宋体" w:cs="宋体"/>
          <w:highlight w:val="none"/>
        </w:rPr>
      </w:pPr>
    </w:p>
    <w:p w14:paraId="0F5CDDE9">
      <w:pPr>
        <w:spacing w:line="400" w:lineRule="exact"/>
        <w:rPr>
          <w:rFonts w:hint="eastAsia" w:ascii="宋体" w:hAnsi="宋体" w:eastAsia="宋体" w:cs="宋体"/>
          <w:highlight w:val="none"/>
        </w:rPr>
      </w:pPr>
      <w:r>
        <w:rPr>
          <w:rFonts w:hint="eastAsia" w:ascii="宋体" w:hAnsi="宋体" w:eastAsia="宋体" w:cs="宋体"/>
          <w:szCs w:val="21"/>
          <w:highlight w:val="none"/>
        </w:rPr>
        <w:t>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CN"/>
        </w:rPr>
        <w:t>广西禾昇项目管理有限公司</w:t>
      </w:r>
      <w:r>
        <w:rPr>
          <w:rFonts w:hint="eastAsia" w:ascii="宋体" w:hAnsi="宋体" w:eastAsia="宋体" w:cs="宋体"/>
          <w:szCs w:val="21"/>
          <w:highlight w:val="none"/>
          <w:u w:val="single"/>
        </w:rPr>
        <w:t xml:space="preserve"> </w:t>
      </w:r>
    </w:p>
    <w:p w14:paraId="64D7F609">
      <w:pPr>
        <w:spacing w:line="400" w:lineRule="exact"/>
        <w:rPr>
          <w:rFonts w:hint="eastAsia" w:ascii="宋体" w:hAnsi="宋体" w:eastAsia="宋体" w:cs="宋体"/>
          <w:szCs w:val="21"/>
          <w:highlight w:val="none"/>
        </w:rPr>
      </w:pPr>
    </w:p>
    <w:p w14:paraId="43FE495D">
      <w:pPr>
        <w:pStyle w:val="13"/>
        <w:spacing w:line="400" w:lineRule="exact"/>
        <w:ind w:firstLine="420" w:firstLineChars="200"/>
        <w:rPr>
          <w:rFonts w:hint="eastAsia" w:ascii="宋体" w:hAnsi="宋体" w:eastAsia="宋体" w:cs="宋体"/>
          <w:highlight w:val="none"/>
        </w:rPr>
      </w:pPr>
      <w:r>
        <w:rPr>
          <w:rFonts w:hint="eastAsia" w:ascii="宋体" w:hAnsi="宋体" w:eastAsia="宋体" w:cs="宋体"/>
          <w:kern w:val="0"/>
          <w:highlight w:val="none"/>
        </w:rPr>
        <w:t>我</w:t>
      </w:r>
      <w:r>
        <w:rPr>
          <w:rFonts w:hint="eastAsia" w:ascii="宋体" w:hAnsi="宋体" w:eastAsia="宋体" w:cs="宋体"/>
          <w:kern w:val="0"/>
          <w:highlight w:val="none"/>
          <w:u w:val="single"/>
        </w:rPr>
        <w:t xml:space="preserve">              </w:t>
      </w:r>
      <w:r>
        <w:rPr>
          <w:rFonts w:hint="eastAsia" w:ascii="宋体" w:hAnsi="宋体" w:eastAsia="宋体" w:cs="宋体"/>
          <w:kern w:val="0"/>
          <w:highlight w:val="none"/>
        </w:rPr>
        <w:t>（姓名）系</w:t>
      </w:r>
      <w:r>
        <w:rPr>
          <w:rFonts w:hint="eastAsia" w:ascii="宋体" w:hAnsi="宋体" w:eastAsia="宋体" w:cs="宋体"/>
          <w:kern w:val="0"/>
          <w:highlight w:val="none"/>
          <w:u w:val="single"/>
        </w:rPr>
        <w:t xml:space="preserve">                              </w:t>
      </w:r>
      <w:r>
        <w:rPr>
          <w:rFonts w:hint="eastAsia" w:ascii="宋体" w:hAnsi="宋体" w:eastAsia="宋体" w:cs="宋体"/>
          <w:kern w:val="0"/>
          <w:highlight w:val="none"/>
        </w:rPr>
        <w:t>（供应商名称）的法定代表人（负责人），现授权委托本单位在职职工</w:t>
      </w:r>
      <w:r>
        <w:rPr>
          <w:rFonts w:hint="eastAsia" w:ascii="宋体" w:hAnsi="宋体" w:eastAsia="宋体" w:cs="宋体"/>
          <w:kern w:val="0"/>
          <w:highlight w:val="none"/>
          <w:u w:val="single"/>
        </w:rPr>
        <w:t xml:space="preserve">            </w:t>
      </w:r>
      <w:r>
        <w:rPr>
          <w:rFonts w:hint="eastAsia" w:ascii="宋体" w:hAnsi="宋体" w:eastAsia="宋体" w:cs="宋体"/>
          <w:kern w:val="0"/>
          <w:highlight w:val="none"/>
        </w:rPr>
        <w:t>（姓 名）以我公司名义参加</w:t>
      </w:r>
      <w:r>
        <w:rPr>
          <w:rFonts w:hint="eastAsia" w:ascii="宋体" w:hAnsi="宋体" w:eastAsia="宋体" w:cs="宋体"/>
          <w:kern w:val="0"/>
          <w:highlight w:val="none"/>
          <w:u w:val="single"/>
        </w:rPr>
        <w:t xml:space="preserve">      </w:t>
      </w:r>
      <w:r>
        <w:rPr>
          <w:rFonts w:hint="eastAsia" w:ascii="宋体" w:hAnsi="宋体" w:eastAsia="宋体" w:cs="宋体"/>
          <w:highlight w:val="none"/>
          <w:u w:val="single"/>
        </w:rPr>
        <w:t xml:space="preserve">（项目名称及项目编号）        </w:t>
      </w:r>
      <w:r>
        <w:rPr>
          <w:rFonts w:hint="eastAsia" w:ascii="宋体" w:hAnsi="宋体" w:eastAsia="宋体" w:cs="宋体"/>
          <w:highlight w:val="none"/>
        </w:rPr>
        <w:t>项目的磋商活动，并代表我方全权办理针对上述项目的磋商、签约等具体事务和签署相关文件。</w:t>
      </w:r>
    </w:p>
    <w:p w14:paraId="7EF291D6">
      <w:pPr>
        <w:pStyle w:val="13"/>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我方对被授权人的签字事项负全部责任。</w:t>
      </w:r>
    </w:p>
    <w:p w14:paraId="56EE788F">
      <w:pPr>
        <w:pStyle w:val="13"/>
        <w:spacing w:line="400" w:lineRule="exact"/>
        <w:ind w:firstLine="420" w:firstLineChars="200"/>
        <w:rPr>
          <w:rFonts w:hint="eastAsia" w:ascii="宋体" w:hAnsi="宋体" w:eastAsia="宋体" w:cs="宋体"/>
          <w:highlight w:val="none"/>
          <w:u w:val="single"/>
        </w:rPr>
      </w:pPr>
      <w:r>
        <w:rPr>
          <w:rFonts w:hint="eastAsia" w:ascii="宋体" w:hAnsi="宋体" w:eastAsia="宋体" w:cs="宋体"/>
          <w:highlight w:val="none"/>
        </w:rPr>
        <w:t>授权委托代理期限：从</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月 </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日起至</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月 </w:t>
      </w:r>
      <w:r>
        <w:rPr>
          <w:rFonts w:hint="eastAsia" w:ascii="宋体" w:hAnsi="宋体" w:eastAsia="宋体" w:cs="宋体"/>
          <w:highlight w:val="none"/>
          <w:u w:val="single"/>
        </w:rPr>
        <w:t xml:space="preserve">     </w:t>
      </w:r>
      <w:r>
        <w:rPr>
          <w:rFonts w:hint="eastAsia" w:ascii="宋体" w:hAnsi="宋体" w:eastAsia="宋体" w:cs="宋体"/>
          <w:highlight w:val="none"/>
        </w:rPr>
        <w:t>日止。</w:t>
      </w:r>
    </w:p>
    <w:p w14:paraId="1501E636">
      <w:pPr>
        <w:pStyle w:val="13"/>
        <w:spacing w:line="400" w:lineRule="exact"/>
        <w:rPr>
          <w:rFonts w:hint="eastAsia" w:ascii="宋体" w:hAnsi="宋体" w:eastAsia="宋体" w:cs="宋体"/>
          <w:highlight w:val="none"/>
          <w:u w:val="single"/>
        </w:rPr>
      </w:pPr>
      <w:r>
        <w:rPr>
          <w:rFonts w:hint="eastAsia" w:ascii="宋体" w:hAnsi="宋体" w:eastAsia="宋体" w:cs="宋体"/>
          <w:highlight w:val="none"/>
        </w:rPr>
        <w:t xml:space="preserve">                                                                                             </w:t>
      </w:r>
    </w:p>
    <w:p w14:paraId="3AC7514D">
      <w:pPr>
        <w:spacing w:line="400" w:lineRule="exact"/>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 xml:space="preserve">代理人无转委托权,特此委托。 </w:t>
      </w:r>
    </w:p>
    <w:p w14:paraId="7802AAE8">
      <w:pPr>
        <w:spacing w:line="400" w:lineRule="exact"/>
        <w:ind w:firstLine="420" w:firstLineChars="200"/>
        <w:rPr>
          <w:rFonts w:hint="eastAsia" w:ascii="宋体" w:hAnsi="宋体" w:eastAsia="宋体" w:cs="宋体"/>
          <w:kern w:val="0"/>
          <w:highlight w:val="none"/>
        </w:rPr>
      </w:pPr>
    </w:p>
    <w:p w14:paraId="6401FA49">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我已在下面签字，以资证明。</w:t>
      </w:r>
    </w:p>
    <w:p w14:paraId="1AC20E34">
      <w:pPr>
        <w:spacing w:line="400" w:lineRule="exact"/>
        <w:ind w:firstLine="420" w:firstLineChars="200"/>
        <w:rPr>
          <w:rFonts w:hint="eastAsia" w:ascii="宋体" w:hAnsi="宋体" w:eastAsia="宋体" w:cs="宋体"/>
          <w:szCs w:val="21"/>
          <w:highlight w:val="none"/>
        </w:rPr>
      </w:pPr>
    </w:p>
    <w:p w14:paraId="597020E4">
      <w:pPr>
        <w:spacing w:line="400" w:lineRule="exact"/>
        <w:ind w:firstLine="420" w:firstLineChars="200"/>
        <w:rPr>
          <w:rFonts w:hint="eastAsia" w:ascii="宋体" w:hAnsi="宋体" w:eastAsia="宋体" w:cs="宋体"/>
          <w:szCs w:val="21"/>
          <w:highlight w:val="none"/>
        </w:rPr>
      </w:pPr>
    </w:p>
    <w:p w14:paraId="22FF4A53">
      <w:pPr>
        <w:snapToGrid w:val="0"/>
        <w:spacing w:line="400" w:lineRule="exact"/>
        <w:ind w:firstLine="420"/>
        <w:rPr>
          <w:rFonts w:hint="eastAsia" w:ascii="宋体" w:hAnsi="宋体" w:eastAsia="宋体" w:cs="宋体"/>
          <w:szCs w:val="21"/>
          <w:highlight w:val="none"/>
          <w:u w:val="single"/>
        </w:rPr>
      </w:pPr>
      <w:r>
        <w:rPr>
          <w:rFonts w:hint="eastAsia" w:ascii="宋体" w:hAnsi="宋体" w:eastAsia="宋体" w:cs="宋体"/>
          <w:szCs w:val="21"/>
          <w:highlight w:val="none"/>
        </w:rPr>
        <w:t>磋商供应商[公章（CA签章）]：</w:t>
      </w:r>
      <w:r>
        <w:rPr>
          <w:rFonts w:hint="eastAsia" w:ascii="宋体" w:hAnsi="宋体" w:eastAsia="宋体" w:cs="宋体"/>
          <w:szCs w:val="21"/>
          <w:highlight w:val="none"/>
          <w:u w:val="single"/>
        </w:rPr>
        <w:t xml:space="preserve">                                   </w:t>
      </w:r>
    </w:p>
    <w:p w14:paraId="2B9838B3">
      <w:pPr>
        <w:snapToGrid w:val="0"/>
        <w:spacing w:line="400" w:lineRule="exact"/>
        <w:ind w:firstLine="420"/>
        <w:rPr>
          <w:rFonts w:hint="eastAsia" w:ascii="宋体" w:hAnsi="宋体" w:eastAsia="宋体" w:cs="宋体"/>
          <w:szCs w:val="21"/>
          <w:highlight w:val="none"/>
        </w:rPr>
      </w:pPr>
    </w:p>
    <w:p w14:paraId="51FE727E">
      <w:pPr>
        <w:snapToGrid w:val="0"/>
        <w:spacing w:line="40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法定代表人（负责人）签字（或个人CA签章）：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6FEA0C7B">
      <w:pPr>
        <w:snapToGrid w:val="0"/>
        <w:spacing w:line="400" w:lineRule="exact"/>
        <w:ind w:firstLine="420"/>
        <w:rPr>
          <w:rFonts w:hint="eastAsia" w:ascii="宋体" w:hAnsi="宋体" w:eastAsia="宋体" w:cs="宋体"/>
          <w:szCs w:val="21"/>
          <w:highlight w:val="none"/>
        </w:rPr>
      </w:pPr>
    </w:p>
    <w:p w14:paraId="304F4E8E">
      <w:pPr>
        <w:pStyle w:val="9"/>
        <w:rPr>
          <w:rFonts w:hint="eastAsia" w:ascii="宋体" w:hAnsi="宋体" w:eastAsia="宋体" w:cs="宋体"/>
          <w:highlight w:val="none"/>
        </w:rPr>
      </w:pPr>
    </w:p>
    <w:p w14:paraId="5AED29CF">
      <w:pPr>
        <w:pStyle w:val="13"/>
        <w:spacing w:line="340" w:lineRule="exact"/>
        <w:ind w:firstLine="480"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注：</w:t>
      </w:r>
      <w:r>
        <w:rPr>
          <w:rFonts w:hint="eastAsia" w:ascii="宋体" w:hAnsi="宋体" w:eastAsia="宋体" w:cs="宋体"/>
          <w:b/>
          <w:color w:val="000000"/>
          <w:sz w:val="24"/>
          <w:highlight w:val="none"/>
          <w:lang w:eastAsia="zh-CN"/>
        </w:rPr>
        <w:t>供应商</w:t>
      </w:r>
      <w:r>
        <w:rPr>
          <w:rFonts w:hint="eastAsia" w:ascii="宋体" w:hAnsi="宋体" w:eastAsia="宋体" w:cs="宋体"/>
          <w:b/>
          <w:color w:val="000000"/>
          <w:sz w:val="24"/>
          <w:highlight w:val="none"/>
        </w:rPr>
        <w:t>的授权委托书原件、委托代理人身份证正反面扫描件以及由县级以上（含县级）社会养老保险经办机构出具的</w:t>
      </w:r>
      <w:r>
        <w:rPr>
          <w:rFonts w:hint="eastAsia" w:ascii="宋体" w:hAnsi="宋体" w:eastAsia="宋体" w:cs="宋体"/>
          <w:b/>
          <w:color w:val="000000"/>
          <w:sz w:val="24"/>
          <w:highlight w:val="none"/>
          <w:lang w:eastAsia="zh-CN"/>
        </w:rPr>
        <w:t>供应商</w:t>
      </w:r>
      <w:r>
        <w:rPr>
          <w:rFonts w:hint="eastAsia" w:ascii="宋体" w:hAnsi="宋体" w:eastAsia="宋体" w:cs="宋体"/>
          <w:b/>
          <w:color w:val="000000"/>
          <w:sz w:val="24"/>
          <w:highlight w:val="none"/>
        </w:rPr>
        <w:t>为委托代理人交纳的开标截止时间前三个月内任意一个月养老保险证明扫描件（如</w:t>
      </w:r>
      <w:r>
        <w:rPr>
          <w:rFonts w:hint="eastAsia" w:ascii="宋体" w:hAnsi="宋体" w:eastAsia="宋体" w:cs="宋体"/>
          <w:b/>
          <w:color w:val="000000"/>
          <w:sz w:val="24"/>
          <w:highlight w:val="none"/>
          <w:lang w:eastAsia="zh-CN"/>
        </w:rPr>
        <w:t>供应商</w:t>
      </w:r>
      <w:r>
        <w:rPr>
          <w:rFonts w:hint="eastAsia" w:ascii="宋体" w:hAnsi="宋体" w:eastAsia="宋体" w:cs="宋体"/>
          <w:b/>
          <w:color w:val="000000"/>
          <w:sz w:val="24"/>
          <w:highlight w:val="none"/>
        </w:rPr>
        <w:t>为截标时间前60日以内成立的公司，可以提供</w:t>
      </w:r>
      <w:r>
        <w:rPr>
          <w:rFonts w:hint="eastAsia" w:ascii="宋体" w:hAnsi="宋体" w:eastAsia="宋体" w:cs="宋体"/>
          <w:b/>
          <w:color w:val="000000"/>
          <w:sz w:val="24"/>
          <w:highlight w:val="none"/>
          <w:lang w:eastAsia="zh-CN"/>
        </w:rPr>
        <w:t>供应商</w:t>
      </w:r>
      <w:r>
        <w:rPr>
          <w:rFonts w:hint="eastAsia" w:ascii="宋体" w:hAnsi="宋体" w:eastAsia="宋体" w:cs="宋体"/>
          <w:b/>
          <w:color w:val="000000"/>
          <w:sz w:val="24"/>
          <w:highlight w:val="none"/>
        </w:rPr>
        <w:t>与委托代理人签订的劳动合同扫描件代替养老保险证明扫描件；如</w:t>
      </w:r>
      <w:r>
        <w:rPr>
          <w:rFonts w:hint="eastAsia" w:ascii="宋体" w:hAnsi="宋体" w:eastAsia="宋体" w:cs="宋体"/>
          <w:b/>
          <w:color w:val="000000"/>
          <w:sz w:val="24"/>
          <w:highlight w:val="none"/>
          <w:lang w:eastAsia="zh-CN"/>
        </w:rPr>
        <w:t>供应商</w:t>
      </w:r>
      <w:r>
        <w:rPr>
          <w:rFonts w:hint="eastAsia" w:ascii="宋体" w:hAnsi="宋体" w:eastAsia="宋体" w:cs="宋体"/>
          <w:b/>
          <w:color w:val="000000"/>
          <w:sz w:val="24"/>
          <w:highlight w:val="none"/>
        </w:rPr>
        <w:t>为事业单位，可以提供事业单位机构编制管理证扫描件或事业单位机构为其发放工资的工资条扫描件代替养老保险证明扫描件；如委托代理人为免缴纳养老保险人员，提供免缴纳养老保险的证明材料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14:paraId="2131C93A">
      <w:pPr>
        <w:pStyle w:val="13"/>
        <w:spacing w:line="340" w:lineRule="exact"/>
        <w:ind w:firstLine="420" w:firstLineChars="200"/>
        <w:rPr>
          <w:rFonts w:hint="eastAsia" w:ascii="宋体" w:hAnsi="宋体" w:eastAsia="宋体" w:cs="宋体"/>
          <w:highlight w:val="none"/>
        </w:rPr>
      </w:pPr>
    </w:p>
    <w:p w14:paraId="4ED3541F">
      <w:pPr>
        <w:rPr>
          <w:rFonts w:hint="eastAsia" w:ascii="宋体" w:hAnsi="宋体" w:eastAsia="宋体" w:cs="宋体"/>
          <w:highlight w:val="none"/>
        </w:rPr>
      </w:pPr>
    </w:p>
    <w:p w14:paraId="69BB06A5">
      <w:pPr>
        <w:pStyle w:val="9"/>
        <w:rPr>
          <w:rFonts w:hint="eastAsia" w:ascii="宋体" w:hAnsi="宋体" w:eastAsia="宋体" w:cs="宋体"/>
          <w:highlight w:val="none"/>
        </w:rPr>
      </w:pPr>
    </w:p>
    <w:p w14:paraId="313EFE1A">
      <w:pPr>
        <w:rPr>
          <w:rFonts w:hint="eastAsia" w:ascii="宋体" w:hAnsi="宋体" w:eastAsia="宋体" w:cs="宋体"/>
          <w:highlight w:val="none"/>
        </w:rPr>
      </w:pPr>
    </w:p>
    <w:p w14:paraId="4B32675F">
      <w:pPr>
        <w:pStyle w:val="9"/>
        <w:rPr>
          <w:rFonts w:hint="eastAsia" w:ascii="宋体" w:hAnsi="宋体" w:eastAsia="宋体" w:cs="宋体"/>
          <w:highlight w:val="none"/>
        </w:rPr>
      </w:pPr>
    </w:p>
    <w:p w14:paraId="0852DA55">
      <w:pPr>
        <w:pStyle w:val="9"/>
        <w:rPr>
          <w:rFonts w:hint="eastAsia" w:ascii="宋体" w:hAnsi="宋体" w:eastAsia="宋体" w:cs="宋体"/>
          <w:highlight w:val="none"/>
        </w:rPr>
      </w:pPr>
    </w:p>
    <w:p w14:paraId="6CF8D2F8">
      <w:pPr>
        <w:pStyle w:val="13"/>
        <w:jc w:val="center"/>
        <w:rPr>
          <w:rFonts w:hint="eastAsia" w:ascii="宋体" w:hAnsi="宋体" w:eastAsia="宋体" w:cs="宋体"/>
          <w:b/>
          <w:sz w:val="32"/>
          <w:highlight w:val="none"/>
        </w:rPr>
      </w:pPr>
      <w:bookmarkStart w:id="444" w:name="_Toc6975_WPSOffice_Level1"/>
      <w:bookmarkStart w:id="445" w:name="_Toc21370_WPSOffice_Level1"/>
      <w:r>
        <w:rPr>
          <w:rFonts w:hint="eastAsia" w:ascii="宋体" w:hAnsi="宋体" w:eastAsia="宋体" w:cs="宋体"/>
          <w:b/>
          <w:sz w:val="32"/>
          <w:highlight w:val="none"/>
        </w:rPr>
        <w:t>授权委托书（格式二）</w:t>
      </w:r>
      <w:bookmarkEnd w:id="444"/>
      <w:bookmarkEnd w:id="445"/>
    </w:p>
    <w:p w14:paraId="05A80B91">
      <w:pPr>
        <w:pStyle w:val="13"/>
        <w:rPr>
          <w:rFonts w:hint="eastAsia" w:ascii="宋体" w:hAnsi="宋体" w:eastAsia="宋体" w:cs="宋体"/>
          <w:b/>
          <w:sz w:val="32"/>
          <w:highlight w:val="none"/>
        </w:rPr>
      </w:pPr>
    </w:p>
    <w:p w14:paraId="2CB3D29A">
      <w:pPr>
        <w:pStyle w:val="13"/>
        <w:rPr>
          <w:rFonts w:hint="eastAsia" w:ascii="宋体" w:hAnsi="宋体" w:eastAsia="宋体" w:cs="宋体"/>
          <w:szCs w:val="21"/>
          <w:highlight w:val="none"/>
          <w:u w:val="single"/>
        </w:rPr>
      </w:pPr>
      <w:r>
        <w:rPr>
          <w:rFonts w:hint="eastAsia" w:ascii="宋体" w:hAnsi="宋体" w:eastAsia="宋体" w:cs="宋体"/>
          <w:b/>
          <w:szCs w:val="21"/>
          <w:highlight w:val="none"/>
        </w:rPr>
        <w:t>致</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CN"/>
        </w:rPr>
        <w:t>广西禾昇项目管理有限公司</w:t>
      </w:r>
      <w:r>
        <w:rPr>
          <w:rFonts w:hint="eastAsia" w:ascii="宋体" w:hAnsi="宋体" w:eastAsia="宋体" w:cs="宋体"/>
          <w:szCs w:val="21"/>
          <w:highlight w:val="none"/>
          <w:u w:val="single"/>
        </w:rPr>
        <w:t xml:space="preserve"> </w:t>
      </w:r>
    </w:p>
    <w:p w14:paraId="0F8CABBE">
      <w:pPr>
        <w:rPr>
          <w:rFonts w:hint="eastAsia" w:ascii="宋体" w:hAnsi="宋体" w:eastAsia="宋体" w:cs="宋体"/>
          <w:highlight w:val="none"/>
        </w:rPr>
      </w:pPr>
    </w:p>
    <w:p w14:paraId="116EA3F4">
      <w:pPr>
        <w:pStyle w:val="13"/>
        <w:spacing w:line="340" w:lineRule="exact"/>
        <w:ind w:firstLine="420" w:firstLineChars="200"/>
        <w:rPr>
          <w:rFonts w:hint="eastAsia" w:ascii="宋体" w:hAnsi="宋体" w:eastAsia="宋体" w:cs="宋体"/>
          <w:highlight w:val="none"/>
        </w:rPr>
      </w:pPr>
      <w:r>
        <w:rPr>
          <w:rFonts w:hint="eastAsia" w:ascii="宋体" w:hAnsi="宋体" w:eastAsia="宋体" w:cs="宋体"/>
          <w:kern w:val="0"/>
          <w:highlight w:val="none"/>
        </w:rPr>
        <w:t>我</w:t>
      </w:r>
      <w:r>
        <w:rPr>
          <w:rFonts w:hint="eastAsia" w:ascii="宋体" w:hAnsi="宋体" w:eastAsia="宋体" w:cs="宋体"/>
          <w:kern w:val="0"/>
          <w:highlight w:val="none"/>
          <w:u w:val="single"/>
        </w:rPr>
        <w:t xml:space="preserve">              </w:t>
      </w:r>
      <w:r>
        <w:rPr>
          <w:rFonts w:hint="eastAsia" w:ascii="宋体" w:hAnsi="宋体" w:eastAsia="宋体" w:cs="宋体"/>
          <w:kern w:val="0"/>
          <w:highlight w:val="none"/>
        </w:rPr>
        <w:t>（姓名）系自然人，现授权委托</w:t>
      </w:r>
      <w:r>
        <w:rPr>
          <w:rFonts w:hint="eastAsia" w:ascii="宋体" w:hAnsi="宋体" w:eastAsia="宋体" w:cs="宋体"/>
          <w:kern w:val="0"/>
          <w:highlight w:val="none"/>
          <w:u w:val="single"/>
        </w:rPr>
        <w:t xml:space="preserve">            </w:t>
      </w:r>
      <w:r>
        <w:rPr>
          <w:rFonts w:hint="eastAsia" w:ascii="宋体" w:hAnsi="宋体" w:eastAsia="宋体" w:cs="宋体"/>
          <w:kern w:val="0"/>
          <w:highlight w:val="none"/>
        </w:rPr>
        <w:t>（姓 名）以本人名义参加</w:t>
      </w:r>
      <w:r>
        <w:rPr>
          <w:rFonts w:hint="eastAsia" w:ascii="宋体" w:hAnsi="宋体" w:eastAsia="宋体" w:cs="宋体"/>
          <w:kern w:val="0"/>
          <w:highlight w:val="none"/>
          <w:u w:val="single"/>
        </w:rPr>
        <w:t xml:space="preserve">      </w:t>
      </w:r>
      <w:r>
        <w:rPr>
          <w:rFonts w:hint="eastAsia" w:ascii="宋体" w:hAnsi="宋体" w:eastAsia="宋体" w:cs="宋体"/>
          <w:highlight w:val="none"/>
          <w:u w:val="single"/>
        </w:rPr>
        <w:t xml:space="preserve">（项目名称及项目编号）        </w:t>
      </w:r>
      <w:r>
        <w:rPr>
          <w:rFonts w:hint="eastAsia" w:ascii="宋体" w:hAnsi="宋体" w:eastAsia="宋体" w:cs="宋体"/>
          <w:highlight w:val="none"/>
        </w:rPr>
        <w:t>项目的磋商活动，并代表本人全权办理针对上述项目的磋商、签约等具体事务和签署相关文件。</w:t>
      </w:r>
    </w:p>
    <w:p w14:paraId="1DDDFA93">
      <w:pPr>
        <w:pStyle w:val="13"/>
        <w:spacing w:line="340" w:lineRule="exact"/>
        <w:ind w:firstLine="420" w:firstLineChars="200"/>
        <w:rPr>
          <w:rFonts w:hint="eastAsia" w:ascii="宋体" w:hAnsi="宋体" w:eastAsia="宋体" w:cs="宋体"/>
          <w:highlight w:val="none"/>
        </w:rPr>
      </w:pPr>
      <w:r>
        <w:rPr>
          <w:rFonts w:hint="eastAsia" w:ascii="宋体" w:hAnsi="宋体" w:eastAsia="宋体" w:cs="宋体"/>
          <w:highlight w:val="none"/>
        </w:rPr>
        <w:t>本人对被授权人的签字事项负全部责任。</w:t>
      </w:r>
    </w:p>
    <w:p w14:paraId="50394B74">
      <w:pPr>
        <w:pStyle w:val="13"/>
        <w:spacing w:line="340" w:lineRule="exact"/>
        <w:ind w:firstLine="420" w:firstLineChars="200"/>
        <w:rPr>
          <w:rFonts w:hint="eastAsia" w:ascii="宋体" w:hAnsi="宋体" w:eastAsia="宋体" w:cs="宋体"/>
          <w:highlight w:val="none"/>
          <w:u w:val="single"/>
        </w:rPr>
      </w:pPr>
      <w:r>
        <w:rPr>
          <w:rFonts w:hint="eastAsia" w:ascii="宋体" w:hAnsi="宋体" w:eastAsia="宋体" w:cs="宋体"/>
          <w:highlight w:val="none"/>
        </w:rPr>
        <w:t>授权委托代理期限：从</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月 </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日起至</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月 </w:t>
      </w:r>
      <w:r>
        <w:rPr>
          <w:rFonts w:hint="eastAsia" w:ascii="宋体" w:hAnsi="宋体" w:eastAsia="宋体" w:cs="宋体"/>
          <w:highlight w:val="none"/>
          <w:u w:val="single"/>
        </w:rPr>
        <w:t xml:space="preserve">     </w:t>
      </w:r>
      <w:r>
        <w:rPr>
          <w:rFonts w:hint="eastAsia" w:ascii="宋体" w:hAnsi="宋体" w:eastAsia="宋体" w:cs="宋体"/>
          <w:highlight w:val="none"/>
        </w:rPr>
        <w:t>日止。</w:t>
      </w:r>
    </w:p>
    <w:p w14:paraId="61AFDA21">
      <w:pPr>
        <w:pStyle w:val="13"/>
        <w:spacing w:line="340" w:lineRule="exact"/>
        <w:rPr>
          <w:rFonts w:hint="eastAsia" w:ascii="宋体" w:hAnsi="宋体" w:eastAsia="宋体" w:cs="宋体"/>
          <w:highlight w:val="none"/>
          <w:u w:val="single"/>
        </w:rPr>
      </w:pPr>
      <w:r>
        <w:rPr>
          <w:rFonts w:hint="eastAsia" w:ascii="宋体" w:hAnsi="宋体" w:eastAsia="宋体" w:cs="宋体"/>
          <w:highlight w:val="none"/>
        </w:rPr>
        <w:t xml:space="preserve">                                                                                             </w:t>
      </w:r>
    </w:p>
    <w:p w14:paraId="0225D15E">
      <w:pPr>
        <w:spacing w:line="340" w:lineRule="exact"/>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 xml:space="preserve">代理人无转委托权,特此委托。 </w:t>
      </w:r>
    </w:p>
    <w:p w14:paraId="6F7DC954">
      <w:pPr>
        <w:spacing w:line="340" w:lineRule="exact"/>
        <w:ind w:firstLine="420" w:firstLineChars="200"/>
        <w:rPr>
          <w:rFonts w:hint="eastAsia" w:ascii="宋体" w:hAnsi="宋体" w:eastAsia="宋体" w:cs="宋体"/>
          <w:kern w:val="0"/>
          <w:highlight w:val="none"/>
        </w:rPr>
      </w:pPr>
    </w:p>
    <w:p w14:paraId="7F82B482">
      <w:pPr>
        <w:spacing w:line="3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我已在下面签字，以资证明。</w:t>
      </w:r>
    </w:p>
    <w:p w14:paraId="117CE9CC">
      <w:pPr>
        <w:spacing w:line="340" w:lineRule="exact"/>
        <w:ind w:firstLine="420" w:firstLineChars="200"/>
        <w:rPr>
          <w:rFonts w:hint="eastAsia" w:ascii="宋体" w:hAnsi="宋体" w:eastAsia="宋体" w:cs="宋体"/>
          <w:szCs w:val="21"/>
          <w:highlight w:val="none"/>
        </w:rPr>
      </w:pPr>
    </w:p>
    <w:p w14:paraId="0B3BFC68">
      <w:pPr>
        <w:snapToGrid w:val="0"/>
        <w:spacing w:line="34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自然人签字并在签名处加盖大拇指指印或个人CA签章：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2A103A17">
      <w:pPr>
        <w:pStyle w:val="13"/>
        <w:spacing w:line="400" w:lineRule="exact"/>
        <w:ind w:left="420" w:leftChars="200"/>
        <w:rPr>
          <w:rFonts w:hint="eastAsia" w:ascii="宋体" w:hAnsi="宋体" w:eastAsia="宋体" w:cs="宋体"/>
          <w:szCs w:val="21"/>
          <w:highlight w:val="none"/>
        </w:rPr>
      </w:pPr>
    </w:p>
    <w:p w14:paraId="2A6A3EE9">
      <w:pPr>
        <w:pStyle w:val="13"/>
        <w:spacing w:line="400" w:lineRule="exact"/>
        <w:rPr>
          <w:rFonts w:hint="eastAsia" w:ascii="宋体" w:hAnsi="宋体" w:eastAsia="宋体" w:cs="宋体"/>
          <w:b/>
          <w:szCs w:val="21"/>
          <w:highlight w:val="none"/>
        </w:rPr>
      </w:pPr>
      <w:r>
        <w:rPr>
          <w:rFonts w:hint="eastAsia" w:ascii="宋体" w:hAnsi="宋体" w:eastAsia="宋体" w:cs="宋体"/>
          <w:b/>
          <w:szCs w:val="21"/>
          <w:highlight w:val="none"/>
        </w:rPr>
        <w:t>附：委托代理人身份证正反面扫描件</w:t>
      </w:r>
    </w:p>
    <w:p w14:paraId="3D723E5F">
      <w:pPr>
        <w:rPr>
          <w:rFonts w:hint="eastAsia" w:ascii="宋体" w:hAnsi="宋体" w:eastAsia="宋体" w:cs="宋体"/>
          <w:highlight w:val="none"/>
        </w:rPr>
      </w:pPr>
    </w:p>
    <w:p w14:paraId="33F17407">
      <w:pPr>
        <w:rPr>
          <w:rFonts w:hint="eastAsia" w:ascii="宋体" w:hAnsi="宋体" w:eastAsia="宋体" w:cs="宋体"/>
          <w:b/>
          <w:sz w:val="28"/>
          <w:szCs w:val="28"/>
          <w:highlight w:val="none"/>
        </w:rPr>
      </w:pPr>
    </w:p>
    <w:p w14:paraId="6C596223">
      <w:pPr>
        <w:rPr>
          <w:rFonts w:hint="eastAsia" w:ascii="宋体" w:hAnsi="宋体" w:eastAsia="宋体" w:cs="宋体"/>
          <w:b/>
          <w:sz w:val="28"/>
          <w:szCs w:val="28"/>
          <w:highlight w:val="none"/>
        </w:rPr>
      </w:pPr>
    </w:p>
    <w:p w14:paraId="41ADAC12">
      <w:pPr>
        <w:rPr>
          <w:rFonts w:hint="eastAsia" w:ascii="宋体" w:hAnsi="宋体" w:eastAsia="宋体" w:cs="宋体"/>
          <w:b/>
          <w:sz w:val="28"/>
          <w:szCs w:val="28"/>
          <w:highlight w:val="none"/>
        </w:rPr>
      </w:pPr>
    </w:p>
    <w:p w14:paraId="1249CB04">
      <w:pPr>
        <w:rPr>
          <w:rFonts w:hint="eastAsia" w:ascii="宋体" w:hAnsi="宋体" w:eastAsia="宋体" w:cs="宋体"/>
          <w:b/>
          <w:sz w:val="28"/>
          <w:szCs w:val="28"/>
          <w:highlight w:val="none"/>
        </w:rPr>
      </w:pPr>
    </w:p>
    <w:p w14:paraId="764AEC1F">
      <w:pPr>
        <w:rPr>
          <w:rFonts w:hint="eastAsia" w:ascii="宋体" w:hAnsi="宋体" w:eastAsia="宋体" w:cs="宋体"/>
          <w:b/>
          <w:sz w:val="28"/>
          <w:szCs w:val="28"/>
          <w:highlight w:val="none"/>
        </w:rPr>
      </w:pPr>
    </w:p>
    <w:p w14:paraId="3EDF61DA">
      <w:pPr>
        <w:rPr>
          <w:rFonts w:hint="eastAsia" w:ascii="宋体" w:hAnsi="宋体" w:eastAsia="宋体" w:cs="宋体"/>
          <w:b/>
          <w:sz w:val="28"/>
          <w:szCs w:val="28"/>
          <w:highlight w:val="none"/>
        </w:rPr>
      </w:pPr>
    </w:p>
    <w:p w14:paraId="1D6B158E">
      <w:pPr>
        <w:rPr>
          <w:rFonts w:hint="eastAsia" w:ascii="宋体" w:hAnsi="宋体" w:eastAsia="宋体" w:cs="宋体"/>
          <w:b/>
          <w:sz w:val="28"/>
          <w:szCs w:val="28"/>
          <w:highlight w:val="none"/>
        </w:rPr>
      </w:pPr>
    </w:p>
    <w:p w14:paraId="50DA923F">
      <w:pPr>
        <w:rPr>
          <w:rFonts w:hint="eastAsia" w:ascii="宋体" w:hAnsi="宋体" w:eastAsia="宋体" w:cs="宋体"/>
          <w:b/>
          <w:sz w:val="28"/>
          <w:szCs w:val="28"/>
          <w:highlight w:val="none"/>
        </w:rPr>
      </w:pPr>
    </w:p>
    <w:p w14:paraId="1FF500B3">
      <w:pPr>
        <w:rPr>
          <w:rFonts w:hint="eastAsia" w:ascii="宋体" w:hAnsi="宋体" w:eastAsia="宋体" w:cs="宋体"/>
          <w:b/>
          <w:sz w:val="28"/>
          <w:szCs w:val="28"/>
          <w:highlight w:val="none"/>
        </w:rPr>
      </w:pPr>
    </w:p>
    <w:p w14:paraId="327AF0B7">
      <w:pPr>
        <w:rPr>
          <w:rFonts w:hint="eastAsia" w:ascii="宋体" w:hAnsi="宋体" w:eastAsia="宋体" w:cs="宋体"/>
          <w:b/>
          <w:sz w:val="28"/>
          <w:szCs w:val="28"/>
          <w:highlight w:val="none"/>
        </w:rPr>
      </w:pPr>
    </w:p>
    <w:p w14:paraId="7CC7AFEA">
      <w:pPr>
        <w:rPr>
          <w:rFonts w:hint="eastAsia" w:ascii="宋体" w:hAnsi="宋体" w:eastAsia="宋体" w:cs="宋体"/>
          <w:b/>
          <w:sz w:val="28"/>
          <w:szCs w:val="28"/>
          <w:highlight w:val="none"/>
        </w:rPr>
      </w:pPr>
    </w:p>
    <w:p w14:paraId="08123950">
      <w:pPr>
        <w:rPr>
          <w:rFonts w:hint="eastAsia" w:ascii="宋体" w:hAnsi="宋体" w:eastAsia="宋体" w:cs="宋体"/>
          <w:highlight w:val="none"/>
        </w:rPr>
      </w:pPr>
      <w:r>
        <w:rPr>
          <w:rFonts w:hint="eastAsia" w:ascii="宋体" w:hAnsi="宋体" w:eastAsia="宋体" w:cs="宋体"/>
          <w:b/>
          <w:sz w:val="28"/>
          <w:szCs w:val="28"/>
          <w:highlight w:val="none"/>
        </w:rPr>
        <w:t>3.供应商参加政府采购活动前3年内在经营活动中没有重大违法记录及有关信用信息的书面声明或专项信用报告（必须提供）；</w:t>
      </w:r>
    </w:p>
    <w:p w14:paraId="42B0507C">
      <w:pPr>
        <w:rPr>
          <w:rFonts w:hint="eastAsia" w:ascii="宋体" w:hAnsi="宋体" w:eastAsia="宋体" w:cs="宋体"/>
          <w:highlight w:val="none"/>
        </w:rPr>
      </w:pPr>
    </w:p>
    <w:p w14:paraId="0273A039">
      <w:pPr>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b/>
          <w:sz w:val="24"/>
          <w:highlight w:val="non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14:paraId="31982D89">
      <w:pPr>
        <w:pStyle w:val="13"/>
        <w:spacing w:line="400" w:lineRule="exact"/>
        <w:ind w:left="420" w:leftChars="200" w:firstLine="156" w:firstLineChars="49"/>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14:paraId="10E9B3C0">
      <w:pPr>
        <w:pStyle w:val="13"/>
        <w:spacing w:line="400" w:lineRule="exact"/>
        <w:ind w:left="420" w:leftChars="200" w:firstLine="156" w:firstLineChars="49"/>
        <w:rPr>
          <w:rFonts w:hint="eastAsia" w:ascii="宋体" w:hAnsi="宋体" w:eastAsia="宋体" w:cs="宋体"/>
          <w:b/>
          <w:sz w:val="32"/>
          <w:szCs w:val="32"/>
          <w:highlight w:val="none"/>
        </w:rPr>
      </w:pPr>
    </w:p>
    <w:p w14:paraId="7CC110E3">
      <w:pPr>
        <w:pStyle w:val="13"/>
        <w:spacing w:line="400" w:lineRule="exact"/>
        <w:rPr>
          <w:rFonts w:hint="eastAsia" w:ascii="宋体" w:hAnsi="宋体" w:eastAsia="宋体" w:cs="宋体"/>
          <w:b/>
          <w:sz w:val="32"/>
          <w:szCs w:val="32"/>
          <w:highlight w:val="none"/>
        </w:rPr>
      </w:pPr>
      <w:r>
        <w:rPr>
          <w:rFonts w:hint="eastAsia" w:ascii="宋体" w:hAnsi="宋体" w:eastAsia="宋体" w:cs="宋体"/>
          <w:b/>
          <w:sz w:val="32"/>
          <w:szCs w:val="32"/>
          <w:highlight w:val="none"/>
        </w:rPr>
        <w:t>附件：</w:t>
      </w:r>
    </w:p>
    <w:p w14:paraId="2514828C">
      <w:pPr>
        <w:pStyle w:val="13"/>
        <w:spacing w:line="400" w:lineRule="exact"/>
        <w:jc w:val="center"/>
        <w:rPr>
          <w:rFonts w:hint="eastAsia" w:ascii="宋体" w:hAnsi="宋体" w:eastAsia="宋体" w:cs="宋体"/>
          <w:b/>
          <w:sz w:val="32"/>
          <w:szCs w:val="32"/>
          <w:highlight w:val="none"/>
        </w:rPr>
      </w:pPr>
      <w:bookmarkStart w:id="446" w:name="_Toc30890_WPSOffice_Level1"/>
      <w:bookmarkStart w:id="447" w:name="_Toc30304_WPSOffice_Level1"/>
      <w:r>
        <w:rPr>
          <w:rFonts w:hint="eastAsia" w:ascii="宋体" w:hAnsi="宋体" w:eastAsia="宋体" w:cs="宋体"/>
          <w:b/>
          <w:sz w:val="32"/>
          <w:szCs w:val="32"/>
          <w:highlight w:val="none"/>
        </w:rPr>
        <w:t>声   明</w:t>
      </w:r>
      <w:bookmarkEnd w:id="446"/>
      <w:bookmarkEnd w:id="447"/>
    </w:p>
    <w:p w14:paraId="34E121E8">
      <w:pPr>
        <w:pStyle w:val="13"/>
        <w:spacing w:line="400" w:lineRule="exact"/>
        <w:rPr>
          <w:rFonts w:hint="eastAsia" w:ascii="宋体" w:hAnsi="宋体" w:eastAsia="宋体" w:cs="宋体"/>
          <w:b/>
          <w:sz w:val="32"/>
          <w:szCs w:val="32"/>
          <w:highlight w:val="none"/>
        </w:rPr>
      </w:pPr>
    </w:p>
    <w:p w14:paraId="0F903DBA">
      <w:pPr>
        <w:pStyle w:val="13"/>
        <w:spacing w:line="400" w:lineRule="exact"/>
        <w:rPr>
          <w:rFonts w:hint="eastAsia" w:ascii="宋体" w:hAnsi="宋体" w:eastAsia="宋体" w:cs="宋体"/>
          <w:szCs w:val="21"/>
          <w:highlight w:val="none"/>
          <w:u w:val="single"/>
        </w:rPr>
      </w:pPr>
      <w:r>
        <w:rPr>
          <w:rFonts w:hint="eastAsia" w:ascii="宋体" w:hAnsi="宋体" w:eastAsia="宋体" w:cs="宋体"/>
          <w:b/>
          <w:szCs w:val="21"/>
          <w:highlight w:val="none"/>
        </w:rPr>
        <w:t>致</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CN"/>
        </w:rPr>
        <w:t>广西禾昇项目管理有限公司</w:t>
      </w:r>
      <w:r>
        <w:rPr>
          <w:rFonts w:hint="eastAsia" w:ascii="宋体" w:hAnsi="宋体" w:eastAsia="宋体" w:cs="宋体"/>
          <w:szCs w:val="21"/>
          <w:highlight w:val="none"/>
          <w:u w:val="single"/>
        </w:rPr>
        <w:t xml:space="preserve"> </w:t>
      </w:r>
    </w:p>
    <w:p w14:paraId="4708DDBF">
      <w:pPr>
        <w:rPr>
          <w:rFonts w:hint="eastAsia" w:ascii="宋体" w:hAnsi="宋体" w:eastAsia="宋体" w:cs="宋体"/>
          <w:szCs w:val="21"/>
          <w:highlight w:val="none"/>
          <w:u w:val="single"/>
        </w:rPr>
      </w:pPr>
    </w:p>
    <w:p w14:paraId="20A1F994">
      <w:pPr>
        <w:pStyle w:val="9"/>
        <w:rPr>
          <w:rFonts w:hint="eastAsia" w:ascii="宋体" w:hAnsi="宋体" w:eastAsia="宋体" w:cs="宋体"/>
          <w:highlight w:val="none"/>
        </w:rPr>
      </w:pPr>
    </w:p>
    <w:p w14:paraId="59429BFA">
      <w:pPr>
        <w:pStyle w:val="13"/>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2849736">
      <w:pPr>
        <w:rPr>
          <w:rFonts w:hint="eastAsia" w:ascii="宋体" w:hAnsi="宋体" w:eastAsia="宋体" w:cs="宋体"/>
          <w:highlight w:val="none"/>
        </w:rPr>
      </w:pPr>
    </w:p>
    <w:p w14:paraId="34A6985D">
      <w:pPr>
        <w:snapToGrid w:val="0"/>
        <w:spacing w:line="400" w:lineRule="exact"/>
        <w:ind w:firstLine="1890" w:firstLineChars="900"/>
        <w:rPr>
          <w:rFonts w:hint="eastAsia" w:ascii="宋体" w:hAnsi="宋体" w:eastAsia="宋体" w:cs="宋体"/>
          <w:highlight w:val="none"/>
        </w:rPr>
      </w:pPr>
      <w:r>
        <w:rPr>
          <w:rFonts w:hint="eastAsia" w:ascii="宋体" w:hAnsi="宋体" w:eastAsia="宋体" w:cs="宋体"/>
          <w:szCs w:val="21"/>
          <w:highlight w:val="none"/>
        </w:rPr>
        <w:t>磋商供应商[公章(CA签章)，自然人签字或个人CA签章]：</w:t>
      </w:r>
      <w:r>
        <w:rPr>
          <w:rFonts w:hint="eastAsia" w:ascii="宋体" w:hAnsi="宋体" w:eastAsia="宋体" w:cs="宋体"/>
          <w:szCs w:val="21"/>
          <w:highlight w:val="none"/>
          <w:u w:val="single"/>
        </w:rPr>
        <w:t xml:space="preserve">                                         </w:t>
      </w:r>
    </w:p>
    <w:p w14:paraId="3088EDFE">
      <w:pPr>
        <w:pStyle w:val="13"/>
        <w:ind w:firstLine="3990" w:firstLineChars="1900"/>
        <w:rPr>
          <w:rFonts w:hint="eastAsia" w:ascii="宋体" w:hAnsi="宋体" w:eastAsia="宋体" w:cs="宋体"/>
          <w:highlight w:val="none"/>
          <w:u w:val="single"/>
        </w:rPr>
      </w:pPr>
      <w:r>
        <w:rPr>
          <w:rFonts w:hint="eastAsia" w:ascii="宋体" w:hAnsi="宋体" w:eastAsia="宋体" w:cs="宋体"/>
          <w:highlight w:val="none"/>
        </w:rPr>
        <w:t>日          期：</w:t>
      </w:r>
      <w:r>
        <w:rPr>
          <w:rFonts w:hint="eastAsia" w:ascii="宋体" w:hAnsi="宋体" w:eastAsia="宋体" w:cs="宋体"/>
          <w:highlight w:val="none"/>
          <w:u w:val="single"/>
        </w:rPr>
        <w:t xml:space="preserve">                            </w:t>
      </w:r>
    </w:p>
    <w:p w14:paraId="2D720FAC">
      <w:pPr>
        <w:pStyle w:val="13"/>
        <w:spacing w:line="340" w:lineRule="exact"/>
        <w:rPr>
          <w:rFonts w:hint="eastAsia" w:ascii="宋体" w:hAnsi="宋体" w:eastAsia="宋体" w:cs="宋体"/>
          <w:b/>
          <w:sz w:val="28"/>
          <w:szCs w:val="28"/>
          <w:highlight w:val="none"/>
        </w:rPr>
      </w:pPr>
    </w:p>
    <w:p w14:paraId="75BBAD4B">
      <w:pPr>
        <w:rPr>
          <w:rFonts w:hint="eastAsia" w:ascii="宋体" w:hAnsi="宋体" w:eastAsia="宋体" w:cs="宋体"/>
          <w:b/>
          <w:sz w:val="28"/>
          <w:szCs w:val="28"/>
          <w:highlight w:val="none"/>
        </w:rPr>
      </w:pPr>
    </w:p>
    <w:p w14:paraId="2D39D77A">
      <w:pPr>
        <w:pStyle w:val="9"/>
        <w:rPr>
          <w:rFonts w:hint="eastAsia" w:ascii="宋体" w:hAnsi="宋体" w:eastAsia="宋体" w:cs="宋体"/>
          <w:b/>
          <w:sz w:val="28"/>
          <w:szCs w:val="28"/>
          <w:highlight w:val="none"/>
        </w:rPr>
      </w:pPr>
    </w:p>
    <w:p w14:paraId="45C5A268">
      <w:pPr>
        <w:rPr>
          <w:rFonts w:hint="eastAsia" w:ascii="宋体" w:hAnsi="宋体" w:eastAsia="宋体" w:cs="宋体"/>
          <w:b/>
          <w:sz w:val="28"/>
          <w:szCs w:val="28"/>
          <w:highlight w:val="none"/>
        </w:rPr>
      </w:pPr>
    </w:p>
    <w:p w14:paraId="002B128B">
      <w:pPr>
        <w:pStyle w:val="20"/>
        <w:rPr>
          <w:rFonts w:hint="eastAsia" w:ascii="宋体" w:hAnsi="宋体" w:eastAsia="宋体" w:cs="宋体"/>
          <w:b/>
          <w:sz w:val="28"/>
          <w:szCs w:val="28"/>
          <w:highlight w:val="none"/>
        </w:rPr>
      </w:pPr>
    </w:p>
    <w:p w14:paraId="2B737FA0">
      <w:pPr>
        <w:rPr>
          <w:rFonts w:hint="eastAsia" w:ascii="宋体" w:hAnsi="宋体" w:eastAsia="宋体" w:cs="宋体"/>
          <w:b/>
          <w:sz w:val="28"/>
          <w:szCs w:val="28"/>
          <w:highlight w:val="none"/>
        </w:rPr>
      </w:pPr>
    </w:p>
    <w:p w14:paraId="1D84C755">
      <w:pPr>
        <w:pStyle w:val="20"/>
        <w:rPr>
          <w:rFonts w:hint="eastAsia" w:ascii="宋体" w:hAnsi="宋体" w:eastAsia="宋体" w:cs="宋体"/>
          <w:b/>
          <w:sz w:val="28"/>
          <w:szCs w:val="28"/>
          <w:highlight w:val="none"/>
        </w:rPr>
      </w:pPr>
    </w:p>
    <w:p w14:paraId="3CE1EE41">
      <w:pPr>
        <w:rPr>
          <w:rFonts w:hint="eastAsia" w:ascii="宋体" w:hAnsi="宋体" w:eastAsia="宋体" w:cs="宋体"/>
          <w:highlight w:val="none"/>
        </w:rPr>
      </w:pPr>
    </w:p>
    <w:p w14:paraId="0F2B06A8">
      <w:pPr>
        <w:rPr>
          <w:rFonts w:hint="eastAsia" w:ascii="宋体" w:hAnsi="宋体" w:eastAsia="宋体" w:cs="宋体"/>
          <w:highlight w:val="none"/>
        </w:rPr>
      </w:pPr>
    </w:p>
    <w:p w14:paraId="12E81AF4">
      <w:pPr>
        <w:pStyle w:val="13"/>
        <w:spacing w:line="340" w:lineRule="exact"/>
        <w:rPr>
          <w:rFonts w:hint="eastAsia" w:ascii="宋体" w:hAnsi="宋体" w:eastAsia="宋体" w:cs="宋体"/>
          <w:b/>
          <w:sz w:val="28"/>
          <w:szCs w:val="28"/>
          <w:highlight w:val="none"/>
        </w:rPr>
      </w:pPr>
    </w:p>
    <w:p w14:paraId="7B3085DE">
      <w:pPr>
        <w:pStyle w:val="13"/>
        <w:spacing w:line="34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t>4.供应商的法人或者其他组织营业执照等证明文件扫描件（必须提供，自然人除外；如为联合体的，联合体各方必须同时提供。）；</w:t>
      </w:r>
    </w:p>
    <w:p w14:paraId="685AF2AE">
      <w:pPr>
        <w:tabs>
          <w:tab w:val="left" w:pos="1305"/>
        </w:tabs>
        <w:spacing w:line="340" w:lineRule="exact"/>
        <w:rPr>
          <w:rFonts w:hint="eastAsia" w:ascii="宋体" w:hAnsi="宋体" w:eastAsia="宋体" w:cs="宋体"/>
          <w:b/>
          <w:szCs w:val="21"/>
          <w:highlight w:val="none"/>
        </w:rPr>
      </w:pPr>
    </w:p>
    <w:p w14:paraId="6D02AAFA">
      <w:pPr>
        <w:pStyle w:val="13"/>
        <w:spacing w:line="340" w:lineRule="exact"/>
        <w:ind w:firstLine="480" w:firstLineChars="200"/>
        <w:rPr>
          <w:rFonts w:hint="eastAsia" w:ascii="宋体" w:hAnsi="宋体" w:eastAsia="宋体" w:cs="宋体"/>
          <w:b/>
          <w:sz w:val="24"/>
          <w:highlight w:val="none"/>
        </w:rPr>
      </w:pPr>
      <w:r>
        <w:rPr>
          <w:rFonts w:hint="eastAsia" w:ascii="宋体" w:hAnsi="宋体" w:eastAsia="宋体" w:cs="宋体"/>
          <w:b/>
          <w:sz w:val="24"/>
          <w:highlight w:val="none"/>
        </w:rPr>
        <w:t>注：供应商为企业（包括合伙企业），应提供市场监管部门（登记机关）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4E2395A2">
      <w:pPr>
        <w:rPr>
          <w:rFonts w:hint="eastAsia" w:ascii="宋体" w:hAnsi="宋体" w:eastAsia="宋体" w:cs="宋体"/>
          <w:b/>
          <w:bCs/>
          <w:sz w:val="28"/>
          <w:szCs w:val="28"/>
          <w:highlight w:val="none"/>
        </w:rPr>
      </w:pPr>
    </w:p>
    <w:p w14:paraId="460E6676">
      <w:pPr>
        <w:pStyle w:val="6"/>
        <w:numPr>
          <w:ilvl w:val="0"/>
          <w:numId w:val="0"/>
        </w:numPr>
        <w:rPr>
          <w:rFonts w:hint="eastAsia" w:ascii="宋体" w:hAnsi="宋体" w:eastAsia="宋体" w:cs="宋体"/>
          <w:b/>
          <w:sz w:val="28"/>
          <w:szCs w:val="28"/>
          <w:highlight w:val="none"/>
        </w:rPr>
      </w:pPr>
      <w:r>
        <w:rPr>
          <w:rFonts w:hint="eastAsia" w:ascii="宋体" w:hAnsi="宋体" w:eastAsia="宋体" w:cs="宋体"/>
          <w:b/>
          <w:sz w:val="28"/>
          <w:szCs w:val="28"/>
          <w:highlight w:val="none"/>
        </w:rPr>
        <w:t>5.供应商2024年度财务状况报告（必须提供，可以是磋商供应商自行编制也可是通过第三方审计公司编制，如为自行编制至少须提供现金流量表、负债表及利润表(损益表)，新成立的公司，提供自成立之日起至磋商截止时间前一个月的报告）；</w:t>
      </w:r>
    </w:p>
    <w:p w14:paraId="1CB903F6">
      <w:pPr>
        <w:pStyle w:val="13"/>
        <w:spacing w:line="340" w:lineRule="exact"/>
        <w:rPr>
          <w:rFonts w:hint="eastAsia" w:ascii="宋体" w:hAnsi="宋体" w:eastAsia="宋体" w:cs="宋体"/>
          <w:b/>
          <w:sz w:val="28"/>
          <w:szCs w:val="28"/>
          <w:highlight w:val="none"/>
        </w:rPr>
      </w:pPr>
    </w:p>
    <w:p w14:paraId="57F4CB57">
      <w:pPr>
        <w:pStyle w:val="6"/>
        <w:rPr>
          <w:rFonts w:hint="eastAsia" w:ascii="宋体" w:hAnsi="宋体" w:eastAsia="宋体" w:cs="宋体"/>
          <w:highlight w:val="none"/>
        </w:rPr>
      </w:pPr>
    </w:p>
    <w:p w14:paraId="49AC0506">
      <w:pPr>
        <w:rPr>
          <w:rFonts w:hint="eastAsia" w:ascii="宋体" w:hAnsi="宋体" w:eastAsia="宋体" w:cs="宋体"/>
          <w:highlight w:val="none"/>
        </w:rPr>
      </w:pPr>
    </w:p>
    <w:p w14:paraId="2DA33F19">
      <w:pPr>
        <w:pStyle w:val="20"/>
        <w:rPr>
          <w:rFonts w:hint="eastAsia" w:ascii="宋体" w:hAnsi="宋体" w:eastAsia="宋体" w:cs="宋体"/>
          <w:highlight w:val="none"/>
        </w:rPr>
      </w:pPr>
    </w:p>
    <w:p w14:paraId="49C50FDD">
      <w:pPr>
        <w:pStyle w:val="6"/>
        <w:numPr>
          <w:ilvl w:val="0"/>
          <w:numId w:val="0"/>
        </w:numPr>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6.</w:t>
      </w:r>
      <w:r>
        <w:rPr>
          <w:rFonts w:hint="eastAsia" w:ascii="宋体" w:hAnsi="宋体" w:eastAsia="宋体" w:cs="宋体"/>
          <w:b/>
          <w:sz w:val="28"/>
          <w:szCs w:val="28"/>
          <w:highlight w:val="none"/>
        </w:rPr>
        <w:t>供应商在磋商当天前近半年内任意一个月或任一季度依法缴纳税收的证明材料（增值税发票(税收完税证明)或企业所得税完税证明或税务部门出具的免税证明或税务部门出具的无欠税证明）扫描件（必须提供）；</w:t>
      </w:r>
    </w:p>
    <w:p w14:paraId="4721F8E9">
      <w:pPr>
        <w:numPr>
          <w:ilvl w:val="0"/>
          <w:numId w:val="0"/>
        </w:numPr>
        <w:ind w:leftChars="200"/>
        <w:rPr>
          <w:rFonts w:hint="eastAsia" w:ascii="宋体" w:hAnsi="宋体" w:eastAsia="宋体" w:cs="宋体"/>
          <w:highlight w:val="none"/>
        </w:rPr>
      </w:pPr>
    </w:p>
    <w:p w14:paraId="02E6A2B7">
      <w:pPr>
        <w:rPr>
          <w:rFonts w:hint="eastAsia" w:ascii="宋体" w:hAnsi="宋体" w:eastAsia="宋体" w:cs="宋体"/>
          <w:highlight w:val="none"/>
        </w:rPr>
      </w:pPr>
    </w:p>
    <w:p w14:paraId="4F8214D6">
      <w:pPr>
        <w:pStyle w:val="20"/>
        <w:rPr>
          <w:rFonts w:hint="eastAsia" w:ascii="宋体" w:hAnsi="宋体" w:eastAsia="宋体" w:cs="宋体"/>
          <w:highlight w:val="none"/>
        </w:rPr>
      </w:pPr>
    </w:p>
    <w:p w14:paraId="2215CA5E">
      <w:pPr>
        <w:rPr>
          <w:rFonts w:hint="eastAsia" w:ascii="宋体" w:hAnsi="宋体" w:eastAsia="宋体" w:cs="宋体"/>
          <w:highlight w:val="none"/>
        </w:rPr>
      </w:pPr>
    </w:p>
    <w:p w14:paraId="4766E5F6">
      <w:pPr>
        <w:pStyle w:val="20"/>
        <w:rPr>
          <w:rFonts w:hint="eastAsia" w:ascii="宋体" w:hAnsi="宋体" w:eastAsia="宋体" w:cs="宋体"/>
          <w:highlight w:val="none"/>
        </w:rPr>
      </w:pPr>
    </w:p>
    <w:p w14:paraId="18F7011C">
      <w:pPr>
        <w:rPr>
          <w:rFonts w:hint="eastAsia" w:ascii="宋体" w:hAnsi="宋体" w:eastAsia="宋体" w:cs="宋体"/>
          <w:highlight w:val="none"/>
        </w:rPr>
      </w:pPr>
    </w:p>
    <w:p w14:paraId="56388B95">
      <w:pPr>
        <w:pStyle w:val="20"/>
        <w:rPr>
          <w:rFonts w:hint="eastAsia" w:ascii="宋体" w:hAnsi="宋体" w:eastAsia="宋体" w:cs="宋体"/>
          <w:highlight w:val="none"/>
        </w:rPr>
      </w:pPr>
    </w:p>
    <w:p w14:paraId="7D6571FF">
      <w:pPr>
        <w:rPr>
          <w:rFonts w:hint="eastAsia" w:ascii="宋体" w:hAnsi="宋体" w:eastAsia="宋体" w:cs="宋体"/>
          <w:highlight w:val="none"/>
        </w:rPr>
      </w:pPr>
    </w:p>
    <w:p w14:paraId="4E1323D7">
      <w:pPr>
        <w:pStyle w:val="20"/>
        <w:rPr>
          <w:rFonts w:hint="eastAsia" w:ascii="宋体" w:hAnsi="宋体" w:eastAsia="宋体" w:cs="宋体"/>
          <w:highlight w:val="none"/>
        </w:rPr>
      </w:pPr>
    </w:p>
    <w:p w14:paraId="73769166">
      <w:pPr>
        <w:rPr>
          <w:rFonts w:hint="eastAsia" w:ascii="宋体" w:hAnsi="宋体" w:eastAsia="宋体" w:cs="宋体"/>
          <w:highlight w:val="none"/>
        </w:rPr>
      </w:pPr>
    </w:p>
    <w:p w14:paraId="677B7074">
      <w:pPr>
        <w:jc w:val="both"/>
        <w:outlineLvl w:val="1"/>
        <w:rPr>
          <w:rFonts w:hint="eastAsia" w:ascii="宋体" w:hAnsi="宋体" w:eastAsia="宋体" w:cs="宋体"/>
          <w:b/>
          <w:bCs/>
          <w:sz w:val="32"/>
          <w:szCs w:val="32"/>
          <w:highlight w:val="none"/>
          <w:lang w:val="en-US" w:eastAsia="zh-CN"/>
        </w:rPr>
      </w:pPr>
      <w:bookmarkStart w:id="448" w:name="_Toc30021"/>
      <w:bookmarkStart w:id="449" w:name="_Toc949"/>
      <w:bookmarkStart w:id="450" w:name="_Toc10040"/>
      <w:bookmarkStart w:id="451" w:name="_Toc5670"/>
      <w:bookmarkStart w:id="452" w:name="_Toc13373"/>
      <w:r>
        <w:rPr>
          <w:rFonts w:hint="eastAsia" w:ascii="宋体" w:hAnsi="宋体" w:eastAsia="宋体" w:cs="宋体"/>
          <w:b/>
          <w:bCs/>
          <w:sz w:val="32"/>
          <w:szCs w:val="32"/>
          <w:highlight w:val="none"/>
          <w:lang w:val="en-US" w:eastAsia="zh-CN"/>
        </w:rPr>
        <w:t>7、供应商具备有效的《食品经营许可证》；（必须提供）。</w:t>
      </w:r>
      <w:bookmarkEnd w:id="448"/>
    </w:p>
    <w:p w14:paraId="1266100E">
      <w:pPr>
        <w:jc w:val="center"/>
        <w:outlineLvl w:val="1"/>
        <w:rPr>
          <w:rFonts w:hint="eastAsia" w:ascii="宋体" w:hAnsi="宋体" w:eastAsia="宋体" w:cs="宋体"/>
          <w:b/>
          <w:bCs/>
          <w:sz w:val="32"/>
          <w:szCs w:val="32"/>
          <w:highlight w:val="none"/>
        </w:rPr>
      </w:pPr>
    </w:p>
    <w:p w14:paraId="4F550282">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4DC8402D">
      <w:pPr>
        <w:jc w:val="center"/>
        <w:outlineLvl w:val="1"/>
        <w:rPr>
          <w:rFonts w:hint="eastAsia" w:ascii="宋体" w:hAnsi="宋体" w:eastAsia="宋体" w:cs="宋体"/>
          <w:b/>
          <w:bCs/>
          <w:sz w:val="32"/>
          <w:szCs w:val="32"/>
          <w:highlight w:val="none"/>
        </w:rPr>
      </w:pPr>
      <w:bookmarkStart w:id="453" w:name="_Toc4415"/>
      <w:r>
        <w:rPr>
          <w:rFonts w:hint="eastAsia" w:ascii="宋体" w:hAnsi="宋体" w:eastAsia="宋体" w:cs="宋体"/>
          <w:b/>
          <w:bCs/>
          <w:sz w:val="32"/>
          <w:szCs w:val="32"/>
          <w:highlight w:val="none"/>
        </w:rPr>
        <w:t>（二）符合性响应证明材料目录</w:t>
      </w:r>
      <w:bookmarkEnd w:id="449"/>
      <w:bookmarkEnd w:id="450"/>
      <w:bookmarkEnd w:id="451"/>
      <w:bookmarkEnd w:id="452"/>
      <w:bookmarkEnd w:id="453"/>
    </w:p>
    <w:p w14:paraId="364D3CA8">
      <w:pPr>
        <w:numPr>
          <w:ilvl w:val="0"/>
          <w:numId w:val="0"/>
        </w:numPr>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color w:val="auto"/>
          <w:sz w:val="24"/>
          <w:highlight w:val="none"/>
        </w:rPr>
        <w:t>响应函</w:t>
      </w:r>
      <w:r>
        <w:rPr>
          <w:rFonts w:hint="eastAsia" w:ascii="宋体" w:hAnsi="宋体" w:eastAsia="宋体" w:cs="宋体"/>
          <w:b/>
          <w:bCs/>
          <w:color w:val="auto"/>
          <w:sz w:val="24"/>
          <w:highlight w:val="none"/>
        </w:rPr>
        <w:t>（格式见附件）（必须提供</w:t>
      </w:r>
      <w:r>
        <w:rPr>
          <w:rFonts w:hint="eastAsia" w:ascii="宋体" w:hAnsi="宋体" w:eastAsia="宋体" w:cs="宋体"/>
          <w:color w:val="auto"/>
          <w:highlight w:val="none"/>
        </w:rPr>
        <w:t>）</w:t>
      </w:r>
      <w:r>
        <w:rPr>
          <w:rFonts w:hint="eastAsia" w:ascii="宋体" w:hAnsi="宋体" w:eastAsia="宋体" w:cs="宋体"/>
          <w:b/>
          <w:bCs/>
          <w:color w:val="auto"/>
          <w:sz w:val="24"/>
          <w:highlight w:val="none"/>
          <w:lang w:eastAsia="zh-CN"/>
        </w:rPr>
        <w:t>；</w:t>
      </w:r>
    </w:p>
    <w:p w14:paraId="3AE134EB">
      <w:pPr>
        <w:numPr>
          <w:ilvl w:val="0"/>
          <w:numId w:val="0"/>
        </w:numPr>
        <w:spacing w:line="360" w:lineRule="auto"/>
        <w:ind w:firstLine="720" w:firstLineChars="300"/>
        <w:rPr>
          <w:rFonts w:hint="eastAsia" w:ascii="宋体" w:hAnsi="宋体" w:eastAsia="宋体" w:cs="宋体"/>
          <w:b w:val="0"/>
          <w:bCs w:val="0"/>
          <w:color w:val="auto"/>
          <w:kern w:val="2"/>
          <w:sz w:val="24"/>
          <w:szCs w:val="24"/>
          <w:highlight w:val="none"/>
          <w:lang w:val="en-US" w:eastAsia="zh-CN" w:bidi="ar-SA"/>
        </w:rPr>
      </w:pPr>
    </w:p>
    <w:p w14:paraId="08F2BA0F">
      <w:pPr>
        <w:numPr>
          <w:ilvl w:val="0"/>
          <w:numId w:val="0"/>
        </w:numPr>
        <w:spacing w:line="360" w:lineRule="auto"/>
        <w:ind w:firstLine="720" w:firstLineChars="300"/>
        <w:rPr>
          <w:rFonts w:hint="eastAsia" w:ascii="宋体" w:hAnsi="宋体" w:eastAsia="宋体" w:cs="宋体"/>
          <w:b/>
          <w:bCs/>
          <w:color w:val="auto"/>
          <w:sz w:val="24"/>
          <w:highlight w:val="none"/>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color w:val="auto"/>
          <w:sz w:val="24"/>
          <w:highlight w:val="none"/>
        </w:rPr>
        <w:t>磋商报价表</w:t>
      </w:r>
      <w:r>
        <w:rPr>
          <w:rFonts w:hint="eastAsia" w:ascii="宋体" w:hAnsi="宋体" w:eastAsia="宋体" w:cs="宋体"/>
          <w:b/>
          <w:bCs/>
          <w:color w:val="auto"/>
          <w:sz w:val="24"/>
          <w:highlight w:val="none"/>
        </w:rPr>
        <w:t>（格式见附件）（必须提供）；</w:t>
      </w:r>
    </w:p>
    <w:p w14:paraId="117BAB81">
      <w:pPr>
        <w:tabs>
          <w:tab w:val="left" w:pos="1305"/>
        </w:tabs>
        <w:spacing w:line="360" w:lineRule="exact"/>
        <w:ind w:firstLine="720" w:firstLineChars="300"/>
        <w:rPr>
          <w:rFonts w:hint="eastAsia" w:ascii="宋体" w:hAnsi="宋体" w:eastAsia="宋体" w:cs="宋体"/>
          <w:color w:val="auto"/>
          <w:sz w:val="24"/>
          <w:szCs w:val="24"/>
          <w:highlight w:val="none"/>
          <w:lang w:val="en-US" w:eastAsia="zh-CN"/>
        </w:rPr>
      </w:pPr>
    </w:p>
    <w:p w14:paraId="2618A47F">
      <w:pPr>
        <w:tabs>
          <w:tab w:val="left" w:pos="1305"/>
        </w:tabs>
        <w:spacing w:line="360" w:lineRule="exact"/>
        <w:ind w:firstLine="720" w:firstLineChars="300"/>
        <w:rPr>
          <w:rFonts w:hint="eastAsia" w:ascii="宋体" w:hAnsi="宋体" w:eastAsia="宋体" w:cs="宋体"/>
          <w:szCs w:val="21"/>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.服务需求响应表</w:t>
      </w:r>
      <w:r>
        <w:rPr>
          <w:rFonts w:hint="eastAsia" w:ascii="宋体" w:hAnsi="宋体" w:eastAsia="宋体" w:cs="宋体"/>
          <w:b/>
          <w:bCs/>
          <w:color w:val="auto"/>
          <w:sz w:val="24"/>
          <w:szCs w:val="24"/>
          <w:highlight w:val="none"/>
        </w:rPr>
        <w:t>（格式见附件）（必须提供）</w:t>
      </w:r>
      <w:r>
        <w:rPr>
          <w:rFonts w:hint="eastAsia" w:ascii="宋体" w:hAnsi="宋体" w:eastAsia="宋体" w:cs="宋体"/>
          <w:bCs/>
          <w:szCs w:val="21"/>
          <w:highlight w:val="none"/>
        </w:rPr>
        <w:t>；</w:t>
      </w:r>
    </w:p>
    <w:p w14:paraId="5C5D1DC9">
      <w:pPr>
        <w:numPr>
          <w:ilvl w:val="0"/>
          <w:numId w:val="0"/>
        </w:numPr>
        <w:spacing w:line="360" w:lineRule="auto"/>
        <w:ind w:firstLine="720" w:firstLineChars="300"/>
        <w:rPr>
          <w:rFonts w:hint="eastAsia" w:ascii="宋体" w:hAnsi="宋体" w:eastAsia="宋体" w:cs="宋体"/>
          <w:b w:val="0"/>
          <w:bCs w:val="0"/>
          <w:color w:val="auto"/>
          <w:kern w:val="2"/>
          <w:sz w:val="24"/>
          <w:szCs w:val="24"/>
          <w:highlight w:val="none"/>
          <w:lang w:val="en-US" w:eastAsia="zh-CN" w:bidi="ar-SA"/>
        </w:rPr>
      </w:pPr>
    </w:p>
    <w:p w14:paraId="326E6078">
      <w:pPr>
        <w:numPr>
          <w:ilvl w:val="0"/>
          <w:numId w:val="0"/>
        </w:numPr>
        <w:spacing w:line="360" w:lineRule="auto"/>
        <w:ind w:firstLine="720" w:firstLineChars="300"/>
        <w:rPr>
          <w:rFonts w:hint="eastAsia" w:ascii="宋体" w:hAnsi="宋体" w:eastAsia="宋体" w:cs="宋体"/>
          <w:color w:val="auto"/>
          <w:sz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4.</w:t>
      </w:r>
      <w:r>
        <w:rPr>
          <w:rFonts w:hint="eastAsia" w:ascii="宋体" w:hAnsi="宋体" w:eastAsia="宋体" w:cs="宋体"/>
          <w:color w:val="auto"/>
          <w:sz w:val="24"/>
          <w:highlight w:val="none"/>
          <w:lang w:val="en-US" w:eastAsia="zh-CN"/>
        </w:rPr>
        <w:t>针对本项目的服务方案</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格式见附件）（必须提供）</w:t>
      </w:r>
      <w:r>
        <w:rPr>
          <w:rFonts w:hint="eastAsia" w:ascii="宋体" w:hAnsi="宋体" w:eastAsia="宋体" w:cs="宋体"/>
          <w:b/>
          <w:bCs/>
          <w:color w:val="auto"/>
          <w:sz w:val="24"/>
          <w:highlight w:val="none"/>
          <w:lang w:eastAsia="zh-CN"/>
        </w:rPr>
        <w:t>。</w:t>
      </w:r>
    </w:p>
    <w:p w14:paraId="24C183D4">
      <w:pPr>
        <w:spacing w:line="360" w:lineRule="auto"/>
        <w:rPr>
          <w:rFonts w:hint="eastAsia" w:ascii="宋体" w:hAnsi="宋体" w:eastAsia="宋体" w:cs="宋体"/>
          <w:color w:val="FF0000"/>
          <w:sz w:val="24"/>
          <w:highlight w:val="none"/>
        </w:rPr>
      </w:pPr>
    </w:p>
    <w:p w14:paraId="61B86A4C">
      <w:pPr>
        <w:pStyle w:val="9"/>
        <w:rPr>
          <w:rFonts w:hint="eastAsia" w:ascii="宋体" w:hAnsi="宋体" w:eastAsia="宋体" w:cs="宋体"/>
          <w:highlight w:val="none"/>
        </w:rPr>
      </w:pPr>
    </w:p>
    <w:p w14:paraId="6D8B8E5B">
      <w:pPr>
        <w:pStyle w:val="13"/>
        <w:spacing w:line="340" w:lineRule="exact"/>
        <w:rPr>
          <w:rFonts w:hint="eastAsia" w:ascii="宋体" w:hAnsi="宋体" w:eastAsia="宋体" w:cs="宋体"/>
          <w:b/>
          <w:sz w:val="28"/>
          <w:szCs w:val="28"/>
          <w:highlight w:val="none"/>
        </w:rPr>
      </w:pPr>
    </w:p>
    <w:p w14:paraId="3EEBEBC7">
      <w:pPr>
        <w:pStyle w:val="13"/>
        <w:spacing w:line="340" w:lineRule="exact"/>
        <w:rPr>
          <w:rFonts w:hint="eastAsia" w:ascii="宋体" w:hAnsi="宋体" w:eastAsia="宋体" w:cs="宋体"/>
          <w:b/>
          <w:sz w:val="28"/>
          <w:szCs w:val="28"/>
          <w:highlight w:val="none"/>
        </w:rPr>
      </w:pPr>
    </w:p>
    <w:p w14:paraId="4F86866B">
      <w:pPr>
        <w:rPr>
          <w:rFonts w:hint="eastAsia" w:ascii="宋体" w:hAnsi="宋体" w:eastAsia="宋体" w:cs="宋体"/>
          <w:b/>
          <w:sz w:val="28"/>
          <w:szCs w:val="28"/>
          <w:highlight w:val="none"/>
        </w:rPr>
      </w:pPr>
    </w:p>
    <w:p w14:paraId="54196017">
      <w:pPr>
        <w:pStyle w:val="9"/>
        <w:rPr>
          <w:rFonts w:hint="eastAsia" w:ascii="宋体" w:hAnsi="宋体" w:eastAsia="宋体" w:cs="宋体"/>
          <w:b/>
          <w:sz w:val="28"/>
          <w:szCs w:val="28"/>
          <w:highlight w:val="none"/>
        </w:rPr>
      </w:pPr>
    </w:p>
    <w:p w14:paraId="731A8090">
      <w:pPr>
        <w:rPr>
          <w:rFonts w:hint="eastAsia" w:ascii="宋体" w:hAnsi="宋体" w:eastAsia="宋体" w:cs="宋体"/>
          <w:b/>
          <w:sz w:val="28"/>
          <w:szCs w:val="28"/>
          <w:highlight w:val="none"/>
        </w:rPr>
      </w:pPr>
    </w:p>
    <w:p w14:paraId="2AC5CFE8">
      <w:pPr>
        <w:pStyle w:val="9"/>
        <w:rPr>
          <w:rFonts w:hint="eastAsia" w:ascii="宋体" w:hAnsi="宋体" w:eastAsia="宋体" w:cs="宋体"/>
          <w:b/>
          <w:sz w:val="28"/>
          <w:szCs w:val="28"/>
          <w:highlight w:val="none"/>
        </w:rPr>
      </w:pPr>
    </w:p>
    <w:p w14:paraId="1CC663A4">
      <w:pPr>
        <w:rPr>
          <w:rFonts w:hint="eastAsia" w:ascii="宋体" w:hAnsi="宋体" w:eastAsia="宋体" w:cs="宋体"/>
          <w:b/>
          <w:sz w:val="28"/>
          <w:szCs w:val="28"/>
          <w:highlight w:val="none"/>
        </w:rPr>
      </w:pPr>
    </w:p>
    <w:p w14:paraId="4BCD4B14">
      <w:pPr>
        <w:pStyle w:val="9"/>
        <w:rPr>
          <w:rFonts w:hint="eastAsia" w:ascii="宋体" w:hAnsi="宋体" w:eastAsia="宋体" w:cs="宋体"/>
          <w:b/>
          <w:sz w:val="28"/>
          <w:szCs w:val="28"/>
          <w:highlight w:val="none"/>
        </w:rPr>
      </w:pPr>
    </w:p>
    <w:p w14:paraId="5EDD2DEF">
      <w:pPr>
        <w:rPr>
          <w:rFonts w:hint="eastAsia" w:ascii="宋体" w:hAnsi="宋体" w:eastAsia="宋体" w:cs="宋体"/>
          <w:b/>
          <w:sz w:val="28"/>
          <w:szCs w:val="28"/>
          <w:highlight w:val="none"/>
        </w:rPr>
      </w:pPr>
    </w:p>
    <w:p w14:paraId="0E3CC46E">
      <w:pPr>
        <w:pStyle w:val="9"/>
        <w:rPr>
          <w:rFonts w:hint="eastAsia" w:ascii="宋体" w:hAnsi="宋体" w:eastAsia="宋体" w:cs="宋体"/>
          <w:b/>
          <w:sz w:val="28"/>
          <w:szCs w:val="28"/>
          <w:highlight w:val="none"/>
        </w:rPr>
      </w:pPr>
    </w:p>
    <w:p w14:paraId="355F821E">
      <w:pPr>
        <w:rPr>
          <w:rFonts w:hint="eastAsia" w:ascii="宋体" w:hAnsi="宋体" w:eastAsia="宋体" w:cs="宋体"/>
          <w:b/>
          <w:sz w:val="28"/>
          <w:szCs w:val="28"/>
          <w:highlight w:val="none"/>
        </w:rPr>
      </w:pPr>
    </w:p>
    <w:p w14:paraId="47AC8D4D">
      <w:pPr>
        <w:pStyle w:val="9"/>
        <w:rPr>
          <w:rFonts w:hint="eastAsia" w:ascii="宋体" w:hAnsi="宋体" w:eastAsia="宋体" w:cs="宋体"/>
          <w:b/>
          <w:sz w:val="28"/>
          <w:szCs w:val="28"/>
          <w:highlight w:val="none"/>
        </w:rPr>
      </w:pPr>
    </w:p>
    <w:p w14:paraId="459859BD">
      <w:pPr>
        <w:rPr>
          <w:rFonts w:hint="eastAsia" w:ascii="宋体" w:hAnsi="宋体" w:eastAsia="宋体" w:cs="宋体"/>
          <w:b/>
          <w:sz w:val="28"/>
          <w:szCs w:val="28"/>
          <w:highlight w:val="none"/>
        </w:rPr>
      </w:pPr>
    </w:p>
    <w:p w14:paraId="7B209CB6">
      <w:pPr>
        <w:pStyle w:val="9"/>
        <w:rPr>
          <w:rFonts w:hint="eastAsia" w:ascii="宋体" w:hAnsi="宋体" w:eastAsia="宋体" w:cs="宋体"/>
          <w:highlight w:val="none"/>
        </w:rPr>
      </w:pPr>
    </w:p>
    <w:p w14:paraId="5E49DD34">
      <w:pPr>
        <w:rPr>
          <w:rFonts w:hint="eastAsia" w:ascii="宋体" w:hAnsi="宋体" w:eastAsia="宋体" w:cs="宋体"/>
          <w:highlight w:val="none"/>
        </w:rPr>
      </w:pPr>
    </w:p>
    <w:p w14:paraId="69680FAA">
      <w:pPr>
        <w:rPr>
          <w:rFonts w:hint="eastAsia" w:ascii="宋体" w:hAnsi="宋体" w:eastAsia="宋体" w:cs="宋体"/>
          <w:highlight w:val="none"/>
        </w:rPr>
      </w:pPr>
    </w:p>
    <w:p w14:paraId="40CF40D8">
      <w:pPr>
        <w:rPr>
          <w:rFonts w:hint="eastAsia" w:ascii="宋体" w:hAnsi="宋体" w:eastAsia="宋体" w:cs="宋体"/>
          <w:highlight w:val="none"/>
        </w:rPr>
      </w:pPr>
    </w:p>
    <w:p w14:paraId="041A84EF">
      <w:pPr>
        <w:rPr>
          <w:rFonts w:hint="eastAsia" w:ascii="宋体" w:hAnsi="宋体" w:eastAsia="宋体" w:cs="宋体"/>
          <w:highlight w:val="none"/>
        </w:rPr>
      </w:pPr>
    </w:p>
    <w:p w14:paraId="1EFAF085">
      <w:pPr>
        <w:rPr>
          <w:rFonts w:hint="eastAsia" w:ascii="宋体" w:hAnsi="宋体" w:eastAsia="宋体" w:cs="宋体"/>
          <w:highlight w:val="none"/>
        </w:rPr>
      </w:pPr>
    </w:p>
    <w:p w14:paraId="7D4BE593">
      <w:pPr>
        <w:spacing w:line="400" w:lineRule="exact"/>
        <w:rPr>
          <w:rFonts w:hint="eastAsia" w:ascii="宋体" w:hAnsi="宋体" w:eastAsia="宋体" w:cs="宋体"/>
          <w:b/>
          <w:bCs/>
          <w:sz w:val="28"/>
          <w:szCs w:val="28"/>
          <w:highlight w:val="none"/>
        </w:rPr>
      </w:pPr>
      <w:bookmarkStart w:id="454" w:name="_Toc497927072"/>
      <w:bookmarkStart w:id="455" w:name="_Toc17617"/>
      <w:bookmarkStart w:id="456" w:name="_Toc12920"/>
      <w:r>
        <w:rPr>
          <w:rFonts w:hint="eastAsia" w:ascii="宋体" w:hAnsi="宋体" w:eastAsia="宋体" w:cs="宋体"/>
          <w:b/>
          <w:bCs/>
          <w:sz w:val="28"/>
          <w:szCs w:val="28"/>
          <w:highlight w:val="none"/>
        </w:rPr>
        <w:t>1.响应函（格式见附件）（必须提供）</w:t>
      </w:r>
      <w:bookmarkEnd w:id="454"/>
      <w:bookmarkEnd w:id="455"/>
      <w:bookmarkEnd w:id="456"/>
    </w:p>
    <w:p w14:paraId="3173316F">
      <w:pPr>
        <w:pStyle w:val="25"/>
        <w:rPr>
          <w:rFonts w:hint="eastAsia" w:ascii="宋体" w:hAnsi="宋体" w:eastAsia="宋体" w:cs="宋体"/>
          <w:highlight w:val="none"/>
        </w:rPr>
      </w:pPr>
    </w:p>
    <w:p w14:paraId="03DD9E47">
      <w:pPr>
        <w:pStyle w:val="13"/>
        <w:rPr>
          <w:rFonts w:hint="eastAsia" w:ascii="宋体" w:hAnsi="宋体" w:eastAsia="宋体" w:cs="宋体"/>
          <w:b/>
          <w:sz w:val="32"/>
          <w:highlight w:val="none"/>
        </w:rPr>
      </w:pPr>
      <w:r>
        <w:rPr>
          <w:rFonts w:hint="eastAsia" w:ascii="宋体" w:hAnsi="宋体" w:eastAsia="宋体" w:cs="宋体"/>
          <w:b/>
          <w:sz w:val="32"/>
          <w:highlight w:val="none"/>
        </w:rPr>
        <w:t>附件：</w:t>
      </w:r>
    </w:p>
    <w:p w14:paraId="134E1554">
      <w:pPr>
        <w:pStyle w:val="13"/>
        <w:ind w:firstLine="800" w:firstLineChars="250"/>
        <w:jc w:val="center"/>
        <w:rPr>
          <w:rFonts w:hint="eastAsia" w:ascii="宋体" w:hAnsi="宋体" w:eastAsia="宋体" w:cs="宋体"/>
          <w:b/>
          <w:sz w:val="32"/>
          <w:highlight w:val="none"/>
        </w:rPr>
      </w:pPr>
      <w:bookmarkStart w:id="457" w:name="_Toc7273_WPSOffice_Level1"/>
      <w:bookmarkStart w:id="458" w:name="_Toc17832_WPSOffice_Level1"/>
      <w:r>
        <w:rPr>
          <w:rFonts w:hint="eastAsia" w:ascii="宋体" w:hAnsi="宋体" w:eastAsia="宋体" w:cs="宋体"/>
          <w:b/>
          <w:sz w:val="32"/>
          <w:highlight w:val="none"/>
        </w:rPr>
        <w:t>响 应 函 （格 式）</w:t>
      </w:r>
      <w:bookmarkEnd w:id="457"/>
      <w:bookmarkEnd w:id="458"/>
    </w:p>
    <w:p w14:paraId="2559ACDA">
      <w:pPr>
        <w:spacing w:line="240" w:lineRule="exact"/>
        <w:jc w:val="center"/>
        <w:rPr>
          <w:rFonts w:hint="eastAsia" w:ascii="宋体" w:hAnsi="宋体" w:eastAsia="宋体" w:cs="宋体"/>
          <w:sz w:val="32"/>
          <w:highlight w:val="none"/>
        </w:rPr>
      </w:pPr>
    </w:p>
    <w:p w14:paraId="4A083068">
      <w:pPr>
        <w:spacing w:line="400" w:lineRule="exact"/>
        <w:rPr>
          <w:rFonts w:hint="eastAsia" w:ascii="宋体" w:hAnsi="宋体" w:eastAsia="宋体" w:cs="宋体"/>
          <w:highlight w:val="none"/>
          <w:lang w:eastAsia="zh-CN"/>
        </w:rPr>
      </w:pPr>
      <w:r>
        <w:rPr>
          <w:rFonts w:hint="eastAsia" w:ascii="宋体" w:hAnsi="宋体" w:eastAsia="宋体" w:cs="宋体"/>
          <w:szCs w:val="21"/>
          <w:highlight w:val="none"/>
        </w:rPr>
        <w:t>致</w:t>
      </w:r>
      <w:r>
        <w:rPr>
          <w:rFonts w:hint="eastAsia" w:ascii="宋体" w:hAnsi="宋体" w:eastAsia="宋体" w:cs="宋体"/>
          <w:szCs w:val="21"/>
          <w:highlight w:val="none"/>
          <w:u w:val="single"/>
        </w:rPr>
        <w:t>：</w:t>
      </w:r>
      <w:r>
        <w:rPr>
          <w:rFonts w:hint="eastAsia" w:ascii="宋体" w:hAnsi="宋体" w:eastAsia="宋体" w:cs="宋体"/>
          <w:szCs w:val="21"/>
          <w:highlight w:val="none"/>
          <w:u w:val="single"/>
          <w:lang w:eastAsia="zh-CN"/>
        </w:rPr>
        <w:t>广西禾昇项目管理有限公司</w:t>
      </w:r>
    </w:p>
    <w:p w14:paraId="4A12B4BE">
      <w:pPr>
        <w:spacing w:line="400" w:lineRule="exact"/>
        <w:rPr>
          <w:rFonts w:hint="eastAsia" w:ascii="宋体" w:hAnsi="宋体" w:eastAsia="宋体" w:cs="宋体"/>
          <w:szCs w:val="21"/>
          <w:highlight w:val="none"/>
        </w:rPr>
      </w:pPr>
    </w:p>
    <w:p w14:paraId="5C6A499B">
      <w:pPr>
        <w:pStyle w:val="13"/>
        <w:spacing w:line="360" w:lineRule="exact"/>
        <w:ind w:firstLine="420"/>
        <w:rPr>
          <w:rFonts w:hint="eastAsia" w:ascii="宋体" w:hAnsi="宋体" w:eastAsia="宋体" w:cs="宋体"/>
          <w:highlight w:val="none"/>
        </w:rPr>
      </w:pPr>
      <w:r>
        <w:rPr>
          <w:rFonts w:hint="eastAsia" w:ascii="宋体" w:hAnsi="宋体" w:eastAsia="宋体" w:cs="宋体"/>
          <w:highlight w:val="none"/>
        </w:rPr>
        <w:t>根据贵方</w:t>
      </w:r>
      <w:r>
        <w:rPr>
          <w:rFonts w:hint="eastAsia" w:ascii="宋体" w:hAnsi="宋体" w:eastAsia="宋体" w:cs="宋体"/>
          <w:highlight w:val="none"/>
          <w:u w:val="single"/>
        </w:rPr>
        <w:t xml:space="preserve">       </w:t>
      </w:r>
      <w:r>
        <w:rPr>
          <w:rFonts w:hint="eastAsia" w:ascii="宋体" w:hAnsi="宋体" w:eastAsia="宋体" w:cs="宋体"/>
          <w:highlight w:val="none"/>
        </w:rPr>
        <w:t>项目竞争性磋商文件，项目编号：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，签字代表</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（姓名）经正式授权并代表供应商 </w:t>
      </w:r>
      <w:r>
        <w:rPr>
          <w:rFonts w:hint="eastAsia" w:ascii="宋体" w:hAnsi="宋体" w:eastAsia="宋体" w:cs="宋体"/>
          <w:highlight w:val="none"/>
          <w:u w:val="single"/>
        </w:rPr>
        <w:t xml:space="preserve">                                   （</w:t>
      </w:r>
      <w:r>
        <w:rPr>
          <w:rFonts w:hint="eastAsia" w:ascii="宋体" w:hAnsi="宋体" w:eastAsia="宋体" w:cs="宋体"/>
          <w:highlight w:val="none"/>
        </w:rPr>
        <w:t>供应商单位名称），提交电子响应文件。</w:t>
      </w:r>
    </w:p>
    <w:p w14:paraId="525E37DF">
      <w:pPr>
        <w:pStyle w:val="13"/>
        <w:spacing w:line="360" w:lineRule="exact"/>
        <w:ind w:firstLine="420"/>
        <w:rPr>
          <w:rFonts w:hint="eastAsia" w:ascii="宋体" w:hAnsi="宋体" w:eastAsia="宋体" w:cs="宋体"/>
          <w:highlight w:val="none"/>
        </w:rPr>
      </w:pPr>
      <w:r>
        <w:rPr>
          <w:rFonts w:hint="eastAsia" w:ascii="宋体" w:hAnsi="宋体" w:eastAsia="宋体" w:cs="宋体"/>
          <w:highlight w:val="none"/>
        </w:rPr>
        <w:t>据此函，签字代表宣布同意如下：</w:t>
      </w:r>
    </w:p>
    <w:p w14:paraId="0BF71216">
      <w:pPr>
        <w:pStyle w:val="13"/>
        <w:spacing w:line="360" w:lineRule="exact"/>
        <w:ind w:firstLine="420"/>
        <w:rPr>
          <w:rFonts w:hint="eastAsia" w:ascii="宋体" w:hAnsi="宋体" w:eastAsia="宋体" w:cs="宋体"/>
          <w:highlight w:val="none"/>
        </w:rPr>
      </w:pPr>
      <w:r>
        <w:rPr>
          <w:rFonts w:hint="eastAsia" w:ascii="宋体" w:hAnsi="宋体" w:eastAsia="宋体" w:cs="宋体"/>
          <w:highlight w:val="none"/>
        </w:rPr>
        <w:t>1. 按磋商文件采购需求和磋商报价表：</w:t>
      </w:r>
    </w:p>
    <w:p w14:paraId="6EAB62EB">
      <w:pPr>
        <w:pStyle w:val="13"/>
        <w:spacing w:line="360" w:lineRule="exact"/>
        <w:ind w:firstLine="420"/>
        <w:rPr>
          <w:rFonts w:hint="eastAsia" w:ascii="宋体" w:hAnsi="宋体" w:eastAsia="宋体" w:cs="宋体"/>
          <w:highlight w:val="none"/>
        </w:rPr>
      </w:pPr>
      <w:r>
        <w:rPr>
          <w:rFonts w:hint="eastAsia" w:ascii="宋体" w:hAnsi="宋体" w:eastAsia="宋体" w:cs="宋体"/>
          <w:highlight w:val="none"/>
        </w:rPr>
        <w:t>磋商报价</w:t>
      </w:r>
      <w:r>
        <w:rPr>
          <w:rFonts w:hint="eastAsia" w:ascii="宋体" w:hAnsi="宋体" w:eastAsia="宋体" w:cs="宋体"/>
          <w:highlight w:val="none"/>
          <w:lang w:val="en-US" w:eastAsia="zh-CN"/>
        </w:rPr>
        <w:t>折扣率</w:t>
      </w:r>
      <w:r>
        <w:rPr>
          <w:rFonts w:hint="eastAsia" w:ascii="宋体" w:hAnsi="宋体" w:eastAsia="宋体" w:cs="宋体"/>
          <w:highlight w:val="none"/>
          <w:u w:val="single"/>
        </w:rPr>
        <w:t xml:space="preserve">        </w:t>
      </w:r>
      <w:r>
        <w:rPr>
          <w:rFonts w:hint="eastAsia" w:ascii="宋体" w:hAnsi="宋体" w:eastAsia="宋体" w:cs="宋体"/>
          <w:highlight w:val="none"/>
          <w:u w:val="none"/>
        </w:rPr>
        <w:t xml:space="preserve"> </w:t>
      </w:r>
      <w:r>
        <w:rPr>
          <w:rFonts w:hint="eastAsia" w:ascii="宋体" w:hAnsi="宋体" w:eastAsia="宋体" w:cs="宋体"/>
          <w:highlight w:val="none"/>
          <w:u w:val="none"/>
          <w:lang w:val="en-US" w:eastAsia="zh-CN"/>
        </w:rPr>
        <w:t>%</w:t>
      </w:r>
      <w:r>
        <w:rPr>
          <w:rFonts w:hint="eastAsia" w:ascii="宋体" w:hAnsi="宋体" w:eastAsia="宋体" w:cs="宋体"/>
          <w:highlight w:val="none"/>
        </w:rPr>
        <w:t>。</w:t>
      </w:r>
    </w:p>
    <w:p w14:paraId="5708FD2A">
      <w:pPr>
        <w:pStyle w:val="13"/>
        <w:spacing w:line="360" w:lineRule="exact"/>
        <w:ind w:firstLine="420"/>
        <w:rPr>
          <w:rFonts w:hint="eastAsia" w:ascii="宋体" w:hAnsi="宋体" w:eastAsia="宋体" w:cs="宋体"/>
          <w:highlight w:val="none"/>
        </w:rPr>
      </w:pPr>
      <w:r>
        <w:rPr>
          <w:rFonts w:hint="eastAsia" w:ascii="宋体" w:hAnsi="宋体" w:eastAsia="宋体" w:cs="宋体"/>
          <w:highlight w:val="none"/>
        </w:rPr>
        <w:t>2.我方承诺已具备磋商文件规定的供应商资格条件。</w:t>
      </w:r>
    </w:p>
    <w:p w14:paraId="68EA590B">
      <w:pPr>
        <w:pStyle w:val="13"/>
        <w:spacing w:line="360" w:lineRule="exact"/>
        <w:ind w:firstLine="420"/>
        <w:rPr>
          <w:rFonts w:hint="eastAsia" w:ascii="宋体" w:hAnsi="宋体" w:eastAsia="宋体" w:cs="宋体"/>
          <w:highlight w:val="none"/>
        </w:rPr>
      </w:pPr>
      <w:r>
        <w:rPr>
          <w:rFonts w:hint="eastAsia" w:ascii="宋体" w:hAnsi="宋体" w:eastAsia="宋体" w:cs="宋体"/>
          <w:highlight w:val="none"/>
        </w:rPr>
        <w:t>3.我方已详细审核磋商文件，包括修改文件（如有的话）和有关附件，将自行承担因对全部磋商文件理解不正确或误解而产生的相应后果。</w:t>
      </w:r>
    </w:p>
    <w:p w14:paraId="3E1790A8">
      <w:pPr>
        <w:pStyle w:val="13"/>
        <w:spacing w:line="360" w:lineRule="exact"/>
        <w:ind w:firstLine="420"/>
        <w:rPr>
          <w:rFonts w:hint="eastAsia" w:ascii="宋体" w:hAnsi="宋体" w:eastAsia="宋体" w:cs="宋体"/>
          <w:highlight w:val="none"/>
        </w:rPr>
      </w:pPr>
      <w:r>
        <w:rPr>
          <w:rFonts w:hint="eastAsia" w:ascii="宋体" w:hAnsi="宋体" w:eastAsia="宋体" w:cs="宋体"/>
          <w:highlight w:val="none"/>
        </w:rPr>
        <w:t>4. 响应文件有效期为</w:t>
      </w:r>
      <w:r>
        <w:rPr>
          <w:rFonts w:hint="eastAsia" w:ascii="宋体" w:hAnsi="宋体" w:eastAsia="宋体" w:cs="宋体"/>
          <w:szCs w:val="21"/>
          <w:highlight w:val="none"/>
        </w:rPr>
        <w:t>响应文件递交截止时间之日起90天。</w:t>
      </w:r>
    </w:p>
    <w:p w14:paraId="2BA6A8DA">
      <w:pPr>
        <w:pStyle w:val="13"/>
        <w:spacing w:line="360" w:lineRule="exact"/>
        <w:ind w:firstLine="420"/>
        <w:rPr>
          <w:rFonts w:hint="eastAsia" w:ascii="宋体" w:hAnsi="宋体" w:eastAsia="宋体" w:cs="宋体"/>
          <w:highlight w:val="none"/>
        </w:rPr>
      </w:pPr>
      <w:r>
        <w:rPr>
          <w:rFonts w:hint="eastAsia" w:ascii="宋体" w:hAnsi="宋体" w:eastAsia="宋体" w:cs="宋体"/>
          <w:highlight w:val="none"/>
        </w:rPr>
        <w:t>5. 如我方成交：</w:t>
      </w:r>
    </w:p>
    <w:p w14:paraId="4CAA87C7">
      <w:pPr>
        <w:pStyle w:val="13"/>
        <w:spacing w:line="360" w:lineRule="exact"/>
        <w:ind w:firstLine="420"/>
        <w:rPr>
          <w:rFonts w:hint="eastAsia" w:ascii="宋体" w:hAnsi="宋体" w:eastAsia="宋体" w:cs="宋体"/>
          <w:highlight w:val="none"/>
        </w:rPr>
      </w:pPr>
      <w:r>
        <w:rPr>
          <w:rFonts w:hint="eastAsia" w:ascii="宋体" w:hAnsi="宋体" w:eastAsia="宋体" w:cs="宋体"/>
          <w:highlight w:val="none"/>
        </w:rPr>
        <w:t>（1）我方承诺在收到成交通知书后，在成交通知书规定的期限内与采购人签订合同。</w:t>
      </w:r>
    </w:p>
    <w:p w14:paraId="5E8D7A94">
      <w:pPr>
        <w:pStyle w:val="13"/>
        <w:spacing w:line="36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（2）我方承诺按照磋商文件规定递交履约担保。</w:t>
      </w:r>
    </w:p>
    <w:p w14:paraId="71E69DA7">
      <w:pPr>
        <w:pStyle w:val="13"/>
        <w:spacing w:line="36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（3）我方承诺本响应文件至本项目合同履行完毕止均保持有效，按磋商文件及政府采购法律、法规的规定履行合同责任和义务。</w:t>
      </w:r>
    </w:p>
    <w:p w14:paraId="14DACF60">
      <w:pPr>
        <w:pStyle w:val="13"/>
        <w:spacing w:line="36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与本项目有关的正式通讯地址为：</w:t>
      </w:r>
    </w:p>
    <w:p w14:paraId="0C569148">
      <w:pPr>
        <w:rPr>
          <w:rFonts w:hint="eastAsia" w:ascii="宋体" w:hAnsi="宋体" w:eastAsia="宋体" w:cs="宋体"/>
          <w:szCs w:val="21"/>
          <w:highlight w:val="none"/>
        </w:rPr>
      </w:pPr>
    </w:p>
    <w:p w14:paraId="40AC4AB8">
      <w:pPr>
        <w:pStyle w:val="13"/>
        <w:spacing w:line="320" w:lineRule="exact"/>
        <w:ind w:firstLine="420"/>
        <w:rPr>
          <w:rFonts w:hint="eastAsia" w:ascii="宋体" w:hAnsi="宋体" w:eastAsia="宋体" w:cs="宋体"/>
          <w:szCs w:val="21"/>
          <w:highlight w:val="none"/>
          <w:u w:val="singl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邮编：</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电话、传真：</w:t>
      </w:r>
      <w:r>
        <w:rPr>
          <w:rFonts w:hint="eastAsia" w:ascii="宋体" w:hAnsi="宋体" w:eastAsia="宋体" w:cs="宋体"/>
          <w:szCs w:val="21"/>
          <w:highlight w:val="none"/>
          <w:u w:val="single"/>
        </w:rPr>
        <w:t xml:space="preserve">            </w:t>
      </w:r>
    </w:p>
    <w:p w14:paraId="00B05ABE">
      <w:pPr>
        <w:pStyle w:val="13"/>
        <w:spacing w:line="32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开户名称：</w:t>
      </w:r>
      <w:r>
        <w:rPr>
          <w:rFonts w:hint="eastAsia" w:ascii="宋体" w:hAnsi="宋体" w:eastAsia="宋体" w:cs="宋体"/>
          <w:szCs w:val="21"/>
          <w:highlight w:val="none"/>
          <w:u w:val="single"/>
        </w:rPr>
        <w:t xml:space="preserve">                                        </w:t>
      </w:r>
    </w:p>
    <w:p w14:paraId="475919DA">
      <w:pPr>
        <w:pStyle w:val="13"/>
        <w:spacing w:line="32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开户银行：</w:t>
      </w:r>
      <w:r>
        <w:rPr>
          <w:rFonts w:hint="eastAsia" w:ascii="宋体" w:hAnsi="宋体" w:eastAsia="宋体" w:cs="宋体"/>
          <w:szCs w:val="21"/>
          <w:highlight w:val="none"/>
          <w:u w:val="single"/>
        </w:rPr>
        <w:t xml:space="preserve">                               　       </w:t>
      </w:r>
    </w:p>
    <w:p w14:paraId="1D7CCF6C">
      <w:pPr>
        <w:pStyle w:val="13"/>
        <w:spacing w:line="32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账号：</w:t>
      </w:r>
      <w:r>
        <w:rPr>
          <w:rFonts w:hint="eastAsia" w:ascii="宋体" w:hAnsi="宋体" w:eastAsia="宋体" w:cs="宋体"/>
          <w:szCs w:val="21"/>
          <w:highlight w:val="none"/>
          <w:u w:val="single"/>
        </w:rPr>
        <w:t xml:space="preserve">                                   　　　   </w:t>
      </w:r>
    </w:p>
    <w:p w14:paraId="7796CEA2">
      <w:pPr>
        <w:pStyle w:val="13"/>
        <w:spacing w:line="320" w:lineRule="exact"/>
        <w:ind w:firstLine="420"/>
        <w:rPr>
          <w:rFonts w:hint="eastAsia" w:ascii="宋体" w:hAnsi="宋体" w:eastAsia="宋体" w:cs="宋体"/>
          <w:bCs/>
          <w:szCs w:val="21"/>
          <w:highlight w:val="none"/>
          <w:u w:val="single"/>
        </w:rPr>
      </w:pPr>
      <w:r>
        <w:rPr>
          <w:rFonts w:hint="eastAsia" w:ascii="宋体" w:hAnsi="宋体" w:eastAsia="宋体" w:cs="宋体"/>
          <w:bCs/>
          <w:szCs w:val="21"/>
          <w:highlight w:val="none"/>
        </w:rPr>
        <w:t>供应商[公章(CA签章)、自然人除外]：</w:t>
      </w:r>
      <w:r>
        <w:rPr>
          <w:rFonts w:hint="eastAsia" w:ascii="宋体" w:hAnsi="宋体" w:eastAsia="宋体" w:cs="宋体"/>
          <w:bCs/>
          <w:szCs w:val="21"/>
          <w:highlight w:val="none"/>
          <w:u w:val="single"/>
        </w:rPr>
        <w:t xml:space="preserve">                              </w:t>
      </w:r>
    </w:p>
    <w:p w14:paraId="41EA5EA4">
      <w:pPr>
        <w:pStyle w:val="13"/>
        <w:spacing w:line="320" w:lineRule="exact"/>
        <w:ind w:firstLine="420"/>
        <w:rPr>
          <w:rFonts w:hint="eastAsia" w:ascii="宋体" w:hAnsi="宋体" w:eastAsia="宋体" w:cs="宋体"/>
          <w:szCs w:val="21"/>
          <w:highlight w:val="none"/>
          <w:u w:val="single"/>
        </w:rPr>
      </w:pPr>
      <w:r>
        <w:rPr>
          <w:rFonts w:hint="eastAsia" w:ascii="宋体" w:hAnsi="宋体" w:eastAsia="宋体" w:cs="宋体"/>
          <w:szCs w:val="21"/>
          <w:highlight w:val="none"/>
        </w:rPr>
        <w:t>法定代表人、负责人、自然人或相应的委托代理人签字[或盖章(CA签章)]（属自然人的应在签名处加盖大拇指指印或个人CA签章）：</w:t>
      </w:r>
      <w:r>
        <w:rPr>
          <w:rFonts w:hint="eastAsia" w:ascii="宋体" w:hAnsi="宋体" w:eastAsia="宋体" w:cs="宋体"/>
          <w:szCs w:val="21"/>
          <w:highlight w:val="none"/>
          <w:u w:val="single"/>
        </w:rPr>
        <w:t xml:space="preserve">              </w:t>
      </w:r>
    </w:p>
    <w:p w14:paraId="0ACFA133">
      <w:pPr>
        <w:pStyle w:val="13"/>
        <w:spacing w:line="320" w:lineRule="exact"/>
        <w:ind w:firstLine="420"/>
        <w:rPr>
          <w:rFonts w:hint="eastAsia" w:ascii="宋体" w:hAnsi="宋体" w:eastAsia="宋体" w:cs="宋体"/>
          <w:szCs w:val="21"/>
          <w:highlight w:val="none"/>
          <w:u w:val="single"/>
        </w:rPr>
      </w:pPr>
      <w:r>
        <w:rPr>
          <w:rFonts w:hint="eastAsia" w:ascii="宋体" w:hAnsi="宋体" w:eastAsia="宋体" w:cs="宋体"/>
          <w:bCs/>
          <w:szCs w:val="21"/>
          <w:highlight w:val="none"/>
        </w:rPr>
        <w:t>响应</w:t>
      </w: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p>
    <w:p w14:paraId="5A7D3C47">
      <w:pPr>
        <w:pStyle w:val="13"/>
        <w:spacing w:line="320" w:lineRule="exact"/>
        <w:ind w:firstLine="420"/>
        <w:rPr>
          <w:rFonts w:hint="eastAsia" w:ascii="宋体" w:hAnsi="宋体" w:eastAsia="宋体" w:cs="宋体"/>
          <w:szCs w:val="21"/>
          <w:highlight w:val="none"/>
        </w:rPr>
      </w:pPr>
    </w:p>
    <w:p w14:paraId="6259D74D">
      <w:pPr>
        <w:pStyle w:val="13"/>
        <w:spacing w:line="320" w:lineRule="exact"/>
        <w:ind w:firstLine="420"/>
        <w:rPr>
          <w:rFonts w:hint="eastAsia" w:ascii="宋体" w:hAnsi="宋体" w:eastAsia="宋体" w:cs="宋体"/>
          <w:szCs w:val="21"/>
          <w:highlight w:val="none"/>
        </w:rPr>
      </w:pPr>
    </w:p>
    <w:p w14:paraId="574753EB">
      <w:pPr>
        <w:pStyle w:val="13"/>
        <w:spacing w:line="320" w:lineRule="exact"/>
        <w:ind w:firstLine="420"/>
        <w:rPr>
          <w:rFonts w:hint="eastAsia" w:ascii="宋体" w:hAnsi="宋体" w:eastAsia="宋体" w:cs="宋体"/>
          <w:szCs w:val="21"/>
          <w:highlight w:val="none"/>
        </w:rPr>
      </w:pPr>
    </w:p>
    <w:p w14:paraId="1C553440">
      <w:pPr>
        <w:pStyle w:val="13"/>
        <w:spacing w:line="320" w:lineRule="exact"/>
        <w:ind w:firstLine="420"/>
        <w:rPr>
          <w:rFonts w:hint="eastAsia" w:ascii="宋体" w:hAnsi="宋体" w:eastAsia="宋体" w:cs="宋体"/>
          <w:szCs w:val="21"/>
          <w:highlight w:val="none"/>
        </w:rPr>
      </w:pPr>
    </w:p>
    <w:p w14:paraId="247FCC67">
      <w:pPr>
        <w:pStyle w:val="13"/>
        <w:spacing w:line="320" w:lineRule="exact"/>
        <w:ind w:firstLine="420"/>
        <w:rPr>
          <w:rFonts w:hint="eastAsia" w:ascii="宋体" w:hAnsi="宋体" w:eastAsia="宋体" w:cs="宋体"/>
          <w:szCs w:val="21"/>
          <w:highlight w:val="none"/>
        </w:rPr>
      </w:pPr>
    </w:p>
    <w:p w14:paraId="7610055E">
      <w:pPr>
        <w:pStyle w:val="13"/>
        <w:spacing w:line="320" w:lineRule="exact"/>
        <w:ind w:firstLine="420"/>
        <w:rPr>
          <w:rFonts w:hint="eastAsia" w:ascii="宋体" w:hAnsi="宋体" w:eastAsia="宋体" w:cs="宋体"/>
          <w:szCs w:val="21"/>
          <w:highlight w:val="none"/>
        </w:rPr>
      </w:pPr>
    </w:p>
    <w:p w14:paraId="4FAAB1BF">
      <w:pPr>
        <w:pStyle w:val="13"/>
        <w:spacing w:line="340" w:lineRule="exact"/>
        <w:rPr>
          <w:rFonts w:hint="eastAsia" w:ascii="宋体" w:hAnsi="宋体" w:eastAsia="宋体" w:cs="宋体"/>
          <w:b/>
          <w:sz w:val="28"/>
          <w:szCs w:val="28"/>
          <w:highlight w:val="none"/>
        </w:rPr>
      </w:pPr>
    </w:p>
    <w:p w14:paraId="6E2985C2">
      <w:pPr>
        <w:pStyle w:val="13"/>
        <w:spacing w:line="340" w:lineRule="exact"/>
        <w:rPr>
          <w:rFonts w:hint="eastAsia" w:ascii="宋体" w:hAnsi="宋体" w:eastAsia="宋体" w:cs="宋体"/>
          <w:b/>
          <w:sz w:val="28"/>
          <w:szCs w:val="28"/>
          <w:highlight w:val="none"/>
        </w:rPr>
      </w:pPr>
    </w:p>
    <w:p w14:paraId="1581CC08">
      <w:pPr>
        <w:pStyle w:val="13"/>
        <w:spacing w:line="340" w:lineRule="exact"/>
        <w:rPr>
          <w:rFonts w:hint="eastAsia" w:ascii="宋体" w:hAnsi="宋体" w:eastAsia="宋体" w:cs="宋体"/>
          <w:highlight w:val="none"/>
        </w:rPr>
      </w:pPr>
      <w:r>
        <w:rPr>
          <w:rFonts w:hint="eastAsia" w:ascii="宋体" w:hAnsi="宋体" w:eastAsia="宋体" w:cs="宋体"/>
          <w:b/>
          <w:sz w:val="28"/>
          <w:szCs w:val="28"/>
          <w:highlight w:val="none"/>
        </w:rPr>
        <w:t>2. 磋商报价表（必须提供）；</w:t>
      </w:r>
    </w:p>
    <w:p w14:paraId="7BF6435F">
      <w:pPr>
        <w:pStyle w:val="13"/>
        <w:spacing w:line="320" w:lineRule="exact"/>
        <w:jc w:val="left"/>
        <w:rPr>
          <w:rFonts w:hint="eastAsia" w:ascii="宋体" w:hAnsi="宋体" w:eastAsia="宋体" w:cs="宋体"/>
          <w:b/>
          <w:sz w:val="28"/>
          <w:szCs w:val="28"/>
          <w:highlight w:val="none"/>
        </w:rPr>
      </w:pPr>
    </w:p>
    <w:p w14:paraId="38955AC1">
      <w:pPr>
        <w:pStyle w:val="6"/>
        <w:ind w:left="0"/>
        <w:rPr>
          <w:rFonts w:hint="eastAsia" w:ascii="宋体" w:hAnsi="宋体" w:eastAsia="宋体" w:cs="宋体"/>
          <w:color w:val="000000"/>
          <w:highlight w:val="none"/>
        </w:rPr>
      </w:pPr>
      <w:r>
        <w:rPr>
          <w:rFonts w:hint="eastAsia" w:ascii="宋体" w:hAnsi="宋体" w:eastAsia="宋体" w:cs="宋体"/>
          <w:b/>
          <w:bCs/>
          <w:color w:val="000000"/>
          <w:sz w:val="30"/>
          <w:szCs w:val="30"/>
          <w:highlight w:val="none"/>
        </w:rPr>
        <w:t>附件：</w:t>
      </w:r>
    </w:p>
    <w:p w14:paraId="7645D7A8">
      <w:pPr>
        <w:pStyle w:val="13"/>
        <w:spacing w:line="480" w:lineRule="exact"/>
        <w:ind w:left="420"/>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磋商报价表（格式）</w:t>
      </w:r>
    </w:p>
    <w:tbl>
      <w:tblPr>
        <w:tblStyle w:val="21"/>
        <w:tblW w:w="1023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9"/>
        <w:gridCol w:w="3256"/>
        <w:gridCol w:w="3591"/>
        <w:gridCol w:w="1454"/>
        <w:gridCol w:w="1257"/>
      </w:tblGrid>
      <w:tr w14:paraId="0928F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679" w:type="dxa"/>
            <w:tcBorders>
              <w:top w:val="single" w:color="auto" w:sz="4" w:space="0"/>
              <w:bottom w:val="single" w:color="auto" w:sz="4" w:space="0"/>
              <w:right w:val="single" w:color="auto" w:sz="4" w:space="0"/>
            </w:tcBorders>
            <w:vAlign w:val="center"/>
          </w:tcPr>
          <w:p w14:paraId="1A956BF4">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项号</w:t>
            </w:r>
          </w:p>
        </w:tc>
        <w:tc>
          <w:tcPr>
            <w:tcW w:w="3256" w:type="dxa"/>
            <w:tcBorders>
              <w:top w:val="single" w:color="auto" w:sz="4" w:space="0"/>
              <w:left w:val="single" w:color="auto" w:sz="4" w:space="0"/>
              <w:bottom w:val="single" w:color="auto" w:sz="4" w:space="0"/>
              <w:right w:val="single" w:color="auto" w:sz="4" w:space="0"/>
            </w:tcBorders>
            <w:vAlign w:val="center"/>
          </w:tcPr>
          <w:p w14:paraId="0E316313">
            <w:pPr>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项目</w:t>
            </w:r>
            <w:r>
              <w:rPr>
                <w:rFonts w:hint="eastAsia" w:ascii="宋体" w:hAnsi="宋体" w:eastAsia="宋体" w:cs="宋体"/>
                <w:color w:val="000000"/>
                <w:szCs w:val="21"/>
                <w:highlight w:val="none"/>
              </w:rPr>
              <w:t>名称</w:t>
            </w:r>
          </w:p>
        </w:tc>
        <w:tc>
          <w:tcPr>
            <w:tcW w:w="3591" w:type="dxa"/>
            <w:tcBorders>
              <w:top w:val="single" w:color="auto" w:sz="4" w:space="0"/>
              <w:left w:val="single" w:color="auto" w:sz="4" w:space="0"/>
              <w:bottom w:val="single" w:color="auto" w:sz="4" w:space="0"/>
              <w:right w:val="single" w:color="auto" w:sz="4" w:space="0"/>
            </w:tcBorders>
            <w:vAlign w:val="center"/>
          </w:tcPr>
          <w:p w14:paraId="3C965FF1">
            <w:pPr>
              <w:spacing w:line="300" w:lineRule="exact"/>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内容</w:t>
            </w:r>
          </w:p>
        </w:tc>
        <w:tc>
          <w:tcPr>
            <w:tcW w:w="1454" w:type="dxa"/>
            <w:tcBorders>
              <w:top w:val="single" w:color="auto" w:sz="4" w:space="0"/>
              <w:left w:val="single" w:color="auto" w:sz="4" w:space="0"/>
              <w:bottom w:val="single" w:color="auto" w:sz="4" w:space="0"/>
              <w:right w:val="single" w:color="auto" w:sz="4" w:space="0"/>
            </w:tcBorders>
            <w:vAlign w:val="center"/>
          </w:tcPr>
          <w:p w14:paraId="46378D29">
            <w:pPr>
              <w:spacing w:line="300" w:lineRule="exact"/>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磋商报价折扣率（%）</w:t>
            </w:r>
          </w:p>
        </w:tc>
        <w:tc>
          <w:tcPr>
            <w:tcW w:w="1257" w:type="dxa"/>
            <w:tcBorders>
              <w:top w:val="single" w:color="auto" w:sz="4" w:space="0"/>
              <w:bottom w:val="single" w:color="auto" w:sz="4" w:space="0"/>
            </w:tcBorders>
            <w:vAlign w:val="center"/>
          </w:tcPr>
          <w:p w14:paraId="6DD72FC7">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r>
      <w:tr w14:paraId="4F5ED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6" w:hRule="exact"/>
        </w:trPr>
        <w:tc>
          <w:tcPr>
            <w:tcW w:w="679" w:type="dxa"/>
            <w:tcBorders>
              <w:top w:val="single" w:color="auto" w:sz="4" w:space="0"/>
              <w:bottom w:val="single" w:color="auto" w:sz="4" w:space="0"/>
              <w:right w:val="single" w:color="auto" w:sz="4" w:space="0"/>
            </w:tcBorders>
            <w:vAlign w:val="center"/>
          </w:tcPr>
          <w:p w14:paraId="4364D918">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3256" w:type="dxa"/>
            <w:tcBorders>
              <w:top w:val="single" w:color="auto" w:sz="4" w:space="0"/>
              <w:left w:val="single" w:color="auto" w:sz="4" w:space="0"/>
              <w:bottom w:val="single" w:color="auto" w:sz="4" w:space="0"/>
              <w:right w:val="single" w:color="auto" w:sz="4" w:space="0"/>
            </w:tcBorders>
            <w:vAlign w:val="center"/>
          </w:tcPr>
          <w:p w14:paraId="74436A70">
            <w:pPr>
              <w:spacing w:line="360" w:lineRule="auto"/>
              <w:jc w:val="center"/>
              <w:rPr>
                <w:rFonts w:hint="eastAsia" w:ascii="宋体" w:hAnsi="宋体" w:eastAsia="宋体" w:cs="宋体"/>
                <w:color w:val="000000"/>
                <w:szCs w:val="21"/>
                <w:highlight w:val="none"/>
              </w:rPr>
            </w:pPr>
          </w:p>
        </w:tc>
        <w:tc>
          <w:tcPr>
            <w:tcW w:w="3591" w:type="dxa"/>
            <w:tcBorders>
              <w:top w:val="single" w:color="auto" w:sz="4" w:space="0"/>
              <w:left w:val="single" w:color="auto" w:sz="4" w:space="0"/>
              <w:bottom w:val="single" w:color="auto" w:sz="4" w:space="0"/>
              <w:right w:val="single" w:color="auto" w:sz="4" w:space="0"/>
            </w:tcBorders>
            <w:vAlign w:val="center"/>
          </w:tcPr>
          <w:p w14:paraId="1809667E">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采购需求中的所有内容</w:t>
            </w:r>
          </w:p>
        </w:tc>
        <w:tc>
          <w:tcPr>
            <w:tcW w:w="1454" w:type="dxa"/>
            <w:tcBorders>
              <w:top w:val="single" w:color="auto" w:sz="4" w:space="0"/>
              <w:left w:val="single" w:color="auto" w:sz="4" w:space="0"/>
              <w:bottom w:val="single" w:color="auto" w:sz="4" w:space="0"/>
              <w:right w:val="single" w:color="auto" w:sz="4" w:space="0"/>
            </w:tcBorders>
            <w:vAlign w:val="center"/>
          </w:tcPr>
          <w:p w14:paraId="5A97EC53">
            <w:pPr>
              <w:jc w:val="center"/>
              <w:rPr>
                <w:rFonts w:hint="eastAsia" w:ascii="宋体" w:hAnsi="宋体" w:eastAsia="宋体" w:cs="宋体"/>
                <w:color w:val="000000"/>
                <w:szCs w:val="21"/>
                <w:highlight w:val="none"/>
              </w:rPr>
            </w:pPr>
          </w:p>
        </w:tc>
        <w:tc>
          <w:tcPr>
            <w:tcW w:w="1257" w:type="dxa"/>
            <w:tcBorders>
              <w:top w:val="single" w:color="auto" w:sz="4" w:space="0"/>
              <w:bottom w:val="single" w:color="auto" w:sz="4" w:space="0"/>
            </w:tcBorders>
            <w:vAlign w:val="center"/>
          </w:tcPr>
          <w:p w14:paraId="4400470F">
            <w:pPr>
              <w:spacing w:line="300" w:lineRule="exact"/>
              <w:jc w:val="center"/>
              <w:rPr>
                <w:rFonts w:hint="eastAsia" w:ascii="宋体" w:hAnsi="宋体" w:eastAsia="宋体" w:cs="宋体"/>
                <w:b/>
                <w:bCs/>
                <w:color w:val="000000"/>
                <w:szCs w:val="21"/>
                <w:highlight w:val="none"/>
              </w:rPr>
            </w:pPr>
          </w:p>
        </w:tc>
      </w:tr>
      <w:tr w14:paraId="1EDA0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85" w:hRule="exact"/>
        </w:trPr>
        <w:tc>
          <w:tcPr>
            <w:tcW w:w="10237" w:type="dxa"/>
            <w:gridSpan w:val="5"/>
            <w:tcBorders>
              <w:top w:val="single" w:color="auto" w:sz="4" w:space="0"/>
              <w:bottom w:val="single" w:color="auto" w:sz="4" w:space="0"/>
            </w:tcBorders>
            <w:vAlign w:val="center"/>
          </w:tcPr>
          <w:p w14:paraId="04A1C274">
            <w:pPr>
              <w:pStyle w:val="18"/>
              <w:keepNext w:val="0"/>
              <w:keepLines w:val="0"/>
              <w:widowControl/>
              <w:suppressLineNumbers w:val="0"/>
              <w:spacing w:line="266" w:lineRule="auto"/>
              <w:ind w:left="0" w:firstLine="420"/>
              <w:jc w:val="left"/>
              <w:textAlignment w:val="center"/>
              <w:rPr>
                <w:rFonts w:hint="eastAsia" w:ascii="宋体" w:hAnsi="宋体" w:eastAsia="宋体" w:cs="宋体"/>
                <w:highlight w:val="none"/>
              </w:rPr>
            </w:pPr>
            <w:r>
              <w:rPr>
                <w:rFonts w:hint="eastAsia" w:ascii="宋体" w:hAnsi="宋体" w:eastAsia="宋体" w:cs="宋体"/>
                <w:color w:val="000000"/>
                <w:spacing w:val="0"/>
                <w:position w:val="0"/>
                <w:sz w:val="20"/>
                <w:szCs w:val="20"/>
                <w:highlight w:val="none"/>
              </w:rPr>
              <w:t>说明：磋商报价应包括项目需求中全部服务内容价款及服务所需的各项保费、设施、材料、技术、劳务、交通、差旅、现场服务、税费及其他所有成本费用的总和。供应商应综合考虑在报价中，采购人不再另行支付磋商报价之外的任何费用。</w:t>
            </w:r>
          </w:p>
          <w:p w14:paraId="478E309B">
            <w:pPr>
              <w:spacing w:line="300" w:lineRule="exact"/>
              <w:jc w:val="center"/>
              <w:rPr>
                <w:rFonts w:hint="eastAsia" w:ascii="宋体" w:hAnsi="宋体" w:eastAsia="宋体" w:cs="宋体"/>
                <w:b/>
                <w:bCs/>
                <w:color w:val="000000"/>
                <w:szCs w:val="21"/>
                <w:highlight w:val="none"/>
              </w:rPr>
            </w:pPr>
          </w:p>
        </w:tc>
      </w:tr>
    </w:tbl>
    <w:p w14:paraId="581230B1">
      <w:pPr>
        <w:spacing w:line="340" w:lineRule="exact"/>
        <w:rPr>
          <w:rFonts w:hint="eastAsia" w:ascii="宋体" w:hAnsi="宋体" w:eastAsia="宋体" w:cs="宋体"/>
          <w:color w:val="000000"/>
          <w:szCs w:val="21"/>
          <w:highlight w:val="none"/>
        </w:rPr>
      </w:pPr>
    </w:p>
    <w:p w14:paraId="6F9DB57A">
      <w:pPr>
        <w:spacing w:line="340" w:lineRule="exac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供应商（CA签章，自然人除外）：</w:t>
      </w:r>
      <w:r>
        <w:rPr>
          <w:rFonts w:hint="eastAsia" w:ascii="宋体" w:hAnsi="宋体" w:eastAsia="宋体" w:cs="宋体"/>
          <w:color w:val="000000"/>
          <w:szCs w:val="21"/>
          <w:highlight w:val="none"/>
          <w:u w:val="single"/>
        </w:rPr>
        <w:t xml:space="preserve">                                        </w:t>
      </w:r>
    </w:p>
    <w:p w14:paraId="0391A312">
      <w:pPr>
        <w:spacing w:line="340" w:lineRule="exact"/>
        <w:rPr>
          <w:rFonts w:hint="eastAsia" w:ascii="宋体" w:hAnsi="宋体" w:eastAsia="宋体" w:cs="宋体"/>
          <w:color w:val="000000"/>
          <w:szCs w:val="21"/>
          <w:highlight w:val="none"/>
          <w:u w:val="single"/>
        </w:rPr>
      </w:pPr>
      <w:r>
        <w:rPr>
          <w:rFonts w:hint="eastAsia" w:ascii="宋体" w:hAnsi="宋体" w:eastAsia="宋体" w:cs="宋体"/>
          <w:color w:val="000000"/>
          <w:highlight w:val="none"/>
        </w:rPr>
        <w:t>法定代表人、负责人、自然人或相应的委托代理人签字或个人CA签章（属自然人的应在签名处加盖食指指印或个人CA签章）：</w:t>
      </w:r>
      <w:r>
        <w:rPr>
          <w:rFonts w:hint="eastAsia" w:ascii="宋体" w:hAnsi="宋体" w:eastAsia="宋体" w:cs="宋体"/>
          <w:color w:val="000000"/>
          <w:szCs w:val="21"/>
          <w:highlight w:val="none"/>
          <w:u w:val="single"/>
        </w:rPr>
        <w:t xml:space="preserve">                                    </w:t>
      </w:r>
    </w:p>
    <w:p w14:paraId="53DA2CF2">
      <w:pPr>
        <w:tabs>
          <w:tab w:val="left" w:pos="1305"/>
        </w:tabs>
        <w:spacing w:line="340" w:lineRule="exact"/>
        <w:rPr>
          <w:rFonts w:hint="eastAsia" w:ascii="宋体" w:hAnsi="宋体" w:eastAsia="宋体" w:cs="宋体"/>
          <w:bCs/>
          <w:color w:val="000000"/>
          <w:szCs w:val="21"/>
          <w:highlight w:val="none"/>
        </w:rPr>
      </w:pPr>
    </w:p>
    <w:p w14:paraId="1C3284D3">
      <w:pPr>
        <w:tabs>
          <w:tab w:val="left" w:pos="1305"/>
        </w:tabs>
        <w:spacing w:line="340" w:lineRule="exact"/>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注</w:t>
      </w:r>
      <w:r>
        <w:rPr>
          <w:rFonts w:hint="eastAsia" w:ascii="宋体" w:hAnsi="宋体" w:eastAsia="宋体" w:cs="宋体"/>
          <w:b/>
          <w:bCs/>
          <w:color w:val="000000"/>
          <w:szCs w:val="21"/>
          <w:highlight w:val="none"/>
        </w:rPr>
        <w:t>：</w:t>
      </w:r>
      <w:r>
        <w:rPr>
          <w:rFonts w:hint="eastAsia" w:ascii="宋体" w:hAnsi="宋体" w:eastAsia="宋体" w:cs="宋体"/>
          <w:bCs/>
          <w:color w:val="000000"/>
          <w:szCs w:val="21"/>
          <w:highlight w:val="none"/>
        </w:rPr>
        <w:t>1.各</w:t>
      </w:r>
      <w:r>
        <w:rPr>
          <w:rFonts w:hint="eastAsia" w:ascii="宋体" w:hAnsi="宋体" w:eastAsia="宋体" w:cs="宋体"/>
          <w:color w:val="000000"/>
          <w:szCs w:val="21"/>
          <w:highlight w:val="none"/>
        </w:rPr>
        <w:t>供应商必须就“采购需求”中所投分标的所有内容作完整唯一报价，否则，其</w:t>
      </w:r>
      <w:r>
        <w:rPr>
          <w:rFonts w:hint="eastAsia" w:ascii="宋体" w:hAnsi="宋体" w:eastAsia="宋体" w:cs="宋体"/>
          <w:color w:val="000000"/>
          <w:szCs w:val="21"/>
          <w:highlight w:val="none"/>
          <w:lang w:val="en-US" w:eastAsia="zh-CN"/>
        </w:rPr>
        <w:t>响应文件</w:t>
      </w:r>
      <w:r>
        <w:rPr>
          <w:rFonts w:hint="eastAsia" w:ascii="宋体" w:hAnsi="宋体" w:eastAsia="宋体" w:cs="宋体"/>
          <w:color w:val="000000"/>
          <w:szCs w:val="21"/>
          <w:highlight w:val="none"/>
        </w:rPr>
        <w:t>将被拒绝。响应文件只允许有一个报价。</w:t>
      </w:r>
    </w:p>
    <w:p w14:paraId="6AE0B19C">
      <w:pPr>
        <w:pStyle w:val="13"/>
        <w:spacing w:line="3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2.供应商应根据所投项目如实填写</w:t>
      </w:r>
      <w:r>
        <w:rPr>
          <w:rFonts w:hint="eastAsia" w:ascii="宋体" w:hAnsi="宋体" w:eastAsia="宋体" w:cs="宋体"/>
          <w:color w:val="000000"/>
          <w:szCs w:val="21"/>
          <w:highlight w:val="none"/>
          <w:lang w:eastAsia="zh-CN"/>
        </w:rPr>
        <w:t>磋商报价</w:t>
      </w:r>
      <w:r>
        <w:rPr>
          <w:rFonts w:hint="eastAsia" w:ascii="宋体" w:hAnsi="宋体" w:eastAsia="宋体" w:cs="宋体"/>
          <w:color w:val="000000"/>
          <w:szCs w:val="21"/>
          <w:highlight w:val="none"/>
        </w:rPr>
        <w:t>表</w:t>
      </w:r>
      <w:r>
        <w:rPr>
          <w:rFonts w:hint="eastAsia" w:ascii="宋体" w:hAnsi="宋体" w:eastAsia="宋体" w:cs="宋体"/>
          <w:bCs/>
          <w:color w:val="000000"/>
          <w:szCs w:val="21"/>
          <w:highlight w:val="none"/>
        </w:rPr>
        <w:t>的各项内容。</w:t>
      </w:r>
    </w:p>
    <w:p w14:paraId="6D050EF6">
      <w:pPr>
        <w:ind w:firstLine="420" w:firstLineChars="200"/>
        <w:rPr>
          <w:rFonts w:hint="eastAsia" w:ascii="宋体" w:hAnsi="宋体" w:eastAsia="宋体" w:cs="宋体"/>
          <w:b/>
          <w:bCs/>
          <w:color w:val="000000"/>
          <w:sz w:val="32"/>
          <w:szCs w:val="32"/>
          <w:highlight w:val="none"/>
        </w:rPr>
      </w:pPr>
      <w:r>
        <w:rPr>
          <w:rFonts w:hint="eastAsia" w:ascii="宋体" w:hAnsi="宋体" w:eastAsia="宋体" w:cs="宋体"/>
          <w:color w:val="000000"/>
          <w:szCs w:val="21"/>
          <w:highlight w:val="none"/>
        </w:rPr>
        <w:t>3.</w:t>
      </w:r>
      <w:r>
        <w:rPr>
          <w:rFonts w:hint="eastAsia" w:ascii="宋体" w:hAnsi="宋体" w:eastAsia="宋体" w:cs="宋体"/>
          <w:color w:val="000000"/>
          <w:highlight w:val="none"/>
        </w:rPr>
        <w:t>磋商报价表须由法定代表人负责人、自然人或相应的委托代理人签字或个人CA签章（属自然人的应在签名处加盖食指指印或个人CA签章）并加盖</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rPr>
        <w:t>CA签章（自然人除外）。</w:t>
      </w:r>
      <w:r>
        <w:rPr>
          <w:rFonts w:hint="eastAsia" w:ascii="宋体" w:hAnsi="宋体" w:eastAsia="宋体" w:cs="宋体"/>
          <w:b/>
          <w:color w:val="000000"/>
          <w:highlight w:val="none"/>
        </w:rPr>
        <w:t>当本表由多页构成时，需逐页加盖</w:t>
      </w:r>
      <w:r>
        <w:rPr>
          <w:rFonts w:hint="eastAsia" w:ascii="宋体" w:hAnsi="宋体" w:eastAsia="宋体" w:cs="宋体"/>
          <w:b/>
          <w:color w:val="000000"/>
          <w:highlight w:val="none"/>
          <w:lang w:eastAsia="zh-CN"/>
        </w:rPr>
        <w:t>供应商</w:t>
      </w:r>
      <w:r>
        <w:rPr>
          <w:rFonts w:hint="eastAsia" w:ascii="宋体" w:hAnsi="宋体" w:eastAsia="宋体" w:cs="宋体"/>
          <w:b/>
          <w:color w:val="000000"/>
          <w:highlight w:val="none"/>
        </w:rPr>
        <w:t>公章（属自然人的须逐页签字或个人CA签章）</w:t>
      </w:r>
    </w:p>
    <w:p w14:paraId="76BCB12C">
      <w:pPr>
        <w:rPr>
          <w:rFonts w:hint="eastAsia" w:ascii="宋体" w:hAnsi="宋体" w:eastAsia="宋体" w:cs="宋体"/>
          <w:b/>
          <w:bCs/>
          <w:color w:val="000000"/>
          <w:sz w:val="32"/>
          <w:szCs w:val="32"/>
          <w:highlight w:val="none"/>
        </w:rPr>
      </w:pPr>
    </w:p>
    <w:p w14:paraId="4AF4757E">
      <w:pPr>
        <w:pStyle w:val="8"/>
        <w:rPr>
          <w:rFonts w:hint="eastAsia" w:ascii="宋体" w:hAnsi="宋体" w:eastAsia="宋体" w:cs="宋体"/>
          <w:highlight w:val="none"/>
        </w:rPr>
        <w:sectPr>
          <w:headerReference r:id="rId3" w:type="default"/>
          <w:footerReference r:id="rId4" w:type="default"/>
          <w:pgSz w:w="11906" w:h="16838"/>
          <w:pgMar w:top="1440" w:right="935" w:bottom="1440" w:left="777" w:header="851" w:footer="992" w:gutter="0"/>
          <w:pgNumType w:fmt="numberInDash"/>
          <w:cols w:space="720" w:num="1"/>
          <w:docGrid w:type="linesAndChars" w:linePitch="312" w:charSpace="0"/>
        </w:sectPr>
      </w:pPr>
    </w:p>
    <w:p w14:paraId="59CEC0EC">
      <w:pPr>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lang w:val="en-US" w:eastAsia="zh-CN"/>
        </w:rPr>
        <w:t>3.</w:t>
      </w:r>
      <w:r>
        <w:rPr>
          <w:rFonts w:hint="eastAsia" w:ascii="宋体" w:hAnsi="宋体" w:eastAsia="宋体" w:cs="宋体"/>
          <w:b/>
          <w:sz w:val="32"/>
          <w:highlight w:val="none"/>
        </w:rPr>
        <w:t>服务需求响应表</w:t>
      </w:r>
      <w:r>
        <w:rPr>
          <w:rFonts w:hint="eastAsia" w:ascii="宋体" w:hAnsi="宋体" w:eastAsia="宋体" w:cs="宋体"/>
          <w:b/>
          <w:bCs/>
          <w:color w:val="000000"/>
          <w:sz w:val="32"/>
          <w:szCs w:val="32"/>
          <w:highlight w:val="none"/>
        </w:rPr>
        <w:t>（格式见附件）（必须提供）</w:t>
      </w:r>
      <w:r>
        <w:rPr>
          <w:rFonts w:hint="eastAsia" w:ascii="宋体" w:hAnsi="宋体" w:eastAsia="宋体" w:cs="宋体"/>
          <w:b/>
          <w:bCs/>
          <w:color w:val="000000"/>
          <w:sz w:val="32"/>
          <w:szCs w:val="32"/>
          <w:highlight w:val="none"/>
          <w:lang w:eastAsia="zh-CN"/>
        </w:rPr>
        <w:t>；</w:t>
      </w:r>
    </w:p>
    <w:p w14:paraId="191C36B2">
      <w:pP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附件：</w:t>
      </w:r>
    </w:p>
    <w:p w14:paraId="18A0FA1F">
      <w:pPr>
        <w:pStyle w:val="9"/>
        <w:kinsoku w:val="0"/>
        <w:overflowPunct w:val="0"/>
        <w:spacing w:line="360" w:lineRule="atLeast"/>
        <w:ind w:left="474"/>
        <w:jc w:val="center"/>
        <w:rPr>
          <w:rFonts w:hint="eastAsia" w:ascii="宋体" w:hAnsi="宋体" w:eastAsia="宋体" w:cs="宋体"/>
          <w:b/>
          <w:sz w:val="32"/>
          <w:highlight w:val="none"/>
        </w:rPr>
      </w:pPr>
      <w:r>
        <w:rPr>
          <w:rFonts w:hint="eastAsia" w:ascii="宋体" w:hAnsi="宋体" w:eastAsia="宋体" w:cs="宋体"/>
          <w:b/>
          <w:sz w:val="32"/>
          <w:highlight w:val="none"/>
        </w:rPr>
        <w:t>服务需求响应表（格式）</w:t>
      </w:r>
    </w:p>
    <w:p w14:paraId="23A0E942">
      <w:pPr>
        <w:spacing w:line="360" w:lineRule="atLeast"/>
        <w:rPr>
          <w:rFonts w:hint="eastAsia" w:ascii="宋体" w:hAnsi="宋体" w:eastAsia="宋体" w:cs="宋体"/>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4317"/>
        <w:gridCol w:w="3016"/>
        <w:gridCol w:w="2101"/>
      </w:tblGrid>
      <w:tr w14:paraId="10E4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923" w:type="dxa"/>
            <w:vAlign w:val="center"/>
          </w:tcPr>
          <w:p w14:paraId="7A10CE5C">
            <w:pPr>
              <w:pStyle w:val="13"/>
              <w:spacing w:line="360" w:lineRule="atLeast"/>
              <w:jc w:val="center"/>
              <w:rPr>
                <w:rFonts w:hint="eastAsia" w:ascii="宋体" w:hAnsi="宋体" w:eastAsia="宋体" w:cs="宋体"/>
                <w:highlight w:val="none"/>
              </w:rPr>
            </w:pPr>
            <w:r>
              <w:rPr>
                <w:rFonts w:hint="eastAsia" w:ascii="宋体" w:hAnsi="宋体" w:eastAsia="宋体" w:cs="宋体"/>
                <w:highlight w:val="none"/>
              </w:rPr>
              <w:t>序号</w:t>
            </w:r>
          </w:p>
        </w:tc>
        <w:tc>
          <w:tcPr>
            <w:tcW w:w="4317" w:type="dxa"/>
            <w:vAlign w:val="center"/>
          </w:tcPr>
          <w:p w14:paraId="2F3F2725">
            <w:pPr>
              <w:pStyle w:val="13"/>
              <w:spacing w:line="360" w:lineRule="atLeast"/>
              <w:jc w:val="center"/>
              <w:rPr>
                <w:rFonts w:hint="eastAsia" w:ascii="宋体" w:hAnsi="宋体" w:eastAsia="宋体" w:cs="宋体"/>
                <w:highlight w:val="none"/>
              </w:rPr>
            </w:pPr>
            <w:r>
              <w:rPr>
                <w:rFonts w:hint="eastAsia" w:ascii="宋体" w:hAnsi="宋体" w:eastAsia="宋体" w:cs="宋体"/>
                <w:highlight w:val="none"/>
                <w:lang w:eastAsia="zh-CN"/>
              </w:rPr>
              <w:t>采购文件</w:t>
            </w:r>
            <w:r>
              <w:rPr>
                <w:rFonts w:hint="eastAsia" w:ascii="宋体" w:hAnsi="宋体" w:eastAsia="宋体" w:cs="宋体"/>
                <w:highlight w:val="none"/>
              </w:rPr>
              <w:t>要求</w:t>
            </w:r>
          </w:p>
        </w:tc>
        <w:tc>
          <w:tcPr>
            <w:tcW w:w="3016" w:type="dxa"/>
            <w:vAlign w:val="center"/>
          </w:tcPr>
          <w:p w14:paraId="61344453">
            <w:pPr>
              <w:pStyle w:val="13"/>
              <w:spacing w:line="360" w:lineRule="atLeas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的响应情况</w:t>
            </w:r>
            <w:r>
              <w:rPr>
                <w:rFonts w:hint="eastAsia" w:ascii="宋体" w:hAnsi="宋体" w:eastAsia="宋体" w:cs="宋体"/>
                <w:szCs w:val="21"/>
                <w:highlight w:val="none"/>
                <w:lang w:eastAsia="zh-CN"/>
              </w:rPr>
              <w:t>（是否响应</w:t>
            </w:r>
            <w:r>
              <w:rPr>
                <w:rFonts w:hint="eastAsia" w:ascii="宋体" w:hAnsi="宋体" w:eastAsia="宋体" w:cs="宋体"/>
                <w:szCs w:val="21"/>
                <w:highlight w:val="none"/>
                <w:lang w:val="en-US" w:eastAsia="zh-CN"/>
              </w:rPr>
              <w:t>服务</w:t>
            </w:r>
            <w:r>
              <w:rPr>
                <w:rFonts w:hint="eastAsia" w:ascii="宋体" w:hAnsi="宋体" w:eastAsia="宋体" w:cs="宋体"/>
                <w:szCs w:val="21"/>
                <w:highlight w:val="none"/>
                <w:lang w:eastAsia="zh-CN"/>
              </w:rPr>
              <w:t>采购需求）（无偏离、正偏离））</w:t>
            </w:r>
          </w:p>
        </w:tc>
        <w:tc>
          <w:tcPr>
            <w:tcW w:w="2101" w:type="dxa"/>
            <w:vAlign w:val="center"/>
          </w:tcPr>
          <w:p w14:paraId="10A1203D">
            <w:pPr>
              <w:pStyle w:val="13"/>
              <w:spacing w:line="360" w:lineRule="atLeast"/>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备注</w:t>
            </w:r>
          </w:p>
        </w:tc>
      </w:tr>
      <w:tr w14:paraId="7E54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923" w:type="dxa"/>
            <w:vAlign w:val="center"/>
          </w:tcPr>
          <w:p w14:paraId="1B596975">
            <w:pPr>
              <w:spacing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4317" w:type="dxa"/>
            <w:vAlign w:val="center"/>
          </w:tcPr>
          <w:p w14:paraId="0477ADA3">
            <w:pPr>
              <w:pStyle w:val="13"/>
              <w:spacing w:line="360" w:lineRule="atLeast"/>
              <w:jc w:val="center"/>
              <w:rPr>
                <w:rFonts w:hint="eastAsia" w:ascii="宋体" w:hAnsi="宋体" w:eastAsia="宋体" w:cs="宋体"/>
                <w:highlight w:val="none"/>
              </w:rPr>
            </w:pPr>
            <w:r>
              <w:rPr>
                <w:rFonts w:hint="eastAsia" w:ascii="宋体" w:hAnsi="宋体" w:eastAsia="宋体" w:cs="宋体"/>
                <w:highlight w:val="none"/>
                <w:lang w:eastAsia="zh-CN"/>
              </w:rPr>
              <w:t>采购文件</w:t>
            </w:r>
            <w:r>
              <w:rPr>
                <w:rFonts w:hint="eastAsia" w:ascii="宋体" w:hAnsi="宋体" w:eastAsia="宋体" w:cs="宋体"/>
                <w:highlight w:val="none"/>
              </w:rPr>
              <w:t>中第三章节“采购需求”条款</w:t>
            </w:r>
          </w:p>
        </w:tc>
        <w:tc>
          <w:tcPr>
            <w:tcW w:w="3016" w:type="dxa"/>
          </w:tcPr>
          <w:p w14:paraId="4EC86789">
            <w:pPr>
              <w:pStyle w:val="13"/>
              <w:spacing w:line="360" w:lineRule="atLeast"/>
              <w:rPr>
                <w:rFonts w:hint="eastAsia" w:ascii="宋体" w:hAnsi="宋体" w:eastAsia="宋体" w:cs="宋体"/>
                <w:highlight w:val="none"/>
              </w:rPr>
            </w:pPr>
          </w:p>
          <w:p w14:paraId="64E9B2AF">
            <w:pPr>
              <w:pStyle w:val="13"/>
              <w:spacing w:line="360" w:lineRule="atLeast"/>
              <w:rPr>
                <w:rFonts w:hint="eastAsia" w:ascii="宋体" w:hAnsi="宋体" w:eastAsia="宋体" w:cs="宋体"/>
                <w:highlight w:val="none"/>
              </w:rPr>
            </w:pPr>
            <w:r>
              <w:rPr>
                <w:rFonts w:hint="eastAsia" w:ascii="宋体" w:hAnsi="宋体" w:eastAsia="宋体" w:cs="宋体"/>
                <w:highlight w:val="none"/>
              </w:rPr>
              <w:t>例如：完全响应</w:t>
            </w:r>
            <w:r>
              <w:rPr>
                <w:rFonts w:hint="eastAsia" w:ascii="宋体" w:hAnsi="宋体" w:eastAsia="宋体" w:cs="宋体"/>
                <w:highlight w:val="none"/>
                <w:lang w:val="en-US" w:eastAsia="zh-CN"/>
              </w:rPr>
              <w:t>服务采购</w:t>
            </w:r>
            <w:r>
              <w:rPr>
                <w:rFonts w:hint="eastAsia" w:ascii="宋体" w:hAnsi="宋体" w:eastAsia="宋体" w:cs="宋体"/>
                <w:highlight w:val="none"/>
              </w:rPr>
              <w:t>需求，无偏离（或正偏离）</w:t>
            </w:r>
          </w:p>
          <w:p w14:paraId="715DA28E">
            <w:pPr>
              <w:pStyle w:val="13"/>
              <w:spacing w:line="360" w:lineRule="atLeast"/>
              <w:rPr>
                <w:rFonts w:hint="eastAsia" w:ascii="宋体" w:hAnsi="宋体" w:eastAsia="宋体" w:cs="宋体"/>
                <w:highlight w:val="none"/>
              </w:rPr>
            </w:pPr>
          </w:p>
        </w:tc>
        <w:tc>
          <w:tcPr>
            <w:tcW w:w="2101" w:type="dxa"/>
            <w:vAlign w:val="center"/>
          </w:tcPr>
          <w:p w14:paraId="5A7EF66E">
            <w:pPr>
              <w:pStyle w:val="13"/>
              <w:spacing w:line="360" w:lineRule="atLeast"/>
              <w:jc w:val="center"/>
              <w:rPr>
                <w:rFonts w:hint="eastAsia" w:ascii="宋体" w:hAnsi="宋体" w:eastAsia="宋体" w:cs="宋体"/>
                <w:highlight w:val="none"/>
              </w:rPr>
            </w:pPr>
          </w:p>
        </w:tc>
      </w:tr>
    </w:tbl>
    <w:p w14:paraId="0706D97E">
      <w:pPr>
        <w:spacing w:line="360" w:lineRule="atLeast"/>
        <w:rPr>
          <w:rFonts w:hint="eastAsia" w:ascii="宋体" w:hAnsi="宋体" w:eastAsia="宋体" w:cs="宋体"/>
          <w:highlight w:val="none"/>
        </w:rPr>
      </w:pPr>
    </w:p>
    <w:p w14:paraId="61D78913">
      <w:pPr>
        <w:snapToGrid w:val="0"/>
        <w:spacing w:line="360" w:lineRule="atLeast"/>
        <w:outlineLvl w:val="4"/>
        <w:rPr>
          <w:rFonts w:hint="eastAsia" w:ascii="宋体" w:hAnsi="宋体" w:eastAsia="宋体" w:cs="宋体"/>
          <w:szCs w:val="21"/>
          <w:highlight w:val="none"/>
        </w:rPr>
      </w:pPr>
    </w:p>
    <w:p w14:paraId="750950B9">
      <w:pPr>
        <w:snapToGrid w:val="0"/>
        <w:spacing w:line="360" w:lineRule="atLeast"/>
        <w:outlineLvl w:val="4"/>
        <w:rPr>
          <w:rFonts w:hint="eastAsia" w:ascii="宋体" w:hAnsi="宋体" w:eastAsia="宋体" w:cs="宋体"/>
          <w:szCs w:val="21"/>
          <w:highlight w:val="none"/>
          <w:u w:val="single"/>
        </w:rPr>
      </w:pP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（CA证书签章）：</w:t>
      </w:r>
      <w:r>
        <w:rPr>
          <w:rFonts w:hint="eastAsia" w:ascii="宋体" w:hAnsi="宋体" w:eastAsia="宋体" w:cs="宋体"/>
          <w:szCs w:val="21"/>
          <w:highlight w:val="none"/>
          <w:u w:val="single"/>
        </w:rPr>
        <w:t xml:space="preserve">                           </w:t>
      </w:r>
    </w:p>
    <w:p w14:paraId="0B7FFCA0">
      <w:pPr>
        <w:spacing w:line="360" w:lineRule="atLeast"/>
        <w:rPr>
          <w:rFonts w:hint="eastAsia" w:ascii="宋体" w:hAnsi="宋体" w:eastAsia="宋体" w:cs="宋体"/>
          <w:szCs w:val="21"/>
          <w:highlight w:val="none"/>
        </w:rPr>
      </w:pPr>
      <w:r>
        <w:rPr>
          <w:rFonts w:hint="eastAsia" w:ascii="宋体" w:hAnsi="宋体" w:eastAsia="宋体" w:cs="宋体"/>
          <w:szCs w:val="21"/>
          <w:highlight w:val="none"/>
        </w:rPr>
        <w:t>法定代表人（负责人、自然人）</w:t>
      </w:r>
      <w:r>
        <w:rPr>
          <w:rFonts w:hint="eastAsia" w:ascii="宋体" w:hAnsi="宋体" w:eastAsia="宋体" w:cs="宋体"/>
          <w:highlight w:val="none"/>
        </w:rPr>
        <w:t>或相应的委托代理人</w:t>
      </w:r>
      <w:r>
        <w:rPr>
          <w:rFonts w:hint="eastAsia" w:ascii="宋体" w:hAnsi="宋体" w:eastAsia="宋体" w:cs="宋体"/>
          <w:szCs w:val="21"/>
          <w:highlight w:val="none"/>
        </w:rPr>
        <w:t>签字</w:t>
      </w:r>
    </w:p>
    <w:p w14:paraId="0A3ADA74">
      <w:pPr>
        <w:spacing w:line="360" w:lineRule="atLeast"/>
        <w:rPr>
          <w:rFonts w:hint="eastAsia" w:ascii="宋体" w:hAnsi="宋体" w:eastAsia="宋体" w:cs="宋体"/>
          <w:szCs w:val="21"/>
          <w:highlight w:val="none"/>
          <w:u w:val="single"/>
        </w:rPr>
      </w:pPr>
      <w:r>
        <w:rPr>
          <w:rFonts w:hint="eastAsia" w:ascii="宋体" w:hAnsi="宋体" w:eastAsia="宋体" w:cs="宋体"/>
          <w:szCs w:val="21"/>
          <w:highlight w:val="none"/>
        </w:rPr>
        <w:t>（或个人CA证书签章）</w:t>
      </w:r>
      <w:r>
        <w:rPr>
          <w:rFonts w:hint="eastAsia" w:ascii="宋体" w:hAnsi="宋体" w:eastAsia="宋体" w:cs="宋体"/>
          <w:highlight w:val="none"/>
        </w:rPr>
        <w:t>：</w:t>
      </w:r>
      <w:r>
        <w:rPr>
          <w:rFonts w:hint="eastAsia" w:ascii="宋体" w:hAnsi="宋体" w:eastAsia="宋体" w:cs="宋体"/>
          <w:szCs w:val="21"/>
          <w:highlight w:val="none"/>
          <w:u w:val="single"/>
        </w:rPr>
        <w:t xml:space="preserve">                          </w:t>
      </w:r>
    </w:p>
    <w:p w14:paraId="1D0F20D9">
      <w:pPr>
        <w:spacing w:line="360" w:lineRule="atLeast"/>
        <w:rPr>
          <w:rFonts w:hint="eastAsia" w:ascii="宋体" w:hAnsi="宋体" w:eastAsia="宋体" w:cs="宋体"/>
          <w:szCs w:val="21"/>
          <w:highlight w:val="none"/>
          <w:u w:val="single"/>
        </w:rPr>
      </w:pPr>
      <w:r>
        <w:rPr>
          <w:rFonts w:hint="eastAsia" w:ascii="宋体" w:hAnsi="宋体" w:eastAsia="宋体" w:cs="宋体"/>
          <w:highlight w:val="none"/>
        </w:rPr>
        <w:t>日          期：</w:t>
      </w:r>
      <w:r>
        <w:rPr>
          <w:rFonts w:hint="eastAsia" w:ascii="宋体" w:hAnsi="宋体" w:eastAsia="宋体" w:cs="宋体"/>
          <w:highlight w:val="none"/>
          <w:u w:val="single"/>
        </w:rPr>
        <w:t xml:space="preserve">                                  </w:t>
      </w:r>
    </w:p>
    <w:p w14:paraId="6B823851">
      <w:pPr>
        <w:pStyle w:val="13"/>
        <w:spacing w:line="360" w:lineRule="atLeast"/>
        <w:ind w:left="420" w:hanging="420" w:hangingChars="200"/>
        <w:rPr>
          <w:rFonts w:hint="eastAsia" w:ascii="宋体" w:hAnsi="宋体" w:eastAsia="宋体" w:cs="宋体"/>
          <w:bCs/>
          <w:szCs w:val="21"/>
          <w:highlight w:val="none"/>
        </w:rPr>
      </w:pPr>
    </w:p>
    <w:p w14:paraId="51B7C9F6">
      <w:pPr>
        <w:pStyle w:val="13"/>
        <w:spacing w:line="360" w:lineRule="atLeast"/>
        <w:ind w:left="420" w:hanging="420" w:hangingChars="200"/>
        <w:rPr>
          <w:rFonts w:hint="eastAsia" w:ascii="宋体" w:hAnsi="宋体" w:eastAsia="宋体" w:cs="宋体"/>
          <w:bCs/>
          <w:szCs w:val="21"/>
          <w:highlight w:val="none"/>
        </w:rPr>
      </w:pPr>
    </w:p>
    <w:p w14:paraId="25DFE1EE">
      <w:pPr>
        <w:pStyle w:val="13"/>
        <w:spacing w:line="360" w:lineRule="atLeast"/>
        <w:ind w:left="420" w:hanging="420" w:hangingChars="200"/>
        <w:rPr>
          <w:rFonts w:hint="eastAsia" w:ascii="宋体" w:hAnsi="宋体" w:eastAsia="宋体" w:cs="宋体"/>
          <w:bCs/>
          <w:szCs w:val="21"/>
          <w:highlight w:val="none"/>
        </w:rPr>
      </w:pPr>
      <w:r>
        <w:rPr>
          <w:rFonts w:hint="eastAsia" w:ascii="宋体" w:hAnsi="宋体" w:eastAsia="宋体" w:cs="宋体"/>
          <w:bCs/>
          <w:szCs w:val="21"/>
          <w:highlight w:val="none"/>
        </w:rPr>
        <w:t>注：1.</w:t>
      </w:r>
      <w:r>
        <w:rPr>
          <w:rFonts w:hint="eastAsia" w:ascii="宋体" w:hAnsi="宋体" w:eastAsia="宋体" w:cs="宋体"/>
          <w:bCs/>
          <w:szCs w:val="21"/>
          <w:highlight w:val="none"/>
          <w:lang w:eastAsia="zh-CN"/>
        </w:rPr>
        <w:t>供应商</w:t>
      </w:r>
      <w:r>
        <w:rPr>
          <w:rFonts w:hint="eastAsia" w:ascii="宋体" w:hAnsi="宋体" w:eastAsia="宋体" w:cs="宋体"/>
          <w:bCs/>
          <w:szCs w:val="21"/>
          <w:highlight w:val="none"/>
        </w:rPr>
        <w:t>应对照“采购需求”注明服务需求的响应情况及偏离情况完整响应（无偏离、正偏离、负偏离），当出现“正偏离”或“负偏离”情况时应对应填写偏离情况说明及提供相应有效的证明材料。</w:t>
      </w:r>
    </w:p>
    <w:p w14:paraId="3E324305">
      <w:pPr>
        <w:pStyle w:val="13"/>
        <w:spacing w:line="360" w:lineRule="atLeast"/>
        <w:ind w:left="420" w:leftChars="200"/>
        <w:rPr>
          <w:rFonts w:hint="eastAsia" w:ascii="宋体" w:hAnsi="宋体" w:eastAsia="宋体" w:cs="宋体"/>
          <w:bCs/>
          <w:szCs w:val="21"/>
          <w:highlight w:val="none"/>
        </w:rPr>
      </w:pPr>
      <w:r>
        <w:rPr>
          <w:rFonts w:hint="eastAsia" w:ascii="宋体" w:hAnsi="宋体" w:eastAsia="宋体" w:cs="宋体"/>
          <w:bCs/>
          <w:szCs w:val="21"/>
          <w:highlight w:val="none"/>
        </w:rPr>
        <w:t>2.服务要求响应表</w:t>
      </w:r>
      <w:r>
        <w:rPr>
          <w:rFonts w:hint="eastAsia" w:ascii="宋体" w:hAnsi="宋体" w:eastAsia="宋体" w:cs="宋体"/>
          <w:highlight w:val="none"/>
        </w:rPr>
        <w:t>须由法定代表人(负责人、自然人）或相应的委托代理人签字（或个人CA证书签章）并加盖</w:t>
      </w:r>
      <w:r>
        <w:rPr>
          <w:rFonts w:hint="eastAsia" w:ascii="宋体" w:hAnsi="宋体" w:eastAsia="宋体" w:cs="宋体"/>
          <w:highlight w:val="none"/>
          <w:lang w:eastAsia="zh-CN"/>
        </w:rPr>
        <w:t>供应商</w:t>
      </w:r>
      <w:r>
        <w:rPr>
          <w:rFonts w:hint="eastAsia" w:ascii="宋体" w:hAnsi="宋体" w:eastAsia="宋体" w:cs="宋体"/>
          <w:highlight w:val="none"/>
        </w:rPr>
        <w:t>公章（CA证书签章）</w:t>
      </w:r>
      <w:r>
        <w:rPr>
          <w:rFonts w:hint="eastAsia" w:ascii="宋体" w:hAnsi="宋体" w:eastAsia="宋体" w:cs="宋体"/>
          <w:bCs/>
          <w:szCs w:val="21"/>
          <w:highlight w:val="none"/>
        </w:rPr>
        <w:t>。</w:t>
      </w:r>
    </w:p>
    <w:p w14:paraId="3FE77843">
      <w:pPr>
        <w:pStyle w:val="13"/>
        <w:spacing w:line="360" w:lineRule="atLeast"/>
        <w:ind w:left="420" w:leftChars="200"/>
        <w:rPr>
          <w:rFonts w:hint="eastAsia" w:ascii="宋体" w:hAnsi="宋体" w:eastAsia="宋体" w:cs="宋体"/>
          <w:bCs/>
          <w:szCs w:val="21"/>
          <w:highlight w:val="none"/>
        </w:rPr>
      </w:pPr>
      <w:r>
        <w:rPr>
          <w:rFonts w:hint="eastAsia" w:ascii="宋体" w:hAnsi="宋体" w:eastAsia="宋体" w:cs="宋体"/>
          <w:bCs/>
          <w:szCs w:val="21"/>
          <w:highlight w:val="none"/>
        </w:rPr>
        <w:t>3.当本表由多页构成时，需逐页加盖</w:t>
      </w:r>
      <w:r>
        <w:rPr>
          <w:rFonts w:hint="eastAsia" w:ascii="宋体" w:hAnsi="宋体" w:eastAsia="宋体" w:cs="宋体"/>
          <w:bCs/>
          <w:szCs w:val="21"/>
          <w:highlight w:val="none"/>
          <w:lang w:eastAsia="zh-CN"/>
        </w:rPr>
        <w:t>供应商</w:t>
      </w:r>
      <w:r>
        <w:rPr>
          <w:rFonts w:hint="eastAsia" w:ascii="宋体" w:hAnsi="宋体" w:eastAsia="宋体" w:cs="宋体"/>
          <w:bCs/>
          <w:szCs w:val="21"/>
          <w:highlight w:val="none"/>
        </w:rPr>
        <w:t>公章（CA证书签章，属自然人的须逐页签字或个人CA签章）。</w:t>
      </w:r>
    </w:p>
    <w:p w14:paraId="74D9BC20">
      <w:pPr>
        <w:pStyle w:val="9"/>
        <w:spacing w:line="360" w:lineRule="atLeast"/>
        <w:rPr>
          <w:rFonts w:hint="eastAsia" w:ascii="宋体" w:hAnsi="宋体" w:eastAsia="宋体" w:cs="宋体"/>
          <w:highlight w:val="none"/>
        </w:rPr>
      </w:pPr>
    </w:p>
    <w:p w14:paraId="1C0B42A3">
      <w:pPr>
        <w:pStyle w:val="6"/>
        <w:spacing w:line="360" w:lineRule="atLeast"/>
        <w:rPr>
          <w:rFonts w:hint="eastAsia" w:ascii="宋体" w:hAnsi="宋体" w:eastAsia="宋体" w:cs="宋体"/>
          <w:bCs/>
          <w:szCs w:val="21"/>
          <w:highlight w:val="none"/>
        </w:rPr>
      </w:pPr>
    </w:p>
    <w:p w14:paraId="667EEE81">
      <w:pPr>
        <w:spacing w:line="360" w:lineRule="atLeast"/>
        <w:rPr>
          <w:rFonts w:hint="eastAsia" w:ascii="宋体" w:hAnsi="宋体" w:eastAsia="宋体" w:cs="宋体"/>
          <w:bCs/>
          <w:szCs w:val="21"/>
          <w:highlight w:val="none"/>
        </w:rPr>
      </w:pPr>
    </w:p>
    <w:p w14:paraId="61F67CB7">
      <w:pPr>
        <w:pStyle w:val="9"/>
        <w:spacing w:line="360" w:lineRule="atLeast"/>
        <w:rPr>
          <w:rFonts w:hint="eastAsia" w:ascii="宋体" w:hAnsi="宋体" w:eastAsia="宋体" w:cs="宋体"/>
          <w:highlight w:val="none"/>
        </w:rPr>
      </w:pPr>
    </w:p>
    <w:p w14:paraId="410D3D3C">
      <w:pPr>
        <w:pStyle w:val="9"/>
        <w:rPr>
          <w:rFonts w:hint="eastAsia" w:ascii="宋体" w:hAnsi="宋体" w:eastAsia="宋体" w:cs="宋体"/>
          <w:highlight w:val="none"/>
        </w:rPr>
      </w:pPr>
    </w:p>
    <w:p w14:paraId="0B87DFF2">
      <w:pPr>
        <w:pStyle w:val="9"/>
        <w:rPr>
          <w:rFonts w:hint="eastAsia" w:ascii="宋体" w:hAnsi="宋体" w:eastAsia="宋体" w:cs="宋体"/>
          <w:highlight w:val="none"/>
        </w:rPr>
      </w:pPr>
    </w:p>
    <w:p w14:paraId="49D7D47A">
      <w:pPr>
        <w:pStyle w:val="9"/>
        <w:rPr>
          <w:rFonts w:hint="eastAsia" w:ascii="宋体" w:hAnsi="宋体" w:eastAsia="宋体" w:cs="宋体"/>
          <w:highlight w:val="none"/>
        </w:rPr>
      </w:pPr>
    </w:p>
    <w:p w14:paraId="68E96F44">
      <w:pPr>
        <w:rPr>
          <w:rFonts w:hint="eastAsia" w:ascii="宋体" w:hAnsi="宋体" w:eastAsia="宋体" w:cs="宋体"/>
          <w:highlight w:val="none"/>
        </w:rPr>
      </w:pPr>
    </w:p>
    <w:p w14:paraId="49D7FFDB">
      <w:pPr>
        <w:pStyle w:val="25"/>
        <w:rPr>
          <w:rFonts w:hint="eastAsia" w:ascii="宋体" w:hAnsi="宋体" w:eastAsia="宋体" w:cs="宋体"/>
          <w:color w:val="auto"/>
          <w:highlight w:val="none"/>
        </w:rPr>
      </w:pPr>
    </w:p>
    <w:p w14:paraId="2C75F53D">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76F39468">
      <w:pPr>
        <w:pStyle w:val="13"/>
        <w:numPr>
          <w:ilvl w:val="0"/>
          <w:numId w:val="0"/>
        </w:numPr>
        <w:spacing w:line="340" w:lineRule="exact"/>
        <w:ind w:left="0" w:firstLine="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4. 针对本项目的服务方案（必须提供</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w:t>
      </w:r>
    </w:p>
    <w:p w14:paraId="4841FB8D">
      <w:pPr>
        <w:rPr>
          <w:rFonts w:hint="eastAsia" w:ascii="宋体" w:hAnsi="宋体" w:eastAsia="宋体" w:cs="宋体"/>
          <w:color w:val="auto"/>
          <w:highlight w:val="none"/>
        </w:rPr>
      </w:pPr>
    </w:p>
    <w:p w14:paraId="04B6F2AF">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2DC2E852">
      <w:pPr>
        <w:rPr>
          <w:rFonts w:hint="eastAsia" w:ascii="宋体" w:hAnsi="宋体" w:eastAsia="宋体" w:cs="宋体"/>
          <w:color w:val="auto"/>
          <w:highlight w:val="none"/>
        </w:rPr>
      </w:pPr>
    </w:p>
    <w:p w14:paraId="016B7870">
      <w:pPr>
        <w:pStyle w:val="9"/>
        <w:rPr>
          <w:rFonts w:hint="eastAsia" w:ascii="宋体" w:hAnsi="宋体" w:eastAsia="宋体" w:cs="宋体"/>
          <w:color w:val="auto"/>
          <w:highlight w:val="none"/>
        </w:rPr>
      </w:pPr>
    </w:p>
    <w:p w14:paraId="468B1883">
      <w:pPr>
        <w:rPr>
          <w:rFonts w:hint="eastAsia" w:ascii="宋体" w:hAnsi="宋体" w:eastAsia="宋体" w:cs="宋体"/>
          <w:color w:val="auto"/>
          <w:highlight w:val="none"/>
        </w:rPr>
      </w:pPr>
    </w:p>
    <w:p w14:paraId="618C29DF">
      <w:pPr>
        <w:pStyle w:val="13"/>
        <w:spacing w:line="3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服务</w:t>
      </w:r>
      <w:r>
        <w:rPr>
          <w:rFonts w:hint="eastAsia" w:ascii="宋体" w:hAnsi="宋体" w:eastAsia="宋体" w:cs="宋体"/>
          <w:b/>
          <w:color w:val="auto"/>
          <w:sz w:val="32"/>
          <w:szCs w:val="32"/>
          <w:highlight w:val="none"/>
        </w:rPr>
        <w:t>方案 （格式）</w:t>
      </w:r>
    </w:p>
    <w:p w14:paraId="27F73D92">
      <w:pPr>
        <w:rPr>
          <w:rFonts w:hint="eastAsia" w:ascii="宋体" w:hAnsi="宋体" w:eastAsia="宋体" w:cs="宋体"/>
          <w:b/>
          <w:color w:val="auto"/>
          <w:sz w:val="32"/>
          <w:szCs w:val="32"/>
          <w:highlight w:val="none"/>
        </w:rPr>
      </w:pPr>
    </w:p>
    <w:p w14:paraId="274B3FF4">
      <w:pPr>
        <w:pStyle w:val="9"/>
        <w:rPr>
          <w:rFonts w:hint="eastAsia" w:ascii="宋体" w:hAnsi="宋体" w:eastAsia="宋体" w:cs="宋体"/>
          <w:color w:val="auto"/>
          <w:highlight w:val="none"/>
        </w:rPr>
      </w:pPr>
    </w:p>
    <w:p w14:paraId="6ED784FC">
      <w:pPr>
        <w:widowControl/>
        <w:ind w:firstLine="3092" w:firstLineChars="1100"/>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（根据采购需求自行编制）</w:t>
      </w:r>
    </w:p>
    <w:p w14:paraId="4B478373">
      <w:pPr>
        <w:widowControl/>
        <w:ind w:firstLine="3092" w:firstLineChars="1100"/>
        <w:jc w:val="left"/>
        <w:rPr>
          <w:rFonts w:hint="eastAsia" w:ascii="宋体" w:hAnsi="宋体" w:eastAsia="宋体" w:cs="宋体"/>
          <w:b/>
          <w:color w:val="auto"/>
          <w:kern w:val="0"/>
          <w:sz w:val="28"/>
          <w:szCs w:val="28"/>
          <w:highlight w:val="none"/>
        </w:rPr>
      </w:pPr>
    </w:p>
    <w:p w14:paraId="0ADED49B">
      <w:pPr>
        <w:widowControl/>
        <w:ind w:firstLine="3092" w:firstLineChars="1100"/>
        <w:jc w:val="left"/>
        <w:rPr>
          <w:rFonts w:hint="eastAsia" w:ascii="宋体" w:hAnsi="宋体" w:eastAsia="宋体" w:cs="宋体"/>
          <w:b/>
          <w:color w:val="auto"/>
          <w:kern w:val="0"/>
          <w:sz w:val="28"/>
          <w:szCs w:val="28"/>
          <w:highlight w:val="none"/>
        </w:rPr>
      </w:pPr>
    </w:p>
    <w:p w14:paraId="1F07D0E5">
      <w:pPr>
        <w:widowControl/>
        <w:ind w:firstLine="3092" w:firstLineChars="1100"/>
        <w:jc w:val="left"/>
        <w:rPr>
          <w:rFonts w:hint="eastAsia" w:ascii="宋体" w:hAnsi="宋体" w:eastAsia="宋体" w:cs="宋体"/>
          <w:b/>
          <w:color w:val="auto"/>
          <w:kern w:val="0"/>
          <w:sz w:val="28"/>
          <w:szCs w:val="28"/>
          <w:highlight w:val="none"/>
        </w:rPr>
      </w:pPr>
    </w:p>
    <w:p w14:paraId="658C59FE">
      <w:pPr>
        <w:widowControl/>
        <w:ind w:firstLine="3092" w:firstLineChars="1100"/>
        <w:jc w:val="left"/>
        <w:rPr>
          <w:rFonts w:hint="eastAsia" w:ascii="宋体" w:hAnsi="宋体" w:eastAsia="宋体" w:cs="宋体"/>
          <w:b/>
          <w:color w:val="auto"/>
          <w:kern w:val="0"/>
          <w:sz w:val="28"/>
          <w:szCs w:val="28"/>
          <w:highlight w:val="none"/>
        </w:rPr>
      </w:pPr>
    </w:p>
    <w:p w14:paraId="7E9A291B">
      <w:pPr>
        <w:widowControl/>
        <w:ind w:firstLine="3092" w:firstLineChars="1100"/>
        <w:jc w:val="left"/>
        <w:rPr>
          <w:rFonts w:hint="eastAsia" w:ascii="宋体" w:hAnsi="宋体" w:eastAsia="宋体" w:cs="宋体"/>
          <w:b/>
          <w:color w:val="auto"/>
          <w:kern w:val="0"/>
          <w:sz w:val="28"/>
          <w:szCs w:val="28"/>
          <w:highlight w:val="none"/>
        </w:rPr>
      </w:pPr>
    </w:p>
    <w:p w14:paraId="57A527EF">
      <w:pPr>
        <w:widowControl/>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A5136B3">
      <w:pPr>
        <w:pStyle w:val="13"/>
        <w:spacing w:line="300" w:lineRule="exact"/>
        <w:ind w:left="2940" w:leftChars="1400" w:firstLine="630" w:firstLineChars="300"/>
        <w:rPr>
          <w:rFonts w:hint="eastAsia" w:ascii="宋体" w:hAnsi="宋体" w:eastAsia="宋体" w:cs="宋体"/>
          <w:color w:val="auto"/>
          <w:highlight w:val="none"/>
        </w:rPr>
      </w:pPr>
    </w:p>
    <w:p w14:paraId="1FA0FFBB">
      <w:pPr>
        <w:pStyle w:val="13"/>
        <w:spacing w:line="300" w:lineRule="exact"/>
        <w:ind w:firstLine="4638" w:firstLineChars="1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460BD015">
      <w:pPr>
        <w:pStyle w:val="13"/>
        <w:spacing w:line="300" w:lineRule="exact"/>
        <w:rPr>
          <w:rFonts w:hint="eastAsia" w:ascii="宋体" w:hAnsi="宋体" w:eastAsia="宋体" w:cs="宋体"/>
          <w:b/>
          <w:color w:val="auto"/>
          <w:sz w:val="28"/>
          <w:szCs w:val="28"/>
          <w:highlight w:val="none"/>
        </w:rPr>
      </w:pPr>
    </w:p>
    <w:p w14:paraId="67EB2C19">
      <w:pPr>
        <w:snapToGrid w:val="0"/>
        <w:spacing w:line="300" w:lineRule="exact"/>
        <w:ind w:firstLine="4830" w:firstLineChars="23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431D704A">
      <w:pPr>
        <w:snapToGrid w:val="0"/>
        <w:spacing w:line="300" w:lineRule="exact"/>
        <w:ind w:firstLine="3570" w:firstLineChars="1700"/>
        <w:rPr>
          <w:rFonts w:hint="eastAsia" w:ascii="宋体" w:hAnsi="宋体" w:eastAsia="宋体" w:cs="宋体"/>
          <w:color w:val="auto"/>
          <w:highlight w:val="none"/>
          <w:u w:val="single"/>
        </w:rPr>
      </w:pPr>
    </w:p>
    <w:p w14:paraId="6676DC85">
      <w:pPr>
        <w:pStyle w:val="9"/>
        <w:rPr>
          <w:rFonts w:hint="eastAsia" w:ascii="宋体" w:hAnsi="宋体" w:eastAsia="宋体" w:cs="宋体"/>
          <w:color w:val="auto"/>
          <w:highlight w:val="none"/>
          <w:u w:val="single"/>
        </w:rPr>
      </w:pPr>
    </w:p>
    <w:p w14:paraId="704A9308">
      <w:pPr>
        <w:rPr>
          <w:rFonts w:hint="eastAsia" w:ascii="宋体" w:hAnsi="宋体" w:eastAsia="宋体" w:cs="宋体"/>
          <w:b/>
          <w:bCs/>
          <w:szCs w:val="21"/>
          <w:highlight w:val="none"/>
        </w:rPr>
      </w:pPr>
    </w:p>
    <w:p w14:paraId="4E9315F5">
      <w:pPr>
        <w:rPr>
          <w:rFonts w:hint="eastAsia" w:ascii="宋体" w:hAnsi="宋体" w:eastAsia="宋体" w:cs="宋体"/>
          <w:b/>
          <w:bCs/>
          <w:szCs w:val="21"/>
          <w:highlight w:val="none"/>
        </w:rPr>
      </w:pPr>
    </w:p>
    <w:p w14:paraId="631B914A">
      <w:pPr>
        <w:rPr>
          <w:rFonts w:hint="eastAsia" w:ascii="宋体" w:hAnsi="宋体" w:eastAsia="宋体" w:cs="宋体"/>
          <w:b/>
          <w:bCs/>
          <w:szCs w:val="21"/>
          <w:highlight w:val="none"/>
        </w:rPr>
      </w:pPr>
    </w:p>
    <w:p w14:paraId="0ED4F74B">
      <w:pPr>
        <w:rPr>
          <w:rFonts w:hint="eastAsia" w:ascii="宋体" w:hAnsi="宋体" w:eastAsia="宋体" w:cs="宋体"/>
          <w:b/>
          <w:bCs/>
          <w:szCs w:val="21"/>
          <w:highlight w:val="none"/>
        </w:rPr>
      </w:pPr>
    </w:p>
    <w:p w14:paraId="1799C827">
      <w:pPr>
        <w:rPr>
          <w:rFonts w:hint="eastAsia" w:ascii="宋体" w:hAnsi="宋体" w:eastAsia="宋体" w:cs="宋体"/>
          <w:b/>
          <w:bCs/>
          <w:szCs w:val="21"/>
          <w:highlight w:val="none"/>
        </w:rPr>
      </w:pPr>
    </w:p>
    <w:p w14:paraId="54806922">
      <w:pPr>
        <w:rPr>
          <w:rFonts w:hint="eastAsia" w:ascii="宋体" w:hAnsi="宋体" w:eastAsia="宋体" w:cs="宋体"/>
          <w:b/>
          <w:bCs/>
          <w:szCs w:val="21"/>
          <w:highlight w:val="none"/>
        </w:rPr>
      </w:pPr>
    </w:p>
    <w:p w14:paraId="6A1D901F">
      <w:pPr>
        <w:rPr>
          <w:rFonts w:hint="eastAsia" w:ascii="宋体" w:hAnsi="宋体" w:eastAsia="宋体" w:cs="宋体"/>
          <w:b/>
          <w:bCs/>
          <w:szCs w:val="21"/>
          <w:highlight w:val="none"/>
        </w:rPr>
      </w:pPr>
    </w:p>
    <w:p w14:paraId="7BA680EE">
      <w:pPr>
        <w:rPr>
          <w:rFonts w:hint="eastAsia" w:ascii="宋体" w:hAnsi="宋体" w:eastAsia="宋体" w:cs="宋体"/>
          <w:b/>
          <w:bCs/>
          <w:szCs w:val="21"/>
          <w:highlight w:val="none"/>
        </w:rPr>
      </w:pPr>
    </w:p>
    <w:p w14:paraId="7F9FA7FF">
      <w:pPr>
        <w:pStyle w:val="20"/>
        <w:rPr>
          <w:rFonts w:hint="eastAsia" w:ascii="宋体" w:hAnsi="宋体" w:eastAsia="宋体" w:cs="宋体"/>
          <w:b/>
          <w:bCs/>
          <w:szCs w:val="21"/>
          <w:highlight w:val="none"/>
        </w:rPr>
      </w:pPr>
    </w:p>
    <w:p w14:paraId="43FE0FCA">
      <w:pPr>
        <w:rPr>
          <w:rFonts w:hint="eastAsia" w:ascii="宋体" w:hAnsi="宋体" w:eastAsia="宋体" w:cs="宋体"/>
          <w:b/>
          <w:bCs/>
          <w:szCs w:val="21"/>
          <w:highlight w:val="none"/>
        </w:rPr>
      </w:pPr>
    </w:p>
    <w:p w14:paraId="52221E60">
      <w:pPr>
        <w:pStyle w:val="20"/>
        <w:rPr>
          <w:rFonts w:hint="eastAsia" w:ascii="宋体" w:hAnsi="宋体" w:eastAsia="宋体" w:cs="宋体"/>
          <w:highlight w:val="none"/>
        </w:rPr>
      </w:pPr>
    </w:p>
    <w:p w14:paraId="0B5955F8">
      <w:pPr>
        <w:rPr>
          <w:rFonts w:hint="eastAsia" w:ascii="宋体" w:hAnsi="宋体" w:eastAsia="宋体" w:cs="宋体"/>
          <w:b/>
          <w:bCs/>
          <w:szCs w:val="21"/>
          <w:highlight w:val="none"/>
        </w:rPr>
      </w:pPr>
    </w:p>
    <w:p w14:paraId="524290F7">
      <w:pPr>
        <w:rPr>
          <w:rFonts w:hint="eastAsia" w:ascii="宋体" w:hAnsi="宋体" w:eastAsia="宋体" w:cs="宋体"/>
          <w:b/>
          <w:bCs/>
          <w:szCs w:val="21"/>
          <w:highlight w:val="none"/>
        </w:rPr>
      </w:pPr>
    </w:p>
    <w:p w14:paraId="1CD38D7D">
      <w:pPr>
        <w:rPr>
          <w:rFonts w:hint="eastAsia" w:ascii="宋体" w:hAnsi="宋体" w:eastAsia="宋体" w:cs="宋体"/>
          <w:b/>
          <w:bCs/>
          <w:szCs w:val="21"/>
          <w:highlight w:val="none"/>
        </w:rPr>
      </w:pPr>
    </w:p>
    <w:p w14:paraId="61F6BD14">
      <w:pPr>
        <w:pStyle w:val="9"/>
        <w:rPr>
          <w:rFonts w:hint="eastAsia" w:ascii="宋体" w:hAnsi="宋体" w:eastAsia="宋体" w:cs="宋体"/>
          <w:b/>
          <w:bCs/>
          <w:szCs w:val="21"/>
          <w:highlight w:val="none"/>
        </w:rPr>
        <w:sectPr>
          <w:footerReference r:id="rId5" w:type="default"/>
          <w:pgSz w:w="11906" w:h="16838"/>
          <w:pgMar w:top="1440" w:right="935" w:bottom="1440" w:left="777" w:header="851" w:footer="992" w:gutter="0"/>
          <w:pgNumType w:fmt="numberInDash"/>
          <w:cols w:space="720" w:num="1"/>
          <w:docGrid w:type="lines" w:linePitch="312" w:charSpace="0"/>
        </w:sectPr>
      </w:pPr>
    </w:p>
    <w:p w14:paraId="513DAAAE">
      <w:pPr>
        <w:rPr>
          <w:rFonts w:hint="eastAsia" w:ascii="宋体" w:hAnsi="宋体" w:eastAsia="宋体" w:cs="宋体"/>
          <w:highlight w:val="none"/>
        </w:rPr>
      </w:pPr>
    </w:p>
    <w:p w14:paraId="4F83E7B2">
      <w:pPr>
        <w:spacing w:line="340" w:lineRule="exact"/>
        <w:ind w:left="420"/>
        <w:jc w:val="center"/>
        <w:outlineLvl w:val="1"/>
        <w:rPr>
          <w:rFonts w:hint="eastAsia" w:ascii="宋体" w:hAnsi="宋体" w:eastAsia="宋体" w:cs="宋体"/>
          <w:szCs w:val="21"/>
          <w:highlight w:val="none"/>
        </w:rPr>
      </w:pPr>
      <w:bookmarkStart w:id="459" w:name="_Toc8905"/>
      <w:bookmarkStart w:id="460" w:name="_Toc31749"/>
      <w:bookmarkStart w:id="461" w:name="_Toc9339"/>
      <w:bookmarkStart w:id="462" w:name="_Toc62"/>
      <w:bookmarkStart w:id="463" w:name="_Toc17347"/>
      <w:bookmarkStart w:id="464" w:name="_Toc497927084"/>
      <w:bookmarkStart w:id="465" w:name="_Toc28672"/>
      <w:bookmarkStart w:id="466" w:name="_Toc2354"/>
      <w:r>
        <w:rPr>
          <w:rFonts w:hint="eastAsia" w:ascii="宋体" w:hAnsi="宋体" w:eastAsia="宋体" w:cs="宋体"/>
          <w:b/>
          <w:bCs/>
          <w:sz w:val="32"/>
          <w:szCs w:val="32"/>
          <w:highlight w:val="none"/>
        </w:rPr>
        <w:t>（三）其他有效证明材料目录</w:t>
      </w:r>
      <w:bookmarkEnd w:id="459"/>
      <w:bookmarkEnd w:id="460"/>
      <w:bookmarkEnd w:id="461"/>
      <w:bookmarkEnd w:id="462"/>
      <w:bookmarkEnd w:id="463"/>
      <w:bookmarkEnd w:id="464"/>
      <w:bookmarkEnd w:id="465"/>
      <w:bookmarkEnd w:id="466"/>
    </w:p>
    <w:p w14:paraId="3AE02F6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1.项目实施人员一览表（格式见附件）</w:t>
      </w:r>
      <w:r>
        <w:rPr>
          <w:rFonts w:hint="eastAsia" w:ascii="宋体" w:hAnsi="宋体" w:eastAsia="宋体" w:cs="宋体"/>
          <w:b/>
          <w:bCs/>
          <w:sz w:val="24"/>
          <w:highlight w:val="none"/>
        </w:rPr>
        <w:t>（如有，请提供）；</w:t>
      </w:r>
    </w:p>
    <w:p w14:paraId="55295388">
      <w:pPr>
        <w:spacing w:line="360" w:lineRule="auto"/>
        <w:ind w:firstLine="480" w:firstLineChars="200"/>
        <w:jc w:val="left"/>
        <w:rPr>
          <w:rFonts w:hint="eastAsia" w:ascii="宋体" w:hAnsi="宋体" w:eastAsia="宋体" w:cs="宋体"/>
          <w:b/>
          <w:bCs/>
          <w:highlight w:val="none"/>
        </w:rPr>
      </w:pPr>
      <w:r>
        <w:rPr>
          <w:rFonts w:hint="eastAsia" w:ascii="宋体" w:hAnsi="宋体" w:eastAsia="宋体" w:cs="宋体"/>
          <w:sz w:val="24"/>
          <w:highlight w:val="none"/>
        </w:rPr>
        <w:t>2.“采购需求”需提供的有效证明文件</w:t>
      </w:r>
      <w:r>
        <w:rPr>
          <w:rFonts w:hint="eastAsia" w:ascii="宋体" w:hAnsi="宋体" w:eastAsia="宋体" w:cs="宋体"/>
          <w:b/>
          <w:bCs/>
          <w:sz w:val="24"/>
          <w:highlight w:val="none"/>
        </w:rPr>
        <w:t>（如有，请提供）；</w:t>
      </w:r>
    </w:p>
    <w:p w14:paraId="2BAA99F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3.供应商</w:t>
      </w:r>
      <w:r>
        <w:rPr>
          <w:rFonts w:hint="eastAsia" w:ascii="宋体" w:hAnsi="宋体" w:eastAsia="宋体" w:cs="宋体"/>
          <w:sz w:val="24"/>
          <w:highlight w:val="none"/>
          <w:lang w:eastAsia="zh-CN"/>
        </w:rPr>
        <w:t>2019年1月1日</w:t>
      </w:r>
      <w:r>
        <w:rPr>
          <w:rFonts w:hint="eastAsia" w:ascii="宋体" w:hAnsi="宋体" w:eastAsia="宋体" w:cs="宋体"/>
          <w:sz w:val="24"/>
          <w:highlight w:val="none"/>
        </w:rPr>
        <w:t>以来具有同类项目业绩相关证明材料（无不良记录，以</w:t>
      </w:r>
      <w:r>
        <w:rPr>
          <w:rFonts w:hint="eastAsia" w:ascii="宋体" w:hAnsi="宋体" w:eastAsia="宋体" w:cs="宋体"/>
          <w:sz w:val="24"/>
          <w:highlight w:val="none"/>
          <w:lang w:eastAsia="zh-CN"/>
        </w:rPr>
        <w:t>成交</w:t>
      </w:r>
      <w:r>
        <w:rPr>
          <w:rFonts w:hint="eastAsia" w:ascii="宋体" w:hAnsi="宋体" w:eastAsia="宋体" w:cs="宋体"/>
          <w:sz w:val="24"/>
          <w:highlight w:val="none"/>
        </w:rPr>
        <w:t>、成交通知书或签订的合同为准，并能清晰反映项目的名称、采购内容、采购金额、采购时间）</w:t>
      </w:r>
      <w:r>
        <w:rPr>
          <w:rFonts w:hint="eastAsia" w:ascii="宋体" w:hAnsi="宋体" w:eastAsia="宋体" w:cs="宋体"/>
          <w:b/>
          <w:bCs/>
          <w:sz w:val="24"/>
          <w:highlight w:val="none"/>
        </w:rPr>
        <w:t>（如有，请提供）；</w:t>
      </w:r>
    </w:p>
    <w:p w14:paraId="322B513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4.《中小企业声明函》（见附件）</w:t>
      </w:r>
      <w:r>
        <w:rPr>
          <w:rFonts w:hint="eastAsia" w:ascii="宋体" w:hAnsi="宋体" w:eastAsia="宋体" w:cs="宋体"/>
          <w:b/>
          <w:bCs/>
          <w:sz w:val="24"/>
          <w:highlight w:val="none"/>
        </w:rPr>
        <w:t>（</w:t>
      </w:r>
      <w:r>
        <w:rPr>
          <w:rFonts w:hint="eastAsia" w:ascii="宋体" w:hAnsi="宋体" w:eastAsia="宋体" w:cs="宋体"/>
          <w:b/>
          <w:bCs/>
          <w:sz w:val="24"/>
          <w:highlight w:val="none"/>
          <w:lang w:val="en-US" w:eastAsia="zh-CN"/>
        </w:rPr>
        <w:t>必须</w:t>
      </w:r>
      <w:r>
        <w:rPr>
          <w:rFonts w:hint="eastAsia" w:ascii="宋体" w:hAnsi="宋体" w:eastAsia="宋体" w:cs="宋体"/>
          <w:b/>
          <w:bCs/>
          <w:sz w:val="24"/>
          <w:highlight w:val="none"/>
        </w:rPr>
        <w:t>提供）</w:t>
      </w:r>
      <w:r>
        <w:rPr>
          <w:rFonts w:hint="eastAsia" w:ascii="宋体" w:hAnsi="宋体" w:eastAsia="宋体" w:cs="宋体"/>
          <w:sz w:val="24"/>
          <w:highlight w:val="none"/>
        </w:rPr>
        <w:t>；</w:t>
      </w:r>
    </w:p>
    <w:p w14:paraId="0185950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5.如提供服务的供应商属于监狱企业的，应当提供由省级以上监狱管理局、戒毒管理局等（含新疆生产建设兵团）出具的属于监狱企业的证明文件, 否则不予享受优惠政策</w:t>
      </w:r>
      <w:r>
        <w:rPr>
          <w:rFonts w:hint="eastAsia" w:ascii="宋体" w:hAnsi="宋体" w:eastAsia="宋体" w:cs="宋体"/>
          <w:b/>
          <w:bCs/>
          <w:sz w:val="24"/>
          <w:highlight w:val="none"/>
        </w:rPr>
        <w:t>（如有，请提供）</w:t>
      </w:r>
      <w:r>
        <w:rPr>
          <w:rFonts w:hint="eastAsia" w:ascii="宋体" w:hAnsi="宋体" w:eastAsia="宋体" w:cs="宋体"/>
          <w:sz w:val="24"/>
          <w:highlight w:val="none"/>
        </w:rPr>
        <w:t>；</w:t>
      </w:r>
    </w:p>
    <w:p w14:paraId="31AF79C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6.符合条件的残疾人福利性单位在参加政府采购活动时，应当提供《残疾人福利性单位声明函》（见附件），并对声明的真实性负责</w:t>
      </w:r>
      <w:r>
        <w:rPr>
          <w:rFonts w:hint="eastAsia" w:ascii="宋体" w:hAnsi="宋体" w:eastAsia="宋体" w:cs="宋体"/>
          <w:b/>
          <w:bCs/>
          <w:sz w:val="24"/>
          <w:highlight w:val="none"/>
        </w:rPr>
        <w:t>（如有，请提供）</w:t>
      </w:r>
      <w:r>
        <w:rPr>
          <w:rFonts w:hint="eastAsia" w:ascii="宋体" w:hAnsi="宋体" w:eastAsia="宋体" w:cs="宋体"/>
          <w:sz w:val="24"/>
          <w:highlight w:val="none"/>
        </w:rPr>
        <w:t>；</w:t>
      </w:r>
    </w:p>
    <w:p w14:paraId="7DF9F09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7.供应商可结合本项目的评审办法视自身情况自行提交其它相关证明材料</w:t>
      </w:r>
      <w:r>
        <w:rPr>
          <w:rFonts w:hint="eastAsia" w:ascii="宋体" w:hAnsi="宋体" w:eastAsia="宋体" w:cs="宋体"/>
          <w:b/>
          <w:bCs/>
          <w:sz w:val="24"/>
          <w:highlight w:val="none"/>
        </w:rPr>
        <w:t>（如有，请提供）</w:t>
      </w:r>
      <w:r>
        <w:rPr>
          <w:rFonts w:hint="eastAsia" w:ascii="宋体" w:hAnsi="宋体" w:eastAsia="宋体" w:cs="宋体"/>
          <w:sz w:val="24"/>
          <w:highlight w:val="none"/>
        </w:rPr>
        <w:t>。</w:t>
      </w:r>
    </w:p>
    <w:p w14:paraId="46F6C6B5">
      <w:pPr>
        <w:spacing w:line="360" w:lineRule="auto"/>
        <w:ind w:firstLine="480" w:firstLineChars="200"/>
        <w:rPr>
          <w:rFonts w:hint="eastAsia" w:ascii="宋体" w:hAnsi="宋体" w:eastAsia="宋体" w:cs="宋体"/>
          <w:sz w:val="24"/>
          <w:highlight w:val="none"/>
        </w:rPr>
      </w:pPr>
    </w:p>
    <w:p w14:paraId="1A7C7773">
      <w:pPr>
        <w:spacing w:line="360" w:lineRule="auto"/>
        <w:rPr>
          <w:rFonts w:hint="eastAsia" w:ascii="宋体" w:hAnsi="宋体" w:eastAsia="宋体" w:cs="宋体"/>
          <w:sz w:val="24"/>
          <w:highlight w:val="none"/>
        </w:rPr>
      </w:pPr>
    </w:p>
    <w:p w14:paraId="0C8F4085">
      <w:pPr>
        <w:pStyle w:val="25"/>
        <w:rPr>
          <w:rFonts w:hint="eastAsia" w:ascii="宋体" w:hAnsi="宋体" w:eastAsia="宋体" w:cs="宋体"/>
          <w:b/>
          <w:bCs/>
          <w:color w:val="auto"/>
          <w:highlight w:val="none"/>
        </w:rPr>
      </w:pPr>
    </w:p>
    <w:p w14:paraId="338CE064">
      <w:pPr>
        <w:pStyle w:val="25"/>
        <w:rPr>
          <w:rFonts w:hint="eastAsia" w:ascii="宋体" w:hAnsi="宋体" w:eastAsia="宋体" w:cs="宋体"/>
          <w:b/>
          <w:bCs/>
          <w:color w:val="auto"/>
          <w:highlight w:val="none"/>
        </w:rPr>
      </w:pPr>
    </w:p>
    <w:p w14:paraId="7F963CEA">
      <w:pPr>
        <w:pStyle w:val="25"/>
        <w:rPr>
          <w:rFonts w:hint="eastAsia" w:ascii="宋体" w:hAnsi="宋体" w:eastAsia="宋体" w:cs="宋体"/>
          <w:b/>
          <w:bCs/>
          <w:color w:val="auto"/>
          <w:highlight w:val="none"/>
        </w:rPr>
      </w:pPr>
    </w:p>
    <w:p w14:paraId="146AAC56">
      <w:pPr>
        <w:pStyle w:val="25"/>
        <w:rPr>
          <w:rFonts w:hint="eastAsia" w:ascii="宋体" w:hAnsi="宋体" w:eastAsia="宋体" w:cs="宋体"/>
          <w:b/>
          <w:bCs/>
          <w:color w:val="auto"/>
          <w:highlight w:val="none"/>
        </w:rPr>
      </w:pPr>
    </w:p>
    <w:p w14:paraId="222AC42D">
      <w:pPr>
        <w:pStyle w:val="25"/>
        <w:rPr>
          <w:rFonts w:hint="eastAsia" w:ascii="宋体" w:hAnsi="宋体" w:eastAsia="宋体" w:cs="宋体"/>
          <w:b/>
          <w:bCs/>
          <w:color w:val="auto"/>
          <w:highlight w:val="none"/>
        </w:rPr>
      </w:pPr>
    </w:p>
    <w:p w14:paraId="757A4C9D">
      <w:pPr>
        <w:pStyle w:val="25"/>
        <w:rPr>
          <w:rFonts w:hint="eastAsia" w:ascii="宋体" w:hAnsi="宋体" w:eastAsia="宋体" w:cs="宋体"/>
          <w:b/>
          <w:bCs/>
          <w:color w:val="auto"/>
          <w:highlight w:val="none"/>
        </w:rPr>
      </w:pPr>
    </w:p>
    <w:p w14:paraId="41A8D949">
      <w:pPr>
        <w:pStyle w:val="25"/>
        <w:rPr>
          <w:rFonts w:hint="eastAsia" w:ascii="宋体" w:hAnsi="宋体" w:eastAsia="宋体" w:cs="宋体"/>
          <w:b/>
          <w:bCs/>
          <w:color w:val="auto"/>
          <w:highlight w:val="none"/>
        </w:rPr>
      </w:pPr>
    </w:p>
    <w:p w14:paraId="6FCA1248">
      <w:pPr>
        <w:pStyle w:val="25"/>
        <w:rPr>
          <w:rFonts w:hint="eastAsia" w:ascii="宋体" w:hAnsi="宋体" w:eastAsia="宋体" w:cs="宋体"/>
          <w:b/>
          <w:bCs/>
          <w:color w:val="auto"/>
          <w:highlight w:val="none"/>
        </w:rPr>
      </w:pPr>
    </w:p>
    <w:p w14:paraId="76BD9685">
      <w:pPr>
        <w:pStyle w:val="25"/>
        <w:rPr>
          <w:rFonts w:hint="eastAsia" w:ascii="宋体" w:hAnsi="宋体" w:eastAsia="宋体" w:cs="宋体"/>
          <w:b/>
          <w:bCs/>
          <w:color w:val="auto"/>
          <w:highlight w:val="none"/>
        </w:rPr>
      </w:pPr>
    </w:p>
    <w:p w14:paraId="5F6677E3">
      <w:pPr>
        <w:pStyle w:val="25"/>
        <w:rPr>
          <w:rFonts w:hint="eastAsia" w:ascii="宋体" w:hAnsi="宋体" w:eastAsia="宋体" w:cs="宋体"/>
          <w:b/>
          <w:bCs/>
          <w:color w:val="auto"/>
          <w:highlight w:val="none"/>
        </w:rPr>
      </w:pPr>
    </w:p>
    <w:p w14:paraId="6E7F7E0B">
      <w:pPr>
        <w:pStyle w:val="25"/>
        <w:rPr>
          <w:rFonts w:hint="eastAsia" w:ascii="宋体" w:hAnsi="宋体" w:eastAsia="宋体" w:cs="宋体"/>
          <w:b/>
          <w:bCs/>
          <w:color w:val="auto"/>
          <w:highlight w:val="none"/>
        </w:rPr>
      </w:pPr>
    </w:p>
    <w:p w14:paraId="5159D26B">
      <w:pPr>
        <w:pStyle w:val="25"/>
        <w:rPr>
          <w:rFonts w:hint="eastAsia" w:ascii="宋体" w:hAnsi="宋体" w:eastAsia="宋体" w:cs="宋体"/>
          <w:b/>
          <w:bCs/>
          <w:color w:val="auto"/>
          <w:highlight w:val="none"/>
        </w:rPr>
      </w:pPr>
    </w:p>
    <w:p w14:paraId="082005DA">
      <w:pPr>
        <w:pStyle w:val="25"/>
        <w:rPr>
          <w:rFonts w:hint="eastAsia" w:ascii="宋体" w:hAnsi="宋体" w:eastAsia="宋体" w:cs="宋体"/>
          <w:b/>
          <w:bCs/>
          <w:color w:val="auto"/>
          <w:highlight w:val="none"/>
        </w:rPr>
      </w:pPr>
    </w:p>
    <w:p w14:paraId="2DB010F1">
      <w:pPr>
        <w:pStyle w:val="25"/>
        <w:rPr>
          <w:rFonts w:hint="eastAsia" w:ascii="宋体" w:hAnsi="宋体" w:eastAsia="宋体" w:cs="宋体"/>
          <w:b/>
          <w:bCs/>
          <w:color w:val="auto"/>
          <w:highlight w:val="none"/>
        </w:rPr>
      </w:pPr>
    </w:p>
    <w:p w14:paraId="65D5A73B">
      <w:pPr>
        <w:pStyle w:val="25"/>
        <w:rPr>
          <w:rFonts w:hint="eastAsia" w:ascii="宋体" w:hAnsi="宋体" w:eastAsia="宋体" w:cs="宋体"/>
          <w:b/>
          <w:bCs/>
          <w:color w:val="auto"/>
          <w:highlight w:val="none"/>
        </w:rPr>
      </w:pPr>
    </w:p>
    <w:p w14:paraId="1E84A83F">
      <w:pPr>
        <w:pStyle w:val="25"/>
        <w:rPr>
          <w:rFonts w:hint="eastAsia" w:ascii="宋体" w:hAnsi="宋体" w:eastAsia="宋体" w:cs="宋体"/>
          <w:b/>
          <w:bCs/>
          <w:color w:val="auto"/>
          <w:highlight w:val="none"/>
        </w:rPr>
      </w:pPr>
    </w:p>
    <w:p w14:paraId="374E0EB3">
      <w:pPr>
        <w:pStyle w:val="25"/>
        <w:rPr>
          <w:rFonts w:hint="eastAsia" w:ascii="宋体" w:hAnsi="宋体" w:eastAsia="宋体" w:cs="宋体"/>
          <w:b/>
          <w:bCs/>
          <w:color w:val="auto"/>
          <w:highlight w:val="none"/>
        </w:rPr>
      </w:pPr>
    </w:p>
    <w:p w14:paraId="577F0270">
      <w:pPr>
        <w:pStyle w:val="25"/>
        <w:rPr>
          <w:rFonts w:hint="eastAsia" w:ascii="宋体" w:hAnsi="宋体" w:eastAsia="宋体" w:cs="宋体"/>
          <w:b/>
          <w:bCs/>
          <w:color w:val="auto"/>
          <w:highlight w:val="none"/>
        </w:rPr>
      </w:pPr>
    </w:p>
    <w:p w14:paraId="79B29EC1">
      <w:pPr>
        <w:pStyle w:val="25"/>
        <w:rPr>
          <w:rFonts w:hint="eastAsia" w:ascii="宋体" w:hAnsi="宋体" w:eastAsia="宋体" w:cs="宋体"/>
          <w:b/>
          <w:bCs/>
          <w:color w:val="auto"/>
          <w:highlight w:val="none"/>
        </w:rPr>
      </w:pPr>
    </w:p>
    <w:p w14:paraId="49A9CF95">
      <w:pPr>
        <w:pStyle w:val="9"/>
        <w:rPr>
          <w:rFonts w:hint="eastAsia" w:ascii="宋体" w:hAnsi="宋体" w:eastAsia="宋体" w:cs="宋体"/>
          <w:b/>
          <w:sz w:val="28"/>
          <w:szCs w:val="28"/>
          <w:highlight w:val="none"/>
        </w:rPr>
      </w:pPr>
    </w:p>
    <w:p w14:paraId="12A087CF">
      <w:pPr>
        <w:pStyle w:val="13"/>
        <w:numPr>
          <w:ilvl w:val="0"/>
          <w:numId w:val="13"/>
        </w:numPr>
        <w:rPr>
          <w:rFonts w:hint="eastAsia" w:ascii="宋体" w:hAnsi="宋体" w:eastAsia="宋体" w:cs="宋体"/>
          <w:b/>
          <w:sz w:val="28"/>
          <w:szCs w:val="28"/>
          <w:highlight w:val="none"/>
        </w:rPr>
        <w:sectPr>
          <w:footerReference r:id="rId6" w:type="default"/>
          <w:pgSz w:w="11906" w:h="16838"/>
          <w:pgMar w:top="1440" w:right="935" w:bottom="1440" w:left="777" w:header="851" w:footer="992" w:gutter="0"/>
          <w:pgNumType w:fmt="numberInDash"/>
          <w:cols w:space="720" w:num="1"/>
          <w:docGrid w:type="lines" w:linePitch="312" w:charSpace="0"/>
        </w:sectPr>
      </w:pPr>
    </w:p>
    <w:p w14:paraId="09A4E02E">
      <w:pPr>
        <w:pStyle w:val="13"/>
        <w:numPr>
          <w:ilvl w:val="0"/>
          <w:numId w:val="13"/>
        </w:numPr>
        <w:rPr>
          <w:rFonts w:hint="eastAsia" w:ascii="宋体" w:hAnsi="宋体" w:eastAsia="宋体" w:cs="宋体"/>
          <w:b/>
          <w:sz w:val="28"/>
          <w:szCs w:val="28"/>
          <w:highlight w:val="none"/>
        </w:rPr>
      </w:pPr>
      <w:r>
        <w:rPr>
          <w:rFonts w:hint="eastAsia" w:ascii="宋体" w:hAnsi="宋体" w:eastAsia="宋体" w:cs="宋体"/>
          <w:b/>
          <w:sz w:val="28"/>
          <w:szCs w:val="28"/>
          <w:highlight w:val="none"/>
        </w:rPr>
        <w:t>项目实施人员一览表 （如有，请提供）</w:t>
      </w:r>
    </w:p>
    <w:p w14:paraId="33250987">
      <w:pPr>
        <w:pStyle w:val="13"/>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附件：</w:t>
      </w:r>
    </w:p>
    <w:p w14:paraId="27D4D753">
      <w:pPr>
        <w:pStyle w:val="13"/>
        <w:ind w:firstLine="472" w:firstLineChars="147"/>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项目实施人员一览表（格式）</w:t>
      </w:r>
    </w:p>
    <w:tbl>
      <w:tblPr>
        <w:tblStyle w:val="21"/>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7083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4CA383FB">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1050" w:type="dxa"/>
            <w:vAlign w:val="center"/>
          </w:tcPr>
          <w:p w14:paraId="793EAF08">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1665" w:type="dxa"/>
            <w:vAlign w:val="center"/>
          </w:tcPr>
          <w:p w14:paraId="08E14605">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专业技术资格</w:t>
            </w:r>
          </w:p>
        </w:tc>
        <w:tc>
          <w:tcPr>
            <w:tcW w:w="1200" w:type="dxa"/>
            <w:vAlign w:val="center"/>
          </w:tcPr>
          <w:p w14:paraId="4460BD94">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证书编号</w:t>
            </w:r>
          </w:p>
        </w:tc>
        <w:tc>
          <w:tcPr>
            <w:tcW w:w="2550" w:type="dxa"/>
            <w:vAlign w:val="center"/>
          </w:tcPr>
          <w:p w14:paraId="06E6A877">
            <w:pPr>
              <w:spacing w:line="400" w:lineRule="exact"/>
              <w:rPr>
                <w:rFonts w:hint="eastAsia" w:ascii="宋体" w:hAnsi="宋体" w:eastAsia="宋体" w:cs="宋体"/>
                <w:szCs w:val="21"/>
                <w:highlight w:val="none"/>
              </w:rPr>
            </w:pPr>
            <w:r>
              <w:rPr>
                <w:rFonts w:hint="eastAsia" w:ascii="宋体" w:hAnsi="宋体" w:eastAsia="宋体" w:cs="宋体"/>
                <w:szCs w:val="21"/>
                <w:highlight w:val="none"/>
              </w:rPr>
              <w:t>参加本单位工作时间</w:t>
            </w:r>
          </w:p>
        </w:tc>
        <w:tc>
          <w:tcPr>
            <w:tcW w:w="2610" w:type="dxa"/>
            <w:vAlign w:val="center"/>
          </w:tcPr>
          <w:p w14:paraId="56AD068B">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劳动合同编号</w:t>
            </w:r>
          </w:p>
        </w:tc>
      </w:tr>
      <w:tr w14:paraId="57EB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14:paraId="3451D333">
            <w:pPr>
              <w:spacing w:line="400" w:lineRule="exact"/>
              <w:rPr>
                <w:rFonts w:hint="eastAsia" w:ascii="宋体" w:hAnsi="宋体" w:eastAsia="宋体" w:cs="宋体"/>
                <w:szCs w:val="21"/>
                <w:highlight w:val="none"/>
              </w:rPr>
            </w:pPr>
          </w:p>
        </w:tc>
        <w:tc>
          <w:tcPr>
            <w:tcW w:w="1050" w:type="dxa"/>
          </w:tcPr>
          <w:p w14:paraId="1BE66022">
            <w:pPr>
              <w:spacing w:line="400" w:lineRule="exact"/>
              <w:rPr>
                <w:rFonts w:hint="eastAsia" w:ascii="宋体" w:hAnsi="宋体" w:eastAsia="宋体" w:cs="宋体"/>
                <w:szCs w:val="21"/>
                <w:highlight w:val="none"/>
              </w:rPr>
            </w:pPr>
          </w:p>
        </w:tc>
        <w:tc>
          <w:tcPr>
            <w:tcW w:w="1665" w:type="dxa"/>
          </w:tcPr>
          <w:p w14:paraId="6554E76C">
            <w:pPr>
              <w:spacing w:line="400" w:lineRule="exact"/>
              <w:rPr>
                <w:rFonts w:hint="eastAsia" w:ascii="宋体" w:hAnsi="宋体" w:eastAsia="宋体" w:cs="宋体"/>
                <w:szCs w:val="21"/>
                <w:highlight w:val="none"/>
              </w:rPr>
            </w:pPr>
          </w:p>
        </w:tc>
        <w:tc>
          <w:tcPr>
            <w:tcW w:w="1200" w:type="dxa"/>
          </w:tcPr>
          <w:p w14:paraId="47F3443F">
            <w:pPr>
              <w:spacing w:line="400" w:lineRule="exact"/>
              <w:rPr>
                <w:rFonts w:hint="eastAsia" w:ascii="宋体" w:hAnsi="宋体" w:eastAsia="宋体" w:cs="宋体"/>
                <w:szCs w:val="21"/>
                <w:highlight w:val="none"/>
              </w:rPr>
            </w:pPr>
          </w:p>
        </w:tc>
        <w:tc>
          <w:tcPr>
            <w:tcW w:w="2550" w:type="dxa"/>
          </w:tcPr>
          <w:p w14:paraId="496F303E">
            <w:pPr>
              <w:spacing w:line="400" w:lineRule="exact"/>
              <w:rPr>
                <w:rFonts w:hint="eastAsia" w:ascii="宋体" w:hAnsi="宋体" w:eastAsia="宋体" w:cs="宋体"/>
                <w:szCs w:val="21"/>
                <w:highlight w:val="none"/>
              </w:rPr>
            </w:pPr>
          </w:p>
        </w:tc>
        <w:tc>
          <w:tcPr>
            <w:tcW w:w="2610" w:type="dxa"/>
          </w:tcPr>
          <w:p w14:paraId="0F012976">
            <w:pPr>
              <w:spacing w:line="400" w:lineRule="exact"/>
              <w:rPr>
                <w:rFonts w:hint="eastAsia" w:ascii="宋体" w:hAnsi="宋体" w:eastAsia="宋体" w:cs="宋体"/>
                <w:szCs w:val="21"/>
                <w:highlight w:val="none"/>
              </w:rPr>
            </w:pPr>
          </w:p>
        </w:tc>
      </w:tr>
      <w:tr w14:paraId="19F2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14:paraId="69451682">
            <w:pPr>
              <w:spacing w:line="400" w:lineRule="exact"/>
              <w:rPr>
                <w:rFonts w:hint="eastAsia" w:ascii="宋体" w:hAnsi="宋体" w:eastAsia="宋体" w:cs="宋体"/>
                <w:szCs w:val="21"/>
                <w:highlight w:val="none"/>
              </w:rPr>
            </w:pPr>
          </w:p>
        </w:tc>
        <w:tc>
          <w:tcPr>
            <w:tcW w:w="1050" w:type="dxa"/>
          </w:tcPr>
          <w:p w14:paraId="4FFBC136">
            <w:pPr>
              <w:spacing w:line="400" w:lineRule="exact"/>
              <w:rPr>
                <w:rFonts w:hint="eastAsia" w:ascii="宋体" w:hAnsi="宋体" w:eastAsia="宋体" w:cs="宋体"/>
                <w:szCs w:val="21"/>
                <w:highlight w:val="none"/>
              </w:rPr>
            </w:pPr>
          </w:p>
        </w:tc>
        <w:tc>
          <w:tcPr>
            <w:tcW w:w="1665" w:type="dxa"/>
          </w:tcPr>
          <w:p w14:paraId="5714DB82">
            <w:pPr>
              <w:spacing w:line="400" w:lineRule="exact"/>
              <w:rPr>
                <w:rFonts w:hint="eastAsia" w:ascii="宋体" w:hAnsi="宋体" w:eastAsia="宋体" w:cs="宋体"/>
                <w:szCs w:val="21"/>
                <w:highlight w:val="none"/>
              </w:rPr>
            </w:pPr>
          </w:p>
        </w:tc>
        <w:tc>
          <w:tcPr>
            <w:tcW w:w="1200" w:type="dxa"/>
          </w:tcPr>
          <w:p w14:paraId="297BCB92">
            <w:pPr>
              <w:spacing w:line="400" w:lineRule="exact"/>
              <w:rPr>
                <w:rFonts w:hint="eastAsia" w:ascii="宋体" w:hAnsi="宋体" w:eastAsia="宋体" w:cs="宋体"/>
                <w:szCs w:val="21"/>
                <w:highlight w:val="none"/>
              </w:rPr>
            </w:pPr>
          </w:p>
        </w:tc>
        <w:tc>
          <w:tcPr>
            <w:tcW w:w="2550" w:type="dxa"/>
          </w:tcPr>
          <w:p w14:paraId="557A9D41">
            <w:pPr>
              <w:spacing w:line="400" w:lineRule="exact"/>
              <w:rPr>
                <w:rFonts w:hint="eastAsia" w:ascii="宋体" w:hAnsi="宋体" w:eastAsia="宋体" w:cs="宋体"/>
                <w:szCs w:val="21"/>
                <w:highlight w:val="none"/>
              </w:rPr>
            </w:pPr>
          </w:p>
        </w:tc>
        <w:tc>
          <w:tcPr>
            <w:tcW w:w="2610" w:type="dxa"/>
          </w:tcPr>
          <w:p w14:paraId="596B88CB">
            <w:pPr>
              <w:spacing w:line="400" w:lineRule="exact"/>
              <w:rPr>
                <w:rFonts w:hint="eastAsia" w:ascii="宋体" w:hAnsi="宋体" w:eastAsia="宋体" w:cs="宋体"/>
                <w:szCs w:val="21"/>
                <w:highlight w:val="none"/>
              </w:rPr>
            </w:pPr>
          </w:p>
        </w:tc>
      </w:tr>
    </w:tbl>
    <w:p w14:paraId="44FC5983">
      <w:pPr>
        <w:spacing w:line="400" w:lineRule="exact"/>
        <w:rPr>
          <w:rFonts w:hint="eastAsia" w:ascii="宋体" w:hAnsi="宋体" w:eastAsia="宋体" w:cs="宋体"/>
          <w:szCs w:val="21"/>
          <w:highlight w:val="none"/>
        </w:rPr>
      </w:pPr>
    </w:p>
    <w:p w14:paraId="233C4643">
      <w:pPr>
        <w:snapToGrid w:val="0"/>
        <w:spacing w:line="400" w:lineRule="exact"/>
        <w:ind w:firstLine="1890" w:firstLineChars="900"/>
        <w:rPr>
          <w:rFonts w:hint="eastAsia" w:ascii="宋体" w:hAnsi="宋体" w:eastAsia="宋体" w:cs="宋体"/>
          <w:szCs w:val="21"/>
          <w:highlight w:val="none"/>
          <w:u w:val="single"/>
        </w:rPr>
      </w:pPr>
      <w:r>
        <w:rPr>
          <w:rFonts w:hint="eastAsia" w:ascii="宋体" w:hAnsi="宋体" w:eastAsia="宋体" w:cs="宋体"/>
          <w:szCs w:val="21"/>
          <w:highlight w:val="none"/>
        </w:rPr>
        <w:t>磋商供应商[公章(CA签章)，自然人签字或个人CA签章]：</w:t>
      </w:r>
      <w:r>
        <w:rPr>
          <w:rFonts w:hint="eastAsia" w:ascii="宋体" w:hAnsi="宋体" w:eastAsia="宋体" w:cs="宋体"/>
          <w:szCs w:val="21"/>
          <w:highlight w:val="none"/>
          <w:u w:val="single"/>
        </w:rPr>
        <w:t xml:space="preserve">                                     </w:t>
      </w:r>
    </w:p>
    <w:p w14:paraId="2DF333DC">
      <w:pPr>
        <w:spacing w:line="360" w:lineRule="auto"/>
        <w:rPr>
          <w:rFonts w:hint="eastAsia" w:ascii="宋体" w:hAnsi="宋体" w:eastAsia="宋体" w:cs="宋体"/>
          <w:highlight w:val="none"/>
        </w:rPr>
      </w:pPr>
    </w:p>
    <w:p w14:paraId="1863046F">
      <w:pPr>
        <w:snapToGrid w:val="0"/>
        <w:spacing w:line="400" w:lineRule="exact"/>
        <w:ind w:firstLine="1680" w:firstLineChars="800"/>
        <w:rPr>
          <w:rFonts w:hint="eastAsia" w:ascii="宋体" w:hAnsi="宋体" w:eastAsia="宋体" w:cs="宋体"/>
          <w:highlight w:val="none"/>
        </w:rPr>
      </w:pPr>
      <w:r>
        <w:rPr>
          <w:rFonts w:hint="eastAsia" w:ascii="宋体" w:hAnsi="宋体" w:eastAsia="宋体" w:cs="宋体"/>
          <w:highlight w:val="none"/>
        </w:rPr>
        <w:t xml:space="preserve"> 日          期：</w:t>
      </w:r>
      <w:r>
        <w:rPr>
          <w:rFonts w:hint="eastAsia" w:ascii="宋体" w:hAnsi="宋体" w:eastAsia="宋体" w:cs="宋体"/>
          <w:highlight w:val="none"/>
          <w:u w:val="single"/>
        </w:rPr>
        <w:t xml:space="preserve">                                                   </w:t>
      </w:r>
    </w:p>
    <w:p w14:paraId="5ABBEBEA">
      <w:pPr>
        <w:pStyle w:val="9"/>
        <w:rPr>
          <w:rFonts w:hint="eastAsia" w:ascii="宋体" w:hAnsi="宋体" w:eastAsia="宋体" w:cs="宋体"/>
          <w:highlight w:val="none"/>
        </w:rPr>
      </w:pPr>
    </w:p>
    <w:p w14:paraId="7DEC0D0E">
      <w:pPr>
        <w:spacing w:line="360" w:lineRule="auto"/>
        <w:rPr>
          <w:rFonts w:hint="eastAsia" w:ascii="宋体" w:hAnsi="宋体" w:eastAsia="宋体" w:cs="宋体"/>
          <w:highlight w:val="none"/>
          <w:u w:val="single"/>
        </w:rPr>
      </w:pPr>
      <w:r>
        <w:rPr>
          <w:rFonts w:hint="eastAsia" w:ascii="宋体" w:hAnsi="宋体" w:eastAsia="宋体" w:cs="宋体"/>
          <w:b/>
          <w:bCs/>
          <w:sz w:val="24"/>
          <w:highlight w:val="none"/>
        </w:rPr>
        <w:t>注：供应商根据自身情况结合本项目自行制定</w:t>
      </w:r>
    </w:p>
    <w:p w14:paraId="3F2EF954">
      <w:pPr>
        <w:pStyle w:val="13"/>
        <w:spacing w:line="340" w:lineRule="exact"/>
        <w:rPr>
          <w:rFonts w:hint="eastAsia" w:ascii="宋体" w:hAnsi="宋体" w:eastAsia="宋体" w:cs="宋体"/>
          <w:b/>
          <w:sz w:val="28"/>
          <w:szCs w:val="28"/>
          <w:highlight w:val="none"/>
        </w:rPr>
      </w:pPr>
    </w:p>
    <w:p w14:paraId="1E0EC098">
      <w:pPr>
        <w:pStyle w:val="6"/>
        <w:rPr>
          <w:rFonts w:hint="eastAsia" w:ascii="宋体" w:hAnsi="宋体" w:eastAsia="宋体" w:cs="宋体"/>
          <w:highlight w:val="none"/>
        </w:rPr>
      </w:pPr>
    </w:p>
    <w:p w14:paraId="6B19424C">
      <w:pPr>
        <w:pStyle w:val="13"/>
        <w:spacing w:line="340" w:lineRule="exact"/>
        <w:rPr>
          <w:rFonts w:hint="eastAsia" w:ascii="宋体" w:hAnsi="宋体" w:eastAsia="宋体" w:cs="宋体"/>
          <w:b/>
          <w:sz w:val="28"/>
          <w:szCs w:val="28"/>
          <w:highlight w:val="none"/>
        </w:rPr>
      </w:pPr>
    </w:p>
    <w:p w14:paraId="4CEF161E">
      <w:pPr>
        <w:pStyle w:val="13"/>
        <w:spacing w:line="340" w:lineRule="exact"/>
        <w:rPr>
          <w:rFonts w:hint="eastAsia" w:ascii="宋体" w:hAnsi="宋体" w:eastAsia="宋体" w:cs="宋体"/>
          <w:b/>
          <w:sz w:val="28"/>
          <w:szCs w:val="28"/>
          <w:highlight w:val="none"/>
        </w:rPr>
      </w:pPr>
    </w:p>
    <w:p w14:paraId="644CB729">
      <w:pPr>
        <w:pStyle w:val="13"/>
        <w:spacing w:line="340" w:lineRule="exact"/>
        <w:rPr>
          <w:rFonts w:hint="eastAsia" w:ascii="宋体" w:hAnsi="宋体" w:eastAsia="宋体" w:cs="宋体"/>
          <w:b/>
          <w:sz w:val="28"/>
          <w:szCs w:val="28"/>
          <w:highlight w:val="none"/>
        </w:rPr>
      </w:pPr>
    </w:p>
    <w:p w14:paraId="20854412">
      <w:pPr>
        <w:pStyle w:val="13"/>
        <w:spacing w:line="340" w:lineRule="exact"/>
        <w:rPr>
          <w:rFonts w:hint="eastAsia" w:ascii="宋体" w:hAnsi="宋体" w:eastAsia="宋体" w:cs="宋体"/>
          <w:b/>
          <w:sz w:val="28"/>
          <w:szCs w:val="28"/>
          <w:highlight w:val="none"/>
        </w:rPr>
      </w:pPr>
    </w:p>
    <w:p w14:paraId="7117207B">
      <w:pPr>
        <w:pStyle w:val="13"/>
        <w:spacing w:line="340" w:lineRule="exact"/>
        <w:rPr>
          <w:rFonts w:hint="eastAsia" w:ascii="宋体" w:hAnsi="宋体" w:eastAsia="宋体" w:cs="宋体"/>
          <w:b/>
          <w:sz w:val="28"/>
          <w:szCs w:val="28"/>
          <w:highlight w:val="none"/>
        </w:rPr>
      </w:pPr>
    </w:p>
    <w:p w14:paraId="18B5AED5">
      <w:pPr>
        <w:pStyle w:val="13"/>
        <w:spacing w:line="340" w:lineRule="exact"/>
        <w:rPr>
          <w:rFonts w:hint="eastAsia" w:ascii="宋体" w:hAnsi="宋体" w:eastAsia="宋体" w:cs="宋体"/>
          <w:b/>
          <w:sz w:val="28"/>
          <w:szCs w:val="28"/>
          <w:highlight w:val="none"/>
        </w:rPr>
      </w:pPr>
    </w:p>
    <w:p w14:paraId="3B20A5D3">
      <w:pPr>
        <w:pStyle w:val="13"/>
        <w:spacing w:line="34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t>2.“采购需求”需提供的有效证明文件（如有，请提供）；</w:t>
      </w:r>
    </w:p>
    <w:p w14:paraId="3A5B1E63">
      <w:pPr>
        <w:pStyle w:val="9"/>
        <w:rPr>
          <w:rFonts w:hint="eastAsia" w:ascii="宋体" w:hAnsi="宋体" w:eastAsia="宋体" w:cs="宋体"/>
          <w:b/>
          <w:highlight w:val="none"/>
        </w:rPr>
      </w:pPr>
    </w:p>
    <w:p w14:paraId="6D42EAEA">
      <w:pPr>
        <w:pStyle w:val="13"/>
        <w:spacing w:line="340" w:lineRule="exact"/>
        <w:rPr>
          <w:rFonts w:hint="eastAsia" w:ascii="宋体" w:hAnsi="宋体" w:eastAsia="宋体" w:cs="宋体"/>
          <w:b/>
          <w:sz w:val="28"/>
          <w:szCs w:val="28"/>
          <w:highlight w:val="none"/>
        </w:rPr>
      </w:pPr>
      <w:bookmarkStart w:id="467" w:name="_Toc3052"/>
      <w:bookmarkStart w:id="468" w:name="_Toc10161"/>
      <w:bookmarkStart w:id="469" w:name="_Toc497927090"/>
    </w:p>
    <w:p w14:paraId="70CD7CD5">
      <w:pPr>
        <w:pStyle w:val="13"/>
        <w:spacing w:line="340" w:lineRule="exact"/>
        <w:rPr>
          <w:rFonts w:hint="eastAsia" w:ascii="宋体" w:hAnsi="宋体" w:eastAsia="宋体" w:cs="宋体"/>
          <w:b/>
          <w:sz w:val="28"/>
          <w:szCs w:val="28"/>
          <w:highlight w:val="none"/>
        </w:rPr>
      </w:pPr>
    </w:p>
    <w:p w14:paraId="77410813">
      <w:pPr>
        <w:pStyle w:val="13"/>
        <w:spacing w:line="340" w:lineRule="exact"/>
        <w:rPr>
          <w:rFonts w:hint="eastAsia" w:ascii="宋体" w:hAnsi="宋体" w:eastAsia="宋体" w:cs="宋体"/>
          <w:b/>
          <w:sz w:val="28"/>
          <w:szCs w:val="28"/>
          <w:highlight w:val="none"/>
        </w:rPr>
      </w:pPr>
    </w:p>
    <w:p w14:paraId="1385C575">
      <w:pPr>
        <w:pStyle w:val="13"/>
        <w:spacing w:line="340" w:lineRule="exact"/>
        <w:rPr>
          <w:rFonts w:hint="eastAsia" w:ascii="宋体" w:hAnsi="宋体" w:eastAsia="宋体" w:cs="宋体"/>
          <w:b/>
          <w:sz w:val="28"/>
          <w:szCs w:val="28"/>
          <w:highlight w:val="none"/>
        </w:rPr>
      </w:pPr>
    </w:p>
    <w:p w14:paraId="6C06798B">
      <w:pPr>
        <w:pStyle w:val="13"/>
        <w:spacing w:line="340" w:lineRule="exact"/>
        <w:rPr>
          <w:rFonts w:hint="eastAsia" w:ascii="宋体" w:hAnsi="宋体" w:eastAsia="宋体" w:cs="宋体"/>
          <w:b/>
          <w:sz w:val="28"/>
          <w:szCs w:val="28"/>
          <w:highlight w:val="none"/>
        </w:rPr>
      </w:pPr>
    </w:p>
    <w:p w14:paraId="551F0BD9">
      <w:pPr>
        <w:pStyle w:val="13"/>
        <w:spacing w:line="340" w:lineRule="exact"/>
        <w:rPr>
          <w:rFonts w:hint="eastAsia" w:ascii="宋体" w:hAnsi="宋体" w:eastAsia="宋体" w:cs="宋体"/>
          <w:b/>
          <w:sz w:val="28"/>
          <w:szCs w:val="28"/>
          <w:highlight w:val="none"/>
        </w:rPr>
      </w:pPr>
    </w:p>
    <w:p w14:paraId="4A4A84F3">
      <w:pPr>
        <w:pStyle w:val="13"/>
        <w:spacing w:line="340" w:lineRule="exact"/>
        <w:rPr>
          <w:rFonts w:hint="eastAsia" w:ascii="宋体" w:hAnsi="宋体" w:eastAsia="宋体" w:cs="宋体"/>
          <w:b/>
          <w:sz w:val="28"/>
          <w:szCs w:val="28"/>
          <w:highlight w:val="none"/>
        </w:rPr>
      </w:pPr>
    </w:p>
    <w:p w14:paraId="5367980C">
      <w:pPr>
        <w:pStyle w:val="13"/>
        <w:spacing w:line="34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t>3.供应商</w:t>
      </w:r>
      <w:r>
        <w:rPr>
          <w:rFonts w:hint="eastAsia" w:ascii="宋体" w:hAnsi="宋体" w:eastAsia="宋体" w:cs="宋体"/>
          <w:b/>
          <w:sz w:val="28"/>
          <w:szCs w:val="28"/>
          <w:highlight w:val="none"/>
          <w:lang w:eastAsia="zh-CN"/>
        </w:rPr>
        <w:t>2019年1月1日</w:t>
      </w:r>
      <w:r>
        <w:rPr>
          <w:rFonts w:hint="eastAsia" w:ascii="宋体" w:hAnsi="宋体" w:eastAsia="宋体" w:cs="宋体"/>
          <w:b/>
          <w:sz w:val="28"/>
          <w:szCs w:val="28"/>
          <w:highlight w:val="none"/>
        </w:rPr>
        <w:t>以来具有同类项目业绩相关证明材料（无不良记录，以</w:t>
      </w:r>
      <w:r>
        <w:rPr>
          <w:rFonts w:hint="eastAsia" w:ascii="宋体" w:hAnsi="宋体" w:eastAsia="宋体" w:cs="宋体"/>
          <w:b/>
          <w:sz w:val="28"/>
          <w:szCs w:val="28"/>
          <w:highlight w:val="none"/>
          <w:lang w:eastAsia="zh-CN"/>
        </w:rPr>
        <w:t>成交</w:t>
      </w:r>
      <w:r>
        <w:rPr>
          <w:rFonts w:hint="eastAsia" w:ascii="宋体" w:hAnsi="宋体" w:eastAsia="宋体" w:cs="宋体"/>
          <w:b/>
          <w:sz w:val="28"/>
          <w:szCs w:val="28"/>
          <w:highlight w:val="none"/>
        </w:rPr>
        <w:t>、成交通知书或签订的合同为准，并能清晰反映项目的名称、采购内容、采购金额、采购时间）（如有，请提供）；</w:t>
      </w:r>
      <w:bookmarkEnd w:id="467"/>
      <w:bookmarkEnd w:id="468"/>
      <w:bookmarkEnd w:id="469"/>
    </w:p>
    <w:p w14:paraId="2DA250B3">
      <w:pPr>
        <w:pStyle w:val="9"/>
        <w:rPr>
          <w:rFonts w:hint="eastAsia" w:ascii="宋体" w:hAnsi="宋体" w:eastAsia="宋体" w:cs="宋体"/>
          <w:highlight w:val="none"/>
        </w:rPr>
      </w:pPr>
    </w:p>
    <w:p w14:paraId="51465735">
      <w:pPr>
        <w:pStyle w:val="13"/>
        <w:spacing w:line="340" w:lineRule="exact"/>
        <w:rPr>
          <w:rFonts w:hint="eastAsia" w:ascii="宋体" w:hAnsi="宋体" w:eastAsia="宋体" w:cs="宋体"/>
          <w:highlight w:val="none"/>
        </w:rPr>
      </w:pPr>
      <w:r>
        <w:rPr>
          <w:rFonts w:hint="eastAsia" w:ascii="宋体" w:hAnsi="宋体" w:eastAsia="宋体" w:cs="宋体"/>
          <w:b/>
          <w:sz w:val="28"/>
          <w:szCs w:val="28"/>
          <w:highlight w:val="none"/>
        </w:rPr>
        <w:t xml:space="preserve">               </w:t>
      </w:r>
    </w:p>
    <w:p w14:paraId="3A093204">
      <w:pPr>
        <w:pStyle w:val="9"/>
        <w:rPr>
          <w:rFonts w:hint="eastAsia" w:ascii="宋体" w:hAnsi="宋体" w:eastAsia="宋体" w:cs="宋体"/>
          <w:highlight w:val="none"/>
        </w:rPr>
      </w:pPr>
    </w:p>
    <w:p w14:paraId="4C2EC568">
      <w:pPr>
        <w:rPr>
          <w:rFonts w:hint="eastAsia" w:ascii="宋体" w:hAnsi="宋体" w:eastAsia="宋体" w:cs="宋体"/>
          <w:highlight w:val="none"/>
        </w:rPr>
      </w:pPr>
    </w:p>
    <w:p w14:paraId="0E100692">
      <w:pPr>
        <w:pStyle w:val="13"/>
        <w:spacing w:line="340" w:lineRule="exac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4.《中小企业声明函》（见附件）（</w:t>
      </w:r>
      <w:r>
        <w:rPr>
          <w:rFonts w:hint="eastAsia" w:ascii="宋体" w:hAnsi="宋体" w:eastAsia="宋体" w:cs="宋体"/>
          <w:b/>
          <w:sz w:val="28"/>
          <w:szCs w:val="28"/>
          <w:highlight w:val="none"/>
          <w:lang w:val="en-US" w:eastAsia="zh-CN"/>
        </w:rPr>
        <w:t>必须</w:t>
      </w:r>
      <w:r>
        <w:rPr>
          <w:rFonts w:hint="eastAsia" w:ascii="宋体" w:hAnsi="宋体" w:eastAsia="宋体" w:cs="宋体"/>
          <w:b/>
          <w:sz w:val="28"/>
          <w:szCs w:val="28"/>
          <w:highlight w:val="none"/>
        </w:rPr>
        <w:t>提供</w:t>
      </w:r>
      <w:r>
        <w:rPr>
          <w:rFonts w:hint="eastAsia" w:ascii="宋体" w:hAnsi="宋体" w:eastAsia="宋体" w:cs="宋体"/>
          <w:b/>
          <w:color w:val="000000"/>
          <w:sz w:val="28"/>
          <w:szCs w:val="28"/>
          <w:highlight w:val="none"/>
        </w:rPr>
        <w:t>）；</w:t>
      </w:r>
    </w:p>
    <w:p w14:paraId="4142E2A4">
      <w:pPr>
        <w:rPr>
          <w:rFonts w:hint="eastAsia" w:ascii="宋体" w:hAnsi="宋体" w:eastAsia="宋体" w:cs="宋体"/>
          <w:color w:val="000000"/>
          <w:highlight w:val="none"/>
        </w:rPr>
      </w:pPr>
    </w:p>
    <w:p w14:paraId="4B786AC7">
      <w:pPr>
        <w:pStyle w:val="9"/>
        <w:rPr>
          <w:rFonts w:hint="eastAsia" w:ascii="宋体" w:hAnsi="宋体" w:eastAsia="宋体" w:cs="宋体"/>
          <w:color w:val="000000"/>
          <w:highlight w:val="none"/>
        </w:rPr>
      </w:pPr>
    </w:p>
    <w:p w14:paraId="0391D3B4">
      <w:pPr>
        <w:pStyle w:val="13"/>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附件：</w:t>
      </w:r>
    </w:p>
    <w:p w14:paraId="00D737BA">
      <w:pPr>
        <w:pStyle w:val="13"/>
        <w:spacing w:line="440" w:lineRule="exact"/>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中小企业声明函（服务）</w:t>
      </w:r>
    </w:p>
    <w:p w14:paraId="0B1DE081">
      <w:pPr>
        <w:spacing w:line="440" w:lineRule="exact"/>
        <w:ind w:firstLine="444" w:firstLineChars="200"/>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本公司（联合体）郑重声明，根据《政府采购促进中小企业发展管理办法》（财库﹝2020﹞46 号）的规定，本公司（联合体）参加（</w:t>
      </w:r>
      <w:r>
        <w:rPr>
          <w:rFonts w:hint="eastAsia" w:ascii="宋体" w:hAnsi="宋体" w:eastAsia="宋体" w:cs="宋体"/>
          <w:color w:val="000000"/>
          <w:spacing w:val="6"/>
          <w:szCs w:val="21"/>
          <w:highlight w:val="none"/>
          <w:u w:val="single"/>
        </w:rPr>
        <w:t>单位名称</w:t>
      </w:r>
      <w:r>
        <w:rPr>
          <w:rFonts w:hint="eastAsia" w:ascii="宋体" w:hAnsi="宋体" w:eastAsia="宋体" w:cs="宋体"/>
          <w:color w:val="000000"/>
          <w:spacing w:val="6"/>
          <w:szCs w:val="21"/>
          <w:highlight w:val="none"/>
        </w:rPr>
        <w:t>）的（</w:t>
      </w:r>
      <w:r>
        <w:rPr>
          <w:rFonts w:hint="eastAsia" w:ascii="宋体" w:hAnsi="宋体" w:eastAsia="宋体" w:cs="宋体"/>
          <w:color w:val="000000"/>
          <w:spacing w:val="6"/>
          <w:szCs w:val="21"/>
          <w:highlight w:val="none"/>
          <w:u w:val="single"/>
        </w:rPr>
        <w:t>项目名称</w:t>
      </w:r>
      <w:r>
        <w:rPr>
          <w:rFonts w:hint="eastAsia" w:ascii="宋体" w:hAnsi="宋体" w:eastAsia="宋体" w:cs="宋体"/>
          <w:color w:val="000000"/>
          <w:spacing w:val="6"/>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CC7BB52">
      <w:pPr>
        <w:spacing w:line="440" w:lineRule="exact"/>
        <w:ind w:firstLine="444" w:firstLineChars="200"/>
        <w:rPr>
          <w:rFonts w:hint="eastAsia" w:ascii="宋体" w:hAnsi="宋体" w:eastAsia="宋体" w:cs="宋体"/>
          <w:color w:val="000000"/>
          <w:kern w:val="0"/>
          <w:szCs w:val="21"/>
          <w:highlight w:val="none"/>
        </w:rPr>
      </w:pPr>
      <w:r>
        <w:rPr>
          <w:rFonts w:hint="eastAsia" w:ascii="宋体" w:hAnsi="宋体" w:eastAsia="宋体" w:cs="宋体"/>
          <w:color w:val="000000"/>
          <w:spacing w:val="6"/>
          <w:szCs w:val="21"/>
          <w:highlight w:val="none"/>
        </w:rPr>
        <w:t>1.</w:t>
      </w:r>
      <w:r>
        <w:rPr>
          <w:rFonts w:hint="eastAsia" w:ascii="宋体" w:hAnsi="宋体" w:eastAsia="宋体" w:cs="宋体"/>
          <w:color w:val="000000"/>
          <w:spacing w:val="6"/>
          <w:szCs w:val="21"/>
          <w:highlight w:val="none"/>
          <w:u w:val="single"/>
        </w:rPr>
        <w:t xml:space="preserve">（标的名称） </w:t>
      </w:r>
      <w:r>
        <w:rPr>
          <w:rFonts w:hint="eastAsia" w:ascii="宋体" w:hAnsi="宋体" w:eastAsia="宋体" w:cs="宋体"/>
          <w:color w:val="000000"/>
          <w:spacing w:val="6"/>
          <w:szCs w:val="21"/>
          <w:highlight w:val="none"/>
        </w:rPr>
        <w:t>，属于</w:t>
      </w:r>
      <w:r>
        <w:rPr>
          <w:rFonts w:hint="eastAsia" w:ascii="宋体" w:hAnsi="宋体" w:eastAsia="宋体" w:cs="宋体"/>
          <w:color w:val="000000"/>
          <w:spacing w:val="6"/>
          <w:szCs w:val="21"/>
          <w:highlight w:val="none"/>
          <w:u w:val="single"/>
        </w:rPr>
        <w:t>（采购文件中明确的所属行业）</w:t>
      </w:r>
      <w:r>
        <w:rPr>
          <w:rFonts w:hint="eastAsia" w:ascii="宋体" w:hAnsi="宋体" w:eastAsia="宋体" w:cs="宋体"/>
          <w:color w:val="000000"/>
          <w:spacing w:val="6"/>
          <w:szCs w:val="21"/>
          <w:highlight w:val="none"/>
        </w:rPr>
        <w:t>； 承建（承接）企业为（</w:t>
      </w:r>
      <w:r>
        <w:rPr>
          <w:rFonts w:hint="eastAsia" w:ascii="宋体" w:hAnsi="宋体" w:eastAsia="宋体" w:cs="宋体"/>
          <w:color w:val="000000"/>
          <w:spacing w:val="6"/>
          <w:szCs w:val="21"/>
          <w:highlight w:val="none"/>
          <w:u w:val="single"/>
        </w:rPr>
        <w:t>企业名称</w:t>
      </w:r>
      <w:r>
        <w:rPr>
          <w:rFonts w:hint="eastAsia" w:ascii="宋体" w:hAnsi="宋体" w:eastAsia="宋体" w:cs="宋体"/>
          <w:color w:val="000000"/>
          <w:spacing w:val="6"/>
          <w:szCs w:val="21"/>
          <w:highlight w:val="none"/>
        </w:rPr>
        <w:t>），从业人员</w:t>
      </w:r>
      <w:r>
        <w:rPr>
          <w:rFonts w:hint="eastAsia" w:ascii="宋体" w:hAnsi="宋体" w:eastAsia="宋体" w:cs="宋体"/>
          <w:color w:val="000000"/>
          <w:spacing w:val="6"/>
          <w:szCs w:val="21"/>
          <w:highlight w:val="none"/>
          <w:u w:val="single"/>
        </w:rPr>
        <w:t xml:space="preserve">   </w:t>
      </w:r>
      <w:r>
        <w:rPr>
          <w:rFonts w:hint="eastAsia" w:ascii="宋体" w:hAnsi="宋体" w:eastAsia="宋体" w:cs="宋体"/>
          <w:color w:val="000000"/>
          <w:spacing w:val="6"/>
          <w:szCs w:val="21"/>
          <w:highlight w:val="none"/>
        </w:rPr>
        <w:t>人，营业 收入为</w:t>
      </w:r>
      <w:r>
        <w:rPr>
          <w:rFonts w:hint="eastAsia" w:ascii="宋体" w:hAnsi="宋体" w:eastAsia="宋体" w:cs="宋体"/>
          <w:color w:val="000000"/>
          <w:spacing w:val="6"/>
          <w:szCs w:val="21"/>
          <w:highlight w:val="none"/>
          <w:u w:val="single"/>
        </w:rPr>
        <w:t xml:space="preserve">  </w:t>
      </w:r>
      <w:r>
        <w:rPr>
          <w:rFonts w:hint="eastAsia" w:ascii="宋体" w:hAnsi="宋体" w:eastAsia="宋体" w:cs="宋体"/>
          <w:color w:val="000000"/>
          <w:spacing w:val="6"/>
          <w:szCs w:val="21"/>
          <w:highlight w:val="none"/>
        </w:rPr>
        <w:t>万元，资产总额为</w:t>
      </w:r>
      <w:r>
        <w:rPr>
          <w:rFonts w:hint="eastAsia" w:ascii="宋体" w:hAnsi="宋体" w:eastAsia="宋体" w:cs="宋体"/>
          <w:color w:val="000000"/>
          <w:spacing w:val="6"/>
          <w:szCs w:val="21"/>
          <w:highlight w:val="none"/>
          <w:u w:val="single"/>
        </w:rPr>
        <w:t xml:space="preserve">  </w:t>
      </w:r>
      <w:r>
        <w:rPr>
          <w:rFonts w:hint="eastAsia" w:ascii="宋体" w:hAnsi="宋体" w:eastAsia="宋体" w:cs="宋体"/>
          <w:color w:val="000000"/>
          <w:spacing w:val="6"/>
          <w:szCs w:val="21"/>
          <w:highlight w:val="none"/>
        </w:rPr>
        <w:t>万元，属于（</w:t>
      </w:r>
      <w:r>
        <w:rPr>
          <w:rFonts w:hint="eastAsia" w:ascii="宋体" w:hAnsi="宋体" w:eastAsia="宋体" w:cs="宋体"/>
          <w:color w:val="000000"/>
          <w:spacing w:val="6"/>
          <w:szCs w:val="21"/>
          <w:highlight w:val="none"/>
          <w:u w:val="single"/>
        </w:rPr>
        <w:t>中型企业、 小型企业、微型企业</w:t>
      </w:r>
      <w:r>
        <w:rPr>
          <w:rFonts w:hint="eastAsia" w:ascii="宋体" w:hAnsi="宋体" w:eastAsia="宋体" w:cs="宋体"/>
          <w:color w:val="000000"/>
          <w:spacing w:val="6"/>
          <w:szCs w:val="21"/>
          <w:highlight w:val="none"/>
        </w:rPr>
        <w:t>）</w:t>
      </w:r>
    </w:p>
    <w:p w14:paraId="52CCF3D6">
      <w:pPr>
        <w:widowControl/>
        <w:ind w:firstLine="444" w:firstLineChars="200"/>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2.</w:t>
      </w:r>
      <w:r>
        <w:rPr>
          <w:rFonts w:hint="eastAsia" w:ascii="宋体" w:hAnsi="宋体" w:eastAsia="宋体" w:cs="宋体"/>
          <w:color w:val="000000"/>
          <w:spacing w:val="6"/>
          <w:szCs w:val="21"/>
          <w:highlight w:val="none"/>
          <w:u w:val="single"/>
        </w:rPr>
        <w:t xml:space="preserve">（标的名称） </w:t>
      </w:r>
      <w:r>
        <w:rPr>
          <w:rFonts w:hint="eastAsia" w:ascii="宋体" w:hAnsi="宋体" w:eastAsia="宋体" w:cs="宋体"/>
          <w:color w:val="000000"/>
          <w:spacing w:val="6"/>
          <w:szCs w:val="21"/>
          <w:highlight w:val="none"/>
        </w:rPr>
        <w:t>，属于</w:t>
      </w:r>
      <w:r>
        <w:rPr>
          <w:rFonts w:hint="eastAsia" w:ascii="宋体" w:hAnsi="宋体" w:eastAsia="宋体" w:cs="宋体"/>
          <w:color w:val="000000"/>
          <w:spacing w:val="6"/>
          <w:szCs w:val="21"/>
          <w:highlight w:val="none"/>
          <w:u w:val="single"/>
        </w:rPr>
        <w:t>（采购文件中明确的所属行业）</w:t>
      </w:r>
      <w:r>
        <w:rPr>
          <w:rFonts w:hint="eastAsia" w:ascii="宋体" w:hAnsi="宋体" w:eastAsia="宋体" w:cs="宋体"/>
          <w:color w:val="000000"/>
          <w:spacing w:val="6"/>
          <w:szCs w:val="21"/>
          <w:highlight w:val="none"/>
        </w:rPr>
        <w:t>；承建（承接）企业为（</w:t>
      </w:r>
      <w:r>
        <w:rPr>
          <w:rFonts w:hint="eastAsia" w:ascii="宋体" w:hAnsi="宋体" w:eastAsia="宋体" w:cs="宋体"/>
          <w:color w:val="000000"/>
          <w:spacing w:val="6"/>
          <w:szCs w:val="21"/>
          <w:highlight w:val="none"/>
          <w:u w:val="single"/>
        </w:rPr>
        <w:t>企业名称</w:t>
      </w:r>
      <w:r>
        <w:rPr>
          <w:rFonts w:hint="eastAsia" w:ascii="宋体" w:hAnsi="宋体" w:eastAsia="宋体" w:cs="宋体"/>
          <w:color w:val="000000"/>
          <w:spacing w:val="6"/>
          <w:szCs w:val="21"/>
          <w:highlight w:val="none"/>
        </w:rPr>
        <w:t>），从业人员</w:t>
      </w:r>
      <w:r>
        <w:rPr>
          <w:rFonts w:hint="eastAsia" w:ascii="宋体" w:hAnsi="宋体" w:eastAsia="宋体" w:cs="宋体"/>
          <w:color w:val="000000"/>
          <w:spacing w:val="6"/>
          <w:szCs w:val="21"/>
          <w:highlight w:val="none"/>
          <w:u w:val="single"/>
        </w:rPr>
        <w:t xml:space="preserve">  </w:t>
      </w:r>
      <w:r>
        <w:rPr>
          <w:rFonts w:hint="eastAsia" w:ascii="宋体" w:hAnsi="宋体" w:eastAsia="宋体" w:cs="宋体"/>
          <w:color w:val="000000"/>
          <w:spacing w:val="6"/>
          <w:szCs w:val="21"/>
          <w:highlight w:val="none"/>
        </w:rPr>
        <w:t>人，营业收入为</w:t>
      </w:r>
      <w:r>
        <w:rPr>
          <w:rFonts w:hint="eastAsia" w:ascii="宋体" w:hAnsi="宋体" w:eastAsia="宋体" w:cs="宋体"/>
          <w:color w:val="000000"/>
          <w:spacing w:val="6"/>
          <w:szCs w:val="21"/>
          <w:highlight w:val="none"/>
          <w:u w:val="single"/>
        </w:rPr>
        <w:t xml:space="preserve">  </w:t>
      </w:r>
      <w:r>
        <w:rPr>
          <w:rFonts w:hint="eastAsia" w:ascii="宋体" w:hAnsi="宋体" w:eastAsia="宋体" w:cs="宋体"/>
          <w:color w:val="000000"/>
          <w:spacing w:val="6"/>
          <w:szCs w:val="21"/>
          <w:highlight w:val="none"/>
        </w:rPr>
        <w:t>万元，资产总额为</w:t>
      </w:r>
      <w:r>
        <w:rPr>
          <w:rFonts w:hint="eastAsia" w:ascii="宋体" w:hAnsi="宋体" w:eastAsia="宋体" w:cs="宋体"/>
          <w:color w:val="000000"/>
          <w:spacing w:val="6"/>
          <w:szCs w:val="21"/>
          <w:highlight w:val="none"/>
          <w:u w:val="single"/>
        </w:rPr>
        <w:t xml:space="preserve">  </w:t>
      </w:r>
      <w:r>
        <w:rPr>
          <w:rFonts w:hint="eastAsia" w:ascii="宋体" w:hAnsi="宋体" w:eastAsia="宋体" w:cs="宋体"/>
          <w:color w:val="000000"/>
          <w:spacing w:val="6"/>
          <w:szCs w:val="21"/>
          <w:highlight w:val="none"/>
        </w:rPr>
        <w:t>万元，属于（</w:t>
      </w:r>
      <w:r>
        <w:rPr>
          <w:rFonts w:hint="eastAsia" w:ascii="宋体" w:hAnsi="宋体" w:eastAsia="宋体" w:cs="宋体"/>
          <w:color w:val="000000"/>
          <w:spacing w:val="6"/>
          <w:szCs w:val="21"/>
          <w:highlight w:val="none"/>
          <w:u w:val="single"/>
        </w:rPr>
        <w:t>中型企业、 小型企业、微型企业</w:t>
      </w:r>
      <w:r>
        <w:rPr>
          <w:rFonts w:hint="eastAsia" w:ascii="宋体" w:hAnsi="宋体" w:eastAsia="宋体" w:cs="宋体"/>
          <w:color w:val="000000"/>
          <w:spacing w:val="6"/>
          <w:szCs w:val="21"/>
          <w:highlight w:val="none"/>
        </w:rPr>
        <w:t>）；</w:t>
      </w:r>
    </w:p>
    <w:p w14:paraId="7E64A622">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p w14:paraId="23E5382C">
      <w:pPr>
        <w:widowControl/>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以上企业，不属于大企业的分支机构，不存在控股股东为大企业的情形，也不存在与大企业的负责人为同一人的情形。</w:t>
      </w:r>
    </w:p>
    <w:p w14:paraId="3F868ADB">
      <w:pPr>
        <w:widowControl/>
        <w:jc w:val="left"/>
        <w:rPr>
          <w:rFonts w:hint="eastAsia" w:ascii="宋体" w:hAnsi="宋体" w:eastAsia="宋体" w:cs="宋体"/>
          <w:color w:val="000000"/>
          <w:spacing w:val="6"/>
          <w:szCs w:val="21"/>
          <w:highlight w:val="none"/>
        </w:rPr>
      </w:pPr>
      <w:r>
        <w:rPr>
          <w:rFonts w:hint="eastAsia" w:ascii="宋体" w:hAnsi="宋体" w:eastAsia="宋体" w:cs="宋体"/>
          <w:color w:val="000000"/>
          <w:spacing w:val="6"/>
          <w:szCs w:val="21"/>
          <w:highlight w:val="none"/>
        </w:rPr>
        <w:t xml:space="preserve">本企业对上述声明内容的真实性负责。如有虚假，将依法承担相应责任。 </w:t>
      </w:r>
    </w:p>
    <w:p w14:paraId="6707C29F">
      <w:pPr>
        <w:pStyle w:val="29"/>
        <w:spacing w:after="40" w:line="400" w:lineRule="exact"/>
        <w:ind w:firstLine="640"/>
        <w:jc w:val="both"/>
        <w:rPr>
          <w:rFonts w:hint="eastAsia" w:ascii="宋体" w:hAnsi="宋体" w:eastAsia="宋体" w:cs="宋体"/>
          <w:color w:val="000000"/>
          <w:sz w:val="24"/>
          <w:szCs w:val="24"/>
          <w:highlight w:val="none"/>
        </w:rPr>
      </w:pPr>
    </w:p>
    <w:p w14:paraId="5360E3D2">
      <w:pPr>
        <w:pStyle w:val="29"/>
        <w:spacing w:line="400" w:lineRule="exact"/>
        <w:ind w:firstLine="640"/>
        <w:jc w:val="both"/>
        <w:rPr>
          <w:rFonts w:hint="eastAsia" w:ascii="宋体" w:hAnsi="宋体" w:eastAsia="宋体" w:cs="宋体"/>
          <w:color w:val="000000"/>
          <w:spacing w:val="6"/>
          <w:kern w:val="2"/>
          <w:sz w:val="21"/>
          <w:szCs w:val="21"/>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pacing w:val="6"/>
          <w:kern w:val="2"/>
          <w:sz w:val="21"/>
          <w:szCs w:val="21"/>
          <w:highlight w:val="none"/>
        </w:rPr>
        <w:t xml:space="preserve">                        企业名称[盖公章（CA签章）]：</w:t>
      </w:r>
    </w:p>
    <w:p w14:paraId="211D6678">
      <w:pPr>
        <w:pStyle w:val="29"/>
        <w:spacing w:line="400" w:lineRule="exact"/>
        <w:ind w:firstLine="640"/>
        <w:jc w:val="both"/>
        <w:rPr>
          <w:rFonts w:hint="eastAsia" w:ascii="宋体" w:hAnsi="宋体" w:eastAsia="宋体" w:cs="宋体"/>
          <w:color w:val="000000"/>
          <w:spacing w:val="6"/>
          <w:kern w:val="2"/>
          <w:sz w:val="21"/>
          <w:szCs w:val="21"/>
          <w:highlight w:val="none"/>
        </w:rPr>
      </w:pPr>
      <w:r>
        <w:rPr>
          <w:rFonts w:hint="eastAsia" w:ascii="宋体" w:hAnsi="宋体" w:eastAsia="宋体" w:cs="宋体"/>
          <w:color w:val="000000"/>
          <w:spacing w:val="6"/>
          <w:kern w:val="2"/>
          <w:sz w:val="21"/>
          <w:szCs w:val="21"/>
          <w:highlight w:val="none"/>
        </w:rPr>
        <w:t xml:space="preserve">                                                   日期：</w:t>
      </w:r>
    </w:p>
    <w:p w14:paraId="476F3349">
      <w:pPr>
        <w:tabs>
          <w:tab w:val="left" w:pos="4553"/>
        </w:tabs>
        <w:rPr>
          <w:rFonts w:hint="eastAsia" w:ascii="宋体" w:hAnsi="宋体" w:eastAsia="宋体" w:cs="宋体"/>
          <w:b/>
          <w:bCs/>
          <w:color w:val="000000"/>
          <w:kern w:val="0"/>
          <w:szCs w:val="21"/>
          <w:highlight w:val="none"/>
          <w:lang w:eastAsia="zh-CN"/>
        </w:rPr>
      </w:pPr>
      <w:r>
        <w:rPr>
          <w:rFonts w:hint="eastAsia" w:ascii="宋体" w:hAnsi="宋体" w:eastAsia="宋体" w:cs="宋体"/>
          <w:b/>
          <w:bCs/>
          <w:color w:val="000000"/>
          <w:kern w:val="0"/>
          <w:szCs w:val="21"/>
          <w:highlight w:val="none"/>
          <w:lang w:eastAsia="zh-CN"/>
        </w:rPr>
        <w:tab/>
      </w:r>
    </w:p>
    <w:p w14:paraId="727B183E">
      <w:pPr>
        <w:rPr>
          <w:rFonts w:hint="eastAsia" w:ascii="宋体" w:hAnsi="宋体" w:eastAsia="宋体" w:cs="宋体"/>
          <w:b/>
          <w:bCs/>
          <w:color w:val="000000"/>
          <w:kern w:val="0"/>
          <w:szCs w:val="21"/>
          <w:highlight w:val="none"/>
        </w:rPr>
      </w:pPr>
    </w:p>
    <w:p w14:paraId="5C7285BE">
      <w:pPr>
        <w:rPr>
          <w:rFonts w:hint="eastAsia" w:ascii="宋体" w:hAnsi="宋体" w:eastAsia="宋体" w:cs="宋体"/>
          <w:b/>
          <w:bCs/>
          <w:color w:val="000000"/>
          <w:kern w:val="0"/>
          <w:szCs w:val="21"/>
          <w:highlight w:val="none"/>
        </w:rPr>
      </w:pPr>
    </w:p>
    <w:p w14:paraId="2793F280">
      <w:pPr>
        <w:rPr>
          <w:rFonts w:hint="eastAsia" w:ascii="宋体" w:hAnsi="宋体" w:eastAsia="宋体" w:cs="宋体"/>
          <w:b/>
          <w:bCs/>
          <w:color w:val="000000"/>
          <w:kern w:val="0"/>
          <w:szCs w:val="21"/>
          <w:highlight w:val="none"/>
        </w:rPr>
      </w:pPr>
    </w:p>
    <w:p w14:paraId="7C0E94C1">
      <w:pPr>
        <w:rPr>
          <w:rFonts w:hint="eastAsia" w:ascii="宋体" w:hAnsi="宋体" w:eastAsia="宋体" w:cs="宋体"/>
          <w:b/>
          <w:bCs/>
          <w:color w:val="000000"/>
          <w:kern w:val="0"/>
          <w:szCs w:val="21"/>
          <w:highlight w:val="none"/>
        </w:rPr>
      </w:pPr>
    </w:p>
    <w:p w14:paraId="40C77CDA">
      <w:pPr>
        <w:rPr>
          <w:rFonts w:hint="eastAsia" w:ascii="宋体" w:hAnsi="宋体" w:eastAsia="宋体" w:cs="宋体"/>
          <w:color w:val="000000"/>
          <w:highlight w:val="none"/>
        </w:rPr>
      </w:pPr>
      <w:r>
        <w:rPr>
          <w:rFonts w:hint="eastAsia" w:ascii="宋体" w:hAnsi="宋体" w:eastAsia="宋体" w:cs="宋体"/>
          <w:b/>
          <w:bCs/>
          <w:color w:val="000000"/>
          <w:kern w:val="0"/>
          <w:szCs w:val="21"/>
          <w:highlight w:val="none"/>
        </w:rPr>
        <w:t>注：从业人员、营业收入、资产总额填报上一年度数据，无上一年度数据的新成立企业可不填报。</w:t>
      </w:r>
    </w:p>
    <w:p w14:paraId="74FE3D46">
      <w:pPr>
        <w:rPr>
          <w:rFonts w:hint="eastAsia" w:ascii="宋体" w:hAnsi="宋体" w:eastAsia="宋体" w:cs="宋体"/>
          <w:color w:val="000000"/>
          <w:highlight w:val="none"/>
        </w:rPr>
      </w:pPr>
    </w:p>
    <w:p w14:paraId="7D7AFA32">
      <w:pPr>
        <w:pStyle w:val="13"/>
        <w:spacing w:line="340" w:lineRule="exact"/>
        <w:rPr>
          <w:rFonts w:hint="eastAsia" w:ascii="宋体" w:hAnsi="宋体" w:eastAsia="宋体" w:cs="宋体"/>
          <w:b/>
          <w:color w:val="000000"/>
          <w:sz w:val="28"/>
          <w:szCs w:val="28"/>
          <w:highlight w:val="none"/>
        </w:rPr>
      </w:pPr>
    </w:p>
    <w:p w14:paraId="177CA223">
      <w:pPr>
        <w:pStyle w:val="13"/>
        <w:spacing w:line="340" w:lineRule="exact"/>
        <w:rPr>
          <w:rFonts w:hint="eastAsia" w:ascii="宋体" w:hAnsi="宋体" w:eastAsia="宋体" w:cs="宋体"/>
          <w:b/>
          <w:color w:val="000000"/>
          <w:sz w:val="28"/>
          <w:szCs w:val="28"/>
          <w:highlight w:val="none"/>
        </w:rPr>
      </w:pPr>
    </w:p>
    <w:p w14:paraId="559ACE0D">
      <w:pPr>
        <w:pStyle w:val="13"/>
        <w:spacing w:line="340" w:lineRule="exact"/>
        <w:rPr>
          <w:rFonts w:hint="eastAsia" w:ascii="宋体" w:hAnsi="宋体" w:eastAsia="宋体" w:cs="宋体"/>
          <w:b/>
          <w:color w:val="000000"/>
          <w:sz w:val="28"/>
          <w:szCs w:val="28"/>
          <w:highlight w:val="none"/>
        </w:rPr>
      </w:pPr>
    </w:p>
    <w:p w14:paraId="3DC824E2">
      <w:pPr>
        <w:pStyle w:val="13"/>
        <w:spacing w:line="340" w:lineRule="exac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5.如提供服务的供应商属于监狱企业的，应当提供由省级以上监狱管理局、戒毒管理局等（含新疆生产建设兵团）出具的属于监狱企业的证明文件（</w:t>
      </w:r>
      <w:r>
        <w:rPr>
          <w:rFonts w:hint="eastAsia" w:ascii="宋体" w:hAnsi="宋体" w:eastAsia="宋体" w:cs="宋体"/>
          <w:b/>
          <w:sz w:val="28"/>
          <w:szCs w:val="28"/>
          <w:highlight w:val="none"/>
        </w:rPr>
        <w:t>如有，请提供</w:t>
      </w:r>
      <w:r>
        <w:rPr>
          <w:rFonts w:hint="eastAsia" w:ascii="宋体" w:hAnsi="宋体" w:eastAsia="宋体" w:cs="宋体"/>
          <w:b/>
          <w:color w:val="000000"/>
          <w:sz w:val="28"/>
          <w:szCs w:val="28"/>
          <w:highlight w:val="none"/>
        </w:rPr>
        <w:t>）；</w:t>
      </w:r>
    </w:p>
    <w:p w14:paraId="04AC75F9">
      <w:pPr>
        <w:pStyle w:val="6"/>
        <w:ind w:left="0"/>
        <w:rPr>
          <w:rFonts w:hint="eastAsia" w:ascii="宋体" w:hAnsi="宋体" w:eastAsia="宋体" w:cs="宋体"/>
          <w:b/>
          <w:color w:val="000000"/>
          <w:sz w:val="28"/>
          <w:szCs w:val="28"/>
          <w:highlight w:val="none"/>
        </w:rPr>
      </w:pPr>
    </w:p>
    <w:p w14:paraId="6C016D77">
      <w:pPr>
        <w:pStyle w:val="13"/>
        <w:spacing w:line="340" w:lineRule="exact"/>
        <w:rPr>
          <w:rFonts w:hint="eastAsia" w:ascii="宋体" w:hAnsi="宋体" w:eastAsia="宋体" w:cs="宋体"/>
          <w:b/>
          <w:color w:val="000000"/>
          <w:sz w:val="28"/>
          <w:szCs w:val="28"/>
          <w:highlight w:val="none"/>
        </w:rPr>
      </w:pPr>
    </w:p>
    <w:p w14:paraId="0C64FB8D">
      <w:pPr>
        <w:pStyle w:val="5"/>
        <w:spacing w:before="0" w:after="0" w:line="240" w:lineRule="auto"/>
        <w:rPr>
          <w:rFonts w:hint="eastAsia" w:ascii="宋体" w:hAnsi="宋体" w:eastAsia="宋体" w:cs="宋体"/>
          <w:b/>
          <w:color w:val="000000"/>
          <w:sz w:val="28"/>
          <w:szCs w:val="28"/>
          <w:highlight w:val="none"/>
        </w:rPr>
      </w:pPr>
    </w:p>
    <w:p w14:paraId="2DABF062">
      <w:pPr>
        <w:rPr>
          <w:rFonts w:hint="eastAsia" w:ascii="宋体" w:hAnsi="宋体" w:eastAsia="宋体" w:cs="宋体"/>
          <w:highlight w:val="none"/>
        </w:rPr>
      </w:pPr>
    </w:p>
    <w:p w14:paraId="27A77066">
      <w:pPr>
        <w:pStyle w:val="13"/>
        <w:spacing w:line="340" w:lineRule="exac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6.《残疾人福利性单位声明函》</w:t>
      </w:r>
      <w:r>
        <w:rPr>
          <w:rFonts w:hint="eastAsia" w:ascii="宋体" w:hAnsi="宋体" w:eastAsia="宋体" w:cs="宋体"/>
          <w:b/>
          <w:color w:val="000000"/>
          <w:sz w:val="28"/>
          <w:szCs w:val="28"/>
          <w:highlight w:val="none"/>
          <w:lang w:eastAsia="zh-CN"/>
        </w:rPr>
        <w:t>，</w:t>
      </w:r>
      <w:r>
        <w:rPr>
          <w:rFonts w:hint="eastAsia" w:ascii="宋体" w:hAnsi="宋体" w:eastAsia="宋体" w:cs="宋体"/>
          <w:b/>
          <w:sz w:val="28"/>
          <w:szCs w:val="28"/>
          <w:highlight w:val="none"/>
        </w:rPr>
        <w:t>并对声明的真实性负责</w:t>
      </w:r>
      <w:r>
        <w:rPr>
          <w:rFonts w:hint="eastAsia" w:ascii="宋体" w:hAnsi="宋体" w:eastAsia="宋体" w:cs="宋体"/>
          <w:b/>
          <w:color w:val="000000"/>
          <w:sz w:val="28"/>
          <w:szCs w:val="28"/>
          <w:highlight w:val="none"/>
        </w:rPr>
        <w:t>（见附件）（</w:t>
      </w:r>
      <w:r>
        <w:rPr>
          <w:rFonts w:hint="eastAsia" w:ascii="宋体" w:hAnsi="宋体" w:eastAsia="宋体" w:cs="宋体"/>
          <w:b/>
          <w:sz w:val="28"/>
          <w:szCs w:val="28"/>
          <w:highlight w:val="none"/>
        </w:rPr>
        <w:t>如有，请提供</w:t>
      </w:r>
      <w:r>
        <w:rPr>
          <w:rFonts w:hint="eastAsia" w:ascii="宋体" w:hAnsi="宋体" w:eastAsia="宋体" w:cs="宋体"/>
          <w:b/>
          <w:color w:val="000000"/>
          <w:sz w:val="28"/>
          <w:szCs w:val="28"/>
          <w:highlight w:val="none"/>
        </w:rPr>
        <w:t>）；</w:t>
      </w:r>
    </w:p>
    <w:p w14:paraId="6E19D575">
      <w:pPr>
        <w:pStyle w:val="20"/>
        <w:rPr>
          <w:rFonts w:hint="eastAsia" w:ascii="宋体" w:hAnsi="宋体" w:eastAsia="宋体" w:cs="宋体"/>
          <w:highlight w:val="none"/>
        </w:rPr>
      </w:pPr>
    </w:p>
    <w:p w14:paraId="59F5BC01">
      <w:pPr>
        <w:pStyle w:val="25"/>
        <w:rPr>
          <w:rFonts w:hint="eastAsia" w:ascii="宋体" w:hAnsi="宋体" w:eastAsia="宋体" w:cs="宋体"/>
          <w:b/>
          <w:spacing w:val="6"/>
          <w:sz w:val="28"/>
          <w:szCs w:val="28"/>
          <w:highlight w:val="none"/>
        </w:rPr>
      </w:pPr>
    </w:p>
    <w:p w14:paraId="1FF55B34">
      <w:pPr>
        <w:spacing w:line="588" w:lineRule="exact"/>
        <w:jc w:val="center"/>
        <w:rPr>
          <w:rFonts w:hint="eastAsia" w:ascii="宋体" w:hAnsi="宋体" w:eastAsia="宋体" w:cs="宋体"/>
          <w:b/>
          <w:color w:val="000000"/>
          <w:spacing w:val="6"/>
          <w:sz w:val="28"/>
          <w:szCs w:val="28"/>
          <w:highlight w:val="none"/>
        </w:rPr>
      </w:pPr>
      <w:r>
        <w:rPr>
          <w:rFonts w:hint="eastAsia" w:ascii="宋体" w:hAnsi="宋体" w:eastAsia="宋体" w:cs="宋体"/>
          <w:b/>
          <w:color w:val="000000"/>
          <w:spacing w:val="6"/>
          <w:sz w:val="28"/>
          <w:szCs w:val="28"/>
          <w:highlight w:val="none"/>
        </w:rPr>
        <w:t>残疾人福利性单位声明函</w:t>
      </w:r>
    </w:p>
    <w:p w14:paraId="09C99787">
      <w:pPr>
        <w:spacing w:line="588" w:lineRule="exact"/>
        <w:ind w:firstLine="504" w:firstLineChars="200"/>
        <w:rPr>
          <w:rFonts w:hint="eastAsia"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000000"/>
          <w:sz w:val="24"/>
          <w:highlight w:val="none"/>
        </w:rPr>
        <w:t>〔2017〕141</w:t>
      </w:r>
      <w:r>
        <w:rPr>
          <w:rFonts w:hint="eastAsia" w:ascii="宋体" w:hAnsi="宋体" w:eastAsia="宋体" w:cs="宋体"/>
          <w:color w:val="000000"/>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7FAB781">
      <w:pPr>
        <w:spacing w:line="588" w:lineRule="exact"/>
        <w:ind w:firstLine="504" w:firstLineChars="200"/>
        <w:rPr>
          <w:rFonts w:hint="eastAsia"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本单位对上述声明的真实性负责。如有虚假，将依法承担相应责任。</w:t>
      </w:r>
    </w:p>
    <w:p w14:paraId="5595AC2F">
      <w:pPr>
        <w:tabs>
          <w:tab w:val="left" w:pos="4860"/>
        </w:tabs>
        <w:spacing w:line="588" w:lineRule="exact"/>
        <w:ind w:right="1560"/>
        <w:jc w:val="left"/>
        <w:rPr>
          <w:rFonts w:hint="eastAsia" w:ascii="宋体" w:hAnsi="宋体" w:eastAsia="宋体" w:cs="宋体"/>
          <w:color w:val="000000"/>
          <w:spacing w:val="6"/>
          <w:sz w:val="24"/>
          <w:highlight w:val="none"/>
        </w:rPr>
      </w:pPr>
    </w:p>
    <w:p w14:paraId="2E9E7D08">
      <w:pPr>
        <w:tabs>
          <w:tab w:val="left" w:pos="4860"/>
        </w:tabs>
        <w:spacing w:line="588" w:lineRule="exact"/>
        <w:ind w:right="1560" w:firstLine="5879" w:firstLineChars="2333"/>
        <w:jc w:val="left"/>
        <w:rPr>
          <w:rFonts w:hint="eastAsia"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单位名称（</w:t>
      </w:r>
      <w:r>
        <w:rPr>
          <w:rFonts w:hint="eastAsia" w:ascii="宋体" w:hAnsi="宋体" w:eastAsia="宋体" w:cs="宋体"/>
          <w:color w:val="000000"/>
          <w:sz w:val="24"/>
          <w:highlight w:val="none"/>
        </w:rPr>
        <w:t>CA签章</w:t>
      </w:r>
      <w:r>
        <w:rPr>
          <w:rFonts w:hint="eastAsia" w:ascii="宋体" w:hAnsi="宋体" w:eastAsia="宋体" w:cs="宋体"/>
          <w:color w:val="000000"/>
          <w:spacing w:val="6"/>
          <w:sz w:val="24"/>
          <w:highlight w:val="none"/>
        </w:rPr>
        <w:t>）：</w:t>
      </w:r>
    </w:p>
    <w:p w14:paraId="0E649E4E">
      <w:pPr>
        <w:pStyle w:val="13"/>
        <w:ind w:firstLine="5879" w:firstLineChars="2333"/>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日    期：  年  月  日</w:t>
      </w:r>
    </w:p>
    <w:p w14:paraId="4218F978">
      <w:pPr>
        <w:rPr>
          <w:rFonts w:hint="eastAsia" w:ascii="宋体" w:hAnsi="宋体" w:eastAsia="宋体" w:cs="宋体"/>
          <w:color w:val="000000"/>
          <w:spacing w:val="6"/>
          <w:sz w:val="24"/>
          <w:highlight w:val="none"/>
        </w:rPr>
      </w:pPr>
    </w:p>
    <w:p w14:paraId="1BDF3BDD">
      <w:pPr>
        <w:pStyle w:val="9"/>
        <w:rPr>
          <w:rFonts w:hint="eastAsia" w:ascii="宋体" w:hAnsi="宋体" w:eastAsia="宋体" w:cs="宋体"/>
          <w:color w:val="000000"/>
          <w:highlight w:val="none"/>
        </w:rPr>
      </w:pPr>
    </w:p>
    <w:p w14:paraId="08DFE1DD">
      <w:pPr>
        <w:pStyle w:val="9"/>
        <w:rPr>
          <w:rFonts w:hint="eastAsia" w:ascii="宋体" w:hAnsi="宋体" w:eastAsia="宋体" w:cs="宋体"/>
          <w:color w:val="000000"/>
          <w:highlight w:val="none"/>
        </w:rPr>
      </w:pPr>
    </w:p>
    <w:p w14:paraId="3523505E">
      <w:pPr>
        <w:pStyle w:val="9"/>
        <w:rPr>
          <w:rFonts w:hint="eastAsia" w:ascii="宋体" w:hAnsi="宋体" w:eastAsia="宋体" w:cs="宋体"/>
          <w:color w:val="000000"/>
          <w:highlight w:val="none"/>
        </w:rPr>
      </w:pPr>
    </w:p>
    <w:p w14:paraId="01B9274E">
      <w:pPr>
        <w:pStyle w:val="9"/>
        <w:rPr>
          <w:rFonts w:hint="eastAsia" w:ascii="宋体" w:hAnsi="宋体" w:eastAsia="宋体" w:cs="宋体"/>
          <w:color w:val="000000"/>
          <w:sz w:val="24"/>
          <w:highlight w:val="none"/>
        </w:rPr>
      </w:pPr>
      <w:r>
        <w:rPr>
          <w:rFonts w:hint="eastAsia" w:ascii="宋体" w:hAnsi="宋体" w:eastAsia="宋体" w:cs="宋体"/>
          <w:b/>
          <w:color w:val="000000"/>
          <w:szCs w:val="21"/>
          <w:highlight w:val="none"/>
        </w:rPr>
        <w:t>注：成交供应商为残疾人福利性单位的，采购人或者其委托的采购代理机构应当随成交结果同时公告其《残疾人福利性单位声明函》，接受社会监督</w:t>
      </w:r>
      <w:r>
        <w:rPr>
          <w:rFonts w:hint="eastAsia" w:ascii="宋体" w:hAnsi="宋体" w:eastAsia="宋体" w:cs="宋体"/>
          <w:color w:val="000000"/>
          <w:sz w:val="24"/>
          <w:highlight w:val="none"/>
        </w:rPr>
        <w:t>。</w:t>
      </w:r>
    </w:p>
    <w:p w14:paraId="0C689051">
      <w:pPr>
        <w:pStyle w:val="9"/>
        <w:rPr>
          <w:rFonts w:hint="eastAsia" w:ascii="宋体" w:hAnsi="宋体" w:eastAsia="宋体" w:cs="宋体"/>
          <w:color w:val="000000"/>
          <w:sz w:val="24"/>
          <w:highlight w:val="none"/>
        </w:rPr>
      </w:pPr>
    </w:p>
    <w:p w14:paraId="4DD02132">
      <w:pPr>
        <w:pStyle w:val="9"/>
        <w:rPr>
          <w:rFonts w:hint="eastAsia" w:ascii="宋体" w:hAnsi="宋体" w:eastAsia="宋体" w:cs="宋体"/>
          <w:color w:val="000000"/>
          <w:sz w:val="24"/>
          <w:highlight w:val="none"/>
        </w:rPr>
      </w:pPr>
    </w:p>
    <w:p w14:paraId="5BB03F37">
      <w:pPr>
        <w:pStyle w:val="9"/>
        <w:rPr>
          <w:rFonts w:hint="eastAsia" w:ascii="宋体" w:hAnsi="宋体" w:eastAsia="宋体" w:cs="宋体"/>
          <w:b/>
          <w:sz w:val="28"/>
          <w:szCs w:val="28"/>
          <w:highlight w:val="none"/>
        </w:rPr>
      </w:pPr>
    </w:p>
    <w:p w14:paraId="42E11698">
      <w:pPr>
        <w:pStyle w:val="9"/>
        <w:rPr>
          <w:rFonts w:hint="eastAsia" w:ascii="宋体" w:hAnsi="宋体" w:eastAsia="宋体" w:cs="宋体"/>
          <w:highlight w:val="none"/>
        </w:rPr>
      </w:pPr>
      <w:r>
        <w:rPr>
          <w:rFonts w:hint="eastAsia" w:ascii="宋体" w:hAnsi="宋体" w:eastAsia="宋体" w:cs="宋体"/>
          <w:b/>
          <w:sz w:val="28"/>
          <w:szCs w:val="28"/>
          <w:highlight w:val="none"/>
        </w:rPr>
        <w:t>7.供应商可结合本项目的评审办法视自身情况自行提交其它相关证明材料</w:t>
      </w:r>
      <w:r>
        <w:rPr>
          <w:rFonts w:hint="eastAsia" w:ascii="宋体" w:hAnsi="宋体" w:eastAsia="宋体" w:cs="宋体"/>
          <w:b/>
          <w:bCs/>
          <w:szCs w:val="21"/>
          <w:highlight w:val="none"/>
        </w:rPr>
        <w:t>（</w:t>
      </w:r>
      <w:r>
        <w:rPr>
          <w:rFonts w:hint="eastAsia" w:ascii="宋体" w:hAnsi="宋体" w:eastAsia="宋体" w:cs="宋体"/>
          <w:b/>
          <w:sz w:val="28"/>
          <w:szCs w:val="28"/>
          <w:highlight w:val="none"/>
        </w:rPr>
        <w:t>如有，请提供）。</w:t>
      </w:r>
    </w:p>
    <w:p w14:paraId="531A35B5">
      <w:pPr>
        <w:rPr>
          <w:rFonts w:hint="eastAsia" w:ascii="宋体" w:hAnsi="宋体" w:eastAsia="宋体" w:cs="宋体"/>
          <w:highlight w:val="none"/>
        </w:rPr>
      </w:pPr>
    </w:p>
    <w:sectPr>
      <w:footerReference r:id="rId7" w:type="default"/>
      <w:pgSz w:w="11906" w:h="16838"/>
      <w:pgMar w:top="1440" w:right="935" w:bottom="1440" w:left="7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Ђ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3C3A9">
    <w:pPr>
      <w:pStyle w:val="14"/>
      <w:pBdr>
        <w:bottom w:val="single" w:color="auto" w:sz="4" w:space="0"/>
      </w:pBdr>
      <w:tabs>
        <w:tab w:val="clear" w:pos="4153"/>
      </w:tabs>
      <w:jc w:val="center"/>
      <w:rPr>
        <w:rFonts w:hint="eastAsia"/>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33FE846">
                          <w:pPr>
                            <w:pStyle w:val="14"/>
                          </w:pPr>
                          <w:r>
                            <w:fldChar w:fldCharType="begin"/>
                          </w:r>
                          <w:r>
                            <w:instrText xml:space="preserve"> PAGE  \* MERGEFORMAT </w:instrText>
                          </w:r>
                          <w:r>
                            <w:fldChar w:fldCharType="separate"/>
                          </w:r>
                          <w:r>
                            <w:t>- 30 -</w:t>
                          </w:r>
                          <w: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3SMeT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q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3dIx5MMBAACHAwAADgAAAAAAAAABACAAAAAfAQAAZHJzL2Uyb0RvYy54bWxQ&#10;SwUGAAAAAAYABgBZAQAAVAUAAAAA&#10;">
              <v:fill on="f" focussize="0,0"/>
              <v:stroke on="f"/>
              <v:imagedata o:title=""/>
              <o:lock v:ext="edit" aspectratio="f"/>
              <v:textbox inset="0mm,0mm,0mm,0mm" style="mso-fit-shape-to-text:t;">
                <w:txbxContent>
                  <w:p w14:paraId="033FE846">
                    <w:pPr>
                      <w:pStyle w:val="14"/>
                    </w:pPr>
                    <w:r>
                      <w:fldChar w:fldCharType="begin"/>
                    </w:r>
                    <w:r>
                      <w:instrText xml:space="preserve"> PAGE  \* MERGEFORMAT </w:instrText>
                    </w:r>
                    <w:r>
                      <w:fldChar w:fldCharType="separate"/>
                    </w:r>
                    <w:r>
                      <w:t>- 30 -</w:t>
                    </w:r>
                    <w:r>
                      <w:fldChar w:fldCharType="end"/>
                    </w:r>
                  </w:p>
                </w:txbxContent>
              </v:textbox>
            </v:rect>
          </w:pict>
        </mc:Fallback>
      </mc:AlternateContent>
    </w:r>
  </w:p>
  <w:p w14:paraId="1579DF12">
    <w:pPr>
      <w:pStyle w:val="14"/>
    </w:pPr>
    <w:r>
      <w:rPr>
        <w:rFonts w:hint="eastAsia"/>
        <w:lang w:eastAsia="zh-CN"/>
      </w:rPr>
      <w:t>广西禾昇项目管理有限公司</w:t>
    </w:r>
    <w:r>
      <w:rPr>
        <w:rFonts w:hint="eastAsia"/>
      </w:rPr>
      <w:t xml:space="preserve">                                                                           </w: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FC5DB">
    <w:pPr>
      <w:pStyle w:val="14"/>
      <w:pBdr>
        <w:bottom w:val="single" w:color="auto" w:sz="4" w:space="0"/>
      </w:pBdr>
      <w:tabs>
        <w:tab w:val="clear" w:pos="4153"/>
      </w:tabs>
      <w:jc w:val="center"/>
      <w:rPr>
        <w:rFonts w:hint="default"/>
        <w:lang w:val="en-US"/>
      </w:rPr>
    </w:pPr>
    <w:r>
      <w:rPr>
        <w:rFonts w:hint="eastAsia"/>
        <w:lang w:val="en-US" w:eastAsia="zh-CN"/>
      </w:rPr>
      <w:t>71</w:t>
    </w:r>
  </w:p>
  <w:p w14:paraId="7DF8C0DA">
    <w:pPr>
      <w:pStyle w:val="14"/>
    </w:pPr>
    <w:r>
      <w:rPr>
        <w:rFonts w:hint="eastAsia"/>
        <w:lang w:eastAsia="zh-CN"/>
      </w:rPr>
      <w:t>广西禾昇项目管理有限公司</w:t>
    </w:r>
    <w:r>
      <w:rPr>
        <w:rFonts w:hint="eastAsia"/>
      </w:rPr>
      <w:t xml:space="preserve">                                                            </w:t>
    </w:r>
    <w:r>
      <w:rPr>
        <w:rFonts w:hint="eastAsia"/>
        <w:lang w:val="en-US" w:eastAsia="zh-CN"/>
      </w:rPr>
      <w:t xml:space="preserve">                     </w:t>
    </w:r>
    <w:r>
      <w:rPr>
        <w:rFonts w:hint="eastAsia"/>
      </w:rPr>
      <w:t>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B23F9">
    <w:pPr>
      <w:pStyle w:val="14"/>
      <w:pBdr>
        <w:bottom w:val="single" w:color="auto" w:sz="4" w:space="0"/>
      </w:pBdr>
      <w:tabs>
        <w:tab w:val="clear" w:pos="4153"/>
      </w:tabs>
      <w:jc w:val="center"/>
      <w:rPr>
        <w:rFonts w:hint="default"/>
        <w:lang w:val="en-US"/>
      </w:rPr>
    </w:pPr>
    <w:r>
      <w:rPr>
        <w:rFonts w:hint="eastAsia"/>
        <w:lang w:val="en-US" w:eastAsia="zh-CN"/>
      </w:rPr>
      <w:t>72</w:t>
    </w:r>
  </w:p>
  <w:p w14:paraId="4525A04F">
    <w:pPr>
      <w:pStyle w:val="14"/>
    </w:pPr>
    <w:r>
      <w:rPr>
        <w:rFonts w:hint="eastAsia"/>
        <w:lang w:eastAsia="zh-CN"/>
      </w:rPr>
      <w:t>广西禾昇项目管理有限公司</w:t>
    </w:r>
    <w:r>
      <w:rPr>
        <w:rFonts w:hint="eastAsia"/>
      </w:rPr>
      <w:t xml:space="preserve">                                                            </w:t>
    </w:r>
    <w:r>
      <w:rPr>
        <w:rFonts w:hint="eastAsia"/>
        <w:lang w:val="en-US" w:eastAsia="zh-CN"/>
      </w:rPr>
      <w:t xml:space="preserve">                     </w:t>
    </w:r>
    <w:r>
      <w:rPr>
        <w:rFonts w:hint="eastAsia"/>
      </w:rPr>
      <w:t>竞争性磋商</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53C83">
    <w:pPr>
      <w:pStyle w:val="14"/>
      <w:pBdr>
        <w:bottom w:val="single" w:color="auto" w:sz="4" w:space="0"/>
      </w:pBdr>
      <w:tabs>
        <w:tab w:val="clear" w:pos="4153"/>
      </w:tabs>
      <w:jc w:val="center"/>
      <w:rPr>
        <w:rFonts w:hint="default"/>
        <w:lang w:val="en-US"/>
      </w:rPr>
    </w:pPr>
    <w:r>
      <w:rPr>
        <w:rFonts w:hint="eastAsia"/>
        <w:lang w:val="en-US" w:eastAsia="zh-CN"/>
      </w:rPr>
      <w:t>75</w:t>
    </w:r>
  </w:p>
  <w:p w14:paraId="4065B73F">
    <w:pPr>
      <w:pStyle w:val="14"/>
    </w:pPr>
    <w:r>
      <w:rPr>
        <w:rFonts w:hint="eastAsia"/>
        <w:lang w:eastAsia="zh-CN"/>
      </w:rPr>
      <w:t>广西禾昇项目管理有限公司</w:t>
    </w:r>
    <w:r>
      <w:rPr>
        <w:rFonts w:hint="eastAsia"/>
      </w:rPr>
      <w:t xml:space="preserve">                                                            </w:t>
    </w:r>
    <w:r>
      <w:rPr>
        <w:rFonts w:hint="eastAsia"/>
        <w:lang w:val="en-US" w:eastAsia="zh-CN"/>
      </w:rPr>
      <w:t xml:space="preserve">                     </w:t>
    </w:r>
    <w:r>
      <w:rPr>
        <w:rFonts w:hint="eastAsia"/>
      </w:rPr>
      <w:t>竞争性磋商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12D25">
    <w:pPr>
      <w:pStyle w:val="15"/>
      <w:jc w:val="left"/>
      <w:rPr>
        <w:rFonts w:hint="eastAsia" w:eastAsia="宋体"/>
        <w:color w:val="C00000"/>
        <w:highlight w:val="yellow"/>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decimal"/>
      <w:lvlText w:val="%1."/>
      <w:lvlJc w:val="left"/>
      <w:pPr>
        <w:tabs>
          <w:tab w:val="left" w:pos="312"/>
        </w:tabs>
      </w:p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multilevel"/>
    <w:tmpl w:val="00000003"/>
    <w:lvl w:ilvl="0" w:tentative="0">
      <w:start w:val="2"/>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4"/>
    <w:multiLevelType w:val="singleLevel"/>
    <w:tmpl w:val="00000004"/>
    <w:lvl w:ilvl="0" w:tentative="0">
      <w:start w:val="1"/>
      <w:numFmt w:val="decimal"/>
      <w:lvlText w:val="%1."/>
      <w:lvlJc w:val="left"/>
      <w:pPr>
        <w:tabs>
          <w:tab w:val="left" w:pos="312"/>
        </w:tabs>
      </w:pPr>
    </w:lvl>
  </w:abstractNum>
  <w:abstractNum w:abstractNumId="5">
    <w:nsid w:val="00000005"/>
    <w:multiLevelType w:val="singleLevel"/>
    <w:tmpl w:val="00000005"/>
    <w:lvl w:ilvl="0" w:tentative="0">
      <w:start w:val="6"/>
      <w:numFmt w:val="decimal"/>
      <w:suff w:val="nothing"/>
      <w:lvlText w:val="（%1）"/>
      <w:lvlJc w:val="left"/>
    </w:lvl>
  </w:abstractNum>
  <w:abstractNum w:abstractNumId="6">
    <w:nsid w:val="00000006"/>
    <w:multiLevelType w:val="multilevel"/>
    <w:tmpl w:val="00000006"/>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7">
    <w:nsid w:val="00000008"/>
    <w:multiLevelType w:val="singleLevel"/>
    <w:tmpl w:val="00000008"/>
    <w:lvl w:ilvl="0" w:tentative="0">
      <w:start w:val="26"/>
      <w:numFmt w:val="decimal"/>
      <w:suff w:val="space"/>
      <w:lvlText w:val="%1."/>
      <w:lvlJc w:val="left"/>
    </w:lvl>
  </w:abstractNum>
  <w:abstractNum w:abstractNumId="8">
    <w:nsid w:val="00000009"/>
    <w:multiLevelType w:val="singleLevel"/>
    <w:tmpl w:val="00000009"/>
    <w:lvl w:ilvl="0" w:tentative="0">
      <w:start w:val="2"/>
      <w:numFmt w:val="decimal"/>
      <w:suff w:val="nothing"/>
      <w:lvlText w:val="（%1）"/>
      <w:lvlJc w:val="left"/>
    </w:lvl>
  </w:abstractNum>
  <w:abstractNum w:abstractNumId="9">
    <w:nsid w:val="0000000A"/>
    <w:multiLevelType w:val="singleLevel"/>
    <w:tmpl w:val="0000000A"/>
    <w:lvl w:ilvl="0" w:tentative="0">
      <w:start w:val="1"/>
      <w:numFmt w:val="decimal"/>
      <w:lvlText w:val="%1."/>
      <w:lvlJc w:val="left"/>
      <w:pPr>
        <w:tabs>
          <w:tab w:val="left" w:pos="312"/>
        </w:tabs>
      </w:pPr>
    </w:lvl>
  </w:abstractNum>
  <w:abstractNum w:abstractNumId="10">
    <w:nsid w:val="0000000B"/>
    <w:multiLevelType w:val="multilevel"/>
    <w:tmpl w:val="0000000B"/>
    <w:lvl w:ilvl="0" w:tentative="0">
      <w:start w:val="2"/>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1">
    <w:nsid w:val="0000000C"/>
    <w:multiLevelType w:val="singleLevel"/>
    <w:tmpl w:val="0000000C"/>
    <w:lvl w:ilvl="0" w:tentative="0">
      <w:start w:val="1"/>
      <w:numFmt w:val="decimal"/>
      <w:lvlText w:val="%1."/>
      <w:lvlJc w:val="left"/>
      <w:pPr>
        <w:tabs>
          <w:tab w:val="left" w:pos="312"/>
        </w:tabs>
      </w:pPr>
    </w:lvl>
  </w:abstractNum>
  <w:abstractNum w:abstractNumId="12">
    <w:nsid w:val="0000000D"/>
    <w:multiLevelType w:val="singleLevel"/>
    <w:tmpl w:val="0000000D"/>
    <w:lvl w:ilvl="0" w:tentative="0">
      <w:start w:val="1"/>
      <w:numFmt w:val="decimal"/>
      <w:suff w:val="nothing"/>
      <w:lvlText w:val="%1、"/>
      <w:lvlJc w:val="left"/>
    </w:lvl>
  </w:abstractNum>
  <w:num w:numId="1">
    <w:abstractNumId w:val="6"/>
  </w:num>
  <w:num w:numId="2">
    <w:abstractNumId w:val="7"/>
  </w:num>
  <w:num w:numId="3">
    <w:abstractNumId w:val="12"/>
  </w:num>
  <w:num w:numId="4">
    <w:abstractNumId w:val="2"/>
  </w:num>
  <w:num w:numId="5">
    <w:abstractNumId w:val="4"/>
  </w:num>
  <w:num w:numId="6">
    <w:abstractNumId w:val="0"/>
  </w:num>
  <w:num w:numId="7">
    <w:abstractNumId w:val="11"/>
  </w:num>
  <w:num w:numId="8">
    <w:abstractNumId w:val="1"/>
  </w:num>
  <w:num w:numId="9">
    <w:abstractNumId w:val="8"/>
  </w:num>
  <w:num w:numId="10">
    <w:abstractNumId w:val="5"/>
  </w:num>
  <w:num w:numId="11">
    <w:abstractNumId w:val="10"/>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329D2"/>
    <w:rsid w:val="0A40746F"/>
    <w:rsid w:val="0A7F7F97"/>
    <w:rsid w:val="0B093D05"/>
    <w:rsid w:val="11DF30C9"/>
    <w:rsid w:val="13C83593"/>
    <w:rsid w:val="15221A85"/>
    <w:rsid w:val="168E0A8E"/>
    <w:rsid w:val="1D552DD9"/>
    <w:rsid w:val="25203A2E"/>
    <w:rsid w:val="28530C17"/>
    <w:rsid w:val="2C471B3F"/>
    <w:rsid w:val="30B755D1"/>
    <w:rsid w:val="3CA408E8"/>
    <w:rsid w:val="3CB72D11"/>
    <w:rsid w:val="49105C83"/>
    <w:rsid w:val="50F934A0"/>
    <w:rsid w:val="64CF6370"/>
    <w:rsid w:val="68975621"/>
    <w:rsid w:val="6B0B2A54"/>
    <w:rsid w:val="6BD9385B"/>
    <w:rsid w:val="710E5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link w:val="27"/>
    <w:qFormat/>
    <w:uiPriority w:val="0"/>
    <w:pPr>
      <w:keepNext/>
      <w:keepLines/>
      <w:spacing w:before="260" w:beforeAutospacing="0" w:after="260" w:afterAutospacing="0" w:line="240" w:lineRule="auto"/>
      <w:outlineLvl w:val="2"/>
    </w:pPr>
    <w:rPr>
      <w:rFonts w:ascii="Calibri" w:hAnsi="Calibri"/>
      <w:b/>
      <w:kern w:val="0"/>
      <w:sz w:val="32"/>
      <w:szCs w:val="20"/>
    </w:rPr>
  </w:style>
  <w:style w:type="paragraph" w:styleId="5">
    <w:name w:val="heading 4"/>
    <w:basedOn w:val="1"/>
    <w:next w:val="1"/>
    <w:qFormat/>
    <w:uiPriority w:val="0"/>
    <w:pPr>
      <w:keepNext/>
      <w:keepLines/>
      <w:widowControl/>
      <w:tabs>
        <w:tab w:val="left" w:pos="864"/>
      </w:tabs>
      <w:spacing w:before="280" w:after="290" w:line="376" w:lineRule="auto"/>
      <w:jc w:val="left"/>
      <w:outlineLvl w:val="3"/>
    </w:pPr>
    <w:rPr>
      <w:rFonts w:ascii="Arial" w:hAnsi="Arial" w:eastAsia="黑体"/>
      <w:b/>
      <w:bCs/>
      <w:kern w:val="0"/>
      <w:sz w:val="28"/>
      <w:szCs w:val="28"/>
    </w:rPr>
  </w:style>
  <w:style w:type="character" w:default="1" w:styleId="23">
    <w:name w:val="Default Paragraph Font"/>
    <w:qFormat/>
    <w:uiPriority w:val="0"/>
  </w:style>
  <w:style w:type="table" w:default="1" w:styleId="21">
    <w:name w:val="Normal Table"/>
    <w:qFormat/>
    <w:uiPriority w:val="0"/>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
    <w:qFormat/>
    <w:uiPriority w:val="0"/>
  </w:style>
  <w:style w:type="paragraph" w:styleId="10">
    <w:name w:val="Body Text Indent"/>
    <w:basedOn w:val="1"/>
    <w:next w:val="11"/>
    <w:qFormat/>
    <w:uiPriority w:val="0"/>
    <w:pPr>
      <w:spacing w:after="120"/>
      <w:ind w:left="420" w:leftChars="200"/>
    </w:pPr>
  </w:style>
  <w:style w:type="paragraph" w:styleId="11">
    <w:name w:val="annotation subject"/>
    <w:basedOn w:val="8"/>
    <w:next w:val="8"/>
    <w:qFormat/>
    <w:uiPriority w:val="0"/>
    <w:rPr>
      <w:rFonts w:ascii="Times New Roman" w:hAnsi="Times New Roman" w:eastAsia="宋体" w:cs="Times New Roman"/>
      <w:b/>
      <w:bCs/>
    </w:rPr>
  </w:style>
  <w:style w:type="paragraph" w:styleId="12">
    <w:name w:val="toc 3"/>
    <w:basedOn w:val="1"/>
    <w:next w:val="1"/>
    <w:qFormat/>
    <w:uiPriority w:val="39"/>
    <w:pPr>
      <w:ind w:left="840" w:leftChars="400"/>
    </w:pPr>
  </w:style>
  <w:style w:type="paragraph" w:styleId="13">
    <w:name w:val="Plain Text"/>
    <w:basedOn w:val="1"/>
    <w:next w:val="5"/>
    <w:qFormat/>
    <w:uiPriority w:val="99"/>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index 1"/>
    <w:basedOn w:val="1"/>
    <w:next w:val="1"/>
    <w:qFormat/>
    <w:uiPriority w:val="99"/>
    <w:pPr>
      <w:spacing w:line="400" w:lineRule="exact"/>
      <w:ind w:firstLine="420" w:firstLineChars="200"/>
    </w:pPr>
    <w:rPr>
      <w:rFonts w:ascii="Ђˎ̥" w:hAnsi="Calibri"/>
      <w:b/>
      <w:szCs w:val="20"/>
    </w:rPr>
  </w:style>
  <w:style w:type="paragraph" w:styleId="20">
    <w:name w:val="Body Text First Indent 2"/>
    <w:basedOn w:val="10"/>
    <w:next w:val="1"/>
    <w:qFormat/>
    <w:uiPriority w:val="99"/>
    <w:pPr>
      <w:ind w:firstLine="420" w:firstLineChars="200"/>
    </w:pPr>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annotation reference"/>
    <w:qFormat/>
    <w:uiPriority w:val="99"/>
    <w:rPr>
      <w:rFonts w:ascii="Times New Roman" w:hAnsi="Times New Roman" w:eastAsia="宋体" w:cs="Times New Roman"/>
      <w:sz w:val="21"/>
      <w:szCs w:val="21"/>
    </w:rPr>
  </w:style>
  <w:style w:type="paragraph" w:customStyle="1" w:styleId="25">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List Paragraph_d6e9bb85-914b-43d2-a8e2-0cf96e55165b"/>
    <w:basedOn w:val="1"/>
    <w:qFormat/>
    <w:uiPriority w:val="99"/>
    <w:pPr>
      <w:ind w:firstLine="420" w:firstLineChars="200"/>
    </w:pPr>
    <w:rPr>
      <w:rFonts w:ascii="Times New Roman" w:hAnsi="Times New Roman"/>
    </w:rPr>
  </w:style>
  <w:style w:type="character" w:customStyle="1" w:styleId="27">
    <w:name w:val="标题 3 Char"/>
    <w:link w:val="4"/>
    <w:qFormat/>
    <w:uiPriority w:val="0"/>
    <w:rPr>
      <w:rFonts w:ascii="Calibri" w:hAnsi="Calibri"/>
      <w:b/>
      <w:kern w:val="0"/>
      <w:sz w:val="32"/>
      <w:szCs w:val="20"/>
    </w:rPr>
  </w:style>
  <w:style w:type="character" w:customStyle="1" w:styleId="28">
    <w:name w:val="NormalCharacter"/>
    <w:qFormat/>
    <w:uiPriority w:val="0"/>
  </w:style>
  <w:style w:type="paragraph" w:customStyle="1" w:styleId="29">
    <w:name w:val="Body text|1"/>
    <w:qFormat/>
    <w:uiPriority w:val="0"/>
    <w:pPr>
      <w:widowControl w:val="0"/>
      <w:spacing w:line="350" w:lineRule="auto"/>
      <w:ind w:firstLine="400"/>
    </w:pPr>
    <w:rPr>
      <w:rFonts w:ascii="宋体" w:hAnsi="宋体" w:eastAsia="宋体" w:cs="宋体"/>
      <w:sz w:val="30"/>
      <w:szCs w:val="30"/>
      <w:lang w:val="en-US" w:eastAsia="zh-CN" w:bidi="ar-SA"/>
    </w:rPr>
  </w:style>
  <w:style w:type="paragraph" w:customStyle="1" w:styleId="30">
    <w:name w:val="列出段落1"/>
    <w:basedOn w:val="1"/>
    <w:qFormat/>
    <w:uiPriority w:val="0"/>
    <w:pPr>
      <w:ind w:firstLine="420" w:firstLineChars="200"/>
    </w:pPr>
    <w:rPr>
      <w:rFonts w:ascii="Times New Roman" w:hAnsi="Times New Roman" w:eastAsia="宋体" w:cs="Times New Roman"/>
      <w:szCs w:val="20"/>
    </w:rPr>
  </w:style>
  <w:style w:type="paragraph" w:customStyle="1" w:styleId="31">
    <w:name w:val="Numbered List"/>
    <w:qFormat/>
    <w:uiPriority w:val="99"/>
    <w:pPr>
      <w:widowControl w:val="0"/>
      <w:autoSpaceDE w:val="0"/>
      <w:autoSpaceDN w:val="0"/>
      <w:ind w:left="720" w:hanging="430"/>
    </w:pPr>
    <w:rPr>
      <w:rFonts w:ascii="Times New Roman" w:hAnsi="Times New Roman" w:eastAsia="宋体" w:cs="Times New Roman"/>
      <w:sz w:val="21"/>
      <w:szCs w:val="22"/>
      <w:lang w:val="en-US" w:eastAsia="zh-CN" w:bidi="ar-SA"/>
    </w:rPr>
  </w:style>
  <w:style w:type="paragraph" w:customStyle="1" w:styleId="32">
    <w:name w:val="首行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2306</Words>
  <Characters>2607</Characters>
  <Paragraphs>1753</Paragraphs>
  <TotalTime>11</TotalTime>
  <ScaleCrop>false</ScaleCrop>
  <LinksUpToDate>false</LinksUpToDate>
  <CharactersWithSpaces>2833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2026-05-11T03:22:00Z</dcterms:created>
  <dc:creator>Administrator</dc:creator>
  <cp:lastModifiedBy>Pierdt'</cp:lastModifiedBy>
  <cp:lastPrinted>2026-05-19T07:27:00Z</cp:lastPrinted>
  <dcterms:modified xsi:type="dcterms:W3CDTF">2026-06-05T07:47:54Z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eyJoZGlkIjoiNTc0NmJiZDE0ZDI5NDBmZDgwYmFlOGNkYWFjMzIxMDYiLCJ1c2VySWQiOiI3MjM3NTc4NDgifQ==</vt:lpwstr>
  </property>
  <property fmtid="{D5CDD505-2E9C-101B-9397-08002B2CF9AE}" pid="4" name="ICV">
    <vt:lpwstr>723D104A8EBD496A86D84F9F926E3447_13</vt:lpwstr>
  </property>
</Properties>
</file>