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638D60">
      <w:pPr>
        <w:jc w:val="center"/>
        <w:rPr>
          <w:rFonts w:hint="eastAsia"/>
          <w:b/>
          <w:bCs/>
          <w:color w:val="auto"/>
          <w:sz w:val="52"/>
          <w:szCs w:val="52"/>
          <w:highlight w:val="none"/>
        </w:rPr>
      </w:pPr>
      <w:r>
        <w:rPr>
          <w:rFonts w:hint="eastAsia" w:ascii="楷体" w:eastAsia="楷体"/>
          <w:b/>
          <w:color w:val="auto"/>
          <w:sz w:val="52"/>
          <w:highlight w:val="none"/>
        </w:rPr>
        <w:t>桂林市政府集中采购中心</w:t>
      </w:r>
    </w:p>
    <w:p w14:paraId="7A7644F8">
      <w:pPr>
        <w:pStyle w:val="26"/>
        <w:rPr>
          <w:b/>
          <w:bCs/>
          <w:color w:val="auto"/>
          <w:sz w:val="52"/>
          <w:szCs w:val="52"/>
          <w:highlight w:val="none"/>
        </w:rPr>
      </w:pPr>
    </w:p>
    <w:p w14:paraId="52F211A2">
      <w:pPr>
        <w:pStyle w:val="26"/>
        <w:rPr>
          <w:b/>
          <w:bCs/>
          <w:color w:val="auto"/>
          <w:sz w:val="52"/>
          <w:szCs w:val="52"/>
          <w:highlight w:val="none"/>
        </w:rPr>
      </w:pPr>
    </w:p>
    <w:p w14:paraId="64655B54">
      <w:pPr>
        <w:ind w:left="558" w:right="683"/>
        <w:jc w:val="center"/>
        <w:rPr>
          <w:rFonts w:ascii="楷体" w:eastAsia="楷体"/>
          <w:b/>
          <w:color w:val="auto"/>
          <w:sz w:val="72"/>
          <w:szCs w:val="72"/>
          <w:highlight w:val="none"/>
        </w:rPr>
      </w:pPr>
      <w:r>
        <w:rPr>
          <w:rFonts w:hint="eastAsia" w:ascii="楷体" w:eastAsia="楷体"/>
          <w:b/>
          <w:color w:val="auto"/>
          <w:spacing w:val="93"/>
          <w:sz w:val="72"/>
          <w:szCs w:val="72"/>
          <w:highlight w:val="none"/>
        </w:rPr>
        <w:t>竞争性谈判文件</w:t>
      </w:r>
    </w:p>
    <w:p w14:paraId="09F3243B">
      <w:pPr>
        <w:jc w:val="center"/>
        <w:rPr>
          <w:rFonts w:ascii="微软雅黑" w:hAnsi="微软雅黑" w:eastAsia="微软雅黑" w:cs="微软雅黑"/>
          <w:b/>
          <w:bCs/>
          <w:color w:val="auto"/>
          <w:sz w:val="52"/>
          <w:szCs w:val="52"/>
          <w:highlight w:val="none"/>
        </w:rPr>
      </w:pPr>
    </w:p>
    <w:p w14:paraId="2E4E19B4">
      <w:pPr>
        <w:jc w:val="center"/>
        <w:rPr>
          <w:rFonts w:ascii="微软雅黑" w:hAnsi="微软雅黑" w:eastAsia="微软雅黑" w:cs="微软雅黑"/>
          <w:b/>
          <w:bCs/>
          <w:color w:val="auto"/>
          <w:sz w:val="52"/>
          <w:szCs w:val="52"/>
          <w:highlight w:val="none"/>
        </w:rPr>
      </w:pPr>
    </w:p>
    <w:p w14:paraId="3FC2D19E">
      <w:pPr>
        <w:jc w:val="center"/>
        <w:rPr>
          <w:rFonts w:ascii="微软雅黑" w:hAnsi="微软雅黑" w:eastAsia="微软雅黑" w:cs="微软雅黑"/>
          <w:b/>
          <w:bCs/>
          <w:color w:val="auto"/>
          <w:sz w:val="52"/>
          <w:szCs w:val="52"/>
          <w:highlight w:val="none"/>
        </w:rPr>
      </w:pPr>
    </w:p>
    <w:p w14:paraId="16950C2E">
      <w:pPr>
        <w:ind w:left="3579" w:hanging="2000"/>
        <w:rPr>
          <w:rFonts w:hint="eastAsia" w:ascii="宋体" w:hAnsi="宋体" w:eastAsia="宋体" w:cs="宋体"/>
          <w:color w:val="auto"/>
          <w:sz w:val="32"/>
          <w:szCs w:val="32"/>
          <w:highlight w:val="none"/>
          <w:u w:val="single"/>
          <w:lang w:eastAsia="zh-CN"/>
        </w:rPr>
      </w:pPr>
      <w:r>
        <w:rPr>
          <w:rFonts w:hint="eastAsia" w:ascii="宋体" w:hAnsi="宋体" w:cs="宋体"/>
          <w:color w:val="auto"/>
          <w:sz w:val="32"/>
          <w:szCs w:val="32"/>
          <w:highlight w:val="none"/>
        </w:rPr>
        <w:t>项 目 名 称：</w:t>
      </w:r>
      <w:r>
        <w:rPr>
          <w:rFonts w:hint="eastAsia" w:ascii="宋体" w:hAnsi="宋体" w:cs="宋体"/>
          <w:color w:val="auto"/>
          <w:sz w:val="32"/>
          <w:szCs w:val="32"/>
          <w:highlight w:val="none"/>
          <w:u w:val="single"/>
          <w:lang w:eastAsia="zh-CN"/>
        </w:rPr>
        <w:t>AI数智语言综合实训中心</w:t>
      </w:r>
    </w:p>
    <w:p w14:paraId="11523230">
      <w:pPr>
        <w:ind w:firstLine="1600"/>
        <w:rPr>
          <w:rFonts w:hint="eastAsia" w:ascii="宋体" w:hAnsi="宋体" w:eastAsia="宋体" w:cs="宋体"/>
          <w:color w:val="auto"/>
          <w:sz w:val="32"/>
          <w:szCs w:val="32"/>
          <w:highlight w:val="none"/>
          <w:lang w:eastAsia="zh-CN"/>
        </w:rPr>
      </w:pPr>
      <w:r>
        <w:rPr>
          <w:rFonts w:hint="eastAsia" w:ascii="宋体" w:hAnsi="宋体" w:cs="宋体"/>
          <w:color w:val="auto"/>
          <w:sz w:val="32"/>
          <w:szCs w:val="32"/>
          <w:highlight w:val="none"/>
        </w:rPr>
        <w:t>项 目 编 号：</w:t>
      </w:r>
      <w:r>
        <w:rPr>
          <w:rFonts w:hint="eastAsia" w:ascii="宋体" w:hAnsi="宋体" w:cs="宋体"/>
          <w:color w:val="auto"/>
          <w:sz w:val="32"/>
          <w:szCs w:val="32"/>
          <w:highlight w:val="none"/>
          <w:u w:val="single"/>
          <w:lang w:eastAsia="zh-CN"/>
        </w:rPr>
        <w:t>GXZC2026-J1-002254-GLSZ</w:t>
      </w:r>
    </w:p>
    <w:p w14:paraId="4A5987D6">
      <w:pPr>
        <w:ind w:firstLine="1600"/>
        <w:rPr>
          <w:rFonts w:hint="eastAsia" w:ascii="宋体" w:hAnsi="宋体" w:cs="宋体"/>
          <w:color w:val="auto"/>
          <w:sz w:val="32"/>
          <w:szCs w:val="32"/>
          <w:highlight w:val="none"/>
        </w:rPr>
      </w:pPr>
    </w:p>
    <w:p w14:paraId="0FAEBDDF">
      <w:pPr>
        <w:jc w:val="center"/>
        <w:rPr>
          <w:rFonts w:hint="eastAsia" w:ascii="宋体" w:hAnsi="宋体" w:cs="宋体"/>
          <w:color w:val="auto"/>
          <w:sz w:val="32"/>
          <w:szCs w:val="32"/>
          <w:highlight w:val="none"/>
        </w:rPr>
      </w:pPr>
    </w:p>
    <w:p w14:paraId="58218A2B">
      <w:pPr>
        <w:rPr>
          <w:rFonts w:hint="eastAsia" w:ascii="宋体" w:hAnsi="宋体" w:cs="宋体"/>
          <w:color w:val="auto"/>
          <w:sz w:val="32"/>
          <w:szCs w:val="32"/>
          <w:highlight w:val="none"/>
        </w:rPr>
      </w:pPr>
    </w:p>
    <w:p w14:paraId="05818664">
      <w:pPr>
        <w:jc w:val="center"/>
        <w:rPr>
          <w:rFonts w:hint="eastAsia" w:ascii="宋体" w:hAnsi="宋体" w:cs="宋体"/>
          <w:color w:val="auto"/>
          <w:sz w:val="32"/>
          <w:szCs w:val="32"/>
          <w:highlight w:val="none"/>
        </w:rPr>
      </w:pPr>
    </w:p>
    <w:p w14:paraId="4DCE2307">
      <w:pPr>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采购代理机构：桂林市政府集中采购中心</w:t>
      </w:r>
    </w:p>
    <w:p w14:paraId="54DEB38F">
      <w:pPr>
        <w:pStyle w:val="18"/>
        <w:rPr>
          <w:rFonts w:hint="eastAsia"/>
          <w:color w:val="auto"/>
          <w:highlight w:val="none"/>
        </w:rPr>
      </w:pPr>
    </w:p>
    <w:p w14:paraId="265B96CF">
      <w:pPr>
        <w:jc w:val="center"/>
        <w:rPr>
          <w:rFonts w:hint="eastAsia" w:ascii="宋体" w:hAnsi="宋体" w:eastAsia="宋体" w:cs="宋体"/>
          <w:color w:val="auto"/>
          <w:sz w:val="48"/>
          <w:szCs w:val="48"/>
          <w:highlight w:val="none"/>
          <w:lang w:eastAsia="zh-CN"/>
        </w:rPr>
        <w:sectPr>
          <w:headerReference r:id="rId5" w:type="first"/>
          <w:footerReference r:id="rId8" w:type="first"/>
          <w:headerReference r:id="rId3" w:type="default"/>
          <w:footerReference r:id="rId6" w:type="default"/>
          <w:headerReference r:id="rId4" w:type="even"/>
          <w:footerReference r:id="rId7" w:type="even"/>
          <w:pgSz w:w="11906" w:h="16838"/>
          <w:pgMar w:top="1440" w:right="935" w:bottom="1440" w:left="779" w:header="851" w:footer="992" w:gutter="0"/>
          <w:pgNumType w:start="1"/>
          <w:cols w:space="720" w:num="1"/>
        </w:sectPr>
      </w:pPr>
      <w:r>
        <w:rPr>
          <w:rFonts w:hint="eastAsia" w:ascii="宋体" w:hAnsi="宋体" w:cs="宋体"/>
          <w:color w:val="auto"/>
          <w:sz w:val="32"/>
          <w:szCs w:val="32"/>
          <w:highlight w:val="none"/>
          <w:lang w:eastAsia="zh-CN"/>
        </w:rPr>
        <w:t>2026年</w:t>
      </w:r>
      <w:r>
        <w:rPr>
          <w:rFonts w:hint="eastAsia" w:ascii="宋体" w:hAnsi="宋体" w:cs="宋体"/>
          <w:color w:val="auto"/>
          <w:sz w:val="32"/>
          <w:szCs w:val="32"/>
          <w:highlight w:val="none"/>
          <w:lang w:val="en-US" w:eastAsia="zh-CN"/>
        </w:rPr>
        <w:t>8</w:t>
      </w:r>
      <w:r>
        <w:rPr>
          <w:rFonts w:hint="eastAsia" w:ascii="宋体" w:hAnsi="宋体" w:cs="宋体"/>
          <w:color w:val="auto"/>
          <w:sz w:val="32"/>
          <w:szCs w:val="32"/>
          <w:highlight w:val="none"/>
          <w:lang w:eastAsia="zh-CN"/>
        </w:rPr>
        <w:t>月</w:t>
      </w:r>
      <w:r>
        <w:rPr>
          <w:rFonts w:hint="eastAsia" w:ascii="宋体" w:hAnsi="宋体" w:cs="宋体"/>
          <w:color w:val="auto"/>
          <w:sz w:val="32"/>
          <w:szCs w:val="32"/>
          <w:highlight w:val="none"/>
          <w:lang w:val="en-US" w:eastAsia="zh-CN"/>
        </w:rPr>
        <w:t>7</w:t>
      </w:r>
      <w:r>
        <w:rPr>
          <w:rFonts w:hint="eastAsia" w:ascii="宋体" w:hAnsi="宋体" w:cs="宋体"/>
          <w:color w:val="auto"/>
          <w:sz w:val="32"/>
          <w:szCs w:val="32"/>
          <w:highlight w:val="none"/>
          <w:lang w:eastAsia="zh-CN"/>
        </w:rPr>
        <w:t>日</w:t>
      </w:r>
    </w:p>
    <w:p w14:paraId="6A83F759">
      <w:pPr>
        <w:jc w:val="center"/>
        <w:rPr>
          <w:b/>
          <w:bCs/>
          <w:color w:val="auto"/>
          <w:sz w:val="36"/>
          <w:szCs w:val="36"/>
          <w:highlight w:val="none"/>
        </w:rPr>
      </w:pPr>
      <w:r>
        <w:rPr>
          <w:rFonts w:hint="eastAsia"/>
          <w:b/>
          <w:bCs/>
          <w:color w:val="auto"/>
          <w:sz w:val="36"/>
          <w:szCs w:val="36"/>
          <w:highlight w:val="none"/>
          <w:lang w:val="zh-CN"/>
        </w:rPr>
        <w:t>目</w:t>
      </w:r>
      <w:r>
        <w:rPr>
          <w:rFonts w:hint="eastAsia"/>
          <w:b/>
          <w:bCs/>
          <w:color w:val="auto"/>
          <w:sz w:val="36"/>
          <w:szCs w:val="36"/>
          <w:highlight w:val="none"/>
        </w:rPr>
        <w:t xml:space="preserve">  </w:t>
      </w:r>
      <w:r>
        <w:rPr>
          <w:rFonts w:hint="eastAsia"/>
          <w:b/>
          <w:bCs/>
          <w:color w:val="auto"/>
          <w:sz w:val="36"/>
          <w:szCs w:val="36"/>
          <w:highlight w:val="none"/>
          <w:lang w:val="zh-CN"/>
        </w:rPr>
        <w:t>录</w:t>
      </w:r>
    </w:p>
    <w:p w14:paraId="36BB33CF">
      <w:pPr>
        <w:pStyle w:val="28"/>
        <w:tabs>
          <w:tab w:val="right" w:leader="dot" w:pos="10192"/>
        </w:tabs>
        <w:rPr>
          <w:color w:val="auto"/>
          <w:highlight w:val="none"/>
        </w:rPr>
      </w:pP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TOC \o "1-3" \h \z \u </w:instrText>
      </w:r>
      <w:r>
        <w:rPr>
          <w:rFonts w:hint="eastAsia" w:ascii="宋体" w:hAnsi="宋体" w:cs="宋体"/>
          <w:color w:val="auto"/>
          <w:sz w:val="24"/>
          <w:highlight w:val="none"/>
        </w:rPr>
        <w:fldChar w:fldCharType="separate"/>
      </w:r>
      <w:r>
        <w:rPr>
          <w:rFonts w:hint="eastAsia" w:ascii="宋体" w:hAnsi="宋体" w:cs="宋体"/>
          <w:bCs/>
          <w:color w:val="auto"/>
          <w:highlight w:val="none"/>
          <w:lang w:val="zh-CN"/>
        </w:rPr>
        <w:fldChar w:fldCharType="begin"/>
      </w:r>
      <w:r>
        <w:rPr>
          <w:rFonts w:hint="eastAsia" w:ascii="宋体" w:hAnsi="宋体" w:cs="宋体"/>
          <w:bCs/>
          <w:color w:val="auto"/>
          <w:highlight w:val="none"/>
          <w:lang w:val="zh-CN"/>
        </w:rPr>
        <w:instrText xml:space="preserve"> HYPERLINK \l _Toc19241 </w:instrText>
      </w:r>
      <w:r>
        <w:rPr>
          <w:rFonts w:hint="eastAsia" w:ascii="宋体" w:hAnsi="宋体" w:cs="宋体"/>
          <w:bCs/>
          <w:color w:val="auto"/>
          <w:highlight w:val="none"/>
          <w:lang w:val="zh-CN"/>
        </w:rPr>
        <w:fldChar w:fldCharType="separate"/>
      </w:r>
      <w:r>
        <w:rPr>
          <w:rFonts w:hint="eastAsia"/>
          <w:color w:val="auto"/>
          <w:szCs w:val="32"/>
          <w:highlight w:val="none"/>
        </w:rPr>
        <w:t>第一章 竞争性谈判公告</w:t>
      </w:r>
      <w:r>
        <w:rPr>
          <w:color w:val="auto"/>
          <w:highlight w:val="none"/>
        </w:rPr>
        <w:tab/>
      </w:r>
      <w:r>
        <w:rPr>
          <w:color w:val="auto"/>
          <w:highlight w:val="none"/>
        </w:rPr>
        <w:fldChar w:fldCharType="begin"/>
      </w:r>
      <w:r>
        <w:rPr>
          <w:color w:val="auto"/>
          <w:highlight w:val="none"/>
        </w:rPr>
        <w:instrText xml:space="preserve"> PAGEREF _Toc19241 \h </w:instrText>
      </w:r>
      <w:r>
        <w:rPr>
          <w:color w:val="auto"/>
          <w:highlight w:val="none"/>
        </w:rPr>
        <w:fldChar w:fldCharType="separate"/>
      </w:r>
      <w:r>
        <w:rPr>
          <w:color w:val="auto"/>
          <w:highlight w:val="none"/>
        </w:rPr>
        <w:t>- 1 -</w:t>
      </w:r>
      <w:r>
        <w:rPr>
          <w:color w:val="auto"/>
          <w:highlight w:val="none"/>
        </w:rPr>
        <w:fldChar w:fldCharType="end"/>
      </w:r>
      <w:r>
        <w:rPr>
          <w:rFonts w:hint="eastAsia" w:ascii="宋体" w:hAnsi="宋体" w:cs="宋体"/>
          <w:bCs/>
          <w:color w:val="auto"/>
          <w:highlight w:val="none"/>
          <w:lang w:val="zh-CN"/>
        </w:rPr>
        <w:fldChar w:fldCharType="end"/>
      </w:r>
    </w:p>
    <w:p w14:paraId="557E0450">
      <w:pPr>
        <w:pStyle w:val="28"/>
        <w:tabs>
          <w:tab w:val="right" w:leader="dot" w:pos="10192"/>
        </w:tabs>
        <w:rPr>
          <w:color w:val="auto"/>
          <w:highlight w:val="none"/>
        </w:rPr>
      </w:pPr>
      <w:r>
        <w:rPr>
          <w:rFonts w:hint="eastAsia" w:ascii="宋体" w:hAnsi="宋体" w:cs="宋体"/>
          <w:bCs/>
          <w:color w:val="auto"/>
          <w:highlight w:val="none"/>
          <w:lang w:val="zh-CN"/>
        </w:rPr>
        <w:fldChar w:fldCharType="begin"/>
      </w:r>
      <w:r>
        <w:rPr>
          <w:rFonts w:hint="eastAsia" w:ascii="宋体" w:hAnsi="宋体" w:cs="宋体"/>
          <w:bCs/>
          <w:color w:val="auto"/>
          <w:highlight w:val="none"/>
          <w:lang w:val="zh-CN"/>
        </w:rPr>
        <w:instrText xml:space="preserve"> HYPERLINK \l _Toc26689 </w:instrText>
      </w:r>
      <w:r>
        <w:rPr>
          <w:rFonts w:hint="eastAsia" w:ascii="宋体" w:hAnsi="宋体" w:cs="宋体"/>
          <w:bCs/>
          <w:color w:val="auto"/>
          <w:highlight w:val="none"/>
          <w:lang w:val="zh-CN"/>
        </w:rPr>
        <w:fldChar w:fldCharType="separate"/>
      </w:r>
      <w:r>
        <w:rPr>
          <w:rFonts w:hint="eastAsia"/>
          <w:bCs/>
          <w:color w:val="auto"/>
          <w:szCs w:val="32"/>
          <w:highlight w:val="none"/>
        </w:rPr>
        <w:t>第二章　</w:t>
      </w:r>
      <w:r>
        <w:rPr>
          <w:rFonts w:hint="eastAsia"/>
          <w:color w:val="auto"/>
          <w:szCs w:val="32"/>
          <w:highlight w:val="none"/>
        </w:rPr>
        <w:t>供应商须知</w:t>
      </w:r>
      <w:r>
        <w:rPr>
          <w:color w:val="auto"/>
          <w:highlight w:val="none"/>
        </w:rPr>
        <w:tab/>
      </w:r>
      <w:r>
        <w:rPr>
          <w:color w:val="auto"/>
          <w:highlight w:val="none"/>
        </w:rPr>
        <w:fldChar w:fldCharType="begin"/>
      </w:r>
      <w:r>
        <w:rPr>
          <w:color w:val="auto"/>
          <w:highlight w:val="none"/>
        </w:rPr>
        <w:instrText xml:space="preserve"> PAGEREF _Toc26689 \h </w:instrText>
      </w:r>
      <w:r>
        <w:rPr>
          <w:color w:val="auto"/>
          <w:highlight w:val="none"/>
        </w:rPr>
        <w:fldChar w:fldCharType="separate"/>
      </w:r>
      <w:r>
        <w:rPr>
          <w:color w:val="auto"/>
          <w:highlight w:val="none"/>
        </w:rPr>
        <w:t>- 4 -</w:t>
      </w:r>
      <w:r>
        <w:rPr>
          <w:color w:val="auto"/>
          <w:highlight w:val="none"/>
        </w:rPr>
        <w:fldChar w:fldCharType="end"/>
      </w:r>
      <w:r>
        <w:rPr>
          <w:rFonts w:hint="eastAsia" w:ascii="宋体" w:hAnsi="宋体" w:cs="宋体"/>
          <w:bCs/>
          <w:color w:val="auto"/>
          <w:highlight w:val="none"/>
          <w:lang w:val="zh-CN"/>
        </w:rPr>
        <w:fldChar w:fldCharType="end"/>
      </w:r>
    </w:p>
    <w:p w14:paraId="5B0F1418">
      <w:pPr>
        <w:pStyle w:val="34"/>
        <w:tabs>
          <w:tab w:val="right" w:leader="dot" w:pos="10192"/>
        </w:tabs>
        <w:rPr>
          <w:color w:val="auto"/>
          <w:highlight w:val="none"/>
        </w:rPr>
      </w:pPr>
      <w:r>
        <w:rPr>
          <w:rFonts w:hint="eastAsia" w:ascii="宋体" w:hAnsi="宋体" w:cs="宋体"/>
          <w:bCs/>
          <w:color w:val="auto"/>
          <w:highlight w:val="none"/>
          <w:lang w:val="zh-CN"/>
        </w:rPr>
        <w:fldChar w:fldCharType="begin"/>
      </w:r>
      <w:r>
        <w:rPr>
          <w:rFonts w:hint="eastAsia" w:ascii="宋体" w:hAnsi="宋体" w:cs="宋体"/>
          <w:bCs/>
          <w:color w:val="auto"/>
          <w:highlight w:val="none"/>
          <w:lang w:val="zh-CN"/>
        </w:rPr>
        <w:instrText xml:space="preserve"> HYPERLINK \l _Toc14834 </w:instrText>
      </w:r>
      <w:r>
        <w:rPr>
          <w:rFonts w:hint="eastAsia" w:ascii="宋体" w:hAnsi="宋体" w:cs="宋体"/>
          <w:bCs/>
          <w:color w:val="auto"/>
          <w:highlight w:val="none"/>
          <w:lang w:val="zh-CN"/>
        </w:rPr>
        <w:fldChar w:fldCharType="separate"/>
      </w:r>
      <w:r>
        <w:rPr>
          <w:rFonts w:hint="eastAsia" w:ascii="宋体" w:hAnsi="宋体" w:cs="宋体"/>
          <w:color w:val="auto"/>
          <w:highlight w:val="none"/>
        </w:rPr>
        <w:t>供 应 商 须 知 前 附 表</w:t>
      </w:r>
      <w:r>
        <w:rPr>
          <w:color w:val="auto"/>
          <w:highlight w:val="none"/>
        </w:rPr>
        <w:tab/>
      </w:r>
      <w:r>
        <w:rPr>
          <w:color w:val="auto"/>
          <w:highlight w:val="none"/>
        </w:rPr>
        <w:fldChar w:fldCharType="begin"/>
      </w:r>
      <w:r>
        <w:rPr>
          <w:color w:val="auto"/>
          <w:highlight w:val="none"/>
        </w:rPr>
        <w:instrText xml:space="preserve"> PAGEREF _Toc14834 \h </w:instrText>
      </w:r>
      <w:r>
        <w:rPr>
          <w:color w:val="auto"/>
          <w:highlight w:val="none"/>
        </w:rPr>
        <w:fldChar w:fldCharType="separate"/>
      </w:r>
      <w:r>
        <w:rPr>
          <w:color w:val="auto"/>
          <w:highlight w:val="none"/>
        </w:rPr>
        <w:t>- 4 -</w:t>
      </w:r>
      <w:r>
        <w:rPr>
          <w:color w:val="auto"/>
          <w:highlight w:val="none"/>
        </w:rPr>
        <w:fldChar w:fldCharType="end"/>
      </w:r>
      <w:r>
        <w:rPr>
          <w:rFonts w:hint="eastAsia" w:ascii="宋体" w:hAnsi="宋体" w:cs="宋体"/>
          <w:bCs/>
          <w:color w:val="auto"/>
          <w:highlight w:val="none"/>
          <w:lang w:val="zh-CN"/>
        </w:rPr>
        <w:fldChar w:fldCharType="end"/>
      </w:r>
    </w:p>
    <w:p w14:paraId="346C4C8F">
      <w:pPr>
        <w:pStyle w:val="34"/>
        <w:tabs>
          <w:tab w:val="right" w:leader="dot" w:pos="10192"/>
        </w:tabs>
        <w:rPr>
          <w:color w:val="auto"/>
          <w:highlight w:val="none"/>
        </w:rPr>
      </w:pPr>
      <w:r>
        <w:rPr>
          <w:rFonts w:hint="eastAsia" w:ascii="宋体" w:hAnsi="宋体" w:cs="宋体"/>
          <w:bCs/>
          <w:color w:val="auto"/>
          <w:highlight w:val="none"/>
          <w:lang w:val="zh-CN"/>
        </w:rPr>
        <w:fldChar w:fldCharType="begin"/>
      </w:r>
      <w:r>
        <w:rPr>
          <w:rFonts w:hint="eastAsia" w:ascii="宋体" w:hAnsi="宋体" w:cs="宋体"/>
          <w:bCs/>
          <w:color w:val="auto"/>
          <w:highlight w:val="none"/>
          <w:lang w:val="zh-CN"/>
        </w:rPr>
        <w:instrText xml:space="preserve"> HYPERLINK \l _Toc28833 </w:instrText>
      </w:r>
      <w:r>
        <w:rPr>
          <w:rFonts w:hint="eastAsia" w:ascii="宋体" w:hAnsi="宋体" w:cs="宋体"/>
          <w:bCs/>
          <w:color w:val="auto"/>
          <w:highlight w:val="none"/>
          <w:lang w:val="zh-CN"/>
        </w:rPr>
        <w:fldChar w:fldCharType="separate"/>
      </w:r>
      <w:r>
        <w:rPr>
          <w:rFonts w:hint="eastAsia"/>
          <w:color w:val="auto"/>
          <w:szCs w:val="28"/>
          <w:highlight w:val="none"/>
        </w:rPr>
        <w:t>一、总则</w:t>
      </w:r>
      <w:r>
        <w:rPr>
          <w:color w:val="auto"/>
          <w:highlight w:val="none"/>
        </w:rPr>
        <w:tab/>
      </w:r>
      <w:r>
        <w:rPr>
          <w:color w:val="auto"/>
          <w:highlight w:val="none"/>
        </w:rPr>
        <w:fldChar w:fldCharType="begin"/>
      </w:r>
      <w:r>
        <w:rPr>
          <w:color w:val="auto"/>
          <w:highlight w:val="none"/>
        </w:rPr>
        <w:instrText xml:space="preserve"> PAGEREF _Toc28833 \h </w:instrText>
      </w:r>
      <w:r>
        <w:rPr>
          <w:color w:val="auto"/>
          <w:highlight w:val="none"/>
        </w:rPr>
        <w:fldChar w:fldCharType="separate"/>
      </w:r>
      <w:r>
        <w:rPr>
          <w:color w:val="auto"/>
          <w:highlight w:val="none"/>
        </w:rPr>
        <w:t>- 9 -</w:t>
      </w:r>
      <w:r>
        <w:rPr>
          <w:color w:val="auto"/>
          <w:highlight w:val="none"/>
        </w:rPr>
        <w:fldChar w:fldCharType="end"/>
      </w:r>
      <w:r>
        <w:rPr>
          <w:rFonts w:hint="eastAsia" w:ascii="宋体" w:hAnsi="宋体" w:cs="宋体"/>
          <w:bCs/>
          <w:color w:val="auto"/>
          <w:highlight w:val="none"/>
          <w:lang w:val="zh-CN"/>
        </w:rPr>
        <w:fldChar w:fldCharType="end"/>
      </w:r>
    </w:p>
    <w:p w14:paraId="31713C8F">
      <w:pPr>
        <w:pStyle w:val="20"/>
        <w:tabs>
          <w:tab w:val="right" w:leader="dot" w:pos="10192"/>
        </w:tabs>
        <w:rPr>
          <w:color w:val="auto"/>
          <w:highlight w:val="none"/>
        </w:rPr>
      </w:pPr>
      <w:r>
        <w:rPr>
          <w:rFonts w:hint="eastAsia" w:ascii="宋体" w:hAnsi="宋体" w:cs="宋体"/>
          <w:bCs/>
          <w:color w:val="auto"/>
          <w:highlight w:val="none"/>
          <w:lang w:val="zh-CN"/>
        </w:rPr>
        <w:fldChar w:fldCharType="begin"/>
      </w:r>
      <w:r>
        <w:rPr>
          <w:rFonts w:hint="eastAsia" w:ascii="宋体" w:hAnsi="宋体" w:cs="宋体"/>
          <w:bCs/>
          <w:color w:val="auto"/>
          <w:highlight w:val="none"/>
          <w:lang w:val="zh-CN"/>
        </w:rPr>
        <w:instrText xml:space="preserve"> HYPERLINK \l _Toc5438 </w:instrText>
      </w:r>
      <w:r>
        <w:rPr>
          <w:rFonts w:hint="eastAsia" w:ascii="宋体" w:hAnsi="宋体" w:cs="宋体"/>
          <w:bCs/>
          <w:color w:val="auto"/>
          <w:highlight w:val="none"/>
          <w:lang w:val="zh-CN"/>
        </w:rPr>
        <w:fldChar w:fldCharType="separate"/>
      </w:r>
      <w:r>
        <w:rPr>
          <w:rFonts w:hint="eastAsia" w:ascii="宋体" w:hAnsi="宋体" w:cs="宋体"/>
          <w:color w:val="auto"/>
          <w:szCs w:val="21"/>
          <w:highlight w:val="none"/>
        </w:rPr>
        <w:t>1. 适</w:t>
      </w:r>
      <w:r>
        <w:rPr>
          <w:rFonts w:hint="eastAsia" w:ascii="宋体" w:hAnsi="宋体" w:cs="宋体"/>
          <w:color w:val="auto"/>
          <w:szCs w:val="21"/>
          <w:highlight w:val="none"/>
          <w:lang w:eastAsia="zh-CN"/>
        </w:rPr>
        <w:t>用</w:t>
      </w:r>
      <w:r>
        <w:rPr>
          <w:rFonts w:hint="eastAsia" w:ascii="宋体" w:hAnsi="宋体" w:cs="宋体"/>
          <w:color w:val="auto"/>
          <w:szCs w:val="21"/>
          <w:highlight w:val="none"/>
        </w:rPr>
        <w:t>范围</w:t>
      </w:r>
      <w:r>
        <w:rPr>
          <w:color w:val="auto"/>
          <w:highlight w:val="none"/>
        </w:rPr>
        <w:tab/>
      </w:r>
      <w:r>
        <w:rPr>
          <w:color w:val="auto"/>
          <w:highlight w:val="none"/>
        </w:rPr>
        <w:fldChar w:fldCharType="begin"/>
      </w:r>
      <w:r>
        <w:rPr>
          <w:color w:val="auto"/>
          <w:highlight w:val="none"/>
        </w:rPr>
        <w:instrText xml:space="preserve"> PAGEREF _Toc5438 \h </w:instrText>
      </w:r>
      <w:r>
        <w:rPr>
          <w:color w:val="auto"/>
          <w:highlight w:val="none"/>
        </w:rPr>
        <w:fldChar w:fldCharType="separate"/>
      </w:r>
      <w:r>
        <w:rPr>
          <w:color w:val="auto"/>
          <w:highlight w:val="none"/>
        </w:rPr>
        <w:t>- 9 -</w:t>
      </w:r>
      <w:r>
        <w:rPr>
          <w:color w:val="auto"/>
          <w:highlight w:val="none"/>
        </w:rPr>
        <w:fldChar w:fldCharType="end"/>
      </w:r>
      <w:r>
        <w:rPr>
          <w:rFonts w:hint="eastAsia" w:ascii="宋体" w:hAnsi="宋体" w:cs="宋体"/>
          <w:bCs/>
          <w:color w:val="auto"/>
          <w:highlight w:val="none"/>
          <w:lang w:val="zh-CN"/>
        </w:rPr>
        <w:fldChar w:fldCharType="end"/>
      </w:r>
    </w:p>
    <w:p w14:paraId="48DC634D">
      <w:pPr>
        <w:pStyle w:val="20"/>
        <w:tabs>
          <w:tab w:val="right" w:leader="dot" w:pos="10192"/>
        </w:tabs>
        <w:rPr>
          <w:color w:val="auto"/>
          <w:highlight w:val="none"/>
        </w:rPr>
      </w:pPr>
      <w:r>
        <w:rPr>
          <w:rFonts w:hint="eastAsia" w:ascii="宋体" w:hAnsi="宋体" w:cs="宋体"/>
          <w:bCs/>
          <w:color w:val="auto"/>
          <w:highlight w:val="none"/>
          <w:lang w:val="zh-CN"/>
        </w:rPr>
        <w:fldChar w:fldCharType="begin"/>
      </w:r>
      <w:r>
        <w:rPr>
          <w:rFonts w:hint="eastAsia" w:ascii="宋体" w:hAnsi="宋体" w:cs="宋体"/>
          <w:bCs/>
          <w:color w:val="auto"/>
          <w:highlight w:val="none"/>
          <w:lang w:val="zh-CN"/>
        </w:rPr>
        <w:instrText xml:space="preserve"> HYPERLINK \l _Toc10650 </w:instrText>
      </w:r>
      <w:r>
        <w:rPr>
          <w:rFonts w:hint="eastAsia" w:ascii="宋体" w:hAnsi="宋体" w:cs="宋体"/>
          <w:bCs/>
          <w:color w:val="auto"/>
          <w:highlight w:val="none"/>
          <w:lang w:val="zh-CN"/>
        </w:rPr>
        <w:fldChar w:fldCharType="separate"/>
      </w:r>
      <w:r>
        <w:rPr>
          <w:rFonts w:hint="eastAsia" w:ascii="宋体" w:hAnsi="宋体" w:cs="宋体"/>
          <w:color w:val="auto"/>
          <w:szCs w:val="21"/>
          <w:highlight w:val="none"/>
        </w:rPr>
        <w:t>2. 定义</w:t>
      </w:r>
      <w:r>
        <w:rPr>
          <w:color w:val="auto"/>
          <w:highlight w:val="none"/>
        </w:rPr>
        <w:tab/>
      </w:r>
      <w:r>
        <w:rPr>
          <w:color w:val="auto"/>
          <w:highlight w:val="none"/>
        </w:rPr>
        <w:fldChar w:fldCharType="begin"/>
      </w:r>
      <w:r>
        <w:rPr>
          <w:color w:val="auto"/>
          <w:highlight w:val="none"/>
        </w:rPr>
        <w:instrText xml:space="preserve"> PAGEREF _Toc10650 \h </w:instrText>
      </w:r>
      <w:r>
        <w:rPr>
          <w:color w:val="auto"/>
          <w:highlight w:val="none"/>
        </w:rPr>
        <w:fldChar w:fldCharType="separate"/>
      </w:r>
      <w:r>
        <w:rPr>
          <w:color w:val="auto"/>
          <w:highlight w:val="none"/>
        </w:rPr>
        <w:t>- 9 -</w:t>
      </w:r>
      <w:r>
        <w:rPr>
          <w:color w:val="auto"/>
          <w:highlight w:val="none"/>
        </w:rPr>
        <w:fldChar w:fldCharType="end"/>
      </w:r>
      <w:r>
        <w:rPr>
          <w:rFonts w:hint="eastAsia" w:ascii="宋体" w:hAnsi="宋体" w:cs="宋体"/>
          <w:bCs/>
          <w:color w:val="auto"/>
          <w:highlight w:val="none"/>
          <w:lang w:val="zh-CN"/>
        </w:rPr>
        <w:fldChar w:fldCharType="end"/>
      </w:r>
    </w:p>
    <w:p w14:paraId="3ABA8C26">
      <w:pPr>
        <w:pStyle w:val="20"/>
        <w:tabs>
          <w:tab w:val="right" w:leader="dot" w:pos="10192"/>
        </w:tabs>
        <w:rPr>
          <w:color w:val="auto"/>
          <w:highlight w:val="none"/>
        </w:rPr>
      </w:pPr>
      <w:r>
        <w:rPr>
          <w:rFonts w:hint="eastAsia" w:ascii="宋体" w:hAnsi="宋体" w:cs="宋体"/>
          <w:bCs/>
          <w:color w:val="auto"/>
          <w:highlight w:val="none"/>
          <w:lang w:val="zh-CN"/>
        </w:rPr>
        <w:fldChar w:fldCharType="begin"/>
      </w:r>
      <w:r>
        <w:rPr>
          <w:rFonts w:hint="eastAsia" w:ascii="宋体" w:hAnsi="宋体" w:cs="宋体"/>
          <w:bCs/>
          <w:color w:val="auto"/>
          <w:highlight w:val="none"/>
          <w:lang w:val="zh-CN"/>
        </w:rPr>
        <w:instrText xml:space="preserve"> HYPERLINK \l _Toc4442 </w:instrText>
      </w:r>
      <w:r>
        <w:rPr>
          <w:rFonts w:hint="eastAsia" w:ascii="宋体" w:hAnsi="宋体" w:cs="宋体"/>
          <w:bCs/>
          <w:color w:val="auto"/>
          <w:highlight w:val="none"/>
          <w:lang w:val="zh-CN"/>
        </w:rPr>
        <w:fldChar w:fldCharType="separate"/>
      </w:r>
      <w:r>
        <w:rPr>
          <w:rFonts w:hint="eastAsia" w:ascii="宋体" w:hAnsi="宋体" w:cs="宋体"/>
          <w:color w:val="auto"/>
          <w:szCs w:val="21"/>
          <w:highlight w:val="none"/>
        </w:rPr>
        <w:t>3. 供应商资格</w:t>
      </w:r>
      <w:r>
        <w:rPr>
          <w:color w:val="auto"/>
          <w:highlight w:val="none"/>
        </w:rPr>
        <w:tab/>
      </w:r>
      <w:r>
        <w:rPr>
          <w:color w:val="auto"/>
          <w:highlight w:val="none"/>
        </w:rPr>
        <w:fldChar w:fldCharType="begin"/>
      </w:r>
      <w:r>
        <w:rPr>
          <w:color w:val="auto"/>
          <w:highlight w:val="none"/>
        </w:rPr>
        <w:instrText xml:space="preserve"> PAGEREF _Toc4442 \h </w:instrText>
      </w:r>
      <w:r>
        <w:rPr>
          <w:color w:val="auto"/>
          <w:highlight w:val="none"/>
        </w:rPr>
        <w:fldChar w:fldCharType="separate"/>
      </w:r>
      <w:r>
        <w:rPr>
          <w:color w:val="auto"/>
          <w:highlight w:val="none"/>
        </w:rPr>
        <w:t>- 9 -</w:t>
      </w:r>
      <w:r>
        <w:rPr>
          <w:color w:val="auto"/>
          <w:highlight w:val="none"/>
        </w:rPr>
        <w:fldChar w:fldCharType="end"/>
      </w:r>
      <w:r>
        <w:rPr>
          <w:rFonts w:hint="eastAsia" w:ascii="宋体" w:hAnsi="宋体" w:cs="宋体"/>
          <w:bCs/>
          <w:color w:val="auto"/>
          <w:highlight w:val="none"/>
          <w:lang w:val="zh-CN"/>
        </w:rPr>
        <w:fldChar w:fldCharType="end"/>
      </w:r>
    </w:p>
    <w:p w14:paraId="4E72491F">
      <w:pPr>
        <w:pStyle w:val="20"/>
        <w:tabs>
          <w:tab w:val="right" w:leader="dot" w:pos="10192"/>
        </w:tabs>
        <w:rPr>
          <w:color w:val="auto"/>
          <w:highlight w:val="none"/>
        </w:rPr>
      </w:pPr>
      <w:r>
        <w:rPr>
          <w:rFonts w:hint="eastAsia" w:ascii="宋体" w:hAnsi="宋体" w:cs="宋体"/>
          <w:bCs/>
          <w:color w:val="auto"/>
          <w:highlight w:val="none"/>
          <w:lang w:val="zh-CN"/>
        </w:rPr>
        <w:fldChar w:fldCharType="begin"/>
      </w:r>
      <w:r>
        <w:rPr>
          <w:rFonts w:hint="eastAsia" w:ascii="宋体" w:hAnsi="宋体" w:cs="宋体"/>
          <w:bCs/>
          <w:color w:val="auto"/>
          <w:highlight w:val="none"/>
          <w:lang w:val="zh-CN"/>
        </w:rPr>
        <w:instrText xml:space="preserve"> HYPERLINK \l _Toc10575 </w:instrText>
      </w:r>
      <w:r>
        <w:rPr>
          <w:rFonts w:hint="eastAsia" w:ascii="宋体" w:hAnsi="宋体" w:cs="宋体"/>
          <w:bCs/>
          <w:color w:val="auto"/>
          <w:highlight w:val="none"/>
          <w:lang w:val="zh-CN"/>
        </w:rPr>
        <w:fldChar w:fldCharType="separate"/>
      </w:r>
      <w:r>
        <w:rPr>
          <w:rFonts w:hint="eastAsia" w:ascii="宋体" w:hAnsi="宋体" w:cs="宋体"/>
          <w:color w:val="auto"/>
          <w:szCs w:val="21"/>
          <w:highlight w:val="none"/>
        </w:rPr>
        <w:t>4. 谈判费用</w:t>
      </w:r>
      <w:r>
        <w:rPr>
          <w:color w:val="auto"/>
          <w:highlight w:val="none"/>
        </w:rPr>
        <w:tab/>
      </w:r>
      <w:r>
        <w:rPr>
          <w:color w:val="auto"/>
          <w:highlight w:val="none"/>
        </w:rPr>
        <w:fldChar w:fldCharType="begin"/>
      </w:r>
      <w:r>
        <w:rPr>
          <w:color w:val="auto"/>
          <w:highlight w:val="none"/>
        </w:rPr>
        <w:instrText xml:space="preserve"> PAGEREF _Toc10575 \h </w:instrText>
      </w:r>
      <w:r>
        <w:rPr>
          <w:color w:val="auto"/>
          <w:highlight w:val="none"/>
        </w:rPr>
        <w:fldChar w:fldCharType="separate"/>
      </w:r>
      <w:r>
        <w:rPr>
          <w:color w:val="auto"/>
          <w:highlight w:val="none"/>
        </w:rPr>
        <w:t>- 9 -</w:t>
      </w:r>
      <w:r>
        <w:rPr>
          <w:color w:val="auto"/>
          <w:highlight w:val="none"/>
        </w:rPr>
        <w:fldChar w:fldCharType="end"/>
      </w:r>
      <w:r>
        <w:rPr>
          <w:rFonts w:hint="eastAsia" w:ascii="宋体" w:hAnsi="宋体" w:cs="宋体"/>
          <w:bCs/>
          <w:color w:val="auto"/>
          <w:highlight w:val="none"/>
          <w:lang w:val="zh-CN"/>
        </w:rPr>
        <w:fldChar w:fldCharType="end"/>
      </w:r>
    </w:p>
    <w:p w14:paraId="41FED968">
      <w:pPr>
        <w:pStyle w:val="20"/>
        <w:tabs>
          <w:tab w:val="right" w:leader="dot" w:pos="10192"/>
        </w:tabs>
        <w:rPr>
          <w:color w:val="auto"/>
          <w:highlight w:val="none"/>
        </w:rPr>
      </w:pPr>
      <w:r>
        <w:rPr>
          <w:rFonts w:hint="eastAsia" w:ascii="宋体" w:hAnsi="宋体" w:cs="宋体"/>
          <w:bCs/>
          <w:color w:val="auto"/>
          <w:highlight w:val="none"/>
          <w:lang w:val="zh-CN"/>
        </w:rPr>
        <w:fldChar w:fldCharType="begin"/>
      </w:r>
      <w:r>
        <w:rPr>
          <w:rFonts w:hint="eastAsia" w:ascii="宋体" w:hAnsi="宋体" w:cs="宋体"/>
          <w:bCs/>
          <w:color w:val="auto"/>
          <w:highlight w:val="none"/>
          <w:lang w:val="zh-CN"/>
        </w:rPr>
        <w:instrText xml:space="preserve"> HYPERLINK \l _Toc31425 </w:instrText>
      </w:r>
      <w:r>
        <w:rPr>
          <w:rFonts w:hint="eastAsia" w:ascii="宋体" w:hAnsi="宋体" w:cs="宋体"/>
          <w:bCs/>
          <w:color w:val="auto"/>
          <w:highlight w:val="none"/>
          <w:lang w:val="zh-CN"/>
        </w:rPr>
        <w:fldChar w:fldCharType="separate"/>
      </w:r>
      <w:r>
        <w:rPr>
          <w:rFonts w:hint="eastAsia" w:ascii="宋体" w:hAnsi="宋体" w:cs="宋体"/>
          <w:color w:val="auto"/>
          <w:szCs w:val="21"/>
          <w:highlight w:val="none"/>
        </w:rPr>
        <w:t>5.</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联合体要求</w:t>
      </w:r>
      <w:r>
        <w:rPr>
          <w:color w:val="auto"/>
          <w:highlight w:val="none"/>
        </w:rPr>
        <w:tab/>
      </w:r>
      <w:r>
        <w:rPr>
          <w:color w:val="auto"/>
          <w:highlight w:val="none"/>
        </w:rPr>
        <w:fldChar w:fldCharType="begin"/>
      </w:r>
      <w:r>
        <w:rPr>
          <w:color w:val="auto"/>
          <w:highlight w:val="none"/>
        </w:rPr>
        <w:instrText xml:space="preserve"> PAGEREF _Toc31425 \h </w:instrText>
      </w:r>
      <w:r>
        <w:rPr>
          <w:color w:val="auto"/>
          <w:highlight w:val="none"/>
        </w:rPr>
        <w:fldChar w:fldCharType="separate"/>
      </w:r>
      <w:r>
        <w:rPr>
          <w:color w:val="auto"/>
          <w:highlight w:val="none"/>
        </w:rPr>
        <w:t>- 9 -</w:t>
      </w:r>
      <w:r>
        <w:rPr>
          <w:color w:val="auto"/>
          <w:highlight w:val="none"/>
        </w:rPr>
        <w:fldChar w:fldCharType="end"/>
      </w:r>
      <w:r>
        <w:rPr>
          <w:rFonts w:hint="eastAsia" w:ascii="宋体" w:hAnsi="宋体" w:cs="宋体"/>
          <w:bCs/>
          <w:color w:val="auto"/>
          <w:highlight w:val="none"/>
          <w:lang w:val="zh-CN"/>
        </w:rPr>
        <w:fldChar w:fldCharType="end"/>
      </w:r>
    </w:p>
    <w:p w14:paraId="7A753FA4">
      <w:pPr>
        <w:pStyle w:val="20"/>
        <w:tabs>
          <w:tab w:val="right" w:leader="dot" w:pos="10192"/>
        </w:tabs>
        <w:rPr>
          <w:color w:val="auto"/>
          <w:highlight w:val="none"/>
        </w:rPr>
      </w:pPr>
      <w:r>
        <w:rPr>
          <w:rFonts w:hint="eastAsia" w:ascii="宋体" w:hAnsi="宋体" w:cs="宋体"/>
          <w:bCs/>
          <w:color w:val="auto"/>
          <w:highlight w:val="none"/>
          <w:lang w:val="zh-CN"/>
        </w:rPr>
        <w:fldChar w:fldCharType="begin"/>
      </w:r>
      <w:r>
        <w:rPr>
          <w:rFonts w:hint="eastAsia" w:ascii="宋体" w:hAnsi="宋体" w:cs="宋体"/>
          <w:bCs/>
          <w:color w:val="auto"/>
          <w:highlight w:val="none"/>
          <w:lang w:val="zh-CN"/>
        </w:rPr>
        <w:instrText xml:space="preserve"> HYPERLINK \l _Toc26025 </w:instrText>
      </w:r>
      <w:r>
        <w:rPr>
          <w:rFonts w:hint="eastAsia" w:ascii="宋体" w:hAnsi="宋体" w:cs="宋体"/>
          <w:bCs/>
          <w:color w:val="auto"/>
          <w:highlight w:val="none"/>
          <w:lang w:val="zh-CN"/>
        </w:rPr>
        <w:fldChar w:fldCharType="separate"/>
      </w:r>
      <w:r>
        <w:rPr>
          <w:rFonts w:hint="eastAsia" w:ascii="宋体" w:hAnsi="宋体" w:cs="宋体"/>
          <w:color w:val="auto"/>
          <w:szCs w:val="21"/>
          <w:highlight w:val="none"/>
        </w:rPr>
        <w:t>6. 质疑和投诉</w:t>
      </w:r>
      <w:r>
        <w:rPr>
          <w:color w:val="auto"/>
          <w:highlight w:val="none"/>
        </w:rPr>
        <w:tab/>
      </w:r>
      <w:r>
        <w:rPr>
          <w:color w:val="auto"/>
          <w:highlight w:val="none"/>
        </w:rPr>
        <w:fldChar w:fldCharType="begin"/>
      </w:r>
      <w:r>
        <w:rPr>
          <w:color w:val="auto"/>
          <w:highlight w:val="none"/>
        </w:rPr>
        <w:instrText xml:space="preserve"> PAGEREF _Toc26025 \h </w:instrText>
      </w:r>
      <w:r>
        <w:rPr>
          <w:color w:val="auto"/>
          <w:highlight w:val="none"/>
        </w:rPr>
        <w:fldChar w:fldCharType="separate"/>
      </w:r>
      <w:r>
        <w:rPr>
          <w:color w:val="auto"/>
          <w:highlight w:val="none"/>
        </w:rPr>
        <w:t>- 9 -</w:t>
      </w:r>
      <w:r>
        <w:rPr>
          <w:color w:val="auto"/>
          <w:highlight w:val="none"/>
        </w:rPr>
        <w:fldChar w:fldCharType="end"/>
      </w:r>
      <w:r>
        <w:rPr>
          <w:rFonts w:hint="eastAsia" w:ascii="宋体" w:hAnsi="宋体" w:cs="宋体"/>
          <w:bCs/>
          <w:color w:val="auto"/>
          <w:highlight w:val="none"/>
          <w:lang w:val="zh-CN"/>
        </w:rPr>
        <w:fldChar w:fldCharType="end"/>
      </w:r>
    </w:p>
    <w:p w14:paraId="29002235">
      <w:pPr>
        <w:pStyle w:val="20"/>
        <w:tabs>
          <w:tab w:val="right" w:leader="dot" w:pos="10192"/>
        </w:tabs>
        <w:rPr>
          <w:color w:val="auto"/>
          <w:highlight w:val="none"/>
        </w:rPr>
      </w:pPr>
      <w:r>
        <w:rPr>
          <w:rFonts w:hint="eastAsia" w:ascii="宋体" w:hAnsi="宋体" w:cs="宋体"/>
          <w:bCs/>
          <w:color w:val="auto"/>
          <w:highlight w:val="none"/>
          <w:lang w:val="zh-CN"/>
        </w:rPr>
        <w:fldChar w:fldCharType="begin"/>
      </w:r>
      <w:r>
        <w:rPr>
          <w:rFonts w:hint="eastAsia" w:ascii="宋体" w:hAnsi="宋体" w:cs="宋体"/>
          <w:bCs/>
          <w:color w:val="auto"/>
          <w:highlight w:val="none"/>
          <w:lang w:val="zh-CN"/>
        </w:rPr>
        <w:instrText xml:space="preserve"> HYPERLINK \l _Toc17834 </w:instrText>
      </w:r>
      <w:r>
        <w:rPr>
          <w:rFonts w:hint="eastAsia" w:ascii="宋体" w:hAnsi="宋体" w:cs="宋体"/>
          <w:bCs/>
          <w:color w:val="auto"/>
          <w:highlight w:val="none"/>
          <w:lang w:val="zh-CN"/>
        </w:rPr>
        <w:fldChar w:fldCharType="separate"/>
      </w:r>
      <w:r>
        <w:rPr>
          <w:rFonts w:hint="eastAsia" w:ascii="宋体" w:hAnsi="宋体" w:cs="宋体"/>
          <w:color w:val="auto"/>
          <w:szCs w:val="21"/>
          <w:highlight w:val="none"/>
        </w:rPr>
        <w:t>7. 转包与分包</w:t>
      </w:r>
      <w:r>
        <w:rPr>
          <w:color w:val="auto"/>
          <w:highlight w:val="none"/>
        </w:rPr>
        <w:tab/>
      </w:r>
      <w:r>
        <w:rPr>
          <w:color w:val="auto"/>
          <w:highlight w:val="none"/>
        </w:rPr>
        <w:fldChar w:fldCharType="begin"/>
      </w:r>
      <w:r>
        <w:rPr>
          <w:color w:val="auto"/>
          <w:highlight w:val="none"/>
        </w:rPr>
        <w:instrText xml:space="preserve"> PAGEREF _Toc17834 \h </w:instrText>
      </w:r>
      <w:r>
        <w:rPr>
          <w:color w:val="auto"/>
          <w:highlight w:val="none"/>
        </w:rPr>
        <w:fldChar w:fldCharType="separate"/>
      </w:r>
      <w:r>
        <w:rPr>
          <w:color w:val="auto"/>
          <w:highlight w:val="none"/>
        </w:rPr>
        <w:t>- 10 -</w:t>
      </w:r>
      <w:r>
        <w:rPr>
          <w:color w:val="auto"/>
          <w:highlight w:val="none"/>
        </w:rPr>
        <w:fldChar w:fldCharType="end"/>
      </w:r>
      <w:r>
        <w:rPr>
          <w:rFonts w:hint="eastAsia" w:ascii="宋体" w:hAnsi="宋体" w:cs="宋体"/>
          <w:bCs/>
          <w:color w:val="auto"/>
          <w:highlight w:val="none"/>
          <w:lang w:val="zh-CN"/>
        </w:rPr>
        <w:fldChar w:fldCharType="end"/>
      </w:r>
    </w:p>
    <w:p w14:paraId="3148A49A">
      <w:pPr>
        <w:pStyle w:val="20"/>
        <w:tabs>
          <w:tab w:val="right" w:leader="dot" w:pos="10192"/>
        </w:tabs>
        <w:rPr>
          <w:color w:val="auto"/>
          <w:highlight w:val="none"/>
        </w:rPr>
      </w:pPr>
      <w:r>
        <w:rPr>
          <w:rFonts w:hint="eastAsia" w:ascii="宋体" w:hAnsi="宋体" w:cs="宋体"/>
          <w:bCs/>
          <w:color w:val="auto"/>
          <w:highlight w:val="none"/>
          <w:lang w:val="zh-CN"/>
        </w:rPr>
        <w:fldChar w:fldCharType="begin"/>
      </w:r>
      <w:r>
        <w:rPr>
          <w:rFonts w:hint="eastAsia" w:ascii="宋体" w:hAnsi="宋体" w:cs="宋体"/>
          <w:bCs/>
          <w:color w:val="auto"/>
          <w:highlight w:val="none"/>
          <w:lang w:val="zh-CN"/>
        </w:rPr>
        <w:instrText xml:space="preserve"> HYPERLINK \l _Toc18475 </w:instrText>
      </w:r>
      <w:r>
        <w:rPr>
          <w:rFonts w:hint="eastAsia" w:ascii="宋体" w:hAnsi="宋体" w:cs="宋体"/>
          <w:bCs/>
          <w:color w:val="auto"/>
          <w:highlight w:val="none"/>
          <w:lang w:val="zh-CN"/>
        </w:rPr>
        <w:fldChar w:fldCharType="separate"/>
      </w:r>
      <w:r>
        <w:rPr>
          <w:rFonts w:hint="eastAsia" w:ascii="宋体" w:hAnsi="宋体" w:cs="宋体"/>
          <w:color w:val="auto"/>
          <w:szCs w:val="21"/>
          <w:highlight w:val="none"/>
        </w:rPr>
        <w:t>8. 特别说明</w:t>
      </w:r>
      <w:r>
        <w:rPr>
          <w:color w:val="auto"/>
          <w:highlight w:val="none"/>
        </w:rPr>
        <w:tab/>
      </w:r>
      <w:r>
        <w:rPr>
          <w:color w:val="auto"/>
          <w:highlight w:val="none"/>
        </w:rPr>
        <w:fldChar w:fldCharType="begin"/>
      </w:r>
      <w:r>
        <w:rPr>
          <w:color w:val="auto"/>
          <w:highlight w:val="none"/>
        </w:rPr>
        <w:instrText xml:space="preserve"> PAGEREF _Toc18475 \h </w:instrText>
      </w:r>
      <w:r>
        <w:rPr>
          <w:color w:val="auto"/>
          <w:highlight w:val="none"/>
        </w:rPr>
        <w:fldChar w:fldCharType="separate"/>
      </w:r>
      <w:r>
        <w:rPr>
          <w:color w:val="auto"/>
          <w:highlight w:val="none"/>
        </w:rPr>
        <w:t>- 10 -</w:t>
      </w:r>
      <w:r>
        <w:rPr>
          <w:color w:val="auto"/>
          <w:highlight w:val="none"/>
        </w:rPr>
        <w:fldChar w:fldCharType="end"/>
      </w:r>
      <w:r>
        <w:rPr>
          <w:rFonts w:hint="eastAsia" w:ascii="宋体" w:hAnsi="宋体" w:cs="宋体"/>
          <w:bCs/>
          <w:color w:val="auto"/>
          <w:highlight w:val="none"/>
          <w:lang w:val="zh-CN"/>
        </w:rPr>
        <w:fldChar w:fldCharType="end"/>
      </w:r>
    </w:p>
    <w:p w14:paraId="1888A379">
      <w:pPr>
        <w:pStyle w:val="34"/>
        <w:tabs>
          <w:tab w:val="right" w:leader="dot" w:pos="10192"/>
        </w:tabs>
        <w:rPr>
          <w:color w:val="auto"/>
          <w:highlight w:val="none"/>
        </w:rPr>
      </w:pPr>
      <w:r>
        <w:rPr>
          <w:rFonts w:hint="eastAsia" w:ascii="宋体" w:hAnsi="宋体" w:cs="宋体"/>
          <w:bCs/>
          <w:color w:val="auto"/>
          <w:highlight w:val="none"/>
          <w:lang w:val="zh-CN"/>
        </w:rPr>
        <w:fldChar w:fldCharType="begin"/>
      </w:r>
      <w:r>
        <w:rPr>
          <w:rFonts w:hint="eastAsia" w:ascii="宋体" w:hAnsi="宋体" w:cs="宋体"/>
          <w:bCs/>
          <w:color w:val="auto"/>
          <w:highlight w:val="none"/>
          <w:lang w:val="zh-CN"/>
        </w:rPr>
        <w:instrText xml:space="preserve"> HYPERLINK \l _Toc2829 </w:instrText>
      </w:r>
      <w:r>
        <w:rPr>
          <w:rFonts w:hint="eastAsia" w:ascii="宋体" w:hAnsi="宋体" w:cs="宋体"/>
          <w:bCs/>
          <w:color w:val="auto"/>
          <w:highlight w:val="none"/>
          <w:lang w:val="zh-CN"/>
        </w:rPr>
        <w:fldChar w:fldCharType="separate"/>
      </w:r>
      <w:r>
        <w:rPr>
          <w:rFonts w:hint="eastAsia"/>
          <w:color w:val="auto"/>
          <w:szCs w:val="28"/>
          <w:highlight w:val="none"/>
        </w:rPr>
        <w:t>二、谈判文件</w:t>
      </w:r>
      <w:r>
        <w:rPr>
          <w:color w:val="auto"/>
          <w:highlight w:val="none"/>
        </w:rPr>
        <w:tab/>
      </w:r>
      <w:r>
        <w:rPr>
          <w:color w:val="auto"/>
          <w:highlight w:val="none"/>
        </w:rPr>
        <w:fldChar w:fldCharType="begin"/>
      </w:r>
      <w:r>
        <w:rPr>
          <w:color w:val="auto"/>
          <w:highlight w:val="none"/>
        </w:rPr>
        <w:instrText xml:space="preserve"> PAGEREF _Toc2829 \h </w:instrText>
      </w:r>
      <w:r>
        <w:rPr>
          <w:color w:val="auto"/>
          <w:highlight w:val="none"/>
        </w:rPr>
        <w:fldChar w:fldCharType="separate"/>
      </w:r>
      <w:r>
        <w:rPr>
          <w:color w:val="auto"/>
          <w:highlight w:val="none"/>
        </w:rPr>
        <w:t>- 10 -</w:t>
      </w:r>
      <w:r>
        <w:rPr>
          <w:color w:val="auto"/>
          <w:highlight w:val="none"/>
        </w:rPr>
        <w:fldChar w:fldCharType="end"/>
      </w:r>
      <w:r>
        <w:rPr>
          <w:rFonts w:hint="eastAsia" w:ascii="宋体" w:hAnsi="宋体" w:cs="宋体"/>
          <w:bCs/>
          <w:color w:val="auto"/>
          <w:highlight w:val="none"/>
          <w:lang w:val="zh-CN"/>
        </w:rPr>
        <w:fldChar w:fldCharType="end"/>
      </w:r>
    </w:p>
    <w:p w14:paraId="5D70FE74">
      <w:pPr>
        <w:pStyle w:val="20"/>
        <w:tabs>
          <w:tab w:val="right" w:leader="dot" w:pos="10192"/>
        </w:tabs>
        <w:rPr>
          <w:color w:val="auto"/>
          <w:highlight w:val="none"/>
        </w:rPr>
      </w:pPr>
      <w:r>
        <w:rPr>
          <w:rFonts w:hint="eastAsia" w:ascii="宋体" w:hAnsi="宋体" w:cs="宋体"/>
          <w:bCs/>
          <w:color w:val="auto"/>
          <w:highlight w:val="none"/>
          <w:lang w:val="zh-CN"/>
        </w:rPr>
        <w:fldChar w:fldCharType="begin"/>
      </w:r>
      <w:r>
        <w:rPr>
          <w:rFonts w:hint="eastAsia" w:ascii="宋体" w:hAnsi="宋体" w:cs="宋体"/>
          <w:bCs/>
          <w:color w:val="auto"/>
          <w:highlight w:val="none"/>
          <w:lang w:val="zh-CN"/>
        </w:rPr>
        <w:instrText xml:space="preserve"> HYPERLINK \l _Toc3432 </w:instrText>
      </w:r>
      <w:r>
        <w:rPr>
          <w:rFonts w:hint="eastAsia" w:ascii="宋体" w:hAnsi="宋体" w:cs="宋体"/>
          <w:bCs/>
          <w:color w:val="auto"/>
          <w:highlight w:val="none"/>
          <w:lang w:val="zh-CN"/>
        </w:rPr>
        <w:fldChar w:fldCharType="separate"/>
      </w:r>
      <w:r>
        <w:rPr>
          <w:rFonts w:hint="eastAsia" w:ascii="宋体" w:hAnsi="宋体" w:cs="宋体"/>
          <w:color w:val="auto"/>
          <w:szCs w:val="21"/>
          <w:highlight w:val="none"/>
        </w:rPr>
        <w:t>9. 谈判文件的构成</w:t>
      </w:r>
      <w:r>
        <w:rPr>
          <w:color w:val="auto"/>
          <w:highlight w:val="none"/>
        </w:rPr>
        <w:tab/>
      </w:r>
      <w:r>
        <w:rPr>
          <w:color w:val="auto"/>
          <w:highlight w:val="none"/>
        </w:rPr>
        <w:fldChar w:fldCharType="begin"/>
      </w:r>
      <w:r>
        <w:rPr>
          <w:color w:val="auto"/>
          <w:highlight w:val="none"/>
        </w:rPr>
        <w:instrText xml:space="preserve"> PAGEREF _Toc3432 \h </w:instrText>
      </w:r>
      <w:r>
        <w:rPr>
          <w:color w:val="auto"/>
          <w:highlight w:val="none"/>
        </w:rPr>
        <w:fldChar w:fldCharType="separate"/>
      </w:r>
      <w:r>
        <w:rPr>
          <w:color w:val="auto"/>
          <w:highlight w:val="none"/>
        </w:rPr>
        <w:t>- 10 -</w:t>
      </w:r>
      <w:r>
        <w:rPr>
          <w:color w:val="auto"/>
          <w:highlight w:val="none"/>
        </w:rPr>
        <w:fldChar w:fldCharType="end"/>
      </w:r>
      <w:r>
        <w:rPr>
          <w:rFonts w:hint="eastAsia" w:ascii="宋体" w:hAnsi="宋体" w:cs="宋体"/>
          <w:bCs/>
          <w:color w:val="auto"/>
          <w:highlight w:val="none"/>
          <w:lang w:val="zh-CN"/>
        </w:rPr>
        <w:fldChar w:fldCharType="end"/>
      </w:r>
    </w:p>
    <w:p w14:paraId="24236521">
      <w:pPr>
        <w:pStyle w:val="20"/>
        <w:tabs>
          <w:tab w:val="right" w:leader="dot" w:pos="10192"/>
        </w:tabs>
        <w:rPr>
          <w:color w:val="auto"/>
          <w:highlight w:val="none"/>
        </w:rPr>
      </w:pPr>
      <w:r>
        <w:rPr>
          <w:rFonts w:hint="eastAsia" w:ascii="宋体" w:hAnsi="宋体" w:cs="宋体"/>
          <w:bCs/>
          <w:color w:val="auto"/>
          <w:highlight w:val="none"/>
          <w:lang w:val="zh-CN"/>
        </w:rPr>
        <w:fldChar w:fldCharType="begin"/>
      </w:r>
      <w:r>
        <w:rPr>
          <w:rFonts w:hint="eastAsia" w:ascii="宋体" w:hAnsi="宋体" w:cs="宋体"/>
          <w:bCs/>
          <w:color w:val="auto"/>
          <w:highlight w:val="none"/>
          <w:lang w:val="zh-CN"/>
        </w:rPr>
        <w:instrText xml:space="preserve"> HYPERLINK \l _Toc26306 </w:instrText>
      </w:r>
      <w:r>
        <w:rPr>
          <w:rFonts w:hint="eastAsia" w:ascii="宋体" w:hAnsi="宋体" w:cs="宋体"/>
          <w:bCs/>
          <w:color w:val="auto"/>
          <w:highlight w:val="none"/>
          <w:lang w:val="zh-CN"/>
        </w:rPr>
        <w:fldChar w:fldCharType="separate"/>
      </w:r>
      <w:r>
        <w:rPr>
          <w:rFonts w:hint="eastAsia" w:ascii="宋体" w:hAnsi="宋体" w:cs="宋体"/>
          <w:color w:val="auto"/>
          <w:szCs w:val="21"/>
          <w:highlight w:val="none"/>
        </w:rPr>
        <w:t>10. 谈判文件的澄清与修改</w:t>
      </w:r>
      <w:r>
        <w:rPr>
          <w:color w:val="auto"/>
          <w:highlight w:val="none"/>
        </w:rPr>
        <w:tab/>
      </w:r>
      <w:r>
        <w:rPr>
          <w:color w:val="auto"/>
          <w:highlight w:val="none"/>
        </w:rPr>
        <w:fldChar w:fldCharType="begin"/>
      </w:r>
      <w:r>
        <w:rPr>
          <w:color w:val="auto"/>
          <w:highlight w:val="none"/>
        </w:rPr>
        <w:instrText xml:space="preserve"> PAGEREF _Toc26306 \h </w:instrText>
      </w:r>
      <w:r>
        <w:rPr>
          <w:color w:val="auto"/>
          <w:highlight w:val="none"/>
        </w:rPr>
        <w:fldChar w:fldCharType="separate"/>
      </w:r>
      <w:r>
        <w:rPr>
          <w:color w:val="auto"/>
          <w:highlight w:val="none"/>
        </w:rPr>
        <w:t>- 10 -</w:t>
      </w:r>
      <w:r>
        <w:rPr>
          <w:color w:val="auto"/>
          <w:highlight w:val="none"/>
        </w:rPr>
        <w:fldChar w:fldCharType="end"/>
      </w:r>
      <w:r>
        <w:rPr>
          <w:rFonts w:hint="eastAsia" w:ascii="宋体" w:hAnsi="宋体" w:cs="宋体"/>
          <w:bCs/>
          <w:color w:val="auto"/>
          <w:highlight w:val="none"/>
          <w:lang w:val="zh-CN"/>
        </w:rPr>
        <w:fldChar w:fldCharType="end"/>
      </w:r>
    </w:p>
    <w:p w14:paraId="21B4319D">
      <w:pPr>
        <w:pStyle w:val="34"/>
        <w:tabs>
          <w:tab w:val="right" w:leader="dot" w:pos="10192"/>
        </w:tabs>
        <w:rPr>
          <w:color w:val="auto"/>
          <w:highlight w:val="none"/>
        </w:rPr>
      </w:pPr>
      <w:r>
        <w:rPr>
          <w:rFonts w:hint="eastAsia" w:ascii="宋体" w:hAnsi="宋体" w:cs="宋体"/>
          <w:bCs/>
          <w:color w:val="auto"/>
          <w:highlight w:val="none"/>
          <w:lang w:val="zh-CN"/>
        </w:rPr>
        <w:fldChar w:fldCharType="begin"/>
      </w:r>
      <w:r>
        <w:rPr>
          <w:rFonts w:hint="eastAsia" w:ascii="宋体" w:hAnsi="宋体" w:cs="宋体"/>
          <w:bCs/>
          <w:color w:val="auto"/>
          <w:highlight w:val="none"/>
          <w:lang w:val="zh-CN"/>
        </w:rPr>
        <w:instrText xml:space="preserve"> HYPERLINK \l _Toc13602 </w:instrText>
      </w:r>
      <w:r>
        <w:rPr>
          <w:rFonts w:hint="eastAsia" w:ascii="宋体" w:hAnsi="宋体" w:cs="宋体"/>
          <w:bCs/>
          <w:color w:val="auto"/>
          <w:highlight w:val="none"/>
          <w:lang w:val="zh-CN"/>
        </w:rPr>
        <w:fldChar w:fldCharType="separate"/>
      </w:r>
      <w:r>
        <w:rPr>
          <w:rFonts w:hint="eastAsia"/>
          <w:color w:val="auto"/>
          <w:szCs w:val="28"/>
          <w:highlight w:val="none"/>
        </w:rPr>
        <w:t>三、竞争性谈判响应文件的编制</w:t>
      </w:r>
      <w:r>
        <w:rPr>
          <w:color w:val="auto"/>
          <w:highlight w:val="none"/>
        </w:rPr>
        <w:tab/>
      </w:r>
      <w:r>
        <w:rPr>
          <w:color w:val="auto"/>
          <w:highlight w:val="none"/>
        </w:rPr>
        <w:fldChar w:fldCharType="begin"/>
      </w:r>
      <w:r>
        <w:rPr>
          <w:color w:val="auto"/>
          <w:highlight w:val="none"/>
        </w:rPr>
        <w:instrText xml:space="preserve"> PAGEREF _Toc13602 \h </w:instrText>
      </w:r>
      <w:r>
        <w:rPr>
          <w:color w:val="auto"/>
          <w:highlight w:val="none"/>
        </w:rPr>
        <w:fldChar w:fldCharType="separate"/>
      </w:r>
      <w:r>
        <w:rPr>
          <w:color w:val="auto"/>
          <w:highlight w:val="none"/>
        </w:rPr>
        <w:t>- 11 -</w:t>
      </w:r>
      <w:r>
        <w:rPr>
          <w:color w:val="auto"/>
          <w:highlight w:val="none"/>
        </w:rPr>
        <w:fldChar w:fldCharType="end"/>
      </w:r>
      <w:r>
        <w:rPr>
          <w:rFonts w:hint="eastAsia" w:ascii="宋体" w:hAnsi="宋体" w:cs="宋体"/>
          <w:bCs/>
          <w:color w:val="auto"/>
          <w:highlight w:val="none"/>
          <w:lang w:val="zh-CN"/>
        </w:rPr>
        <w:fldChar w:fldCharType="end"/>
      </w:r>
    </w:p>
    <w:p w14:paraId="1C025A07">
      <w:pPr>
        <w:pStyle w:val="20"/>
        <w:tabs>
          <w:tab w:val="right" w:leader="dot" w:pos="10192"/>
        </w:tabs>
        <w:rPr>
          <w:color w:val="auto"/>
          <w:highlight w:val="none"/>
        </w:rPr>
      </w:pPr>
      <w:r>
        <w:rPr>
          <w:rFonts w:hint="eastAsia" w:ascii="宋体" w:hAnsi="宋体" w:cs="宋体"/>
          <w:bCs/>
          <w:color w:val="auto"/>
          <w:highlight w:val="none"/>
          <w:lang w:val="zh-CN"/>
        </w:rPr>
        <w:fldChar w:fldCharType="begin"/>
      </w:r>
      <w:r>
        <w:rPr>
          <w:rFonts w:hint="eastAsia" w:ascii="宋体" w:hAnsi="宋体" w:cs="宋体"/>
          <w:bCs/>
          <w:color w:val="auto"/>
          <w:highlight w:val="none"/>
          <w:lang w:val="zh-CN"/>
        </w:rPr>
        <w:instrText xml:space="preserve"> HYPERLINK \l _Toc1961 </w:instrText>
      </w:r>
      <w:r>
        <w:rPr>
          <w:rFonts w:hint="eastAsia" w:ascii="宋体" w:hAnsi="宋体" w:cs="宋体"/>
          <w:bCs/>
          <w:color w:val="auto"/>
          <w:highlight w:val="none"/>
          <w:lang w:val="zh-CN"/>
        </w:rPr>
        <w:fldChar w:fldCharType="separate"/>
      </w:r>
      <w:r>
        <w:rPr>
          <w:rFonts w:hint="eastAsia" w:ascii="宋体" w:hAnsi="宋体" w:cs="宋体"/>
          <w:color w:val="auto"/>
          <w:szCs w:val="21"/>
          <w:highlight w:val="none"/>
        </w:rPr>
        <w:t>11.竞争性谈判响应文件（以下简称响应文件）的组成及要求</w:t>
      </w:r>
      <w:r>
        <w:rPr>
          <w:color w:val="auto"/>
          <w:highlight w:val="none"/>
        </w:rPr>
        <w:tab/>
      </w:r>
      <w:r>
        <w:rPr>
          <w:color w:val="auto"/>
          <w:highlight w:val="none"/>
        </w:rPr>
        <w:fldChar w:fldCharType="begin"/>
      </w:r>
      <w:r>
        <w:rPr>
          <w:color w:val="auto"/>
          <w:highlight w:val="none"/>
        </w:rPr>
        <w:instrText xml:space="preserve"> PAGEREF _Toc1961 \h </w:instrText>
      </w:r>
      <w:r>
        <w:rPr>
          <w:color w:val="auto"/>
          <w:highlight w:val="none"/>
        </w:rPr>
        <w:fldChar w:fldCharType="separate"/>
      </w:r>
      <w:r>
        <w:rPr>
          <w:color w:val="auto"/>
          <w:highlight w:val="none"/>
        </w:rPr>
        <w:t>- 11 -</w:t>
      </w:r>
      <w:r>
        <w:rPr>
          <w:color w:val="auto"/>
          <w:highlight w:val="none"/>
        </w:rPr>
        <w:fldChar w:fldCharType="end"/>
      </w:r>
      <w:r>
        <w:rPr>
          <w:rFonts w:hint="eastAsia" w:ascii="宋体" w:hAnsi="宋体" w:cs="宋体"/>
          <w:bCs/>
          <w:color w:val="auto"/>
          <w:highlight w:val="none"/>
          <w:lang w:val="zh-CN"/>
        </w:rPr>
        <w:fldChar w:fldCharType="end"/>
      </w:r>
    </w:p>
    <w:p w14:paraId="31FA2101">
      <w:pPr>
        <w:pStyle w:val="20"/>
        <w:tabs>
          <w:tab w:val="right" w:leader="dot" w:pos="10192"/>
        </w:tabs>
        <w:rPr>
          <w:color w:val="auto"/>
          <w:highlight w:val="none"/>
        </w:rPr>
      </w:pPr>
      <w:r>
        <w:rPr>
          <w:rFonts w:hint="eastAsia" w:ascii="宋体" w:hAnsi="宋体" w:cs="宋体"/>
          <w:bCs/>
          <w:color w:val="auto"/>
          <w:highlight w:val="none"/>
          <w:lang w:val="zh-CN"/>
        </w:rPr>
        <w:fldChar w:fldCharType="begin"/>
      </w:r>
      <w:r>
        <w:rPr>
          <w:rFonts w:hint="eastAsia" w:ascii="宋体" w:hAnsi="宋体" w:cs="宋体"/>
          <w:bCs/>
          <w:color w:val="auto"/>
          <w:highlight w:val="none"/>
          <w:lang w:val="zh-CN"/>
        </w:rPr>
        <w:instrText xml:space="preserve"> HYPERLINK \l _Toc12374 </w:instrText>
      </w:r>
      <w:r>
        <w:rPr>
          <w:rFonts w:hint="eastAsia" w:ascii="宋体" w:hAnsi="宋体" w:cs="宋体"/>
          <w:bCs/>
          <w:color w:val="auto"/>
          <w:highlight w:val="none"/>
          <w:lang w:val="zh-CN"/>
        </w:rPr>
        <w:fldChar w:fldCharType="separate"/>
      </w:r>
      <w:r>
        <w:rPr>
          <w:rFonts w:hint="eastAsia" w:ascii="宋体" w:hAnsi="宋体" w:cs="宋体"/>
          <w:color w:val="auto"/>
          <w:szCs w:val="21"/>
          <w:highlight w:val="none"/>
        </w:rPr>
        <w:t>12. 响应文件的语言及计量</w:t>
      </w:r>
      <w:r>
        <w:rPr>
          <w:color w:val="auto"/>
          <w:highlight w:val="none"/>
        </w:rPr>
        <w:tab/>
      </w:r>
      <w:r>
        <w:rPr>
          <w:color w:val="auto"/>
          <w:highlight w:val="none"/>
        </w:rPr>
        <w:fldChar w:fldCharType="begin"/>
      </w:r>
      <w:r>
        <w:rPr>
          <w:color w:val="auto"/>
          <w:highlight w:val="none"/>
        </w:rPr>
        <w:instrText xml:space="preserve"> PAGEREF _Toc12374 \h </w:instrText>
      </w:r>
      <w:r>
        <w:rPr>
          <w:color w:val="auto"/>
          <w:highlight w:val="none"/>
        </w:rPr>
        <w:fldChar w:fldCharType="separate"/>
      </w:r>
      <w:r>
        <w:rPr>
          <w:color w:val="auto"/>
          <w:highlight w:val="none"/>
        </w:rPr>
        <w:t>- 13 -</w:t>
      </w:r>
      <w:r>
        <w:rPr>
          <w:color w:val="auto"/>
          <w:highlight w:val="none"/>
        </w:rPr>
        <w:fldChar w:fldCharType="end"/>
      </w:r>
      <w:r>
        <w:rPr>
          <w:rFonts w:hint="eastAsia" w:ascii="宋体" w:hAnsi="宋体" w:cs="宋体"/>
          <w:bCs/>
          <w:color w:val="auto"/>
          <w:highlight w:val="none"/>
          <w:lang w:val="zh-CN"/>
        </w:rPr>
        <w:fldChar w:fldCharType="end"/>
      </w:r>
    </w:p>
    <w:p w14:paraId="588E6D58">
      <w:pPr>
        <w:pStyle w:val="20"/>
        <w:tabs>
          <w:tab w:val="right" w:leader="dot" w:pos="10192"/>
        </w:tabs>
        <w:rPr>
          <w:color w:val="auto"/>
          <w:highlight w:val="none"/>
        </w:rPr>
      </w:pPr>
      <w:r>
        <w:rPr>
          <w:rFonts w:hint="eastAsia" w:ascii="宋体" w:hAnsi="宋体" w:cs="宋体"/>
          <w:bCs/>
          <w:color w:val="auto"/>
          <w:highlight w:val="none"/>
          <w:lang w:val="zh-CN"/>
        </w:rPr>
        <w:fldChar w:fldCharType="begin"/>
      </w:r>
      <w:r>
        <w:rPr>
          <w:rFonts w:hint="eastAsia" w:ascii="宋体" w:hAnsi="宋体" w:cs="宋体"/>
          <w:bCs/>
          <w:color w:val="auto"/>
          <w:highlight w:val="none"/>
          <w:lang w:val="zh-CN"/>
        </w:rPr>
        <w:instrText xml:space="preserve"> HYPERLINK \l _Toc2551 </w:instrText>
      </w:r>
      <w:r>
        <w:rPr>
          <w:rFonts w:hint="eastAsia" w:ascii="宋体" w:hAnsi="宋体" w:cs="宋体"/>
          <w:bCs/>
          <w:color w:val="auto"/>
          <w:highlight w:val="none"/>
          <w:lang w:val="zh-CN"/>
        </w:rPr>
        <w:fldChar w:fldCharType="separate"/>
      </w:r>
      <w:r>
        <w:rPr>
          <w:rFonts w:hint="eastAsia" w:ascii="宋体" w:hAnsi="宋体" w:cs="宋体"/>
          <w:color w:val="auto"/>
          <w:szCs w:val="21"/>
          <w:highlight w:val="none"/>
        </w:rPr>
        <w:t>13. 谈判报价及采购预算金额</w:t>
      </w:r>
      <w:r>
        <w:rPr>
          <w:color w:val="auto"/>
          <w:highlight w:val="none"/>
        </w:rPr>
        <w:tab/>
      </w:r>
      <w:r>
        <w:rPr>
          <w:color w:val="auto"/>
          <w:highlight w:val="none"/>
        </w:rPr>
        <w:fldChar w:fldCharType="begin"/>
      </w:r>
      <w:r>
        <w:rPr>
          <w:color w:val="auto"/>
          <w:highlight w:val="none"/>
        </w:rPr>
        <w:instrText xml:space="preserve"> PAGEREF _Toc2551 \h </w:instrText>
      </w:r>
      <w:r>
        <w:rPr>
          <w:color w:val="auto"/>
          <w:highlight w:val="none"/>
        </w:rPr>
        <w:fldChar w:fldCharType="separate"/>
      </w:r>
      <w:r>
        <w:rPr>
          <w:color w:val="auto"/>
          <w:highlight w:val="none"/>
        </w:rPr>
        <w:t>- 13 -</w:t>
      </w:r>
      <w:r>
        <w:rPr>
          <w:color w:val="auto"/>
          <w:highlight w:val="none"/>
        </w:rPr>
        <w:fldChar w:fldCharType="end"/>
      </w:r>
      <w:r>
        <w:rPr>
          <w:rFonts w:hint="eastAsia" w:ascii="宋体" w:hAnsi="宋体" w:cs="宋体"/>
          <w:bCs/>
          <w:color w:val="auto"/>
          <w:highlight w:val="none"/>
          <w:lang w:val="zh-CN"/>
        </w:rPr>
        <w:fldChar w:fldCharType="end"/>
      </w:r>
    </w:p>
    <w:p w14:paraId="7BB10273">
      <w:pPr>
        <w:pStyle w:val="20"/>
        <w:tabs>
          <w:tab w:val="right" w:leader="dot" w:pos="10192"/>
        </w:tabs>
        <w:rPr>
          <w:color w:val="auto"/>
          <w:highlight w:val="none"/>
        </w:rPr>
      </w:pPr>
      <w:r>
        <w:rPr>
          <w:rFonts w:hint="eastAsia" w:ascii="宋体" w:hAnsi="宋体" w:cs="宋体"/>
          <w:bCs/>
          <w:color w:val="auto"/>
          <w:highlight w:val="none"/>
          <w:lang w:val="zh-CN"/>
        </w:rPr>
        <w:fldChar w:fldCharType="begin"/>
      </w:r>
      <w:r>
        <w:rPr>
          <w:rFonts w:hint="eastAsia" w:ascii="宋体" w:hAnsi="宋体" w:cs="宋体"/>
          <w:bCs/>
          <w:color w:val="auto"/>
          <w:highlight w:val="none"/>
          <w:lang w:val="zh-CN"/>
        </w:rPr>
        <w:instrText xml:space="preserve"> HYPERLINK \l _Toc9416 </w:instrText>
      </w:r>
      <w:r>
        <w:rPr>
          <w:rFonts w:hint="eastAsia" w:ascii="宋体" w:hAnsi="宋体" w:cs="宋体"/>
          <w:bCs/>
          <w:color w:val="auto"/>
          <w:highlight w:val="none"/>
          <w:lang w:val="zh-CN"/>
        </w:rPr>
        <w:fldChar w:fldCharType="separate"/>
      </w:r>
      <w:r>
        <w:rPr>
          <w:rFonts w:hint="eastAsia" w:ascii="宋体" w:hAnsi="宋体" w:cs="宋体"/>
          <w:color w:val="auto"/>
          <w:szCs w:val="21"/>
          <w:highlight w:val="none"/>
        </w:rPr>
        <w:t>14. 响应文件有效期</w:t>
      </w:r>
      <w:r>
        <w:rPr>
          <w:color w:val="auto"/>
          <w:highlight w:val="none"/>
        </w:rPr>
        <w:tab/>
      </w:r>
      <w:r>
        <w:rPr>
          <w:color w:val="auto"/>
          <w:highlight w:val="none"/>
        </w:rPr>
        <w:fldChar w:fldCharType="begin"/>
      </w:r>
      <w:r>
        <w:rPr>
          <w:color w:val="auto"/>
          <w:highlight w:val="none"/>
        </w:rPr>
        <w:instrText xml:space="preserve"> PAGEREF _Toc9416 \h </w:instrText>
      </w:r>
      <w:r>
        <w:rPr>
          <w:color w:val="auto"/>
          <w:highlight w:val="none"/>
        </w:rPr>
        <w:fldChar w:fldCharType="separate"/>
      </w:r>
      <w:r>
        <w:rPr>
          <w:color w:val="auto"/>
          <w:highlight w:val="none"/>
        </w:rPr>
        <w:t>- 13 -</w:t>
      </w:r>
      <w:r>
        <w:rPr>
          <w:color w:val="auto"/>
          <w:highlight w:val="none"/>
        </w:rPr>
        <w:fldChar w:fldCharType="end"/>
      </w:r>
      <w:r>
        <w:rPr>
          <w:rFonts w:hint="eastAsia" w:ascii="宋体" w:hAnsi="宋体" w:cs="宋体"/>
          <w:bCs/>
          <w:color w:val="auto"/>
          <w:highlight w:val="none"/>
          <w:lang w:val="zh-CN"/>
        </w:rPr>
        <w:fldChar w:fldCharType="end"/>
      </w:r>
    </w:p>
    <w:p w14:paraId="0EDAA24C">
      <w:pPr>
        <w:pStyle w:val="20"/>
        <w:tabs>
          <w:tab w:val="right" w:leader="dot" w:pos="10192"/>
        </w:tabs>
        <w:rPr>
          <w:color w:val="auto"/>
          <w:highlight w:val="none"/>
        </w:rPr>
      </w:pPr>
      <w:r>
        <w:rPr>
          <w:rFonts w:hint="eastAsia" w:ascii="宋体" w:hAnsi="宋体" w:cs="宋体"/>
          <w:bCs/>
          <w:color w:val="auto"/>
          <w:highlight w:val="none"/>
          <w:lang w:val="zh-CN"/>
        </w:rPr>
        <w:fldChar w:fldCharType="begin"/>
      </w:r>
      <w:r>
        <w:rPr>
          <w:rFonts w:hint="eastAsia" w:ascii="宋体" w:hAnsi="宋体" w:cs="宋体"/>
          <w:bCs/>
          <w:color w:val="auto"/>
          <w:highlight w:val="none"/>
          <w:lang w:val="zh-CN"/>
        </w:rPr>
        <w:instrText xml:space="preserve"> HYPERLINK \l _Toc13607 </w:instrText>
      </w:r>
      <w:r>
        <w:rPr>
          <w:rFonts w:hint="eastAsia" w:ascii="宋体" w:hAnsi="宋体" w:cs="宋体"/>
          <w:bCs/>
          <w:color w:val="auto"/>
          <w:highlight w:val="none"/>
          <w:lang w:val="zh-CN"/>
        </w:rPr>
        <w:fldChar w:fldCharType="separate"/>
      </w:r>
      <w:r>
        <w:rPr>
          <w:rFonts w:hint="eastAsia" w:ascii="宋体" w:hAnsi="宋体" w:cs="宋体"/>
          <w:color w:val="auto"/>
          <w:szCs w:val="21"/>
          <w:highlight w:val="none"/>
        </w:rPr>
        <w:t>15. 保证金</w:t>
      </w:r>
      <w:r>
        <w:rPr>
          <w:color w:val="auto"/>
          <w:highlight w:val="none"/>
        </w:rPr>
        <w:tab/>
      </w:r>
      <w:r>
        <w:rPr>
          <w:color w:val="auto"/>
          <w:highlight w:val="none"/>
        </w:rPr>
        <w:fldChar w:fldCharType="begin"/>
      </w:r>
      <w:r>
        <w:rPr>
          <w:color w:val="auto"/>
          <w:highlight w:val="none"/>
        </w:rPr>
        <w:instrText xml:space="preserve"> PAGEREF _Toc13607 \h </w:instrText>
      </w:r>
      <w:r>
        <w:rPr>
          <w:color w:val="auto"/>
          <w:highlight w:val="none"/>
        </w:rPr>
        <w:fldChar w:fldCharType="separate"/>
      </w:r>
      <w:r>
        <w:rPr>
          <w:color w:val="auto"/>
          <w:highlight w:val="none"/>
        </w:rPr>
        <w:t>- 13 -</w:t>
      </w:r>
      <w:r>
        <w:rPr>
          <w:color w:val="auto"/>
          <w:highlight w:val="none"/>
        </w:rPr>
        <w:fldChar w:fldCharType="end"/>
      </w:r>
      <w:r>
        <w:rPr>
          <w:rFonts w:hint="eastAsia" w:ascii="宋体" w:hAnsi="宋体" w:cs="宋体"/>
          <w:bCs/>
          <w:color w:val="auto"/>
          <w:highlight w:val="none"/>
          <w:lang w:val="zh-CN"/>
        </w:rPr>
        <w:fldChar w:fldCharType="end"/>
      </w:r>
    </w:p>
    <w:p w14:paraId="0224CE83">
      <w:pPr>
        <w:pStyle w:val="20"/>
        <w:tabs>
          <w:tab w:val="right" w:leader="dot" w:pos="10192"/>
        </w:tabs>
        <w:rPr>
          <w:color w:val="auto"/>
          <w:highlight w:val="none"/>
        </w:rPr>
      </w:pPr>
      <w:r>
        <w:rPr>
          <w:rFonts w:hint="eastAsia" w:ascii="宋体" w:hAnsi="宋体" w:cs="宋体"/>
          <w:bCs/>
          <w:color w:val="auto"/>
          <w:highlight w:val="none"/>
          <w:lang w:val="zh-CN"/>
        </w:rPr>
        <w:fldChar w:fldCharType="begin"/>
      </w:r>
      <w:r>
        <w:rPr>
          <w:rFonts w:hint="eastAsia" w:ascii="宋体" w:hAnsi="宋体" w:cs="宋体"/>
          <w:bCs/>
          <w:color w:val="auto"/>
          <w:highlight w:val="none"/>
          <w:lang w:val="zh-CN"/>
        </w:rPr>
        <w:instrText xml:space="preserve"> HYPERLINK \l _Toc6601 </w:instrText>
      </w:r>
      <w:r>
        <w:rPr>
          <w:rFonts w:hint="eastAsia" w:ascii="宋体" w:hAnsi="宋体" w:cs="宋体"/>
          <w:bCs/>
          <w:color w:val="auto"/>
          <w:highlight w:val="none"/>
          <w:lang w:val="zh-CN"/>
        </w:rPr>
        <w:fldChar w:fldCharType="separate"/>
      </w:r>
      <w:r>
        <w:rPr>
          <w:rFonts w:hint="eastAsia" w:ascii="宋体" w:hAnsi="宋体" w:cs="宋体"/>
          <w:color w:val="auto"/>
          <w:szCs w:val="21"/>
          <w:highlight w:val="none"/>
        </w:rPr>
        <w:t>16. 响应文件的制作</w:t>
      </w:r>
      <w:r>
        <w:rPr>
          <w:color w:val="auto"/>
          <w:highlight w:val="none"/>
        </w:rPr>
        <w:tab/>
      </w:r>
      <w:r>
        <w:rPr>
          <w:color w:val="auto"/>
          <w:highlight w:val="none"/>
        </w:rPr>
        <w:fldChar w:fldCharType="begin"/>
      </w:r>
      <w:r>
        <w:rPr>
          <w:color w:val="auto"/>
          <w:highlight w:val="none"/>
        </w:rPr>
        <w:instrText xml:space="preserve"> PAGEREF _Toc6601 \h </w:instrText>
      </w:r>
      <w:r>
        <w:rPr>
          <w:color w:val="auto"/>
          <w:highlight w:val="none"/>
        </w:rPr>
        <w:fldChar w:fldCharType="separate"/>
      </w:r>
      <w:r>
        <w:rPr>
          <w:color w:val="auto"/>
          <w:highlight w:val="none"/>
        </w:rPr>
        <w:t>- 13 -</w:t>
      </w:r>
      <w:r>
        <w:rPr>
          <w:color w:val="auto"/>
          <w:highlight w:val="none"/>
        </w:rPr>
        <w:fldChar w:fldCharType="end"/>
      </w:r>
      <w:r>
        <w:rPr>
          <w:rFonts w:hint="eastAsia" w:ascii="宋体" w:hAnsi="宋体" w:cs="宋体"/>
          <w:bCs/>
          <w:color w:val="auto"/>
          <w:highlight w:val="none"/>
          <w:lang w:val="zh-CN"/>
        </w:rPr>
        <w:fldChar w:fldCharType="end"/>
      </w:r>
    </w:p>
    <w:p w14:paraId="319E6A68">
      <w:pPr>
        <w:pStyle w:val="20"/>
        <w:tabs>
          <w:tab w:val="right" w:leader="dot" w:pos="10192"/>
        </w:tabs>
        <w:rPr>
          <w:color w:val="auto"/>
          <w:highlight w:val="none"/>
        </w:rPr>
      </w:pPr>
      <w:r>
        <w:rPr>
          <w:rFonts w:hint="eastAsia" w:ascii="宋体" w:hAnsi="宋体" w:cs="宋体"/>
          <w:bCs/>
          <w:color w:val="auto"/>
          <w:highlight w:val="none"/>
          <w:lang w:val="zh-CN"/>
        </w:rPr>
        <w:fldChar w:fldCharType="begin"/>
      </w:r>
      <w:r>
        <w:rPr>
          <w:rFonts w:hint="eastAsia" w:ascii="宋体" w:hAnsi="宋体" w:cs="宋体"/>
          <w:bCs/>
          <w:color w:val="auto"/>
          <w:highlight w:val="none"/>
          <w:lang w:val="zh-CN"/>
        </w:rPr>
        <w:instrText xml:space="preserve"> HYPERLINK \l _Toc16916 </w:instrText>
      </w:r>
      <w:r>
        <w:rPr>
          <w:rFonts w:hint="eastAsia" w:ascii="宋体" w:hAnsi="宋体" w:cs="宋体"/>
          <w:bCs/>
          <w:color w:val="auto"/>
          <w:highlight w:val="none"/>
          <w:lang w:val="zh-CN"/>
        </w:rPr>
        <w:fldChar w:fldCharType="separate"/>
      </w:r>
      <w:r>
        <w:rPr>
          <w:rFonts w:hint="eastAsia" w:ascii="宋体" w:hAnsi="宋体" w:cs="宋体"/>
          <w:color w:val="auto"/>
          <w:szCs w:val="21"/>
          <w:highlight w:val="none"/>
        </w:rPr>
        <w:t>17. 响应文件的补充、修改和撤回</w:t>
      </w:r>
      <w:r>
        <w:rPr>
          <w:color w:val="auto"/>
          <w:highlight w:val="none"/>
        </w:rPr>
        <w:tab/>
      </w:r>
      <w:r>
        <w:rPr>
          <w:color w:val="auto"/>
          <w:highlight w:val="none"/>
        </w:rPr>
        <w:fldChar w:fldCharType="begin"/>
      </w:r>
      <w:r>
        <w:rPr>
          <w:color w:val="auto"/>
          <w:highlight w:val="none"/>
        </w:rPr>
        <w:instrText xml:space="preserve"> PAGEREF _Toc16916 \h </w:instrText>
      </w:r>
      <w:r>
        <w:rPr>
          <w:color w:val="auto"/>
          <w:highlight w:val="none"/>
        </w:rPr>
        <w:fldChar w:fldCharType="separate"/>
      </w:r>
      <w:r>
        <w:rPr>
          <w:color w:val="auto"/>
          <w:highlight w:val="none"/>
        </w:rPr>
        <w:t>- 14 -</w:t>
      </w:r>
      <w:r>
        <w:rPr>
          <w:color w:val="auto"/>
          <w:highlight w:val="none"/>
        </w:rPr>
        <w:fldChar w:fldCharType="end"/>
      </w:r>
      <w:r>
        <w:rPr>
          <w:rFonts w:hint="eastAsia" w:ascii="宋体" w:hAnsi="宋体" w:cs="宋体"/>
          <w:bCs/>
          <w:color w:val="auto"/>
          <w:highlight w:val="none"/>
          <w:lang w:val="zh-CN"/>
        </w:rPr>
        <w:fldChar w:fldCharType="end"/>
      </w:r>
    </w:p>
    <w:p w14:paraId="63427ABF">
      <w:pPr>
        <w:pStyle w:val="20"/>
        <w:tabs>
          <w:tab w:val="right" w:leader="dot" w:pos="10192"/>
        </w:tabs>
        <w:rPr>
          <w:color w:val="auto"/>
          <w:highlight w:val="none"/>
        </w:rPr>
      </w:pPr>
      <w:r>
        <w:rPr>
          <w:rFonts w:hint="eastAsia" w:ascii="宋体" w:hAnsi="宋体" w:cs="宋体"/>
          <w:bCs/>
          <w:color w:val="auto"/>
          <w:highlight w:val="none"/>
          <w:lang w:val="zh-CN"/>
        </w:rPr>
        <w:fldChar w:fldCharType="begin"/>
      </w:r>
      <w:r>
        <w:rPr>
          <w:rFonts w:hint="eastAsia" w:ascii="宋体" w:hAnsi="宋体" w:cs="宋体"/>
          <w:bCs/>
          <w:color w:val="auto"/>
          <w:highlight w:val="none"/>
          <w:lang w:val="zh-CN"/>
        </w:rPr>
        <w:instrText xml:space="preserve"> HYPERLINK \l _Toc16460 </w:instrText>
      </w:r>
      <w:r>
        <w:rPr>
          <w:rFonts w:hint="eastAsia" w:ascii="宋体" w:hAnsi="宋体" w:cs="宋体"/>
          <w:bCs/>
          <w:color w:val="auto"/>
          <w:highlight w:val="none"/>
          <w:lang w:val="zh-CN"/>
        </w:rPr>
        <w:fldChar w:fldCharType="separate"/>
      </w:r>
      <w:r>
        <w:rPr>
          <w:rFonts w:hint="eastAsia" w:ascii="宋体" w:hAnsi="宋体" w:cs="宋体"/>
          <w:color w:val="auto"/>
          <w:szCs w:val="21"/>
          <w:highlight w:val="none"/>
        </w:rPr>
        <w:t>18. 响应文件的递交和解密</w:t>
      </w:r>
      <w:r>
        <w:rPr>
          <w:color w:val="auto"/>
          <w:highlight w:val="none"/>
        </w:rPr>
        <w:tab/>
      </w:r>
      <w:r>
        <w:rPr>
          <w:color w:val="auto"/>
          <w:highlight w:val="none"/>
        </w:rPr>
        <w:fldChar w:fldCharType="begin"/>
      </w:r>
      <w:r>
        <w:rPr>
          <w:color w:val="auto"/>
          <w:highlight w:val="none"/>
        </w:rPr>
        <w:instrText xml:space="preserve"> PAGEREF _Toc16460 \h </w:instrText>
      </w:r>
      <w:r>
        <w:rPr>
          <w:color w:val="auto"/>
          <w:highlight w:val="none"/>
        </w:rPr>
        <w:fldChar w:fldCharType="separate"/>
      </w:r>
      <w:r>
        <w:rPr>
          <w:color w:val="auto"/>
          <w:highlight w:val="none"/>
        </w:rPr>
        <w:t>- 14 -</w:t>
      </w:r>
      <w:r>
        <w:rPr>
          <w:color w:val="auto"/>
          <w:highlight w:val="none"/>
        </w:rPr>
        <w:fldChar w:fldCharType="end"/>
      </w:r>
      <w:r>
        <w:rPr>
          <w:rFonts w:hint="eastAsia" w:ascii="宋体" w:hAnsi="宋体" w:cs="宋体"/>
          <w:bCs/>
          <w:color w:val="auto"/>
          <w:highlight w:val="none"/>
          <w:lang w:val="zh-CN"/>
        </w:rPr>
        <w:fldChar w:fldCharType="end"/>
      </w:r>
    </w:p>
    <w:p w14:paraId="3958CCB4">
      <w:pPr>
        <w:pStyle w:val="34"/>
        <w:tabs>
          <w:tab w:val="right" w:leader="dot" w:pos="10192"/>
        </w:tabs>
        <w:rPr>
          <w:color w:val="auto"/>
          <w:highlight w:val="none"/>
        </w:rPr>
      </w:pPr>
      <w:r>
        <w:rPr>
          <w:rFonts w:hint="eastAsia" w:ascii="宋体" w:hAnsi="宋体" w:cs="宋体"/>
          <w:bCs/>
          <w:color w:val="auto"/>
          <w:highlight w:val="none"/>
          <w:lang w:val="zh-CN"/>
        </w:rPr>
        <w:fldChar w:fldCharType="begin"/>
      </w:r>
      <w:r>
        <w:rPr>
          <w:rFonts w:hint="eastAsia" w:ascii="宋体" w:hAnsi="宋体" w:cs="宋体"/>
          <w:bCs/>
          <w:color w:val="auto"/>
          <w:highlight w:val="none"/>
          <w:lang w:val="zh-CN"/>
        </w:rPr>
        <w:instrText xml:space="preserve"> HYPERLINK \l _Toc13131 </w:instrText>
      </w:r>
      <w:r>
        <w:rPr>
          <w:rFonts w:hint="eastAsia" w:ascii="宋体" w:hAnsi="宋体" w:cs="宋体"/>
          <w:bCs/>
          <w:color w:val="auto"/>
          <w:highlight w:val="none"/>
          <w:lang w:val="zh-CN"/>
        </w:rPr>
        <w:fldChar w:fldCharType="separate"/>
      </w:r>
      <w:r>
        <w:rPr>
          <w:rFonts w:hint="eastAsia"/>
          <w:color w:val="auto"/>
          <w:szCs w:val="28"/>
          <w:highlight w:val="none"/>
        </w:rPr>
        <w:t>四、竞争性谈判（简称谈判）与评审</w:t>
      </w:r>
      <w:r>
        <w:rPr>
          <w:color w:val="auto"/>
          <w:highlight w:val="none"/>
        </w:rPr>
        <w:tab/>
      </w:r>
      <w:r>
        <w:rPr>
          <w:color w:val="auto"/>
          <w:highlight w:val="none"/>
        </w:rPr>
        <w:fldChar w:fldCharType="begin"/>
      </w:r>
      <w:r>
        <w:rPr>
          <w:color w:val="auto"/>
          <w:highlight w:val="none"/>
        </w:rPr>
        <w:instrText xml:space="preserve"> PAGEREF _Toc13131 \h </w:instrText>
      </w:r>
      <w:r>
        <w:rPr>
          <w:color w:val="auto"/>
          <w:highlight w:val="none"/>
        </w:rPr>
        <w:fldChar w:fldCharType="separate"/>
      </w:r>
      <w:r>
        <w:rPr>
          <w:color w:val="auto"/>
          <w:highlight w:val="none"/>
        </w:rPr>
        <w:t>- 14 -</w:t>
      </w:r>
      <w:r>
        <w:rPr>
          <w:color w:val="auto"/>
          <w:highlight w:val="none"/>
        </w:rPr>
        <w:fldChar w:fldCharType="end"/>
      </w:r>
      <w:r>
        <w:rPr>
          <w:rFonts w:hint="eastAsia" w:ascii="宋体" w:hAnsi="宋体" w:cs="宋体"/>
          <w:bCs/>
          <w:color w:val="auto"/>
          <w:highlight w:val="none"/>
          <w:lang w:val="zh-CN"/>
        </w:rPr>
        <w:fldChar w:fldCharType="end"/>
      </w:r>
    </w:p>
    <w:p w14:paraId="4AC278EB">
      <w:pPr>
        <w:pStyle w:val="20"/>
        <w:tabs>
          <w:tab w:val="right" w:leader="dot" w:pos="10192"/>
        </w:tabs>
        <w:rPr>
          <w:color w:val="auto"/>
          <w:highlight w:val="none"/>
        </w:rPr>
      </w:pPr>
      <w:r>
        <w:rPr>
          <w:rFonts w:hint="eastAsia" w:ascii="宋体" w:hAnsi="宋体" w:cs="宋体"/>
          <w:bCs/>
          <w:color w:val="auto"/>
          <w:highlight w:val="none"/>
          <w:lang w:val="zh-CN"/>
        </w:rPr>
        <w:fldChar w:fldCharType="begin"/>
      </w:r>
      <w:r>
        <w:rPr>
          <w:rFonts w:hint="eastAsia" w:ascii="宋体" w:hAnsi="宋体" w:cs="宋体"/>
          <w:bCs/>
          <w:color w:val="auto"/>
          <w:highlight w:val="none"/>
          <w:lang w:val="zh-CN"/>
        </w:rPr>
        <w:instrText xml:space="preserve"> HYPERLINK \l _Toc22662 </w:instrText>
      </w:r>
      <w:r>
        <w:rPr>
          <w:rFonts w:hint="eastAsia" w:ascii="宋体" w:hAnsi="宋体" w:cs="宋体"/>
          <w:bCs/>
          <w:color w:val="auto"/>
          <w:highlight w:val="none"/>
          <w:lang w:val="zh-CN"/>
        </w:rPr>
        <w:fldChar w:fldCharType="separate"/>
      </w:r>
      <w:r>
        <w:rPr>
          <w:rFonts w:hint="eastAsia" w:ascii="宋体" w:hAnsi="宋体" w:cs="宋体"/>
          <w:color w:val="auto"/>
          <w:szCs w:val="21"/>
          <w:highlight w:val="none"/>
        </w:rPr>
        <w:t>19. 谈判小组组成及谈判时间、地点、人员</w:t>
      </w:r>
      <w:r>
        <w:rPr>
          <w:color w:val="auto"/>
          <w:highlight w:val="none"/>
        </w:rPr>
        <w:tab/>
      </w:r>
      <w:r>
        <w:rPr>
          <w:color w:val="auto"/>
          <w:highlight w:val="none"/>
        </w:rPr>
        <w:fldChar w:fldCharType="begin"/>
      </w:r>
      <w:r>
        <w:rPr>
          <w:color w:val="auto"/>
          <w:highlight w:val="none"/>
        </w:rPr>
        <w:instrText xml:space="preserve"> PAGEREF _Toc22662 \h </w:instrText>
      </w:r>
      <w:r>
        <w:rPr>
          <w:color w:val="auto"/>
          <w:highlight w:val="none"/>
        </w:rPr>
        <w:fldChar w:fldCharType="separate"/>
      </w:r>
      <w:r>
        <w:rPr>
          <w:color w:val="auto"/>
          <w:highlight w:val="none"/>
        </w:rPr>
        <w:t>- 14 -</w:t>
      </w:r>
      <w:r>
        <w:rPr>
          <w:color w:val="auto"/>
          <w:highlight w:val="none"/>
        </w:rPr>
        <w:fldChar w:fldCharType="end"/>
      </w:r>
      <w:r>
        <w:rPr>
          <w:rFonts w:hint="eastAsia" w:ascii="宋体" w:hAnsi="宋体" w:cs="宋体"/>
          <w:bCs/>
          <w:color w:val="auto"/>
          <w:highlight w:val="none"/>
          <w:lang w:val="zh-CN"/>
        </w:rPr>
        <w:fldChar w:fldCharType="end"/>
      </w:r>
    </w:p>
    <w:p w14:paraId="50AF70C6">
      <w:pPr>
        <w:pStyle w:val="20"/>
        <w:tabs>
          <w:tab w:val="right" w:leader="dot" w:pos="10192"/>
        </w:tabs>
        <w:rPr>
          <w:color w:val="auto"/>
          <w:highlight w:val="none"/>
        </w:rPr>
      </w:pPr>
      <w:r>
        <w:rPr>
          <w:rFonts w:hint="eastAsia" w:ascii="宋体" w:hAnsi="宋体" w:cs="宋体"/>
          <w:bCs/>
          <w:color w:val="auto"/>
          <w:highlight w:val="none"/>
          <w:lang w:val="zh-CN"/>
        </w:rPr>
        <w:fldChar w:fldCharType="begin"/>
      </w:r>
      <w:r>
        <w:rPr>
          <w:rFonts w:hint="eastAsia" w:ascii="宋体" w:hAnsi="宋体" w:cs="宋体"/>
          <w:bCs/>
          <w:color w:val="auto"/>
          <w:highlight w:val="none"/>
          <w:lang w:val="zh-CN"/>
        </w:rPr>
        <w:instrText xml:space="preserve"> HYPERLINK \l _Toc22686 </w:instrText>
      </w:r>
      <w:r>
        <w:rPr>
          <w:rFonts w:hint="eastAsia" w:ascii="宋体" w:hAnsi="宋体" w:cs="宋体"/>
          <w:bCs/>
          <w:color w:val="auto"/>
          <w:highlight w:val="none"/>
          <w:lang w:val="zh-CN"/>
        </w:rPr>
        <w:fldChar w:fldCharType="separate"/>
      </w:r>
      <w:r>
        <w:rPr>
          <w:rFonts w:hint="eastAsia" w:ascii="宋体" w:hAnsi="宋体" w:cs="宋体"/>
          <w:color w:val="auto"/>
          <w:szCs w:val="21"/>
          <w:highlight w:val="none"/>
        </w:rPr>
        <w:t>20. 评审原则</w:t>
      </w:r>
      <w:r>
        <w:rPr>
          <w:color w:val="auto"/>
          <w:highlight w:val="none"/>
        </w:rPr>
        <w:tab/>
      </w:r>
      <w:r>
        <w:rPr>
          <w:color w:val="auto"/>
          <w:highlight w:val="none"/>
        </w:rPr>
        <w:fldChar w:fldCharType="begin"/>
      </w:r>
      <w:r>
        <w:rPr>
          <w:color w:val="auto"/>
          <w:highlight w:val="none"/>
        </w:rPr>
        <w:instrText xml:space="preserve"> PAGEREF _Toc22686 \h </w:instrText>
      </w:r>
      <w:r>
        <w:rPr>
          <w:color w:val="auto"/>
          <w:highlight w:val="none"/>
        </w:rPr>
        <w:fldChar w:fldCharType="separate"/>
      </w:r>
      <w:r>
        <w:rPr>
          <w:color w:val="auto"/>
          <w:highlight w:val="none"/>
        </w:rPr>
        <w:t>- 15 -</w:t>
      </w:r>
      <w:r>
        <w:rPr>
          <w:color w:val="auto"/>
          <w:highlight w:val="none"/>
        </w:rPr>
        <w:fldChar w:fldCharType="end"/>
      </w:r>
      <w:r>
        <w:rPr>
          <w:rFonts w:hint="eastAsia" w:ascii="宋体" w:hAnsi="宋体" w:cs="宋体"/>
          <w:bCs/>
          <w:color w:val="auto"/>
          <w:highlight w:val="none"/>
          <w:lang w:val="zh-CN"/>
        </w:rPr>
        <w:fldChar w:fldCharType="end"/>
      </w:r>
    </w:p>
    <w:p w14:paraId="49D8DC1D">
      <w:pPr>
        <w:pStyle w:val="20"/>
        <w:tabs>
          <w:tab w:val="right" w:leader="dot" w:pos="10192"/>
        </w:tabs>
        <w:rPr>
          <w:color w:val="auto"/>
          <w:highlight w:val="none"/>
        </w:rPr>
      </w:pPr>
      <w:r>
        <w:rPr>
          <w:rFonts w:hint="eastAsia" w:ascii="宋体" w:hAnsi="宋体" w:cs="宋体"/>
          <w:bCs/>
          <w:color w:val="auto"/>
          <w:highlight w:val="none"/>
          <w:lang w:val="zh-CN"/>
        </w:rPr>
        <w:fldChar w:fldCharType="begin"/>
      </w:r>
      <w:r>
        <w:rPr>
          <w:rFonts w:hint="eastAsia" w:ascii="宋体" w:hAnsi="宋体" w:cs="宋体"/>
          <w:bCs/>
          <w:color w:val="auto"/>
          <w:highlight w:val="none"/>
          <w:lang w:val="zh-CN"/>
        </w:rPr>
        <w:instrText xml:space="preserve"> HYPERLINK \l _Toc2476 </w:instrText>
      </w:r>
      <w:r>
        <w:rPr>
          <w:rFonts w:hint="eastAsia" w:ascii="宋体" w:hAnsi="宋体" w:cs="宋体"/>
          <w:bCs/>
          <w:color w:val="auto"/>
          <w:highlight w:val="none"/>
          <w:lang w:val="zh-CN"/>
        </w:rPr>
        <w:fldChar w:fldCharType="separate"/>
      </w:r>
      <w:r>
        <w:rPr>
          <w:rFonts w:hint="eastAsia" w:ascii="宋体" w:hAnsi="宋体" w:cs="宋体"/>
          <w:color w:val="auto"/>
          <w:szCs w:val="21"/>
          <w:highlight w:val="none"/>
        </w:rPr>
        <w:t>21. 评审程序及谈判要求</w:t>
      </w:r>
      <w:r>
        <w:rPr>
          <w:color w:val="auto"/>
          <w:highlight w:val="none"/>
        </w:rPr>
        <w:tab/>
      </w:r>
      <w:r>
        <w:rPr>
          <w:color w:val="auto"/>
          <w:highlight w:val="none"/>
        </w:rPr>
        <w:fldChar w:fldCharType="begin"/>
      </w:r>
      <w:r>
        <w:rPr>
          <w:color w:val="auto"/>
          <w:highlight w:val="none"/>
        </w:rPr>
        <w:instrText xml:space="preserve"> PAGEREF _Toc2476 \h </w:instrText>
      </w:r>
      <w:r>
        <w:rPr>
          <w:color w:val="auto"/>
          <w:highlight w:val="none"/>
        </w:rPr>
        <w:fldChar w:fldCharType="separate"/>
      </w:r>
      <w:r>
        <w:rPr>
          <w:color w:val="auto"/>
          <w:highlight w:val="none"/>
        </w:rPr>
        <w:t>- 15 -</w:t>
      </w:r>
      <w:r>
        <w:rPr>
          <w:color w:val="auto"/>
          <w:highlight w:val="none"/>
        </w:rPr>
        <w:fldChar w:fldCharType="end"/>
      </w:r>
      <w:r>
        <w:rPr>
          <w:rFonts w:hint="eastAsia" w:ascii="宋体" w:hAnsi="宋体" w:cs="宋体"/>
          <w:bCs/>
          <w:color w:val="auto"/>
          <w:highlight w:val="none"/>
          <w:lang w:val="zh-CN"/>
        </w:rPr>
        <w:fldChar w:fldCharType="end"/>
      </w:r>
    </w:p>
    <w:p w14:paraId="51BF144C">
      <w:pPr>
        <w:pStyle w:val="20"/>
        <w:tabs>
          <w:tab w:val="right" w:leader="dot" w:pos="10192"/>
        </w:tabs>
        <w:rPr>
          <w:color w:val="auto"/>
          <w:highlight w:val="none"/>
        </w:rPr>
      </w:pPr>
      <w:r>
        <w:rPr>
          <w:rFonts w:hint="eastAsia" w:ascii="宋体" w:hAnsi="宋体" w:cs="宋体"/>
          <w:bCs/>
          <w:color w:val="auto"/>
          <w:highlight w:val="none"/>
          <w:lang w:val="zh-CN"/>
        </w:rPr>
        <w:fldChar w:fldCharType="begin"/>
      </w:r>
      <w:r>
        <w:rPr>
          <w:rFonts w:hint="eastAsia" w:ascii="宋体" w:hAnsi="宋体" w:cs="宋体"/>
          <w:bCs/>
          <w:color w:val="auto"/>
          <w:highlight w:val="none"/>
          <w:lang w:val="zh-CN"/>
        </w:rPr>
        <w:instrText xml:space="preserve"> HYPERLINK \l _Toc8304 </w:instrText>
      </w:r>
      <w:r>
        <w:rPr>
          <w:rFonts w:hint="eastAsia" w:ascii="宋体" w:hAnsi="宋体" w:cs="宋体"/>
          <w:bCs/>
          <w:color w:val="auto"/>
          <w:highlight w:val="none"/>
          <w:lang w:val="zh-CN"/>
        </w:rPr>
        <w:fldChar w:fldCharType="separate"/>
      </w:r>
      <w:r>
        <w:rPr>
          <w:rFonts w:hint="eastAsia" w:ascii="宋体" w:hAnsi="宋体" w:cs="宋体"/>
          <w:color w:val="auto"/>
          <w:szCs w:val="21"/>
          <w:highlight w:val="none"/>
        </w:rPr>
        <w:t>22. 确定成交供应商</w:t>
      </w:r>
      <w:r>
        <w:rPr>
          <w:color w:val="auto"/>
          <w:highlight w:val="none"/>
        </w:rPr>
        <w:tab/>
      </w:r>
      <w:r>
        <w:rPr>
          <w:color w:val="auto"/>
          <w:highlight w:val="none"/>
        </w:rPr>
        <w:fldChar w:fldCharType="begin"/>
      </w:r>
      <w:r>
        <w:rPr>
          <w:color w:val="auto"/>
          <w:highlight w:val="none"/>
        </w:rPr>
        <w:instrText xml:space="preserve"> PAGEREF _Toc8304 \h </w:instrText>
      </w:r>
      <w:r>
        <w:rPr>
          <w:color w:val="auto"/>
          <w:highlight w:val="none"/>
        </w:rPr>
        <w:fldChar w:fldCharType="separate"/>
      </w:r>
      <w:r>
        <w:rPr>
          <w:color w:val="auto"/>
          <w:highlight w:val="none"/>
        </w:rPr>
        <w:t>- 18 -</w:t>
      </w:r>
      <w:r>
        <w:rPr>
          <w:color w:val="auto"/>
          <w:highlight w:val="none"/>
        </w:rPr>
        <w:fldChar w:fldCharType="end"/>
      </w:r>
      <w:r>
        <w:rPr>
          <w:rFonts w:hint="eastAsia" w:ascii="宋体" w:hAnsi="宋体" w:cs="宋体"/>
          <w:bCs/>
          <w:color w:val="auto"/>
          <w:highlight w:val="none"/>
          <w:lang w:val="zh-CN"/>
        </w:rPr>
        <w:fldChar w:fldCharType="end"/>
      </w:r>
    </w:p>
    <w:p w14:paraId="3FDED8F7">
      <w:pPr>
        <w:pStyle w:val="20"/>
        <w:tabs>
          <w:tab w:val="right" w:leader="dot" w:pos="10192"/>
        </w:tabs>
        <w:rPr>
          <w:color w:val="auto"/>
          <w:highlight w:val="none"/>
        </w:rPr>
      </w:pPr>
      <w:r>
        <w:rPr>
          <w:rFonts w:hint="eastAsia" w:ascii="宋体" w:hAnsi="宋体" w:cs="宋体"/>
          <w:bCs/>
          <w:color w:val="auto"/>
          <w:highlight w:val="none"/>
          <w:lang w:val="zh-CN"/>
        </w:rPr>
        <w:fldChar w:fldCharType="begin"/>
      </w:r>
      <w:r>
        <w:rPr>
          <w:rFonts w:hint="eastAsia" w:ascii="宋体" w:hAnsi="宋体" w:cs="宋体"/>
          <w:bCs/>
          <w:color w:val="auto"/>
          <w:highlight w:val="none"/>
          <w:lang w:val="zh-CN"/>
        </w:rPr>
        <w:instrText xml:space="preserve"> HYPERLINK \l _Toc25743 </w:instrText>
      </w:r>
      <w:r>
        <w:rPr>
          <w:rFonts w:hint="eastAsia" w:ascii="宋体" w:hAnsi="宋体" w:cs="宋体"/>
          <w:bCs/>
          <w:color w:val="auto"/>
          <w:highlight w:val="none"/>
          <w:lang w:val="zh-CN"/>
        </w:rPr>
        <w:fldChar w:fldCharType="separate"/>
      </w:r>
      <w:r>
        <w:rPr>
          <w:rFonts w:hint="eastAsia" w:ascii="宋体" w:hAnsi="宋体" w:cs="宋体"/>
          <w:color w:val="auto"/>
          <w:szCs w:val="21"/>
          <w:highlight w:val="none"/>
        </w:rPr>
        <w:t>23. 属于下列情况之一者，响应文件无效：</w:t>
      </w:r>
      <w:r>
        <w:rPr>
          <w:color w:val="auto"/>
          <w:highlight w:val="none"/>
        </w:rPr>
        <w:tab/>
      </w:r>
      <w:r>
        <w:rPr>
          <w:color w:val="auto"/>
          <w:highlight w:val="none"/>
        </w:rPr>
        <w:fldChar w:fldCharType="begin"/>
      </w:r>
      <w:r>
        <w:rPr>
          <w:color w:val="auto"/>
          <w:highlight w:val="none"/>
        </w:rPr>
        <w:instrText xml:space="preserve"> PAGEREF _Toc25743 \h </w:instrText>
      </w:r>
      <w:r>
        <w:rPr>
          <w:color w:val="auto"/>
          <w:highlight w:val="none"/>
        </w:rPr>
        <w:fldChar w:fldCharType="separate"/>
      </w:r>
      <w:r>
        <w:rPr>
          <w:color w:val="auto"/>
          <w:highlight w:val="none"/>
        </w:rPr>
        <w:t>- 18 -</w:t>
      </w:r>
      <w:r>
        <w:rPr>
          <w:color w:val="auto"/>
          <w:highlight w:val="none"/>
        </w:rPr>
        <w:fldChar w:fldCharType="end"/>
      </w:r>
      <w:r>
        <w:rPr>
          <w:rFonts w:hint="eastAsia" w:ascii="宋体" w:hAnsi="宋体" w:cs="宋体"/>
          <w:bCs/>
          <w:color w:val="auto"/>
          <w:highlight w:val="none"/>
          <w:lang w:val="zh-CN"/>
        </w:rPr>
        <w:fldChar w:fldCharType="end"/>
      </w:r>
    </w:p>
    <w:p w14:paraId="0560B64D">
      <w:pPr>
        <w:pStyle w:val="20"/>
        <w:tabs>
          <w:tab w:val="right" w:leader="dot" w:pos="10192"/>
        </w:tabs>
        <w:rPr>
          <w:color w:val="auto"/>
          <w:highlight w:val="none"/>
        </w:rPr>
      </w:pPr>
      <w:r>
        <w:rPr>
          <w:rFonts w:hint="eastAsia" w:ascii="宋体" w:hAnsi="宋体" w:cs="宋体"/>
          <w:bCs/>
          <w:color w:val="auto"/>
          <w:highlight w:val="none"/>
          <w:lang w:val="zh-CN"/>
        </w:rPr>
        <w:fldChar w:fldCharType="begin"/>
      </w:r>
      <w:r>
        <w:rPr>
          <w:rFonts w:hint="eastAsia" w:ascii="宋体" w:hAnsi="宋体" w:cs="宋体"/>
          <w:bCs/>
          <w:color w:val="auto"/>
          <w:highlight w:val="none"/>
          <w:lang w:val="zh-CN"/>
        </w:rPr>
        <w:instrText xml:space="preserve"> HYPERLINK \l _Toc20517 </w:instrText>
      </w:r>
      <w:r>
        <w:rPr>
          <w:rFonts w:hint="eastAsia" w:ascii="宋体" w:hAnsi="宋体" w:cs="宋体"/>
          <w:bCs/>
          <w:color w:val="auto"/>
          <w:highlight w:val="none"/>
          <w:lang w:val="zh-CN"/>
        </w:rPr>
        <w:fldChar w:fldCharType="separate"/>
      </w:r>
      <w:r>
        <w:rPr>
          <w:rFonts w:hint="eastAsia" w:ascii="宋体" w:hAnsi="宋体" w:cs="宋体"/>
          <w:color w:val="auto"/>
          <w:szCs w:val="21"/>
          <w:highlight w:val="none"/>
        </w:rPr>
        <w:t>24. 出现下列情形之一的，采购人或者采购代理机构应当终止竞争性谈判采购活动，发布项目终止公告并说明原因，重新开展采购活动：</w:t>
      </w:r>
      <w:r>
        <w:rPr>
          <w:color w:val="auto"/>
          <w:highlight w:val="none"/>
        </w:rPr>
        <w:tab/>
      </w:r>
      <w:r>
        <w:rPr>
          <w:color w:val="auto"/>
          <w:highlight w:val="none"/>
        </w:rPr>
        <w:fldChar w:fldCharType="begin"/>
      </w:r>
      <w:r>
        <w:rPr>
          <w:color w:val="auto"/>
          <w:highlight w:val="none"/>
        </w:rPr>
        <w:instrText xml:space="preserve"> PAGEREF _Toc20517 \h </w:instrText>
      </w:r>
      <w:r>
        <w:rPr>
          <w:color w:val="auto"/>
          <w:highlight w:val="none"/>
        </w:rPr>
        <w:fldChar w:fldCharType="separate"/>
      </w:r>
      <w:r>
        <w:rPr>
          <w:color w:val="auto"/>
          <w:highlight w:val="none"/>
        </w:rPr>
        <w:t>- 18 -</w:t>
      </w:r>
      <w:r>
        <w:rPr>
          <w:color w:val="auto"/>
          <w:highlight w:val="none"/>
        </w:rPr>
        <w:fldChar w:fldCharType="end"/>
      </w:r>
      <w:r>
        <w:rPr>
          <w:rFonts w:hint="eastAsia" w:ascii="宋体" w:hAnsi="宋体" w:cs="宋体"/>
          <w:bCs/>
          <w:color w:val="auto"/>
          <w:highlight w:val="none"/>
          <w:lang w:val="zh-CN"/>
        </w:rPr>
        <w:fldChar w:fldCharType="end"/>
      </w:r>
    </w:p>
    <w:p w14:paraId="413691D3">
      <w:pPr>
        <w:pStyle w:val="20"/>
        <w:tabs>
          <w:tab w:val="right" w:leader="dot" w:pos="10192"/>
        </w:tabs>
        <w:rPr>
          <w:color w:val="auto"/>
          <w:highlight w:val="none"/>
        </w:rPr>
      </w:pPr>
      <w:r>
        <w:rPr>
          <w:rFonts w:hint="eastAsia" w:ascii="宋体" w:hAnsi="宋体" w:cs="宋体"/>
          <w:bCs/>
          <w:color w:val="auto"/>
          <w:highlight w:val="none"/>
          <w:lang w:val="zh-CN"/>
        </w:rPr>
        <w:fldChar w:fldCharType="begin"/>
      </w:r>
      <w:r>
        <w:rPr>
          <w:rFonts w:hint="eastAsia" w:ascii="宋体" w:hAnsi="宋体" w:cs="宋体"/>
          <w:bCs/>
          <w:color w:val="auto"/>
          <w:highlight w:val="none"/>
          <w:lang w:val="zh-CN"/>
        </w:rPr>
        <w:instrText xml:space="preserve"> HYPERLINK \l _Toc3112 </w:instrText>
      </w:r>
      <w:r>
        <w:rPr>
          <w:rFonts w:hint="eastAsia" w:ascii="宋体" w:hAnsi="宋体" w:cs="宋体"/>
          <w:bCs/>
          <w:color w:val="auto"/>
          <w:highlight w:val="none"/>
          <w:lang w:val="zh-CN"/>
        </w:rPr>
        <w:fldChar w:fldCharType="separate"/>
      </w:r>
      <w:r>
        <w:rPr>
          <w:rFonts w:hint="eastAsia" w:ascii="宋体" w:hAnsi="宋体" w:cs="宋体"/>
          <w:color w:val="auto"/>
          <w:szCs w:val="21"/>
          <w:highlight w:val="none"/>
        </w:rPr>
        <w:t>25. 谈判过程的监控</w:t>
      </w:r>
      <w:r>
        <w:rPr>
          <w:color w:val="auto"/>
          <w:highlight w:val="none"/>
        </w:rPr>
        <w:tab/>
      </w:r>
      <w:r>
        <w:rPr>
          <w:color w:val="auto"/>
          <w:highlight w:val="none"/>
        </w:rPr>
        <w:fldChar w:fldCharType="begin"/>
      </w:r>
      <w:r>
        <w:rPr>
          <w:color w:val="auto"/>
          <w:highlight w:val="none"/>
        </w:rPr>
        <w:instrText xml:space="preserve"> PAGEREF _Toc3112 \h </w:instrText>
      </w:r>
      <w:r>
        <w:rPr>
          <w:color w:val="auto"/>
          <w:highlight w:val="none"/>
        </w:rPr>
        <w:fldChar w:fldCharType="separate"/>
      </w:r>
      <w:r>
        <w:rPr>
          <w:color w:val="auto"/>
          <w:highlight w:val="none"/>
        </w:rPr>
        <w:t>- 19 -</w:t>
      </w:r>
      <w:r>
        <w:rPr>
          <w:color w:val="auto"/>
          <w:highlight w:val="none"/>
        </w:rPr>
        <w:fldChar w:fldCharType="end"/>
      </w:r>
      <w:r>
        <w:rPr>
          <w:rFonts w:hint="eastAsia" w:ascii="宋体" w:hAnsi="宋体" w:cs="宋体"/>
          <w:bCs/>
          <w:color w:val="auto"/>
          <w:highlight w:val="none"/>
          <w:lang w:val="zh-CN"/>
        </w:rPr>
        <w:fldChar w:fldCharType="end"/>
      </w:r>
    </w:p>
    <w:p w14:paraId="24CAA706">
      <w:pPr>
        <w:pStyle w:val="20"/>
        <w:tabs>
          <w:tab w:val="right" w:leader="dot" w:pos="10192"/>
        </w:tabs>
        <w:rPr>
          <w:color w:val="auto"/>
          <w:highlight w:val="none"/>
        </w:rPr>
      </w:pPr>
      <w:r>
        <w:rPr>
          <w:rFonts w:hint="eastAsia" w:ascii="宋体" w:hAnsi="宋体" w:cs="宋体"/>
          <w:bCs/>
          <w:color w:val="auto"/>
          <w:highlight w:val="none"/>
          <w:lang w:val="zh-CN"/>
        </w:rPr>
        <w:fldChar w:fldCharType="begin"/>
      </w:r>
      <w:r>
        <w:rPr>
          <w:rFonts w:hint="eastAsia" w:ascii="宋体" w:hAnsi="宋体" w:cs="宋体"/>
          <w:bCs/>
          <w:color w:val="auto"/>
          <w:highlight w:val="none"/>
          <w:lang w:val="zh-CN"/>
        </w:rPr>
        <w:instrText xml:space="preserve"> HYPERLINK \l _Toc22332 </w:instrText>
      </w:r>
      <w:r>
        <w:rPr>
          <w:rFonts w:hint="eastAsia" w:ascii="宋体" w:hAnsi="宋体" w:cs="宋体"/>
          <w:bCs/>
          <w:color w:val="auto"/>
          <w:highlight w:val="none"/>
          <w:lang w:val="zh-CN"/>
        </w:rPr>
        <w:fldChar w:fldCharType="separate"/>
      </w:r>
      <w:r>
        <w:rPr>
          <w:rFonts w:hint="eastAsia" w:ascii="宋体" w:hAnsi="宋体" w:cs="宋体"/>
          <w:color w:val="auto"/>
          <w:szCs w:val="21"/>
          <w:highlight w:val="none"/>
        </w:rPr>
        <w:t>26.信用查询：</w:t>
      </w:r>
      <w:r>
        <w:rPr>
          <w:color w:val="auto"/>
          <w:highlight w:val="none"/>
        </w:rPr>
        <w:tab/>
      </w:r>
      <w:r>
        <w:rPr>
          <w:color w:val="auto"/>
          <w:highlight w:val="none"/>
        </w:rPr>
        <w:fldChar w:fldCharType="begin"/>
      </w:r>
      <w:r>
        <w:rPr>
          <w:color w:val="auto"/>
          <w:highlight w:val="none"/>
        </w:rPr>
        <w:instrText xml:space="preserve"> PAGEREF _Toc22332 \h </w:instrText>
      </w:r>
      <w:r>
        <w:rPr>
          <w:color w:val="auto"/>
          <w:highlight w:val="none"/>
        </w:rPr>
        <w:fldChar w:fldCharType="separate"/>
      </w:r>
      <w:r>
        <w:rPr>
          <w:color w:val="auto"/>
          <w:highlight w:val="none"/>
        </w:rPr>
        <w:t>- 19 -</w:t>
      </w:r>
      <w:r>
        <w:rPr>
          <w:color w:val="auto"/>
          <w:highlight w:val="none"/>
        </w:rPr>
        <w:fldChar w:fldCharType="end"/>
      </w:r>
      <w:r>
        <w:rPr>
          <w:rFonts w:hint="eastAsia" w:ascii="宋体" w:hAnsi="宋体" w:cs="宋体"/>
          <w:bCs/>
          <w:color w:val="auto"/>
          <w:highlight w:val="none"/>
          <w:lang w:val="zh-CN"/>
        </w:rPr>
        <w:fldChar w:fldCharType="end"/>
      </w:r>
    </w:p>
    <w:p w14:paraId="4B6274A0">
      <w:pPr>
        <w:pStyle w:val="20"/>
        <w:tabs>
          <w:tab w:val="right" w:leader="dot" w:pos="10192"/>
        </w:tabs>
        <w:rPr>
          <w:color w:val="auto"/>
          <w:highlight w:val="none"/>
        </w:rPr>
      </w:pPr>
      <w:r>
        <w:rPr>
          <w:rFonts w:hint="eastAsia" w:ascii="宋体" w:hAnsi="宋体" w:cs="宋体"/>
          <w:bCs/>
          <w:color w:val="auto"/>
          <w:highlight w:val="none"/>
          <w:lang w:val="zh-CN"/>
        </w:rPr>
        <w:fldChar w:fldCharType="begin"/>
      </w:r>
      <w:r>
        <w:rPr>
          <w:rFonts w:hint="eastAsia" w:ascii="宋体" w:hAnsi="宋体" w:cs="宋体"/>
          <w:bCs/>
          <w:color w:val="auto"/>
          <w:highlight w:val="none"/>
          <w:lang w:val="zh-CN"/>
        </w:rPr>
        <w:instrText xml:space="preserve"> HYPERLINK \l _Toc22807 </w:instrText>
      </w:r>
      <w:r>
        <w:rPr>
          <w:rFonts w:hint="eastAsia" w:ascii="宋体" w:hAnsi="宋体" w:cs="宋体"/>
          <w:bCs/>
          <w:color w:val="auto"/>
          <w:highlight w:val="none"/>
          <w:lang w:val="zh-CN"/>
        </w:rPr>
        <w:fldChar w:fldCharType="separate"/>
      </w:r>
      <w:r>
        <w:rPr>
          <w:rFonts w:hint="eastAsia" w:ascii="宋体" w:hAnsi="宋体" w:cs="宋体"/>
          <w:color w:val="auto"/>
          <w:szCs w:val="21"/>
          <w:highlight w:val="none"/>
        </w:rPr>
        <w:t>27. 成交结果公告及成交通知书</w:t>
      </w:r>
      <w:r>
        <w:rPr>
          <w:color w:val="auto"/>
          <w:highlight w:val="none"/>
        </w:rPr>
        <w:tab/>
      </w:r>
      <w:r>
        <w:rPr>
          <w:color w:val="auto"/>
          <w:highlight w:val="none"/>
        </w:rPr>
        <w:fldChar w:fldCharType="begin"/>
      </w:r>
      <w:r>
        <w:rPr>
          <w:color w:val="auto"/>
          <w:highlight w:val="none"/>
        </w:rPr>
        <w:instrText xml:space="preserve"> PAGEREF _Toc22807 \h </w:instrText>
      </w:r>
      <w:r>
        <w:rPr>
          <w:color w:val="auto"/>
          <w:highlight w:val="none"/>
        </w:rPr>
        <w:fldChar w:fldCharType="separate"/>
      </w:r>
      <w:r>
        <w:rPr>
          <w:color w:val="auto"/>
          <w:highlight w:val="none"/>
        </w:rPr>
        <w:t>- 19 -</w:t>
      </w:r>
      <w:r>
        <w:rPr>
          <w:color w:val="auto"/>
          <w:highlight w:val="none"/>
        </w:rPr>
        <w:fldChar w:fldCharType="end"/>
      </w:r>
      <w:r>
        <w:rPr>
          <w:rFonts w:hint="eastAsia" w:ascii="宋体" w:hAnsi="宋体" w:cs="宋体"/>
          <w:bCs/>
          <w:color w:val="auto"/>
          <w:highlight w:val="none"/>
          <w:lang w:val="zh-CN"/>
        </w:rPr>
        <w:fldChar w:fldCharType="end"/>
      </w:r>
    </w:p>
    <w:p w14:paraId="21FFD05E">
      <w:pPr>
        <w:pStyle w:val="34"/>
        <w:tabs>
          <w:tab w:val="right" w:leader="dot" w:pos="10192"/>
        </w:tabs>
        <w:rPr>
          <w:color w:val="auto"/>
          <w:highlight w:val="none"/>
        </w:rPr>
      </w:pPr>
      <w:r>
        <w:rPr>
          <w:rFonts w:hint="eastAsia" w:ascii="宋体" w:hAnsi="宋体" w:cs="宋体"/>
          <w:bCs/>
          <w:color w:val="auto"/>
          <w:highlight w:val="none"/>
          <w:lang w:val="zh-CN"/>
        </w:rPr>
        <w:fldChar w:fldCharType="begin"/>
      </w:r>
      <w:r>
        <w:rPr>
          <w:rFonts w:hint="eastAsia" w:ascii="宋体" w:hAnsi="宋体" w:cs="宋体"/>
          <w:bCs/>
          <w:color w:val="auto"/>
          <w:highlight w:val="none"/>
          <w:lang w:val="zh-CN"/>
        </w:rPr>
        <w:instrText xml:space="preserve"> HYPERLINK \l _Toc18670 </w:instrText>
      </w:r>
      <w:r>
        <w:rPr>
          <w:rFonts w:hint="eastAsia" w:ascii="宋体" w:hAnsi="宋体" w:cs="宋体"/>
          <w:bCs/>
          <w:color w:val="auto"/>
          <w:highlight w:val="none"/>
          <w:lang w:val="zh-CN"/>
        </w:rPr>
        <w:fldChar w:fldCharType="separate"/>
      </w:r>
      <w:r>
        <w:rPr>
          <w:rFonts w:hint="eastAsia"/>
          <w:color w:val="auto"/>
          <w:szCs w:val="28"/>
          <w:highlight w:val="none"/>
        </w:rPr>
        <w:t>五、</w:t>
      </w:r>
      <w:r>
        <w:rPr>
          <w:rFonts w:hint="eastAsia" w:ascii="Arial" w:hAnsi="Arial"/>
          <w:bCs/>
          <w:color w:val="auto"/>
          <w:szCs w:val="28"/>
          <w:highlight w:val="none"/>
        </w:rPr>
        <w:t>签订合同</w:t>
      </w:r>
      <w:r>
        <w:rPr>
          <w:color w:val="auto"/>
          <w:highlight w:val="none"/>
        </w:rPr>
        <w:tab/>
      </w:r>
      <w:r>
        <w:rPr>
          <w:color w:val="auto"/>
          <w:highlight w:val="none"/>
        </w:rPr>
        <w:fldChar w:fldCharType="begin"/>
      </w:r>
      <w:r>
        <w:rPr>
          <w:color w:val="auto"/>
          <w:highlight w:val="none"/>
        </w:rPr>
        <w:instrText xml:space="preserve"> PAGEREF _Toc18670 \h </w:instrText>
      </w:r>
      <w:r>
        <w:rPr>
          <w:color w:val="auto"/>
          <w:highlight w:val="none"/>
        </w:rPr>
        <w:fldChar w:fldCharType="separate"/>
      </w:r>
      <w:r>
        <w:rPr>
          <w:color w:val="auto"/>
          <w:highlight w:val="none"/>
        </w:rPr>
        <w:t>- 19 -</w:t>
      </w:r>
      <w:r>
        <w:rPr>
          <w:color w:val="auto"/>
          <w:highlight w:val="none"/>
        </w:rPr>
        <w:fldChar w:fldCharType="end"/>
      </w:r>
      <w:r>
        <w:rPr>
          <w:rFonts w:hint="eastAsia" w:ascii="宋体" w:hAnsi="宋体" w:cs="宋体"/>
          <w:bCs/>
          <w:color w:val="auto"/>
          <w:highlight w:val="none"/>
          <w:lang w:val="zh-CN"/>
        </w:rPr>
        <w:fldChar w:fldCharType="end"/>
      </w:r>
    </w:p>
    <w:p w14:paraId="06C72791">
      <w:pPr>
        <w:pStyle w:val="20"/>
        <w:tabs>
          <w:tab w:val="right" w:leader="dot" w:pos="10192"/>
        </w:tabs>
        <w:rPr>
          <w:color w:val="auto"/>
          <w:highlight w:val="none"/>
        </w:rPr>
      </w:pPr>
      <w:r>
        <w:rPr>
          <w:rFonts w:hint="eastAsia" w:ascii="宋体" w:hAnsi="宋体" w:cs="宋体"/>
          <w:bCs/>
          <w:color w:val="auto"/>
          <w:highlight w:val="none"/>
          <w:lang w:val="zh-CN"/>
        </w:rPr>
        <w:fldChar w:fldCharType="begin"/>
      </w:r>
      <w:r>
        <w:rPr>
          <w:rFonts w:hint="eastAsia" w:ascii="宋体" w:hAnsi="宋体" w:cs="宋体"/>
          <w:bCs/>
          <w:color w:val="auto"/>
          <w:highlight w:val="none"/>
          <w:lang w:val="zh-CN"/>
        </w:rPr>
        <w:instrText xml:space="preserve"> HYPERLINK \l _Toc32035 </w:instrText>
      </w:r>
      <w:r>
        <w:rPr>
          <w:rFonts w:hint="eastAsia" w:ascii="宋体" w:hAnsi="宋体" w:cs="宋体"/>
          <w:bCs/>
          <w:color w:val="auto"/>
          <w:highlight w:val="none"/>
          <w:lang w:val="zh-CN"/>
        </w:rPr>
        <w:fldChar w:fldCharType="separate"/>
      </w:r>
      <w:r>
        <w:rPr>
          <w:rFonts w:hint="eastAsia" w:ascii="宋体" w:hAnsi="宋体" w:cs="宋体"/>
          <w:color w:val="auto"/>
          <w:szCs w:val="21"/>
          <w:highlight w:val="none"/>
        </w:rPr>
        <w:t>28. 履约保证金</w:t>
      </w:r>
      <w:r>
        <w:rPr>
          <w:color w:val="auto"/>
          <w:highlight w:val="none"/>
        </w:rPr>
        <w:tab/>
      </w:r>
      <w:r>
        <w:rPr>
          <w:color w:val="auto"/>
          <w:highlight w:val="none"/>
        </w:rPr>
        <w:fldChar w:fldCharType="begin"/>
      </w:r>
      <w:r>
        <w:rPr>
          <w:color w:val="auto"/>
          <w:highlight w:val="none"/>
        </w:rPr>
        <w:instrText xml:space="preserve"> PAGEREF _Toc32035 \h </w:instrText>
      </w:r>
      <w:r>
        <w:rPr>
          <w:color w:val="auto"/>
          <w:highlight w:val="none"/>
        </w:rPr>
        <w:fldChar w:fldCharType="separate"/>
      </w:r>
      <w:r>
        <w:rPr>
          <w:color w:val="auto"/>
          <w:highlight w:val="none"/>
        </w:rPr>
        <w:t>- 19 -</w:t>
      </w:r>
      <w:r>
        <w:rPr>
          <w:color w:val="auto"/>
          <w:highlight w:val="none"/>
        </w:rPr>
        <w:fldChar w:fldCharType="end"/>
      </w:r>
      <w:r>
        <w:rPr>
          <w:rFonts w:hint="eastAsia" w:ascii="宋体" w:hAnsi="宋体" w:cs="宋体"/>
          <w:bCs/>
          <w:color w:val="auto"/>
          <w:highlight w:val="none"/>
          <w:lang w:val="zh-CN"/>
        </w:rPr>
        <w:fldChar w:fldCharType="end"/>
      </w:r>
    </w:p>
    <w:p w14:paraId="64884C91">
      <w:pPr>
        <w:pStyle w:val="20"/>
        <w:tabs>
          <w:tab w:val="right" w:leader="dot" w:pos="10192"/>
        </w:tabs>
        <w:rPr>
          <w:color w:val="auto"/>
          <w:highlight w:val="none"/>
        </w:rPr>
      </w:pPr>
      <w:r>
        <w:rPr>
          <w:rFonts w:hint="eastAsia" w:ascii="宋体" w:hAnsi="宋体" w:cs="宋体"/>
          <w:bCs/>
          <w:color w:val="auto"/>
          <w:highlight w:val="none"/>
          <w:lang w:val="zh-CN"/>
        </w:rPr>
        <w:fldChar w:fldCharType="begin"/>
      </w:r>
      <w:r>
        <w:rPr>
          <w:rFonts w:hint="eastAsia" w:ascii="宋体" w:hAnsi="宋体" w:cs="宋体"/>
          <w:bCs/>
          <w:color w:val="auto"/>
          <w:highlight w:val="none"/>
          <w:lang w:val="zh-CN"/>
        </w:rPr>
        <w:instrText xml:space="preserve"> HYPERLINK \l _Toc27021 </w:instrText>
      </w:r>
      <w:r>
        <w:rPr>
          <w:rFonts w:hint="eastAsia" w:ascii="宋体" w:hAnsi="宋体" w:cs="宋体"/>
          <w:bCs/>
          <w:color w:val="auto"/>
          <w:highlight w:val="none"/>
          <w:lang w:val="zh-CN"/>
        </w:rPr>
        <w:fldChar w:fldCharType="separate"/>
      </w:r>
      <w:r>
        <w:rPr>
          <w:rFonts w:hint="eastAsia" w:ascii="宋体" w:hAnsi="宋体" w:cs="宋体"/>
          <w:color w:val="auto"/>
          <w:szCs w:val="21"/>
          <w:highlight w:val="none"/>
        </w:rPr>
        <w:t>29. 签订合同</w:t>
      </w:r>
      <w:r>
        <w:rPr>
          <w:color w:val="auto"/>
          <w:highlight w:val="none"/>
        </w:rPr>
        <w:tab/>
      </w:r>
      <w:r>
        <w:rPr>
          <w:color w:val="auto"/>
          <w:highlight w:val="none"/>
        </w:rPr>
        <w:fldChar w:fldCharType="begin"/>
      </w:r>
      <w:r>
        <w:rPr>
          <w:color w:val="auto"/>
          <w:highlight w:val="none"/>
        </w:rPr>
        <w:instrText xml:space="preserve"> PAGEREF _Toc27021 \h </w:instrText>
      </w:r>
      <w:r>
        <w:rPr>
          <w:color w:val="auto"/>
          <w:highlight w:val="none"/>
        </w:rPr>
        <w:fldChar w:fldCharType="separate"/>
      </w:r>
      <w:r>
        <w:rPr>
          <w:color w:val="auto"/>
          <w:highlight w:val="none"/>
        </w:rPr>
        <w:t>- 20 -</w:t>
      </w:r>
      <w:r>
        <w:rPr>
          <w:color w:val="auto"/>
          <w:highlight w:val="none"/>
        </w:rPr>
        <w:fldChar w:fldCharType="end"/>
      </w:r>
      <w:r>
        <w:rPr>
          <w:rFonts w:hint="eastAsia" w:ascii="宋体" w:hAnsi="宋体" w:cs="宋体"/>
          <w:bCs/>
          <w:color w:val="auto"/>
          <w:highlight w:val="none"/>
          <w:lang w:val="zh-CN"/>
        </w:rPr>
        <w:fldChar w:fldCharType="end"/>
      </w:r>
    </w:p>
    <w:p w14:paraId="35310ECA">
      <w:pPr>
        <w:pStyle w:val="34"/>
        <w:tabs>
          <w:tab w:val="right" w:leader="dot" w:pos="10192"/>
        </w:tabs>
        <w:rPr>
          <w:color w:val="auto"/>
          <w:highlight w:val="none"/>
        </w:rPr>
      </w:pPr>
      <w:r>
        <w:rPr>
          <w:rFonts w:hint="eastAsia" w:ascii="宋体" w:hAnsi="宋体" w:cs="宋体"/>
          <w:bCs/>
          <w:color w:val="auto"/>
          <w:highlight w:val="none"/>
          <w:lang w:val="zh-CN"/>
        </w:rPr>
        <w:fldChar w:fldCharType="begin"/>
      </w:r>
      <w:r>
        <w:rPr>
          <w:rFonts w:hint="eastAsia" w:ascii="宋体" w:hAnsi="宋体" w:cs="宋体"/>
          <w:bCs/>
          <w:color w:val="auto"/>
          <w:highlight w:val="none"/>
          <w:lang w:val="zh-CN"/>
        </w:rPr>
        <w:instrText xml:space="preserve"> HYPERLINK \l _Toc3231 </w:instrText>
      </w:r>
      <w:r>
        <w:rPr>
          <w:rFonts w:hint="eastAsia" w:ascii="宋体" w:hAnsi="宋体" w:cs="宋体"/>
          <w:bCs/>
          <w:color w:val="auto"/>
          <w:highlight w:val="none"/>
          <w:lang w:val="zh-CN"/>
        </w:rPr>
        <w:fldChar w:fldCharType="separate"/>
      </w:r>
      <w:r>
        <w:rPr>
          <w:rFonts w:hint="eastAsia"/>
          <w:color w:val="auto"/>
          <w:szCs w:val="28"/>
          <w:highlight w:val="none"/>
        </w:rPr>
        <w:t>六、其他事项</w:t>
      </w:r>
      <w:r>
        <w:rPr>
          <w:color w:val="auto"/>
          <w:highlight w:val="none"/>
        </w:rPr>
        <w:tab/>
      </w:r>
      <w:r>
        <w:rPr>
          <w:color w:val="auto"/>
          <w:highlight w:val="none"/>
        </w:rPr>
        <w:fldChar w:fldCharType="begin"/>
      </w:r>
      <w:r>
        <w:rPr>
          <w:color w:val="auto"/>
          <w:highlight w:val="none"/>
        </w:rPr>
        <w:instrText xml:space="preserve"> PAGEREF _Toc3231 \h </w:instrText>
      </w:r>
      <w:r>
        <w:rPr>
          <w:color w:val="auto"/>
          <w:highlight w:val="none"/>
        </w:rPr>
        <w:fldChar w:fldCharType="separate"/>
      </w:r>
      <w:r>
        <w:rPr>
          <w:color w:val="auto"/>
          <w:highlight w:val="none"/>
        </w:rPr>
        <w:t>- 20 -</w:t>
      </w:r>
      <w:r>
        <w:rPr>
          <w:color w:val="auto"/>
          <w:highlight w:val="none"/>
        </w:rPr>
        <w:fldChar w:fldCharType="end"/>
      </w:r>
      <w:r>
        <w:rPr>
          <w:rFonts w:hint="eastAsia" w:ascii="宋体" w:hAnsi="宋体" w:cs="宋体"/>
          <w:bCs/>
          <w:color w:val="auto"/>
          <w:highlight w:val="none"/>
          <w:lang w:val="zh-CN"/>
        </w:rPr>
        <w:fldChar w:fldCharType="end"/>
      </w:r>
    </w:p>
    <w:p w14:paraId="68BD5608">
      <w:pPr>
        <w:pStyle w:val="20"/>
        <w:tabs>
          <w:tab w:val="right" w:leader="dot" w:pos="10192"/>
        </w:tabs>
        <w:rPr>
          <w:color w:val="auto"/>
          <w:highlight w:val="none"/>
        </w:rPr>
      </w:pPr>
      <w:r>
        <w:rPr>
          <w:rFonts w:hint="eastAsia" w:ascii="宋体" w:hAnsi="宋体" w:cs="宋体"/>
          <w:bCs/>
          <w:color w:val="auto"/>
          <w:highlight w:val="none"/>
          <w:lang w:val="zh-CN"/>
        </w:rPr>
        <w:fldChar w:fldCharType="begin"/>
      </w:r>
      <w:r>
        <w:rPr>
          <w:rFonts w:hint="eastAsia" w:ascii="宋体" w:hAnsi="宋体" w:cs="宋体"/>
          <w:bCs/>
          <w:color w:val="auto"/>
          <w:highlight w:val="none"/>
          <w:lang w:val="zh-CN"/>
        </w:rPr>
        <w:instrText xml:space="preserve"> HYPERLINK \l _Toc8229 </w:instrText>
      </w:r>
      <w:r>
        <w:rPr>
          <w:rFonts w:hint="eastAsia" w:ascii="宋体" w:hAnsi="宋体" w:cs="宋体"/>
          <w:bCs/>
          <w:color w:val="auto"/>
          <w:highlight w:val="none"/>
          <w:lang w:val="zh-CN"/>
        </w:rPr>
        <w:fldChar w:fldCharType="separate"/>
      </w:r>
      <w:r>
        <w:rPr>
          <w:rFonts w:hint="eastAsia" w:ascii="宋体" w:hAnsi="宋体" w:cs="宋体"/>
          <w:color w:val="auto"/>
          <w:szCs w:val="21"/>
          <w:highlight w:val="none"/>
        </w:rPr>
        <w:t>30. 采购代理服务费</w:t>
      </w:r>
      <w:r>
        <w:rPr>
          <w:color w:val="auto"/>
          <w:highlight w:val="none"/>
        </w:rPr>
        <w:tab/>
      </w:r>
      <w:r>
        <w:rPr>
          <w:color w:val="auto"/>
          <w:highlight w:val="none"/>
        </w:rPr>
        <w:fldChar w:fldCharType="begin"/>
      </w:r>
      <w:r>
        <w:rPr>
          <w:color w:val="auto"/>
          <w:highlight w:val="none"/>
        </w:rPr>
        <w:instrText xml:space="preserve"> PAGEREF _Toc8229 \h </w:instrText>
      </w:r>
      <w:r>
        <w:rPr>
          <w:color w:val="auto"/>
          <w:highlight w:val="none"/>
        </w:rPr>
        <w:fldChar w:fldCharType="separate"/>
      </w:r>
      <w:r>
        <w:rPr>
          <w:color w:val="auto"/>
          <w:highlight w:val="none"/>
        </w:rPr>
        <w:t>- 20 -</w:t>
      </w:r>
      <w:r>
        <w:rPr>
          <w:color w:val="auto"/>
          <w:highlight w:val="none"/>
        </w:rPr>
        <w:fldChar w:fldCharType="end"/>
      </w:r>
      <w:r>
        <w:rPr>
          <w:rFonts w:hint="eastAsia" w:ascii="宋体" w:hAnsi="宋体" w:cs="宋体"/>
          <w:bCs/>
          <w:color w:val="auto"/>
          <w:highlight w:val="none"/>
          <w:lang w:val="zh-CN"/>
        </w:rPr>
        <w:fldChar w:fldCharType="end"/>
      </w:r>
    </w:p>
    <w:p w14:paraId="2B9AC8B9">
      <w:pPr>
        <w:pStyle w:val="20"/>
        <w:tabs>
          <w:tab w:val="right" w:leader="dot" w:pos="10192"/>
        </w:tabs>
        <w:rPr>
          <w:color w:val="auto"/>
          <w:highlight w:val="none"/>
        </w:rPr>
      </w:pPr>
      <w:r>
        <w:rPr>
          <w:rFonts w:hint="eastAsia" w:ascii="宋体" w:hAnsi="宋体" w:cs="宋体"/>
          <w:bCs/>
          <w:color w:val="auto"/>
          <w:highlight w:val="none"/>
          <w:lang w:val="zh-CN"/>
        </w:rPr>
        <w:fldChar w:fldCharType="begin"/>
      </w:r>
      <w:r>
        <w:rPr>
          <w:rFonts w:hint="eastAsia" w:ascii="宋体" w:hAnsi="宋体" w:cs="宋体"/>
          <w:bCs/>
          <w:color w:val="auto"/>
          <w:highlight w:val="none"/>
          <w:lang w:val="zh-CN"/>
        </w:rPr>
        <w:instrText xml:space="preserve"> HYPERLINK \l _Toc11455 </w:instrText>
      </w:r>
      <w:r>
        <w:rPr>
          <w:rFonts w:hint="eastAsia" w:ascii="宋体" w:hAnsi="宋体" w:cs="宋体"/>
          <w:bCs/>
          <w:color w:val="auto"/>
          <w:highlight w:val="none"/>
          <w:lang w:val="zh-CN"/>
        </w:rPr>
        <w:fldChar w:fldCharType="separate"/>
      </w:r>
      <w:r>
        <w:rPr>
          <w:rFonts w:hint="eastAsia" w:ascii="宋体" w:hAnsi="宋体" w:cs="宋体"/>
          <w:color w:val="auto"/>
          <w:szCs w:val="21"/>
          <w:highlight w:val="none"/>
        </w:rPr>
        <w:t>31. 解释权</w:t>
      </w:r>
      <w:r>
        <w:rPr>
          <w:color w:val="auto"/>
          <w:highlight w:val="none"/>
        </w:rPr>
        <w:tab/>
      </w:r>
      <w:r>
        <w:rPr>
          <w:color w:val="auto"/>
          <w:highlight w:val="none"/>
        </w:rPr>
        <w:fldChar w:fldCharType="begin"/>
      </w:r>
      <w:r>
        <w:rPr>
          <w:color w:val="auto"/>
          <w:highlight w:val="none"/>
        </w:rPr>
        <w:instrText xml:space="preserve"> PAGEREF _Toc11455 \h </w:instrText>
      </w:r>
      <w:r>
        <w:rPr>
          <w:color w:val="auto"/>
          <w:highlight w:val="none"/>
        </w:rPr>
        <w:fldChar w:fldCharType="separate"/>
      </w:r>
      <w:r>
        <w:rPr>
          <w:color w:val="auto"/>
          <w:highlight w:val="none"/>
        </w:rPr>
        <w:t>- 20 -</w:t>
      </w:r>
      <w:r>
        <w:rPr>
          <w:color w:val="auto"/>
          <w:highlight w:val="none"/>
        </w:rPr>
        <w:fldChar w:fldCharType="end"/>
      </w:r>
      <w:r>
        <w:rPr>
          <w:rFonts w:hint="eastAsia" w:ascii="宋体" w:hAnsi="宋体" w:cs="宋体"/>
          <w:bCs/>
          <w:color w:val="auto"/>
          <w:highlight w:val="none"/>
          <w:lang w:val="zh-CN"/>
        </w:rPr>
        <w:fldChar w:fldCharType="end"/>
      </w:r>
    </w:p>
    <w:p w14:paraId="73116195">
      <w:pPr>
        <w:pStyle w:val="20"/>
        <w:tabs>
          <w:tab w:val="right" w:leader="dot" w:pos="10192"/>
        </w:tabs>
        <w:rPr>
          <w:color w:val="auto"/>
          <w:highlight w:val="none"/>
        </w:rPr>
      </w:pPr>
      <w:r>
        <w:rPr>
          <w:rFonts w:hint="eastAsia" w:ascii="宋体" w:hAnsi="宋体" w:cs="宋体"/>
          <w:bCs/>
          <w:color w:val="auto"/>
          <w:highlight w:val="none"/>
          <w:lang w:val="zh-CN"/>
        </w:rPr>
        <w:fldChar w:fldCharType="begin"/>
      </w:r>
      <w:r>
        <w:rPr>
          <w:rFonts w:hint="eastAsia" w:ascii="宋体" w:hAnsi="宋体" w:cs="宋体"/>
          <w:bCs/>
          <w:color w:val="auto"/>
          <w:highlight w:val="none"/>
          <w:lang w:val="zh-CN"/>
        </w:rPr>
        <w:instrText xml:space="preserve"> HYPERLINK \l _Toc11535 </w:instrText>
      </w:r>
      <w:r>
        <w:rPr>
          <w:rFonts w:hint="eastAsia" w:ascii="宋体" w:hAnsi="宋体" w:cs="宋体"/>
          <w:bCs/>
          <w:color w:val="auto"/>
          <w:highlight w:val="none"/>
          <w:lang w:val="zh-CN"/>
        </w:rPr>
        <w:fldChar w:fldCharType="separate"/>
      </w:r>
      <w:r>
        <w:rPr>
          <w:rFonts w:hint="eastAsia" w:ascii="宋体" w:hAnsi="宋体" w:cs="宋体"/>
          <w:color w:val="auto"/>
          <w:szCs w:val="21"/>
          <w:highlight w:val="none"/>
        </w:rPr>
        <w:t>32. 监督管理机构</w:t>
      </w:r>
      <w:r>
        <w:rPr>
          <w:color w:val="auto"/>
          <w:highlight w:val="none"/>
        </w:rPr>
        <w:tab/>
      </w:r>
      <w:r>
        <w:rPr>
          <w:color w:val="auto"/>
          <w:highlight w:val="none"/>
        </w:rPr>
        <w:fldChar w:fldCharType="begin"/>
      </w:r>
      <w:r>
        <w:rPr>
          <w:color w:val="auto"/>
          <w:highlight w:val="none"/>
        </w:rPr>
        <w:instrText xml:space="preserve"> PAGEREF _Toc11535 \h </w:instrText>
      </w:r>
      <w:r>
        <w:rPr>
          <w:color w:val="auto"/>
          <w:highlight w:val="none"/>
        </w:rPr>
        <w:fldChar w:fldCharType="separate"/>
      </w:r>
      <w:r>
        <w:rPr>
          <w:color w:val="auto"/>
          <w:highlight w:val="none"/>
        </w:rPr>
        <w:t>- 21 -</w:t>
      </w:r>
      <w:r>
        <w:rPr>
          <w:color w:val="auto"/>
          <w:highlight w:val="none"/>
        </w:rPr>
        <w:fldChar w:fldCharType="end"/>
      </w:r>
      <w:r>
        <w:rPr>
          <w:rFonts w:hint="eastAsia" w:ascii="宋体" w:hAnsi="宋体" w:cs="宋体"/>
          <w:bCs/>
          <w:color w:val="auto"/>
          <w:highlight w:val="none"/>
          <w:lang w:val="zh-CN"/>
        </w:rPr>
        <w:fldChar w:fldCharType="end"/>
      </w:r>
    </w:p>
    <w:p w14:paraId="0FACCE3B">
      <w:pPr>
        <w:pStyle w:val="28"/>
        <w:tabs>
          <w:tab w:val="right" w:leader="dot" w:pos="10192"/>
        </w:tabs>
        <w:rPr>
          <w:color w:val="auto"/>
          <w:highlight w:val="none"/>
        </w:rPr>
      </w:pPr>
      <w:r>
        <w:rPr>
          <w:rFonts w:hint="eastAsia" w:ascii="宋体" w:hAnsi="宋体" w:cs="宋体"/>
          <w:bCs/>
          <w:color w:val="auto"/>
          <w:highlight w:val="none"/>
          <w:lang w:val="zh-CN"/>
        </w:rPr>
        <w:fldChar w:fldCharType="begin"/>
      </w:r>
      <w:r>
        <w:rPr>
          <w:rFonts w:hint="eastAsia" w:ascii="宋体" w:hAnsi="宋体" w:cs="宋体"/>
          <w:bCs/>
          <w:color w:val="auto"/>
          <w:highlight w:val="none"/>
          <w:lang w:val="zh-CN"/>
        </w:rPr>
        <w:instrText xml:space="preserve"> HYPERLINK \l _Toc5642 </w:instrText>
      </w:r>
      <w:r>
        <w:rPr>
          <w:rFonts w:hint="eastAsia" w:ascii="宋体" w:hAnsi="宋体" w:cs="宋体"/>
          <w:bCs/>
          <w:color w:val="auto"/>
          <w:highlight w:val="none"/>
          <w:lang w:val="zh-CN"/>
        </w:rPr>
        <w:fldChar w:fldCharType="separate"/>
      </w:r>
      <w:r>
        <w:rPr>
          <w:rFonts w:hint="eastAsia"/>
          <w:bCs/>
          <w:color w:val="auto"/>
          <w:szCs w:val="32"/>
          <w:highlight w:val="none"/>
        </w:rPr>
        <w:t>第三章　</w:t>
      </w:r>
      <w:r>
        <w:rPr>
          <w:rFonts w:hint="eastAsia"/>
          <w:color w:val="auto"/>
          <w:szCs w:val="32"/>
          <w:highlight w:val="none"/>
        </w:rPr>
        <w:t>采购需求</w:t>
      </w:r>
      <w:r>
        <w:rPr>
          <w:color w:val="auto"/>
          <w:highlight w:val="none"/>
        </w:rPr>
        <w:tab/>
      </w:r>
      <w:r>
        <w:rPr>
          <w:color w:val="auto"/>
          <w:highlight w:val="none"/>
        </w:rPr>
        <w:fldChar w:fldCharType="begin"/>
      </w:r>
      <w:r>
        <w:rPr>
          <w:color w:val="auto"/>
          <w:highlight w:val="none"/>
        </w:rPr>
        <w:instrText xml:space="preserve"> PAGEREF _Toc5642 \h </w:instrText>
      </w:r>
      <w:r>
        <w:rPr>
          <w:color w:val="auto"/>
          <w:highlight w:val="none"/>
        </w:rPr>
        <w:fldChar w:fldCharType="separate"/>
      </w:r>
      <w:r>
        <w:rPr>
          <w:color w:val="auto"/>
          <w:highlight w:val="none"/>
        </w:rPr>
        <w:t>- 22 -</w:t>
      </w:r>
      <w:r>
        <w:rPr>
          <w:color w:val="auto"/>
          <w:highlight w:val="none"/>
        </w:rPr>
        <w:fldChar w:fldCharType="end"/>
      </w:r>
      <w:r>
        <w:rPr>
          <w:rFonts w:hint="eastAsia" w:ascii="宋体" w:hAnsi="宋体" w:cs="宋体"/>
          <w:bCs/>
          <w:color w:val="auto"/>
          <w:highlight w:val="none"/>
          <w:lang w:val="zh-CN"/>
        </w:rPr>
        <w:fldChar w:fldCharType="end"/>
      </w:r>
    </w:p>
    <w:p w14:paraId="11291C1B">
      <w:pPr>
        <w:pStyle w:val="28"/>
        <w:tabs>
          <w:tab w:val="right" w:leader="dot" w:pos="10192"/>
        </w:tabs>
        <w:rPr>
          <w:color w:val="auto"/>
          <w:highlight w:val="none"/>
        </w:rPr>
      </w:pPr>
      <w:r>
        <w:rPr>
          <w:rFonts w:hint="eastAsia" w:ascii="宋体" w:hAnsi="宋体" w:cs="宋体"/>
          <w:bCs/>
          <w:color w:val="auto"/>
          <w:highlight w:val="none"/>
          <w:lang w:val="zh-CN"/>
        </w:rPr>
        <w:fldChar w:fldCharType="begin"/>
      </w:r>
      <w:r>
        <w:rPr>
          <w:rFonts w:hint="eastAsia" w:ascii="宋体" w:hAnsi="宋体" w:cs="宋体"/>
          <w:bCs/>
          <w:color w:val="auto"/>
          <w:highlight w:val="none"/>
          <w:lang w:val="zh-CN"/>
        </w:rPr>
        <w:instrText xml:space="preserve"> HYPERLINK \l _Toc26443 </w:instrText>
      </w:r>
      <w:r>
        <w:rPr>
          <w:rFonts w:hint="eastAsia" w:ascii="宋体" w:hAnsi="宋体" w:cs="宋体"/>
          <w:bCs/>
          <w:color w:val="auto"/>
          <w:highlight w:val="none"/>
          <w:lang w:val="zh-CN"/>
        </w:rPr>
        <w:fldChar w:fldCharType="separate"/>
      </w:r>
      <w:r>
        <w:rPr>
          <w:rFonts w:hint="eastAsia"/>
          <w:color w:val="auto"/>
          <w:szCs w:val="32"/>
          <w:highlight w:val="none"/>
        </w:rPr>
        <w:t>第四章 评审办法</w:t>
      </w:r>
      <w:r>
        <w:rPr>
          <w:color w:val="auto"/>
          <w:highlight w:val="none"/>
        </w:rPr>
        <w:tab/>
      </w:r>
      <w:r>
        <w:rPr>
          <w:color w:val="auto"/>
          <w:highlight w:val="none"/>
        </w:rPr>
        <w:fldChar w:fldCharType="begin"/>
      </w:r>
      <w:r>
        <w:rPr>
          <w:color w:val="auto"/>
          <w:highlight w:val="none"/>
        </w:rPr>
        <w:instrText xml:space="preserve"> PAGEREF _Toc26443 \h </w:instrText>
      </w:r>
      <w:r>
        <w:rPr>
          <w:color w:val="auto"/>
          <w:highlight w:val="none"/>
        </w:rPr>
        <w:fldChar w:fldCharType="separate"/>
      </w:r>
      <w:r>
        <w:rPr>
          <w:color w:val="auto"/>
          <w:highlight w:val="none"/>
        </w:rPr>
        <w:t>- 23 -</w:t>
      </w:r>
      <w:r>
        <w:rPr>
          <w:color w:val="auto"/>
          <w:highlight w:val="none"/>
        </w:rPr>
        <w:fldChar w:fldCharType="end"/>
      </w:r>
      <w:r>
        <w:rPr>
          <w:rFonts w:hint="eastAsia" w:ascii="宋体" w:hAnsi="宋体" w:cs="宋体"/>
          <w:bCs/>
          <w:color w:val="auto"/>
          <w:highlight w:val="none"/>
          <w:lang w:val="zh-CN"/>
        </w:rPr>
        <w:fldChar w:fldCharType="end"/>
      </w:r>
    </w:p>
    <w:p w14:paraId="1F0720A1">
      <w:pPr>
        <w:pStyle w:val="28"/>
        <w:tabs>
          <w:tab w:val="right" w:leader="dot" w:pos="10192"/>
        </w:tabs>
        <w:rPr>
          <w:color w:val="auto"/>
          <w:highlight w:val="none"/>
        </w:rPr>
      </w:pPr>
      <w:r>
        <w:rPr>
          <w:rFonts w:hint="eastAsia" w:ascii="宋体" w:hAnsi="宋体" w:cs="宋体"/>
          <w:bCs/>
          <w:color w:val="auto"/>
          <w:highlight w:val="none"/>
          <w:lang w:val="zh-CN"/>
        </w:rPr>
        <w:fldChar w:fldCharType="begin"/>
      </w:r>
      <w:r>
        <w:rPr>
          <w:rFonts w:hint="eastAsia" w:ascii="宋体" w:hAnsi="宋体" w:cs="宋体"/>
          <w:bCs/>
          <w:color w:val="auto"/>
          <w:highlight w:val="none"/>
          <w:lang w:val="zh-CN"/>
        </w:rPr>
        <w:instrText xml:space="preserve"> HYPERLINK \l _Toc12573 </w:instrText>
      </w:r>
      <w:r>
        <w:rPr>
          <w:rFonts w:hint="eastAsia" w:ascii="宋体" w:hAnsi="宋体" w:cs="宋体"/>
          <w:bCs/>
          <w:color w:val="auto"/>
          <w:highlight w:val="none"/>
          <w:lang w:val="zh-CN"/>
        </w:rPr>
        <w:fldChar w:fldCharType="separate"/>
      </w:r>
      <w:r>
        <w:rPr>
          <w:rFonts w:hint="eastAsia" w:ascii="宋体" w:hAnsi="宋体" w:cs="宋体"/>
          <w:color w:val="auto"/>
          <w:szCs w:val="32"/>
          <w:highlight w:val="none"/>
        </w:rPr>
        <w:t>第五章  采购合同（合同主要条款及格式）</w:t>
      </w:r>
      <w:r>
        <w:rPr>
          <w:color w:val="auto"/>
          <w:highlight w:val="none"/>
        </w:rPr>
        <w:tab/>
      </w:r>
      <w:r>
        <w:rPr>
          <w:color w:val="auto"/>
          <w:highlight w:val="none"/>
        </w:rPr>
        <w:fldChar w:fldCharType="begin"/>
      </w:r>
      <w:r>
        <w:rPr>
          <w:color w:val="auto"/>
          <w:highlight w:val="none"/>
        </w:rPr>
        <w:instrText xml:space="preserve"> PAGEREF _Toc12573 \h </w:instrText>
      </w:r>
      <w:r>
        <w:rPr>
          <w:color w:val="auto"/>
          <w:highlight w:val="none"/>
        </w:rPr>
        <w:fldChar w:fldCharType="separate"/>
      </w:r>
      <w:r>
        <w:rPr>
          <w:color w:val="auto"/>
          <w:highlight w:val="none"/>
        </w:rPr>
        <w:t>- 58 -</w:t>
      </w:r>
      <w:r>
        <w:rPr>
          <w:color w:val="auto"/>
          <w:highlight w:val="none"/>
        </w:rPr>
        <w:fldChar w:fldCharType="end"/>
      </w:r>
      <w:r>
        <w:rPr>
          <w:rFonts w:hint="eastAsia" w:ascii="宋体" w:hAnsi="宋体" w:cs="宋体"/>
          <w:bCs/>
          <w:color w:val="auto"/>
          <w:highlight w:val="none"/>
          <w:lang w:val="zh-CN"/>
        </w:rPr>
        <w:fldChar w:fldCharType="end"/>
      </w:r>
    </w:p>
    <w:p w14:paraId="2928AA4D">
      <w:pPr>
        <w:pStyle w:val="34"/>
        <w:tabs>
          <w:tab w:val="right" w:leader="dot" w:pos="10192"/>
        </w:tabs>
        <w:rPr>
          <w:color w:val="auto"/>
          <w:highlight w:val="none"/>
        </w:rPr>
      </w:pPr>
      <w:r>
        <w:rPr>
          <w:rFonts w:hint="eastAsia" w:ascii="宋体" w:hAnsi="宋体" w:cs="宋体"/>
          <w:bCs/>
          <w:color w:val="auto"/>
          <w:highlight w:val="none"/>
          <w:lang w:val="zh-CN"/>
        </w:rPr>
        <w:fldChar w:fldCharType="begin"/>
      </w:r>
      <w:r>
        <w:rPr>
          <w:rFonts w:hint="eastAsia" w:ascii="宋体" w:hAnsi="宋体" w:cs="宋体"/>
          <w:bCs/>
          <w:color w:val="auto"/>
          <w:highlight w:val="none"/>
          <w:lang w:val="zh-CN"/>
        </w:rPr>
        <w:instrText xml:space="preserve"> HYPERLINK \l _Toc13393 </w:instrText>
      </w:r>
      <w:r>
        <w:rPr>
          <w:rFonts w:hint="eastAsia" w:ascii="宋体" w:hAnsi="宋体" w:cs="宋体"/>
          <w:bCs/>
          <w:color w:val="auto"/>
          <w:highlight w:val="none"/>
          <w:lang w:val="zh-CN"/>
        </w:rPr>
        <w:fldChar w:fldCharType="separate"/>
      </w:r>
      <w:r>
        <w:rPr>
          <w:rFonts w:hint="eastAsia" w:ascii="宋体" w:hAnsi="宋体" w:cs="宋体"/>
          <w:color w:val="auto"/>
          <w:szCs w:val="21"/>
          <w:highlight w:val="none"/>
        </w:rPr>
        <w:t>第一条 合同标的及合同金额</w:t>
      </w:r>
      <w:r>
        <w:rPr>
          <w:color w:val="auto"/>
          <w:highlight w:val="none"/>
        </w:rPr>
        <w:tab/>
      </w:r>
      <w:r>
        <w:rPr>
          <w:color w:val="auto"/>
          <w:highlight w:val="none"/>
        </w:rPr>
        <w:fldChar w:fldCharType="begin"/>
      </w:r>
      <w:r>
        <w:rPr>
          <w:color w:val="auto"/>
          <w:highlight w:val="none"/>
        </w:rPr>
        <w:instrText xml:space="preserve"> PAGEREF _Toc13393 \h </w:instrText>
      </w:r>
      <w:r>
        <w:rPr>
          <w:color w:val="auto"/>
          <w:highlight w:val="none"/>
        </w:rPr>
        <w:fldChar w:fldCharType="separate"/>
      </w:r>
      <w:r>
        <w:rPr>
          <w:color w:val="auto"/>
          <w:highlight w:val="none"/>
        </w:rPr>
        <w:t>- 58 -</w:t>
      </w:r>
      <w:r>
        <w:rPr>
          <w:color w:val="auto"/>
          <w:highlight w:val="none"/>
        </w:rPr>
        <w:fldChar w:fldCharType="end"/>
      </w:r>
      <w:r>
        <w:rPr>
          <w:rFonts w:hint="eastAsia" w:ascii="宋体" w:hAnsi="宋体" w:cs="宋体"/>
          <w:bCs/>
          <w:color w:val="auto"/>
          <w:highlight w:val="none"/>
          <w:lang w:val="zh-CN"/>
        </w:rPr>
        <w:fldChar w:fldCharType="end"/>
      </w:r>
    </w:p>
    <w:p w14:paraId="1C433AC8">
      <w:pPr>
        <w:pStyle w:val="34"/>
        <w:tabs>
          <w:tab w:val="right" w:leader="dot" w:pos="10192"/>
        </w:tabs>
        <w:rPr>
          <w:color w:val="auto"/>
          <w:highlight w:val="none"/>
        </w:rPr>
      </w:pPr>
      <w:r>
        <w:rPr>
          <w:rFonts w:hint="eastAsia" w:ascii="宋体" w:hAnsi="宋体" w:cs="宋体"/>
          <w:bCs/>
          <w:color w:val="auto"/>
          <w:highlight w:val="none"/>
          <w:lang w:val="zh-CN"/>
        </w:rPr>
        <w:fldChar w:fldCharType="begin"/>
      </w:r>
      <w:r>
        <w:rPr>
          <w:rFonts w:hint="eastAsia" w:ascii="宋体" w:hAnsi="宋体" w:cs="宋体"/>
          <w:bCs/>
          <w:color w:val="auto"/>
          <w:highlight w:val="none"/>
          <w:lang w:val="zh-CN"/>
        </w:rPr>
        <w:instrText xml:space="preserve"> HYPERLINK \l _Toc31851 </w:instrText>
      </w:r>
      <w:r>
        <w:rPr>
          <w:rFonts w:hint="eastAsia" w:ascii="宋体" w:hAnsi="宋体" w:cs="宋体"/>
          <w:bCs/>
          <w:color w:val="auto"/>
          <w:highlight w:val="none"/>
          <w:lang w:val="zh-CN"/>
        </w:rPr>
        <w:fldChar w:fldCharType="separate"/>
      </w:r>
      <w:r>
        <w:rPr>
          <w:rFonts w:hint="eastAsia" w:ascii="宋体" w:hAnsi="宋体" w:cs="宋体"/>
          <w:color w:val="auto"/>
          <w:szCs w:val="21"/>
          <w:highlight w:val="none"/>
        </w:rPr>
        <w:t>第二条  质量保证</w:t>
      </w:r>
      <w:r>
        <w:rPr>
          <w:color w:val="auto"/>
          <w:highlight w:val="none"/>
        </w:rPr>
        <w:tab/>
      </w:r>
      <w:r>
        <w:rPr>
          <w:color w:val="auto"/>
          <w:highlight w:val="none"/>
        </w:rPr>
        <w:fldChar w:fldCharType="begin"/>
      </w:r>
      <w:r>
        <w:rPr>
          <w:color w:val="auto"/>
          <w:highlight w:val="none"/>
        </w:rPr>
        <w:instrText xml:space="preserve"> PAGEREF _Toc31851 \h </w:instrText>
      </w:r>
      <w:r>
        <w:rPr>
          <w:color w:val="auto"/>
          <w:highlight w:val="none"/>
        </w:rPr>
        <w:fldChar w:fldCharType="separate"/>
      </w:r>
      <w:r>
        <w:rPr>
          <w:color w:val="auto"/>
          <w:highlight w:val="none"/>
        </w:rPr>
        <w:t>- 58 -</w:t>
      </w:r>
      <w:r>
        <w:rPr>
          <w:color w:val="auto"/>
          <w:highlight w:val="none"/>
        </w:rPr>
        <w:fldChar w:fldCharType="end"/>
      </w:r>
      <w:r>
        <w:rPr>
          <w:rFonts w:hint="eastAsia" w:ascii="宋体" w:hAnsi="宋体" w:cs="宋体"/>
          <w:bCs/>
          <w:color w:val="auto"/>
          <w:highlight w:val="none"/>
          <w:lang w:val="zh-CN"/>
        </w:rPr>
        <w:fldChar w:fldCharType="end"/>
      </w:r>
    </w:p>
    <w:p w14:paraId="08997F11">
      <w:pPr>
        <w:pStyle w:val="34"/>
        <w:tabs>
          <w:tab w:val="right" w:leader="dot" w:pos="10192"/>
        </w:tabs>
        <w:rPr>
          <w:color w:val="auto"/>
          <w:highlight w:val="none"/>
        </w:rPr>
      </w:pPr>
      <w:r>
        <w:rPr>
          <w:rFonts w:hint="eastAsia" w:ascii="宋体" w:hAnsi="宋体" w:cs="宋体"/>
          <w:bCs/>
          <w:color w:val="auto"/>
          <w:highlight w:val="none"/>
          <w:lang w:val="zh-CN"/>
        </w:rPr>
        <w:fldChar w:fldCharType="begin"/>
      </w:r>
      <w:r>
        <w:rPr>
          <w:rFonts w:hint="eastAsia" w:ascii="宋体" w:hAnsi="宋体" w:cs="宋体"/>
          <w:bCs/>
          <w:color w:val="auto"/>
          <w:highlight w:val="none"/>
          <w:lang w:val="zh-CN"/>
        </w:rPr>
        <w:instrText xml:space="preserve"> HYPERLINK \l _Toc5104 </w:instrText>
      </w:r>
      <w:r>
        <w:rPr>
          <w:rFonts w:hint="eastAsia" w:ascii="宋体" w:hAnsi="宋体" w:cs="宋体"/>
          <w:bCs/>
          <w:color w:val="auto"/>
          <w:highlight w:val="none"/>
          <w:lang w:val="zh-CN"/>
        </w:rPr>
        <w:fldChar w:fldCharType="separate"/>
      </w:r>
      <w:r>
        <w:rPr>
          <w:rFonts w:hint="eastAsia" w:ascii="宋体" w:hAnsi="宋体" w:cs="宋体"/>
          <w:color w:val="auto"/>
          <w:szCs w:val="21"/>
          <w:highlight w:val="none"/>
        </w:rPr>
        <w:t>第三条  权利保证</w:t>
      </w:r>
      <w:r>
        <w:rPr>
          <w:color w:val="auto"/>
          <w:highlight w:val="none"/>
        </w:rPr>
        <w:tab/>
      </w:r>
      <w:r>
        <w:rPr>
          <w:color w:val="auto"/>
          <w:highlight w:val="none"/>
        </w:rPr>
        <w:fldChar w:fldCharType="begin"/>
      </w:r>
      <w:r>
        <w:rPr>
          <w:color w:val="auto"/>
          <w:highlight w:val="none"/>
        </w:rPr>
        <w:instrText xml:space="preserve"> PAGEREF _Toc5104 \h </w:instrText>
      </w:r>
      <w:r>
        <w:rPr>
          <w:color w:val="auto"/>
          <w:highlight w:val="none"/>
        </w:rPr>
        <w:fldChar w:fldCharType="separate"/>
      </w:r>
      <w:r>
        <w:rPr>
          <w:color w:val="auto"/>
          <w:highlight w:val="none"/>
        </w:rPr>
        <w:t>- 58 -</w:t>
      </w:r>
      <w:r>
        <w:rPr>
          <w:color w:val="auto"/>
          <w:highlight w:val="none"/>
        </w:rPr>
        <w:fldChar w:fldCharType="end"/>
      </w:r>
      <w:r>
        <w:rPr>
          <w:rFonts w:hint="eastAsia" w:ascii="宋体" w:hAnsi="宋体" w:cs="宋体"/>
          <w:bCs/>
          <w:color w:val="auto"/>
          <w:highlight w:val="none"/>
          <w:lang w:val="zh-CN"/>
        </w:rPr>
        <w:fldChar w:fldCharType="end"/>
      </w:r>
    </w:p>
    <w:p w14:paraId="3FF24D52">
      <w:pPr>
        <w:pStyle w:val="34"/>
        <w:tabs>
          <w:tab w:val="right" w:leader="dot" w:pos="10192"/>
        </w:tabs>
        <w:rPr>
          <w:color w:val="auto"/>
          <w:highlight w:val="none"/>
        </w:rPr>
      </w:pPr>
      <w:r>
        <w:rPr>
          <w:rFonts w:hint="eastAsia" w:ascii="宋体" w:hAnsi="宋体" w:cs="宋体"/>
          <w:bCs/>
          <w:color w:val="auto"/>
          <w:highlight w:val="none"/>
          <w:lang w:val="zh-CN"/>
        </w:rPr>
        <w:fldChar w:fldCharType="begin"/>
      </w:r>
      <w:r>
        <w:rPr>
          <w:rFonts w:hint="eastAsia" w:ascii="宋体" w:hAnsi="宋体" w:cs="宋体"/>
          <w:bCs/>
          <w:color w:val="auto"/>
          <w:highlight w:val="none"/>
          <w:lang w:val="zh-CN"/>
        </w:rPr>
        <w:instrText xml:space="preserve"> HYPERLINK \l _Toc3865 </w:instrText>
      </w:r>
      <w:r>
        <w:rPr>
          <w:rFonts w:hint="eastAsia" w:ascii="宋体" w:hAnsi="宋体" w:cs="宋体"/>
          <w:bCs/>
          <w:color w:val="auto"/>
          <w:highlight w:val="none"/>
          <w:lang w:val="zh-CN"/>
        </w:rPr>
        <w:fldChar w:fldCharType="separate"/>
      </w:r>
      <w:r>
        <w:rPr>
          <w:rFonts w:hint="eastAsia" w:ascii="宋体" w:hAnsi="宋体" w:cs="宋体"/>
          <w:color w:val="auto"/>
          <w:szCs w:val="21"/>
          <w:highlight w:val="none"/>
        </w:rPr>
        <w:t>第四条  货物包装、运输、安装、调试</w:t>
      </w:r>
      <w:r>
        <w:rPr>
          <w:color w:val="auto"/>
          <w:highlight w:val="none"/>
        </w:rPr>
        <w:tab/>
      </w:r>
      <w:r>
        <w:rPr>
          <w:color w:val="auto"/>
          <w:highlight w:val="none"/>
        </w:rPr>
        <w:fldChar w:fldCharType="begin"/>
      </w:r>
      <w:r>
        <w:rPr>
          <w:color w:val="auto"/>
          <w:highlight w:val="none"/>
        </w:rPr>
        <w:instrText xml:space="preserve"> PAGEREF _Toc3865 \h </w:instrText>
      </w:r>
      <w:r>
        <w:rPr>
          <w:color w:val="auto"/>
          <w:highlight w:val="none"/>
        </w:rPr>
        <w:fldChar w:fldCharType="separate"/>
      </w:r>
      <w:r>
        <w:rPr>
          <w:color w:val="auto"/>
          <w:highlight w:val="none"/>
        </w:rPr>
        <w:t>- 58 -</w:t>
      </w:r>
      <w:r>
        <w:rPr>
          <w:color w:val="auto"/>
          <w:highlight w:val="none"/>
        </w:rPr>
        <w:fldChar w:fldCharType="end"/>
      </w:r>
      <w:r>
        <w:rPr>
          <w:rFonts w:hint="eastAsia" w:ascii="宋体" w:hAnsi="宋体" w:cs="宋体"/>
          <w:bCs/>
          <w:color w:val="auto"/>
          <w:highlight w:val="none"/>
          <w:lang w:val="zh-CN"/>
        </w:rPr>
        <w:fldChar w:fldCharType="end"/>
      </w:r>
    </w:p>
    <w:p w14:paraId="4002EA77">
      <w:pPr>
        <w:pStyle w:val="34"/>
        <w:tabs>
          <w:tab w:val="right" w:leader="dot" w:pos="10192"/>
        </w:tabs>
        <w:rPr>
          <w:color w:val="auto"/>
          <w:highlight w:val="none"/>
        </w:rPr>
      </w:pPr>
      <w:r>
        <w:rPr>
          <w:rFonts w:hint="eastAsia" w:ascii="宋体" w:hAnsi="宋体" w:cs="宋体"/>
          <w:bCs/>
          <w:color w:val="auto"/>
          <w:highlight w:val="none"/>
          <w:lang w:val="zh-CN"/>
        </w:rPr>
        <w:fldChar w:fldCharType="begin"/>
      </w:r>
      <w:r>
        <w:rPr>
          <w:rFonts w:hint="eastAsia" w:ascii="宋体" w:hAnsi="宋体" w:cs="宋体"/>
          <w:bCs/>
          <w:color w:val="auto"/>
          <w:highlight w:val="none"/>
          <w:lang w:val="zh-CN"/>
        </w:rPr>
        <w:instrText xml:space="preserve"> HYPERLINK \l _Toc25828 </w:instrText>
      </w:r>
      <w:r>
        <w:rPr>
          <w:rFonts w:hint="eastAsia" w:ascii="宋体" w:hAnsi="宋体" w:cs="宋体"/>
          <w:bCs/>
          <w:color w:val="auto"/>
          <w:highlight w:val="none"/>
          <w:lang w:val="zh-CN"/>
        </w:rPr>
        <w:fldChar w:fldCharType="separate"/>
      </w:r>
      <w:r>
        <w:rPr>
          <w:rFonts w:hint="eastAsia" w:ascii="宋体" w:hAnsi="宋体" w:cs="宋体"/>
          <w:color w:val="auto"/>
          <w:szCs w:val="21"/>
          <w:highlight w:val="none"/>
        </w:rPr>
        <w:t>第五条  交付</w:t>
      </w:r>
      <w:r>
        <w:rPr>
          <w:color w:val="auto"/>
          <w:highlight w:val="none"/>
        </w:rPr>
        <w:tab/>
      </w:r>
      <w:r>
        <w:rPr>
          <w:color w:val="auto"/>
          <w:highlight w:val="none"/>
        </w:rPr>
        <w:fldChar w:fldCharType="begin"/>
      </w:r>
      <w:r>
        <w:rPr>
          <w:color w:val="auto"/>
          <w:highlight w:val="none"/>
        </w:rPr>
        <w:instrText xml:space="preserve"> PAGEREF _Toc25828 \h </w:instrText>
      </w:r>
      <w:r>
        <w:rPr>
          <w:color w:val="auto"/>
          <w:highlight w:val="none"/>
        </w:rPr>
        <w:fldChar w:fldCharType="separate"/>
      </w:r>
      <w:r>
        <w:rPr>
          <w:color w:val="auto"/>
          <w:highlight w:val="none"/>
        </w:rPr>
        <w:t>- 59 -</w:t>
      </w:r>
      <w:r>
        <w:rPr>
          <w:color w:val="auto"/>
          <w:highlight w:val="none"/>
        </w:rPr>
        <w:fldChar w:fldCharType="end"/>
      </w:r>
      <w:r>
        <w:rPr>
          <w:rFonts w:hint="eastAsia" w:ascii="宋体" w:hAnsi="宋体" w:cs="宋体"/>
          <w:bCs/>
          <w:color w:val="auto"/>
          <w:highlight w:val="none"/>
          <w:lang w:val="zh-CN"/>
        </w:rPr>
        <w:fldChar w:fldCharType="end"/>
      </w:r>
    </w:p>
    <w:p w14:paraId="054FCEFB">
      <w:pPr>
        <w:pStyle w:val="34"/>
        <w:tabs>
          <w:tab w:val="right" w:leader="dot" w:pos="10192"/>
        </w:tabs>
        <w:rPr>
          <w:color w:val="auto"/>
          <w:highlight w:val="none"/>
        </w:rPr>
      </w:pPr>
      <w:r>
        <w:rPr>
          <w:rFonts w:hint="eastAsia" w:ascii="宋体" w:hAnsi="宋体" w:cs="宋体"/>
          <w:bCs/>
          <w:color w:val="auto"/>
          <w:highlight w:val="none"/>
          <w:lang w:val="zh-CN"/>
        </w:rPr>
        <w:fldChar w:fldCharType="begin"/>
      </w:r>
      <w:r>
        <w:rPr>
          <w:rFonts w:hint="eastAsia" w:ascii="宋体" w:hAnsi="宋体" w:cs="宋体"/>
          <w:bCs/>
          <w:color w:val="auto"/>
          <w:highlight w:val="none"/>
          <w:lang w:val="zh-CN"/>
        </w:rPr>
        <w:instrText xml:space="preserve"> HYPERLINK \l _Toc10335 </w:instrText>
      </w:r>
      <w:r>
        <w:rPr>
          <w:rFonts w:hint="eastAsia" w:ascii="宋体" w:hAnsi="宋体" w:cs="宋体"/>
          <w:bCs/>
          <w:color w:val="auto"/>
          <w:highlight w:val="none"/>
          <w:lang w:val="zh-CN"/>
        </w:rPr>
        <w:fldChar w:fldCharType="separate"/>
      </w:r>
      <w:r>
        <w:rPr>
          <w:rFonts w:hint="eastAsia" w:ascii="宋体" w:hAnsi="宋体" w:cs="宋体"/>
          <w:color w:val="auto"/>
          <w:szCs w:val="21"/>
          <w:highlight w:val="none"/>
        </w:rPr>
        <w:t>第六条  验收方式</w:t>
      </w:r>
      <w:r>
        <w:rPr>
          <w:color w:val="auto"/>
          <w:highlight w:val="none"/>
        </w:rPr>
        <w:tab/>
      </w:r>
      <w:r>
        <w:rPr>
          <w:color w:val="auto"/>
          <w:highlight w:val="none"/>
        </w:rPr>
        <w:fldChar w:fldCharType="begin"/>
      </w:r>
      <w:r>
        <w:rPr>
          <w:color w:val="auto"/>
          <w:highlight w:val="none"/>
        </w:rPr>
        <w:instrText xml:space="preserve"> PAGEREF _Toc10335 \h </w:instrText>
      </w:r>
      <w:r>
        <w:rPr>
          <w:color w:val="auto"/>
          <w:highlight w:val="none"/>
        </w:rPr>
        <w:fldChar w:fldCharType="separate"/>
      </w:r>
      <w:r>
        <w:rPr>
          <w:color w:val="auto"/>
          <w:highlight w:val="none"/>
        </w:rPr>
        <w:t>- 59 -</w:t>
      </w:r>
      <w:r>
        <w:rPr>
          <w:color w:val="auto"/>
          <w:highlight w:val="none"/>
        </w:rPr>
        <w:fldChar w:fldCharType="end"/>
      </w:r>
      <w:r>
        <w:rPr>
          <w:rFonts w:hint="eastAsia" w:ascii="宋体" w:hAnsi="宋体" w:cs="宋体"/>
          <w:bCs/>
          <w:color w:val="auto"/>
          <w:highlight w:val="none"/>
          <w:lang w:val="zh-CN"/>
        </w:rPr>
        <w:fldChar w:fldCharType="end"/>
      </w:r>
    </w:p>
    <w:p w14:paraId="596A455B">
      <w:pPr>
        <w:pStyle w:val="34"/>
        <w:tabs>
          <w:tab w:val="right" w:leader="dot" w:pos="10192"/>
        </w:tabs>
        <w:rPr>
          <w:color w:val="auto"/>
          <w:highlight w:val="none"/>
        </w:rPr>
      </w:pPr>
      <w:r>
        <w:rPr>
          <w:rFonts w:hint="eastAsia" w:ascii="宋体" w:hAnsi="宋体" w:cs="宋体"/>
          <w:bCs/>
          <w:color w:val="auto"/>
          <w:highlight w:val="none"/>
          <w:lang w:val="zh-CN"/>
        </w:rPr>
        <w:fldChar w:fldCharType="begin"/>
      </w:r>
      <w:r>
        <w:rPr>
          <w:rFonts w:hint="eastAsia" w:ascii="宋体" w:hAnsi="宋体" w:cs="宋体"/>
          <w:bCs/>
          <w:color w:val="auto"/>
          <w:highlight w:val="none"/>
          <w:lang w:val="zh-CN"/>
        </w:rPr>
        <w:instrText xml:space="preserve"> HYPERLINK \l _Toc32587 </w:instrText>
      </w:r>
      <w:r>
        <w:rPr>
          <w:rFonts w:hint="eastAsia" w:ascii="宋体" w:hAnsi="宋体" w:cs="宋体"/>
          <w:bCs/>
          <w:color w:val="auto"/>
          <w:highlight w:val="none"/>
          <w:lang w:val="zh-CN"/>
        </w:rPr>
        <w:fldChar w:fldCharType="separate"/>
      </w:r>
      <w:r>
        <w:rPr>
          <w:rFonts w:hint="eastAsia" w:ascii="宋体" w:hAnsi="宋体" w:cs="宋体"/>
          <w:color w:val="auto"/>
          <w:szCs w:val="21"/>
          <w:highlight w:val="none"/>
        </w:rPr>
        <w:t>第七条  安装和培训</w:t>
      </w:r>
      <w:r>
        <w:rPr>
          <w:color w:val="auto"/>
          <w:highlight w:val="none"/>
        </w:rPr>
        <w:tab/>
      </w:r>
      <w:r>
        <w:rPr>
          <w:color w:val="auto"/>
          <w:highlight w:val="none"/>
        </w:rPr>
        <w:fldChar w:fldCharType="begin"/>
      </w:r>
      <w:r>
        <w:rPr>
          <w:color w:val="auto"/>
          <w:highlight w:val="none"/>
        </w:rPr>
        <w:instrText xml:space="preserve"> PAGEREF _Toc32587 \h </w:instrText>
      </w:r>
      <w:r>
        <w:rPr>
          <w:color w:val="auto"/>
          <w:highlight w:val="none"/>
        </w:rPr>
        <w:fldChar w:fldCharType="separate"/>
      </w:r>
      <w:r>
        <w:rPr>
          <w:color w:val="auto"/>
          <w:highlight w:val="none"/>
        </w:rPr>
        <w:t>- 59 -</w:t>
      </w:r>
      <w:r>
        <w:rPr>
          <w:color w:val="auto"/>
          <w:highlight w:val="none"/>
        </w:rPr>
        <w:fldChar w:fldCharType="end"/>
      </w:r>
      <w:r>
        <w:rPr>
          <w:rFonts w:hint="eastAsia" w:ascii="宋体" w:hAnsi="宋体" w:cs="宋体"/>
          <w:bCs/>
          <w:color w:val="auto"/>
          <w:highlight w:val="none"/>
          <w:lang w:val="zh-CN"/>
        </w:rPr>
        <w:fldChar w:fldCharType="end"/>
      </w:r>
    </w:p>
    <w:p w14:paraId="5A9E9477">
      <w:pPr>
        <w:pStyle w:val="34"/>
        <w:tabs>
          <w:tab w:val="right" w:leader="dot" w:pos="10192"/>
        </w:tabs>
        <w:rPr>
          <w:color w:val="auto"/>
          <w:highlight w:val="none"/>
        </w:rPr>
      </w:pPr>
      <w:r>
        <w:rPr>
          <w:rFonts w:hint="eastAsia" w:ascii="宋体" w:hAnsi="宋体" w:cs="宋体"/>
          <w:bCs/>
          <w:color w:val="auto"/>
          <w:highlight w:val="none"/>
          <w:lang w:val="zh-CN"/>
        </w:rPr>
        <w:fldChar w:fldCharType="begin"/>
      </w:r>
      <w:r>
        <w:rPr>
          <w:rFonts w:hint="eastAsia" w:ascii="宋体" w:hAnsi="宋体" w:cs="宋体"/>
          <w:bCs/>
          <w:color w:val="auto"/>
          <w:highlight w:val="none"/>
          <w:lang w:val="zh-CN"/>
        </w:rPr>
        <w:instrText xml:space="preserve"> HYPERLINK \l _Toc1691 </w:instrText>
      </w:r>
      <w:r>
        <w:rPr>
          <w:rFonts w:hint="eastAsia" w:ascii="宋体" w:hAnsi="宋体" w:cs="宋体"/>
          <w:bCs/>
          <w:color w:val="auto"/>
          <w:highlight w:val="none"/>
          <w:lang w:val="zh-CN"/>
        </w:rPr>
        <w:fldChar w:fldCharType="separate"/>
      </w:r>
      <w:r>
        <w:rPr>
          <w:rFonts w:hint="eastAsia" w:ascii="宋体" w:hAnsi="宋体" w:cs="宋体"/>
          <w:color w:val="auto"/>
          <w:szCs w:val="21"/>
          <w:highlight w:val="none"/>
        </w:rPr>
        <w:t>第八条  服务要求及免费保修期</w:t>
      </w:r>
      <w:r>
        <w:rPr>
          <w:color w:val="auto"/>
          <w:highlight w:val="none"/>
        </w:rPr>
        <w:tab/>
      </w:r>
      <w:r>
        <w:rPr>
          <w:color w:val="auto"/>
          <w:highlight w:val="none"/>
        </w:rPr>
        <w:fldChar w:fldCharType="begin"/>
      </w:r>
      <w:r>
        <w:rPr>
          <w:color w:val="auto"/>
          <w:highlight w:val="none"/>
        </w:rPr>
        <w:instrText xml:space="preserve"> PAGEREF _Toc1691 \h </w:instrText>
      </w:r>
      <w:r>
        <w:rPr>
          <w:color w:val="auto"/>
          <w:highlight w:val="none"/>
        </w:rPr>
        <w:fldChar w:fldCharType="separate"/>
      </w:r>
      <w:r>
        <w:rPr>
          <w:color w:val="auto"/>
          <w:highlight w:val="none"/>
        </w:rPr>
        <w:t>- 59 -</w:t>
      </w:r>
      <w:r>
        <w:rPr>
          <w:color w:val="auto"/>
          <w:highlight w:val="none"/>
        </w:rPr>
        <w:fldChar w:fldCharType="end"/>
      </w:r>
      <w:r>
        <w:rPr>
          <w:rFonts w:hint="eastAsia" w:ascii="宋体" w:hAnsi="宋体" w:cs="宋体"/>
          <w:bCs/>
          <w:color w:val="auto"/>
          <w:highlight w:val="none"/>
          <w:lang w:val="zh-CN"/>
        </w:rPr>
        <w:fldChar w:fldCharType="end"/>
      </w:r>
    </w:p>
    <w:p w14:paraId="608086FC">
      <w:pPr>
        <w:pStyle w:val="34"/>
        <w:tabs>
          <w:tab w:val="right" w:leader="dot" w:pos="10192"/>
        </w:tabs>
        <w:rPr>
          <w:color w:val="auto"/>
          <w:highlight w:val="none"/>
        </w:rPr>
      </w:pPr>
      <w:r>
        <w:rPr>
          <w:rFonts w:hint="eastAsia" w:ascii="宋体" w:hAnsi="宋体" w:cs="宋体"/>
          <w:bCs/>
          <w:color w:val="auto"/>
          <w:highlight w:val="none"/>
          <w:lang w:val="zh-CN"/>
        </w:rPr>
        <w:fldChar w:fldCharType="begin"/>
      </w:r>
      <w:r>
        <w:rPr>
          <w:rFonts w:hint="eastAsia" w:ascii="宋体" w:hAnsi="宋体" w:cs="宋体"/>
          <w:bCs/>
          <w:color w:val="auto"/>
          <w:highlight w:val="none"/>
          <w:lang w:val="zh-CN"/>
        </w:rPr>
        <w:instrText xml:space="preserve"> HYPERLINK \l _Toc15324 </w:instrText>
      </w:r>
      <w:r>
        <w:rPr>
          <w:rFonts w:hint="eastAsia" w:ascii="宋体" w:hAnsi="宋体" w:cs="宋体"/>
          <w:bCs/>
          <w:color w:val="auto"/>
          <w:highlight w:val="none"/>
          <w:lang w:val="zh-CN"/>
        </w:rPr>
        <w:fldChar w:fldCharType="separate"/>
      </w:r>
      <w:r>
        <w:rPr>
          <w:rFonts w:hint="eastAsia" w:ascii="宋体" w:hAnsi="宋体" w:cs="宋体"/>
          <w:color w:val="auto"/>
          <w:szCs w:val="21"/>
          <w:highlight w:val="none"/>
        </w:rPr>
        <w:t>第九条  税费等要求</w:t>
      </w:r>
      <w:r>
        <w:rPr>
          <w:color w:val="auto"/>
          <w:highlight w:val="none"/>
        </w:rPr>
        <w:tab/>
      </w:r>
      <w:r>
        <w:rPr>
          <w:color w:val="auto"/>
          <w:highlight w:val="none"/>
        </w:rPr>
        <w:fldChar w:fldCharType="begin"/>
      </w:r>
      <w:r>
        <w:rPr>
          <w:color w:val="auto"/>
          <w:highlight w:val="none"/>
        </w:rPr>
        <w:instrText xml:space="preserve"> PAGEREF _Toc15324 \h </w:instrText>
      </w:r>
      <w:r>
        <w:rPr>
          <w:color w:val="auto"/>
          <w:highlight w:val="none"/>
        </w:rPr>
        <w:fldChar w:fldCharType="separate"/>
      </w:r>
      <w:r>
        <w:rPr>
          <w:color w:val="auto"/>
          <w:highlight w:val="none"/>
        </w:rPr>
        <w:t>- 59 -</w:t>
      </w:r>
      <w:r>
        <w:rPr>
          <w:color w:val="auto"/>
          <w:highlight w:val="none"/>
        </w:rPr>
        <w:fldChar w:fldCharType="end"/>
      </w:r>
      <w:r>
        <w:rPr>
          <w:rFonts w:hint="eastAsia" w:ascii="宋体" w:hAnsi="宋体" w:cs="宋体"/>
          <w:bCs/>
          <w:color w:val="auto"/>
          <w:highlight w:val="none"/>
          <w:lang w:val="zh-CN"/>
        </w:rPr>
        <w:fldChar w:fldCharType="end"/>
      </w:r>
    </w:p>
    <w:p w14:paraId="0EA51A1B">
      <w:pPr>
        <w:pStyle w:val="34"/>
        <w:tabs>
          <w:tab w:val="right" w:leader="dot" w:pos="10192"/>
        </w:tabs>
        <w:rPr>
          <w:color w:val="auto"/>
          <w:highlight w:val="none"/>
        </w:rPr>
      </w:pPr>
      <w:r>
        <w:rPr>
          <w:rFonts w:hint="eastAsia" w:ascii="宋体" w:hAnsi="宋体" w:cs="宋体"/>
          <w:bCs/>
          <w:color w:val="auto"/>
          <w:highlight w:val="none"/>
          <w:lang w:val="zh-CN"/>
        </w:rPr>
        <w:fldChar w:fldCharType="begin"/>
      </w:r>
      <w:r>
        <w:rPr>
          <w:rFonts w:hint="eastAsia" w:ascii="宋体" w:hAnsi="宋体" w:cs="宋体"/>
          <w:bCs/>
          <w:color w:val="auto"/>
          <w:highlight w:val="none"/>
          <w:lang w:val="zh-CN"/>
        </w:rPr>
        <w:instrText xml:space="preserve"> HYPERLINK \l _Toc11319 </w:instrText>
      </w:r>
      <w:r>
        <w:rPr>
          <w:rFonts w:hint="eastAsia" w:ascii="宋体" w:hAnsi="宋体" w:cs="宋体"/>
          <w:bCs/>
          <w:color w:val="auto"/>
          <w:highlight w:val="none"/>
          <w:lang w:val="zh-CN"/>
        </w:rPr>
        <w:fldChar w:fldCharType="separate"/>
      </w:r>
      <w:r>
        <w:rPr>
          <w:rFonts w:hint="eastAsia" w:ascii="宋体" w:hAnsi="宋体" w:cs="宋体"/>
          <w:color w:val="auto"/>
          <w:szCs w:val="21"/>
          <w:highlight w:val="none"/>
        </w:rPr>
        <w:t>第十条  付款方式</w:t>
      </w:r>
      <w:r>
        <w:rPr>
          <w:color w:val="auto"/>
          <w:highlight w:val="none"/>
        </w:rPr>
        <w:tab/>
      </w:r>
      <w:r>
        <w:rPr>
          <w:color w:val="auto"/>
          <w:highlight w:val="none"/>
        </w:rPr>
        <w:fldChar w:fldCharType="begin"/>
      </w:r>
      <w:r>
        <w:rPr>
          <w:color w:val="auto"/>
          <w:highlight w:val="none"/>
        </w:rPr>
        <w:instrText xml:space="preserve"> PAGEREF _Toc11319 \h </w:instrText>
      </w:r>
      <w:r>
        <w:rPr>
          <w:color w:val="auto"/>
          <w:highlight w:val="none"/>
        </w:rPr>
        <w:fldChar w:fldCharType="separate"/>
      </w:r>
      <w:r>
        <w:rPr>
          <w:color w:val="auto"/>
          <w:highlight w:val="none"/>
        </w:rPr>
        <w:t>- 59 -</w:t>
      </w:r>
      <w:r>
        <w:rPr>
          <w:color w:val="auto"/>
          <w:highlight w:val="none"/>
        </w:rPr>
        <w:fldChar w:fldCharType="end"/>
      </w:r>
      <w:r>
        <w:rPr>
          <w:rFonts w:hint="eastAsia" w:ascii="宋体" w:hAnsi="宋体" w:cs="宋体"/>
          <w:bCs/>
          <w:color w:val="auto"/>
          <w:highlight w:val="none"/>
          <w:lang w:val="zh-CN"/>
        </w:rPr>
        <w:fldChar w:fldCharType="end"/>
      </w:r>
    </w:p>
    <w:p w14:paraId="293D5621">
      <w:pPr>
        <w:pStyle w:val="34"/>
        <w:tabs>
          <w:tab w:val="right" w:leader="dot" w:pos="10192"/>
        </w:tabs>
        <w:rPr>
          <w:color w:val="auto"/>
          <w:highlight w:val="none"/>
        </w:rPr>
      </w:pPr>
      <w:r>
        <w:rPr>
          <w:rFonts w:hint="eastAsia" w:ascii="宋体" w:hAnsi="宋体" w:cs="宋体"/>
          <w:bCs/>
          <w:color w:val="auto"/>
          <w:highlight w:val="none"/>
          <w:lang w:val="zh-CN"/>
        </w:rPr>
        <w:fldChar w:fldCharType="begin"/>
      </w:r>
      <w:r>
        <w:rPr>
          <w:rFonts w:hint="eastAsia" w:ascii="宋体" w:hAnsi="宋体" w:cs="宋体"/>
          <w:bCs/>
          <w:color w:val="auto"/>
          <w:highlight w:val="none"/>
          <w:lang w:val="zh-CN"/>
        </w:rPr>
        <w:instrText xml:space="preserve"> HYPERLINK \l _Toc5565 </w:instrText>
      </w:r>
      <w:r>
        <w:rPr>
          <w:rFonts w:hint="eastAsia" w:ascii="宋体" w:hAnsi="宋体" w:cs="宋体"/>
          <w:bCs/>
          <w:color w:val="auto"/>
          <w:highlight w:val="none"/>
          <w:lang w:val="zh-CN"/>
        </w:rPr>
        <w:fldChar w:fldCharType="separate"/>
      </w:r>
      <w:r>
        <w:rPr>
          <w:rFonts w:hint="eastAsia" w:ascii="宋体" w:hAnsi="宋体" w:cs="宋体"/>
          <w:color w:val="auto"/>
          <w:szCs w:val="21"/>
          <w:highlight w:val="none"/>
        </w:rPr>
        <w:t>第十一条  违约责任</w:t>
      </w:r>
      <w:r>
        <w:rPr>
          <w:color w:val="auto"/>
          <w:highlight w:val="none"/>
        </w:rPr>
        <w:tab/>
      </w:r>
      <w:r>
        <w:rPr>
          <w:color w:val="auto"/>
          <w:highlight w:val="none"/>
        </w:rPr>
        <w:fldChar w:fldCharType="begin"/>
      </w:r>
      <w:r>
        <w:rPr>
          <w:color w:val="auto"/>
          <w:highlight w:val="none"/>
        </w:rPr>
        <w:instrText xml:space="preserve"> PAGEREF _Toc5565 \h </w:instrText>
      </w:r>
      <w:r>
        <w:rPr>
          <w:color w:val="auto"/>
          <w:highlight w:val="none"/>
        </w:rPr>
        <w:fldChar w:fldCharType="separate"/>
      </w:r>
      <w:r>
        <w:rPr>
          <w:color w:val="auto"/>
          <w:highlight w:val="none"/>
        </w:rPr>
        <w:t>- 59 -</w:t>
      </w:r>
      <w:r>
        <w:rPr>
          <w:color w:val="auto"/>
          <w:highlight w:val="none"/>
        </w:rPr>
        <w:fldChar w:fldCharType="end"/>
      </w:r>
      <w:r>
        <w:rPr>
          <w:rFonts w:hint="eastAsia" w:ascii="宋体" w:hAnsi="宋体" w:cs="宋体"/>
          <w:bCs/>
          <w:color w:val="auto"/>
          <w:highlight w:val="none"/>
          <w:lang w:val="zh-CN"/>
        </w:rPr>
        <w:fldChar w:fldCharType="end"/>
      </w:r>
    </w:p>
    <w:p w14:paraId="73F837EC">
      <w:pPr>
        <w:pStyle w:val="34"/>
        <w:tabs>
          <w:tab w:val="right" w:leader="dot" w:pos="10192"/>
        </w:tabs>
        <w:rPr>
          <w:color w:val="auto"/>
          <w:highlight w:val="none"/>
        </w:rPr>
      </w:pPr>
      <w:r>
        <w:rPr>
          <w:rFonts w:hint="eastAsia" w:ascii="宋体" w:hAnsi="宋体" w:cs="宋体"/>
          <w:bCs/>
          <w:color w:val="auto"/>
          <w:highlight w:val="none"/>
          <w:lang w:val="zh-CN"/>
        </w:rPr>
        <w:fldChar w:fldCharType="begin"/>
      </w:r>
      <w:r>
        <w:rPr>
          <w:rFonts w:hint="eastAsia" w:ascii="宋体" w:hAnsi="宋体" w:cs="宋体"/>
          <w:bCs/>
          <w:color w:val="auto"/>
          <w:highlight w:val="none"/>
          <w:lang w:val="zh-CN"/>
        </w:rPr>
        <w:instrText xml:space="preserve"> HYPERLINK \l _Toc10393 </w:instrText>
      </w:r>
      <w:r>
        <w:rPr>
          <w:rFonts w:hint="eastAsia" w:ascii="宋体" w:hAnsi="宋体" w:cs="宋体"/>
          <w:bCs/>
          <w:color w:val="auto"/>
          <w:highlight w:val="none"/>
          <w:lang w:val="zh-CN"/>
        </w:rPr>
        <w:fldChar w:fldCharType="separate"/>
      </w:r>
      <w:r>
        <w:rPr>
          <w:rFonts w:hint="eastAsia" w:ascii="宋体" w:hAnsi="宋体" w:cs="宋体"/>
          <w:color w:val="auto"/>
          <w:szCs w:val="21"/>
          <w:highlight w:val="none"/>
        </w:rPr>
        <w:t>第十二条  不可抗力事件处理</w:t>
      </w:r>
      <w:r>
        <w:rPr>
          <w:color w:val="auto"/>
          <w:highlight w:val="none"/>
        </w:rPr>
        <w:tab/>
      </w:r>
      <w:r>
        <w:rPr>
          <w:color w:val="auto"/>
          <w:highlight w:val="none"/>
        </w:rPr>
        <w:fldChar w:fldCharType="begin"/>
      </w:r>
      <w:r>
        <w:rPr>
          <w:color w:val="auto"/>
          <w:highlight w:val="none"/>
        </w:rPr>
        <w:instrText xml:space="preserve"> PAGEREF _Toc10393 \h </w:instrText>
      </w:r>
      <w:r>
        <w:rPr>
          <w:color w:val="auto"/>
          <w:highlight w:val="none"/>
        </w:rPr>
        <w:fldChar w:fldCharType="separate"/>
      </w:r>
      <w:r>
        <w:rPr>
          <w:color w:val="auto"/>
          <w:highlight w:val="none"/>
        </w:rPr>
        <w:t>- 60 -</w:t>
      </w:r>
      <w:r>
        <w:rPr>
          <w:color w:val="auto"/>
          <w:highlight w:val="none"/>
        </w:rPr>
        <w:fldChar w:fldCharType="end"/>
      </w:r>
      <w:r>
        <w:rPr>
          <w:rFonts w:hint="eastAsia" w:ascii="宋体" w:hAnsi="宋体" w:cs="宋体"/>
          <w:bCs/>
          <w:color w:val="auto"/>
          <w:highlight w:val="none"/>
          <w:lang w:val="zh-CN"/>
        </w:rPr>
        <w:fldChar w:fldCharType="end"/>
      </w:r>
    </w:p>
    <w:p w14:paraId="6CBBC92C">
      <w:pPr>
        <w:pStyle w:val="34"/>
        <w:tabs>
          <w:tab w:val="right" w:leader="dot" w:pos="10192"/>
        </w:tabs>
        <w:rPr>
          <w:color w:val="auto"/>
          <w:highlight w:val="none"/>
        </w:rPr>
      </w:pPr>
      <w:r>
        <w:rPr>
          <w:rFonts w:hint="eastAsia" w:ascii="宋体" w:hAnsi="宋体" w:cs="宋体"/>
          <w:bCs/>
          <w:color w:val="auto"/>
          <w:highlight w:val="none"/>
          <w:lang w:val="zh-CN"/>
        </w:rPr>
        <w:fldChar w:fldCharType="begin"/>
      </w:r>
      <w:r>
        <w:rPr>
          <w:rFonts w:hint="eastAsia" w:ascii="宋体" w:hAnsi="宋体" w:cs="宋体"/>
          <w:bCs/>
          <w:color w:val="auto"/>
          <w:highlight w:val="none"/>
          <w:lang w:val="zh-CN"/>
        </w:rPr>
        <w:instrText xml:space="preserve"> HYPERLINK \l _Toc17451 </w:instrText>
      </w:r>
      <w:r>
        <w:rPr>
          <w:rFonts w:hint="eastAsia" w:ascii="宋体" w:hAnsi="宋体" w:cs="宋体"/>
          <w:bCs/>
          <w:color w:val="auto"/>
          <w:highlight w:val="none"/>
          <w:lang w:val="zh-CN"/>
        </w:rPr>
        <w:fldChar w:fldCharType="separate"/>
      </w:r>
      <w:r>
        <w:rPr>
          <w:rFonts w:hint="eastAsia" w:ascii="宋体" w:hAnsi="宋体" w:cs="宋体"/>
          <w:color w:val="auto"/>
          <w:szCs w:val="21"/>
          <w:highlight w:val="none"/>
        </w:rPr>
        <w:t>第十三条  合同争议解决</w:t>
      </w:r>
      <w:r>
        <w:rPr>
          <w:color w:val="auto"/>
          <w:highlight w:val="none"/>
        </w:rPr>
        <w:tab/>
      </w:r>
      <w:r>
        <w:rPr>
          <w:color w:val="auto"/>
          <w:highlight w:val="none"/>
        </w:rPr>
        <w:fldChar w:fldCharType="begin"/>
      </w:r>
      <w:r>
        <w:rPr>
          <w:color w:val="auto"/>
          <w:highlight w:val="none"/>
        </w:rPr>
        <w:instrText xml:space="preserve"> PAGEREF _Toc17451 \h </w:instrText>
      </w:r>
      <w:r>
        <w:rPr>
          <w:color w:val="auto"/>
          <w:highlight w:val="none"/>
        </w:rPr>
        <w:fldChar w:fldCharType="separate"/>
      </w:r>
      <w:r>
        <w:rPr>
          <w:color w:val="auto"/>
          <w:highlight w:val="none"/>
        </w:rPr>
        <w:t>- 60 -</w:t>
      </w:r>
      <w:r>
        <w:rPr>
          <w:color w:val="auto"/>
          <w:highlight w:val="none"/>
        </w:rPr>
        <w:fldChar w:fldCharType="end"/>
      </w:r>
      <w:r>
        <w:rPr>
          <w:rFonts w:hint="eastAsia" w:ascii="宋体" w:hAnsi="宋体" w:cs="宋体"/>
          <w:bCs/>
          <w:color w:val="auto"/>
          <w:highlight w:val="none"/>
          <w:lang w:val="zh-CN"/>
        </w:rPr>
        <w:fldChar w:fldCharType="end"/>
      </w:r>
    </w:p>
    <w:p w14:paraId="3CD6037D">
      <w:pPr>
        <w:pStyle w:val="34"/>
        <w:tabs>
          <w:tab w:val="right" w:leader="dot" w:pos="10192"/>
        </w:tabs>
        <w:rPr>
          <w:color w:val="auto"/>
          <w:highlight w:val="none"/>
        </w:rPr>
      </w:pPr>
      <w:r>
        <w:rPr>
          <w:rFonts w:hint="eastAsia" w:ascii="宋体" w:hAnsi="宋体" w:cs="宋体"/>
          <w:bCs/>
          <w:color w:val="auto"/>
          <w:highlight w:val="none"/>
          <w:lang w:val="zh-CN"/>
        </w:rPr>
        <w:fldChar w:fldCharType="begin"/>
      </w:r>
      <w:r>
        <w:rPr>
          <w:rFonts w:hint="eastAsia" w:ascii="宋体" w:hAnsi="宋体" w:cs="宋体"/>
          <w:bCs/>
          <w:color w:val="auto"/>
          <w:highlight w:val="none"/>
          <w:lang w:val="zh-CN"/>
        </w:rPr>
        <w:instrText xml:space="preserve"> HYPERLINK \l _Toc28082 </w:instrText>
      </w:r>
      <w:r>
        <w:rPr>
          <w:rFonts w:hint="eastAsia" w:ascii="宋体" w:hAnsi="宋体" w:cs="宋体"/>
          <w:bCs/>
          <w:color w:val="auto"/>
          <w:highlight w:val="none"/>
          <w:lang w:val="zh-CN"/>
        </w:rPr>
        <w:fldChar w:fldCharType="separate"/>
      </w:r>
      <w:r>
        <w:rPr>
          <w:rFonts w:hint="eastAsia" w:ascii="宋体" w:hAnsi="宋体" w:cs="宋体"/>
          <w:color w:val="auto"/>
          <w:szCs w:val="21"/>
          <w:highlight w:val="none"/>
        </w:rPr>
        <w:t>第十四条  合同生效及其它</w:t>
      </w:r>
      <w:r>
        <w:rPr>
          <w:color w:val="auto"/>
          <w:highlight w:val="none"/>
        </w:rPr>
        <w:tab/>
      </w:r>
      <w:r>
        <w:rPr>
          <w:color w:val="auto"/>
          <w:highlight w:val="none"/>
        </w:rPr>
        <w:fldChar w:fldCharType="begin"/>
      </w:r>
      <w:r>
        <w:rPr>
          <w:color w:val="auto"/>
          <w:highlight w:val="none"/>
        </w:rPr>
        <w:instrText xml:space="preserve"> PAGEREF _Toc28082 \h </w:instrText>
      </w:r>
      <w:r>
        <w:rPr>
          <w:color w:val="auto"/>
          <w:highlight w:val="none"/>
        </w:rPr>
        <w:fldChar w:fldCharType="separate"/>
      </w:r>
      <w:r>
        <w:rPr>
          <w:color w:val="auto"/>
          <w:highlight w:val="none"/>
        </w:rPr>
        <w:t>- 60 -</w:t>
      </w:r>
      <w:r>
        <w:rPr>
          <w:color w:val="auto"/>
          <w:highlight w:val="none"/>
        </w:rPr>
        <w:fldChar w:fldCharType="end"/>
      </w:r>
      <w:r>
        <w:rPr>
          <w:rFonts w:hint="eastAsia" w:ascii="宋体" w:hAnsi="宋体" w:cs="宋体"/>
          <w:bCs/>
          <w:color w:val="auto"/>
          <w:highlight w:val="none"/>
          <w:lang w:val="zh-CN"/>
        </w:rPr>
        <w:fldChar w:fldCharType="end"/>
      </w:r>
    </w:p>
    <w:p w14:paraId="418E553C">
      <w:pPr>
        <w:pStyle w:val="34"/>
        <w:tabs>
          <w:tab w:val="right" w:leader="dot" w:pos="10192"/>
        </w:tabs>
        <w:rPr>
          <w:color w:val="auto"/>
          <w:highlight w:val="none"/>
        </w:rPr>
      </w:pPr>
      <w:r>
        <w:rPr>
          <w:rFonts w:hint="eastAsia" w:ascii="宋体" w:hAnsi="宋体" w:cs="宋体"/>
          <w:bCs/>
          <w:color w:val="auto"/>
          <w:highlight w:val="none"/>
          <w:lang w:val="zh-CN"/>
        </w:rPr>
        <w:fldChar w:fldCharType="begin"/>
      </w:r>
      <w:r>
        <w:rPr>
          <w:rFonts w:hint="eastAsia" w:ascii="宋体" w:hAnsi="宋体" w:cs="宋体"/>
          <w:bCs/>
          <w:color w:val="auto"/>
          <w:highlight w:val="none"/>
          <w:lang w:val="zh-CN"/>
        </w:rPr>
        <w:instrText xml:space="preserve"> HYPERLINK \l _Toc21080 </w:instrText>
      </w:r>
      <w:r>
        <w:rPr>
          <w:rFonts w:hint="eastAsia" w:ascii="宋体" w:hAnsi="宋体" w:cs="宋体"/>
          <w:bCs/>
          <w:color w:val="auto"/>
          <w:highlight w:val="none"/>
          <w:lang w:val="zh-CN"/>
        </w:rPr>
        <w:fldChar w:fldCharType="separate"/>
      </w:r>
      <w:r>
        <w:rPr>
          <w:rFonts w:hint="eastAsia" w:ascii="宋体" w:hAnsi="宋体" w:cs="宋体"/>
          <w:color w:val="auto"/>
          <w:szCs w:val="21"/>
          <w:highlight w:val="none"/>
        </w:rPr>
        <w:t>第十五条  合同的变更、终止与转让</w:t>
      </w:r>
      <w:r>
        <w:rPr>
          <w:color w:val="auto"/>
          <w:highlight w:val="none"/>
        </w:rPr>
        <w:tab/>
      </w:r>
      <w:r>
        <w:rPr>
          <w:color w:val="auto"/>
          <w:highlight w:val="none"/>
        </w:rPr>
        <w:fldChar w:fldCharType="begin"/>
      </w:r>
      <w:r>
        <w:rPr>
          <w:color w:val="auto"/>
          <w:highlight w:val="none"/>
        </w:rPr>
        <w:instrText xml:space="preserve"> PAGEREF _Toc21080 \h </w:instrText>
      </w:r>
      <w:r>
        <w:rPr>
          <w:color w:val="auto"/>
          <w:highlight w:val="none"/>
        </w:rPr>
        <w:fldChar w:fldCharType="separate"/>
      </w:r>
      <w:r>
        <w:rPr>
          <w:color w:val="auto"/>
          <w:highlight w:val="none"/>
        </w:rPr>
        <w:t>- 60 -</w:t>
      </w:r>
      <w:r>
        <w:rPr>
          <w:color w:val="auto"/>
          <w:highlight w:val="none"/>
        </w:rPr>
        <w:fldChar w:fldCharType="end"/>
      </w:r>
      <w:r>
        <w:rPr>
          <w:rFonts w:hint="eastAsia" w:ascii="宋体" w:hAnsi="宋体" w:cs="宋体"/>
          <w:bCs/>
          <w:color w:val="auto"/>
          <w:highlight w:val="none"/>
          <w:lang w:val="zh-CN"/>
        </w:rPr>
        <w:fldChar w:fldCharType="end"/>
      </w:r>
    </w:p>
    <w:p w14:paraId="7D8C7BB7">
      <w:pPr>
        <w:pStyle w:val="34"/>
        <w:tabs>
          <w:tab w:val="right" w:leader="dot" w:pos="10192"/>
        </w:tabs>
        <w:rPr>
          <w:color w:val="auto"/>
          <w:highlight w:val="none"/>
        </w:rPr>
      </w:pPr>
      <w:r>
        <w:rPr>
          <w:rFonts w:hint="eastAsia" w:ascii="宋体" w:hAnsi="宋体" w:cs="宋体"/>
          <w:bCs/>
          <w:color w:val="auto"/>
          <w:highlight w:val="none"/>
          <w:lang w:val="zh-CN"/>
        </w:rPr>
        <w:fldChar w:fldCharType="begin"/>
      </w:r>
      <w:r>
        <w:rPr>
          <w:rFonts w:hint="eastAsia" w:ascii="宋体" w:hAnsi="宋体" w:cs="宋体"/>
          <w:bCs/>
          <w:color w:val="auto"/>
          <w:highlight w:val="none"/>
          <w:lang w:val="zh-CN"/>
        </w:rPr>
        <w:instrText xml:space="preserve"> HYPERLINK \l _Toc16104 </w:instrText>
      </w:r>
      <w:r>
        <w:rPr>
          <w:rFonts w:hint="eastAsia" w:ascii="宋体" w:hAnsi="宋体" w:cs="宋体"/>
          <w:bCs/>
          <w:color w:val="auto"/>
          <w:highlight w:val="none"/>
          <w:lang w:val="zh-CN"/>
        </w:rPr>
        <w:fldChar w:fldCharType="separate"/>
      </w:r>
      <w:r>
        <w:rPr>
          <w:rFonts w:hint="eastAsia" w:ascii="宋体" w:hAnsi="宋体" w:cs="宋体"/>
          <w:color w:val="auto"/>
          <w:szCs w:val="21"/>
          <w:highlight w:val="none"/>
        </w:rPr>
        <w:t>第十六条  签订本合同依据</w:t>
      </w:r>
      <w:r>
        <w:rPr>
          <w:color w:val="auto"/>
          <w:highlight w:val="none"/>
        </w:rPr>
        <w:tab/>
      </w:r>
      <w:r>
        <w:rPr>
          <w:color w:val="auto"/>
          <w:highlight w:val="none"/>
        </w:rPr>
        <w:fldChar w:fldCharType="begin"/>
      </w:r>
      <w:r>
        <w:rPr>
          <w:color w:val="auto"/>
          <w:highlight w:val="none"/>
        </w:rPr>
        <w:instrText xml:space="preserve"> PAGEREF _Toc16104 \h </w:instrText>
      </w:r>
      <w:r>
        <w:rPr>
          <w:color w:val="auto"/>
          <w:highlight w:val="none"/>
        </w:rPr>
        <w:fldChar w:fldCharType="separate"/>
      </w:r>
      <w:r>
        <w:rPr>
          <w:color w:val="auto"/>
          <w:highlight w:val="none"/>
        </w:rPr>
        <w:t>- 61 -</w:t>
      </w:r>
      <w:r>
        <w:rPr>
          <w:color w:val="auto"/>
          <w:highlight w:val="none"/>
        </w:rPr>
        <w:fldChar w:fldCharType="end"/>
      </w:r>
      <w:r>
        <w:rPr>
          <w:rFonts w:hint="eastAsia" w:ascii="宋体" w:hAnsi="宋体" w:cs="宋体"/>
          <w:bCs/>
          <w:color w:val="auto"/>
          <w:highlight w:val="none"/>
          <w:lang w:val="zh-CN"/>
        </w:rPr>
        <w:fldChar w:fldCharType="end"/>
      </w:r>
    </w:p>
    <w:p w14:paraId="34A6D8AD">
      <w:pPr>
        <w:pStyle w:val="28"/>
        <w:tabs>
          <w:tab w:val="right" w:leader="dot" w:pos="10192"/>
        </w:tabs>
        <w:rPr>
          <w:color w:val="auto"/>
          <w:highlight w:val="none"/>
        </w:rPr>
      </w:pPr>
      <w:r>
        <w:rPr>
          <w:rFonts w:hint="eastAsia" w:ascii="宋体" w:hAnsi="宋体" w:cs="宋体"/>
          <w:bCs/>
          <w:color w:val="auto"/>
          <w:highlight w:val="none"/>
          <w:lang w:val="zh-CN"/>
        </w:rPr>
        <w:fldChar w:fldCharType="begin"/>
      </w:r>
      <w:r>
        <w:rPr>
          <w:rFonts w:hint="eastAsia" w:ascii="宋体" w:hAnsi="宋体" w:cs="宋体"/>
          <w:bCs/>
          <w:color w:val="auto"/>
          <w:highlight w:val="none"/>
          <w:lang w:val="zh-CN"/>
        </w:rPr>
        <w:instrText xml:space="preserve"> HYPERLINK \l _Toc12064 </w:instrText>
      </w:r>
      <w:r>
        <w:rPr>
          <w:rFonts w:hint="eastAsia" w:ascii="宋体" w:hAnsi="宋体" w:cs="宋体"/>
          <w:bCs/>
          <w:color w:val="auto"/>
          <w:highlight w:val="none"/>
          <w:lang w:val="zh-CN"/>
        </w:rPr>
        <w:fldChar w:fldCharType="separate"/>
      </w:r>
      <w:r>
        <w:rPr>
          <w:rFonts w:hint="eastAsia" w:ascii="宋体" w:cs="宋体"/>
          <w:bCs/>
          <w:color w:val="auto"/>
          <w:szCs w:val="32"/>
          <w:highlight w:val="none"/>
        </w:rPr>
        <w:t>第六章　</w:t>
      </w:r>
      <w:r>
        <w:rPr>
          <w:rFonts w:hint="eastAsia" w:ascii="宋体" w:hAnsi="宋体" w:cs="宋体"/>
          <w:color w:val="auto"/>
          <w:szCs w:val="32"/>
          <w:highlight w:val="none"/>
        </w:rPr>
        <w:t>响应</w:t>
      </w:r>
      <w:r>
        <w:rPr>
          <w:rFonts w:hint="eastAsia"/>
          <w:color w:val="auto"/>
          <w:szCs w:val="32"/>
          <w:highlight w:val="none"/>
        </w:rPr>
        <w:t>文件</w:t>
      </w:r>
      <w:r>
        <w:rPr>
          <w:rFonts w:hint="eastAsia" w:ascii="宋体" w:hAnsi="宋体" w:cs="宋体"/>
          <w:color w:val="auto"/>
          <w:szCs w:val="32"/>
          <w:highlight w:val="none"/>
        </w:rPr>
        <w:t>（格式）</w:t>
      </w:r>
      <w:r>
        <w:rPr>
          <w:color w:val="auto"/>
          <w:highlight w:val="none"/>
        </w:rPr>
        <w:tab/>
      </w:r>
      <w:r>
        <w:rPr>
          <w:color w:val="auto"/>
          <w:highlight w:val="none"/>
        </w:rPr>
        <w:fldChar w:fldCharType="begin"/>
      </w:r>
      <w:r>
        <w:rPr>
          <w:color w:val="auto"/>
          <w:highlight w:val="none"/>
        </w:rPr>
        <w:instrText xml:space="preserve"> PAGEREF _Toc12064 \h </w:instrText>
      </w:r>
      <w:r>
        <w:rPr>
          <w:color w:val="auto"/>
          <w:highlight w:val="none"/>
        </w:rPr>
        <w:fldChar w:fldCharType="separate"/>
      </w:r>
      <w:r>
        <w:rPr>
          <w:color w:val="auto"/>
          <w:highlight w:val="none"/>
        </w:rPr>
        <w:t>- 62 -</w:t>
      </w:r>
      <w:r>
        <w:rPr>
          <w:color w:val="auto"/>
          <w:highlight w:val="none"/>
        </w:rPr>
        <w:fldChar w:fldCharType="end"/>
      </w:r>
      <w:r>
        <w:rPr>
          <w:rFonts w:hint="eastAsia" w:ascii="宋体" w:hAnsi="宋体" w:cs="宋体"/>
          <w:bCs/>
          <w:color w:val="auto"/>
          <w:highlight w:val="none"/>
          <w:lang w:val="zh-CN"/>
        </w:rPr>
        <w:fldChar w:fldCharType="end"/>
      </w:r>
    </w:p>
    <w:p w14:paraId="768CCE1B">
      <w:pPr>
        <w:pStyle w:val="34"/>
        <w:tabs>
          <w:tab w:val="right" w:leader="dot" w:pos="10192"/>
        </w:tabs>
        <w:rPr>
          <w:color w:val="auto"/>
          <w:highlight w:val="none"/>
        </w:rPr>
      </w:pPr>
      <w:r>
        <w:rPr>
          <w:rFonts w:hint="eastAsia" w:ascii="宋体" w:hAnsi="宋体" w:cs="宋体"/>
          <w:bCs/>
          <w:color w:val="auto"/>
          <w:highlight w:val="none"/>
          <w:lang w:val="zh-CN"/>
        </w:rPr>
        <w:fldChar w:fldCharType="begin"/>
      </w:r>
      <w:r>
        <w:rPr>
          <w:rFonts w:hint="eastAsia" w:ascii="宋体" w:hAnsi="宋体" w:cs="宋体"/>
          <w:bCs/>
          <w:color w:val="auto"/>
          <w:highlight w:val="none"/>
          <w:lang w:val="zh-CN"/>
        </w:rPr>
        <w:instrText xml:space="preserve"> HYPERLINK \l _Toc27760 </w:instrText>
      </w:r>
      <w:r>
        <w:rPr>
          <w:rFonts w:hint="eastAsia" w:ascii="宋体" w:hAnsi="宋体" w:cs="宋体"/>
          <w:bCs/>
          <w:color w:val="auto"/>
          <w:highlight w:val="none"/>
          <w:lang w:val="zh-CN"/>
        </w:rPr>
        <w:fldChar w:fldCharType="separate"/>
      </w:r>
      <w:r>
        <w:rPr>
          <w:rFonts w:hint="eastAsia"/>
          <w:bCs/>
          <w:color w:val="auto"/>
          <w:szCs w:val="32"/>
          <w:highlight w:val="none"/>
        </w:rPr>
        <w:t>（一）资格性响应证明材料目录</w:t>
      </w:r>
      <w:r>
        <w:rPr>
          <w:color w:val="auto"/>
          <w:highlight w:val="none"/>
        </w:rPr>
        <w:tab/>
      </w:r>
      <w:r>
        <w:rPr>
          <w:color w:val="auto"/>
          <w:highlight w:val="none"/>
        </w:rPr>
        <w:fldChar w:fldCharType="begin"/>
      </w:r>
      <w:r>
        <w:rPr>
          <w:color w:val="auto"/>
          <w:highlight w:val="none"/>
        </w:rPr>
        <w:instrText xml:space="preserve"> PAGEREF _Toc27760 \h </w:instrText>
      </w:r>
      <w:r>
        <w:rPr>
          <w:color w:val="auto"/>
          <w:highlight w:val="none"/>
        </w:rPr>
        <w:fldChar w:fldCharType="separate"/>
      </w:r>
      <w:r>
        <w:rPr>
          <w:color w:val="auto"/>
          <w:highlight w:val="none"/>
        </w:rPr>
        <w:t>- 64 -</w:t>
      </w:r>
      <w:r>
        <w:rPr>
          <w:color w:val="auto"/>
          <w:highlight w:val="none"/>
        </w:rPr>
        <w:fldChar w:fldCharType="end"/>
      </w:r>
      <w:r>
        <w:rPr>
          <w:rFonts w:hint="eastAsia" w:ascii="宋体" w:hAnsi="宋体" w:cs="宋体"/>
          <w:bCs/>
          <w:color w:val="auto"/>
          <w:highlight w:val="none"/>
          <w:lang w:val="zh-CN"/>
        </w:rPr>
        <w:fldChar w:fldCharType="end"/>
      </w:r>
    </w:p>
    <w:p w14:paraId="29496F0D">
      <w:pPr>
        <w:pStyle w:val="34"/>
        <w:tabs>
          <w:tab w:val="right" w:leader="dot" w:pos="10192"/>
        </w:tabs>
        <w:rPr>
          <w:color w:val="auto"/>
          <w:highlight w:val="none"/>
        </w:rPr>
      </w:pPr>
      <w:r>
        <w:rPr>
          <w:rFonts w:hint="eastAsia" w:ascii="宋体" w:hAnsi="宋体" w:cs="宋体"/>
          <w:bCs/>
          <w:color w:val="auto"/>
          <w:highlight w:val="none"/>
          <w:lang w:val="zh-CN"/>
        </w:rPr>
        <w:fldChar w:fldCharType="begin"/>
      </w:r>
      <w:r>
        <w:rPr>
          <w:rFonts w:hint="eastAsia" w:ascii="宋体" w:hAnsi="宋体" w:cs="宋体"/>
          <w:bCs/>
          <w:color w:val="auto"/>
          <w:highlight w:val="none"/>
          <w:lang w:val="zh-CN"/>
        </w:rPr>
        <w:instrText xml:space="preserve"> HYPERLINK \l _Toc15241 </w:instrText>
      </w:r>
      <w:r>
        <w:rPr>
          <w:rFonts w:hint="eastAsia" w:ascii="宋体" w:hAnsi="宋体" w:cs="宋体"/>
          <w:bCs/>
          <w:color w:val="auto"/>
          <w:highlight w:val="none"/>
          <w:lang w:val="zh-CN"/>
        </w:rPr>
        <w:fldChar w:fldCharType="separate"/>
      </w:r>
      <w:r>
        <w:rPr>
          <w:rFonts w:hint="eastAsia"/>
          <w:bCs/>
          <w:color w:val="auto"/>
          <w:szCs w:val="32"/>
          <w:highlight w:val="none"/>
        </w:rPr>
        <w:t>（二）</w:t>
      </w:r>
      <w:r>
        <w:rPr>
          <w:bCs/>
          <w:color w:val="auto"/>
          <w:szCs w:val="32"/>
          <w:highlight w:val="none"/>
        </w:rPr>
        <w:t>符合性响应证明材料目录</w:t>
      </w:r>
      <w:r>
        <w:rPr>
          <w:color w:val="auto"/>
          <w:highlight w:val="none"/>
        </w:rPr>
        <w:tab/>
      </w:r>
      <w:r>
        <w:rPr>
          <w:color w:val="auto"/>
          <w:highlight w:val="none"/>
        </w:rPr>
        <w:fldChar w:fldCharType="begin"/>
      </w:r>
      <w:r>
        <w:rPr>
          <w:color w:val="auto"/>
          <w:highlight w:val="none"/>
        </w:rPr>
        <w:instrText xml:space="preserve"> PAGEREF _Toc15241 \h </w:instrText>
      </w:r>
      <w:r>
        <w:rPr>
          <w:color w:val="auto"/>
          <w:highlight w:val="none"/>
        </w:rPr>
        <w:fldChar w:fldCharType="separate"/>
      </w:r>
      <w:r>
        <w:rPr>
          <w:color w:val="auto"/>
          <w:highlight w:val="none"/>
        </w:rPr>
        <w:t>- 69 -</w:t>
      </w:r>
      <w:r>
        <w:rPr>
          <w:color w:val="auto"/>
          <w:highlight w:val="none"/>
        </w:rPr>
        <w:fldChar w:fldCharType="end"/>
      </w:r>
      <w:r>
        <w:rPr>
          <w:rFonts w:hint="eastAsia" w:ascii="宋体" w:hAnsi="宋体" w:cs="宋体"/>
          <w:bCs/>
          <w:color w:val="auto"/>
          <w:highlight w:val="none"/>
          <w:lang w:val="zh-CN"/>
        </w:rPr>
        <w:fldChar w:fldCharType="end"/>
      </w:r>
    </w:p>
    <w:p w14:paraId="4E32E5A2">
      <w:pPr>
        <w:pStyle w:val="34"/>
        <w:tabs>
          <w:tab w:val="right" w:leader="dot" w:pos="10192"/>
        </w:tabs>
        <w:rPr>
          <w:color w:val="auto"/>
          <w:highlight w:val="none"/>
        </w:rPr>
      </w:pPr>
      <w:r>
        <w:rPr>
          <w:rFonts w:hint="eastAsia" w:ascii="宋体" w:hAnsi="宋体" w:cs="宋体"/>
          <w:bCs/>
          <w:color w:val="auto"/>
          <w:highlight w:val="none"/>
          <w:lang w:val="zh-CN"/>
        </w:rPr>
        <w:fldChar w:fldCharType="begin"/>
      </w:r>
      <w:r>
        <w:rPr>
          <w:rFonts w:hint="eastAsia" w:ascii="宋体" w:hAnsi="宋体" w:cs="宋体"/>
          <w:bCs/>
          <w:color w:val="auto"/>
          <w:highlight w:val="none"/>
          <w:lang w:val="zh-CN"/>
        </w:rPr>
        <w:instrText xml:space="preserve"> HYPERLINK \l _Toc26194 </w:instrText>
      </w:r>
      <w:r>
        <w:rPr>
          <w:rFonts w:hint="eastAsia" w:ascii="宋体" w:hAnsi="宋体" w:cs="宋体"/>
          <w:bCs/>
          <w:color w:val="auto"/>
          <w:highlight w:val="none"/>
          <w:lang w:val="zh-CN"/>
        </w:rPr>
        <w:fldChar w:fldCharType="separate"/>
      </w:r>
      <w:r>
        <w:rPr>
          <w:bCs/>
          <w:color w:val="auto"/>
          <w:szCs w:val="32"/>
          <w:highlight w:val="none"/>
        </w:rPr>
        <w:t>（</w:t>
      </w:r>
      <w:r>
        <w:rPr>
          <w:rFonts w:hint="eastAsia"/>
          <w:bCs/>
          <w:color w:val="auto"/>
          <w:szCs w:val="32"/>
          <w:highlight w:val="none"/>
        </w:rPr>
        <w:t>三</w:t>
      </w:r>
      <w:r>
        <w:rPr>
          <w:bCs/>
          <w:color w:val="auto"/>
          <w:szCs w:val="32"/>
          <w:highlight w:val="none"/>
        </w:rPr>
        <w:t>）其</w:t>
      </w:r>
      <w:r>
        <w:rPr>
          <w:rFonts w:hint="eastAsia"/>
          <w:bCs/>
          <w:color w:val="auto"/>
          <w:szCs w:val="32"/>
          <w:highlight w:val="none"/>
        </w:rPr>
        <w:t>他</w:t>
      </w:r>
      <w:r>
        <w:rPr>
          <w:bCs/>
          <w:color w:val="auto"/>
          <w:szCs w:val="32"/>
          <w:highlight w:val="none"/>
        </w:rPr>
        <w:t>有效证明材料目录</w:t>
      </w:r>
      <w:r>
        <w:rPr>
          <w:color w:val="auto"/>
          <w:highlight w:val="none"/>
        </w:rPr>
        <w:tab/>
      </w:r>
      <w:r>
        <w:rPr>
          <w:color w:val="auto"/>
          <w:highlight w:val="none"/>
        </w:rPr>
        <w:fldChar w:fldCharType="begin"/>
      </w:r>
      <w:r>
        <w:rPr>
          <w:color w:val="auto"/>
          <w:highlight w:val="none"/>
        </w:rPr>
        <w:instrText xml:space="preserve"> PAGEREF _Toc26194 \h </w:instrText>
      </w:r>
      <w:r>
        <w:rPr>
          <w:color w:val="auto"/>
          <w:highlight w:val="none"/>
        </w:rPr>
        <w:fldChar w:fldCharType="separate"/>
      </w:r>
      <w:r>
        <w:rPr>
          <w:color w:val="auto"/>
          <w:highlight w:val="none"/>
        </w:rPr>
        <w:t>- 75 -</w:t>
      </w:r>
      <w:r>
        <w:rPr>
          <w:color w:val="auto"/>
          <w:highlight w:val="none"/>
        </w:rPr>
        <w:fldChar w:fldCharType="end"/>
      </w:r>
      <w:r>
        <w:rPr>
          <w:rFonts w:hint="eastAsia" w:ascii="宋体" w:hAnsi="宋体" w:cs="宋体"/>
          <w:bCs/>
          <w:color w:val="auto"/>
          <w:highlight w:val="none"/>
          <w:lang w:val="zh-CN"/>
        </w:rPr>
        <w:fldChar w:fldCharType="end"/>
      </w:r>
    </w:p>
    <w:p w14:paraId="44825139">
      <w:pPr>
        <w:pStyle w:val="2"/>
        <w:spacing w:line="240" w:lineRule="auto"/>
        <w:ind w:firstLine="402"/>
        <w:jc w:val="center"/>
        <w:rPr>
          <w:rFonts w:hint="eastAsia" w:ascii="宋体" w:hAnsi="宋体" w:cs="宋体"/>
          <w:bCs w:val="0"/>
          <w:color w:val="auto"/>
          <w:highlight w:val="none"/>
          <w:lang w:val="zh-CN"/>
        </w:rPr>
      </w:pPr>
      <w:r>
        <w:rPr>
          <w:rFonts w:hint="eastAsia" w:ascii="宋体" w:hAnsi="宋体" w:cs="宋体"/>
          <w:bCs w:val="0"/>
          <w:color w:val="auto"/>
          <w:highlight w:val="none"/>
          <w:lang w:val="zh-CN"/>
        </w:rPr>
        <w:fldChar w:fldCharType="end"/>
      </w:r>
      <w:bookmarkStart w:id="0" w:name="_Toc14018"/>
      <w:bookmarkStart w:id="1" w:name="_Toc35393797"/>
      <w:bookmarkStart w:id="2" w:name="_Toc31240"/>
      <w:bookmarkStart w:id="3" w:name="_Toc27428"/>
      <w:bookmarkStart w:id="4" w:name="_Toc13749"/>
      <w:bookmarkStart w:id="5" w:name="_Toc26027"/>
      <w:bookmarkStart w:id="6" w:name="_Toc1538"/>
      <w:bookmarkStart w:id="7" w:name="_Toc18266"/>
      <w:bookmarkStart w:id="8" w:name="_Toc28359011"/>
      <w:bookmarkStart w:id="9" w:name="_Toc15996"/>
      <w:bookmarkStart w:id="10" w:name="_Toc19446"/>
      <w:bookmarkStart w:id="11" w:name="_Toc30333"/>
    </w:p>
    <w:p w14:paraId="7CB70A1D">
      <w:pPr>
        <w:rPr>
          <w:rFonts w:hint="eastAsia" w:ascii="宋体" w:hAnsi="宋体" w:cs="宋体"/>
          <w:bCs/>
          <w:color w:val="auto"/>
          <w:highlight w:val="none"/>
          <w:lang w:val="zh-CN"/>
        </w:rPr>
      </w:pPr>
    </w:p>
    <w:p w14:paraId="6C1ED4FE">
      <w:pPr>
        <w:pStyle w:val="41"/>
        <w:rPr>
          <w:rFonts w:hint="eastAsia" w:ascii="宋体" w:hAnsi="宋体" w:cs="宋体"/>
          <w:bCs/>
          <w:color w:val="auto"/>
          <w:highlight w:val="none"/>
          <w:lang w:val="zh-CN"/>
        </w:rPr>
      </w:pPr>
    </w:p>
    <w:p w14:paraId="59535F34">
      <w:pPr>
        <w:rPr>
          <w:rFonts w:hint="eastAsia" w:ascii="宋体" w:hAnsi="宋体" w:cs="宋体"/>
          <w:bCs/>
          <w:color w:val="auto"/>
          <w:highlight w:val="none"/>
          <w:lang w:val="zh-CN"/>
        </w:rPr>
      </w:pPr>
    </w:p>
    <w:p w14:paraId="56535872">
      <w:pPr>
        <w:pStyle w:val="41"/>
        <w:rPr>
          <w:rFonts w:hint="eastAsia" w:ascii="宋体" w:hAnsi="宋体" w:cs="宋体"/>
          <w:bCs/>
          <w:color w:val="auto"/>
          <w:highlight w:val="none"/>
          <w:lang w:val="zh-CN"/>
        </w:rPr>
      </w:pPr>
    </w:p>
    <w:p w14:paraId="6BD61F7C">
      <w:pPr>
        <w:rPr>
          <w:rFonts w:hint="eastAsia" w:ascii="宋体" w:hAnsi="宋体" w:cs="宋体"/>
          <w:bCs/>
          <w:color w:val="auto"/>
          <w:highlight w:val="none"/>
          <w:lang w:val="zh-CN"/>
        </w:rPr>
      </w:pPr>
    </w:p>
    <w:p w14:paraId="0B6F7E88">
      <w:pPr>
        <w:pStyle w:val="41"/>
        <w:rPr>
          <w:rFonts w:hint="eastAsia"/>
          <w:color w:val="auto"/>
          <w:highlight w:val="none"/>
          <w:lang w:val="zh-CN"/>
        </w:rPr>
      </w:pPr>
    </w:p>
    <w:p w14:paraId="38E14BDA">
      <w:pPr>
        <w:pStyle w:val="2"/>
        <w:spacing w:line="240" w:lineRule="auto"/>
        <w:ind w:firstLine="402"/>
        <w:jc w:val="center"/>
        <w:rPr>
          <w:rFonts w:hint="eastAsia"/>
          <w:color w:val="auto"/>
          <w:sz w:val="32"/>
          <w:szCs w:val="32"/>
          <w:highlight w:val="none"/>
        </w:rPr>
      </w:pPr>
    </w:p>
    <w:p w14:paraId="60BE4FDD">
      <w:pPr>
        <w:rPr>
          <w:rFonts w:hint="eastAsia"/>
          <w:color w:val="auto"/>
          <w:highlight w:val="none"/>
        </w:rPr>
      </w:pPr>
    </w:p>
    <w:p w14:paraId="731E2ED5">
      <w:pPr>
        <w:rPr>
          <w:rFonts w:hint="eastAsia"/>
          <w:color w:val="auto"/>
          <w:highlight w:val="none"/>
        </w:rPr>
      </w:pPr>
    </w:p>
    <w:p w14:paraId="3D344CC6">
      <w:pPr>
        <w:rPr>
          <w:rFonts w:hint="eastAsia"/>
          <w:color w:val="auto"/>
          <w:highlight w:val="none"/>
        </w:rPr>
      </w:pPr>
    </w:p>
    <w:p w14:paraId="117FA5B4">
      <w:pPr>
        <w:rPr>
          <w:rFonts w:hint="eastAsia"/>
          <w:color w:val="auto"/>
          <w:highlight w:val="none"/>
        </w:rPr>
      </w:pPr>
    </w:p>
    <w:p w14:paraId="7DAA05FB">
      <w:pPr>
        <w:pStyle w:val="2"/>
        <w:spacing w:line="240" w:lineRule="auto"/>
        <w:ind w:firstLine="402"/>
        <w:jc w:val="center"/>
        <w:rPr>
          <w:rFonts w:hint="eastAsia"/>
          <w:color w:val="auto"/>
          <w:sz w:val="32"/>
          <w:szCs w:val="32"/>
          <w:highlight w:val="none"/>
        </w:rPr>
        <w:sectPr>
          <w:footerReference r:id="rId9" w:type="default"/>
          <w:pgSz w:w="11906" w:h="16838"/>
          <w:pgMar w:top="1440" w:right="935" w:bottom="1440" w:left="779" w:header="851" w:footer="992" w:gutter="0"/>
          <w:pgNumType w:fmt="numberInDash" w:start="1"/>
          <w:cols w:space="720" w:num="1"/>
        </w:sectPr>
      </w:pPr>
      <w:bookmarkStart w:id="12" w:name="_Toc26371"/>
    </w:p>
    <w:p w14:paraId="06D8961A">
      <w:pPr>
        <w:pStyle w:val="2"/>
        <w:spacing w:line="240" w:lineRule="auto"/>
        <w:ind w:firstLine="402"/>
        <w:jc w:val="center"/>
        <w:rPr>
          <w:rFonts w:hint="eastAsia"/>
          <w:color w:val="auto"/>
          <w:sz w:val="32"/>
          <w:szCs w:val="32"/>
          <w:highlight w:val="none"/>
        </w:rPr>
      </w:pPr>
      <w:bookmarkStart w:id="13" w:name="_Toc19241"/>
      <w:r>
        <w:rPr>
          <w:rFonts w:hint="eastAsia"/>
          <w:color w:val="auto"/>
          <w:sz w:val="32"/>
          <w:szCs w:val="32"/>
          <w:highlight w:val="none"/>
        </w:rPr>
        <w:t>第一章 竞争性谈判公告</w:t>
      </w:r>
      <w:bookmarkEnd w:id="0"/>
      <w:bookmarkEnd w:id="1"/>
      <w:bookmarkEnd w:id="2"/>
      <w:bookmarkEnd w:id="3"/>
      <w:bookmarkEnd w:id="4"/>
      <w:bookmarkEnd w:id="5"/>
      <w:bookmarkEnd w:id="6"/>
      <w:bookmarkEnd w:id="7"/>
      <w:bookmarkEnd w:id="8"/>
      <w:bookmarkEnd w:id="9"/>
      <w:bookmarkEnd w:id="10"/>
      <w:bookmarkEnd w:id="11"/>
      <w:bookmarkEnd w:id="12"/>
      <w:bookmarkEnd w:id="13"/>
      <w:bookmarkStart w:id="14" w:name="_Toc28359089"/>
      <w:bookmarkStart w:id="15" w:name="_Toc35393629"/>
      <w:bookmarkStart w:id="16" w:name="_Toc28359012"/>
      <w:bookmarkStart w:id="17" w:name="_Toc35393798"/>
    </w:p>
    <w:tbl>
      <w:tblPr>
        <w:tblStyle w:val="42"/>
        <w:tblpPr w:leftFromText="180" w:rightFromText="180" w:vertAnchor="text" w:tblpX="38" w:tblpY="13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20"/>
      </w:tblGrid>
      <w:tr w14:paraId="3CD68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0" w:hRule="atLeast"/>
        </w:trPr>
        <w:tc>
          <w:tcPr>
            <w:tcW w:w="10220" w:type="dxa"/>
            <w:noWrap w:val="0"/>
            <w:vAlign w:val="top"/>
          </w:tcPr>
          <w:p w14:paraId="7300D107">
            <w:pPr>
              <w:spacing w:line="380" w:lineRule="exact"/>
              <w:ind w:firstLine="480"/>
              <w:rPr>
                <w:rFonts w:hint="eastAsia" w:ascii="宋体" w:hAnsi="宋体" w:cs="宋体"/>
                <w:color w:val="auto"/>
                <w:sz w:val="24"/>
                <w:highlight w:val="none"/>
              </w:rPr>
            </w:pPr>
            <w:r>
              <w:rPr>
                <w:rFonts w:hint="eastAsia" w:ascii="宋体" w:hAnsi="宋体" w:cs="宋体"/>
                <w:color w:val="auto"/>
                <w:sz w:val="24"/>
                <w:highlight w:val="none"/>
              </w:rPr>
              <w:t>项目概况</w:t>
            </w:r>
          </w:p>
          <w:p w14:paraId="15E2E243">
            <w:pPr>
              <w:spacing w:line="400" w:lineRule="exact"/>
              <w:ind w:firstLine="480"/>
              <w:rPr>
                <w:rFonts w:hint="eastAsia" w:ascii="宋体" w:hAnsi="宋体" w:cs="宋体"/>
                <w:color w:val="auto"/>
                <w:sz w:val="24"/>
                <w:highlight w:val="none"/>
              </w:rPr>
            </w:pPr>
            <w:r>
              <w:rPr>
                <w:rFonts w:hint="eastAsia" w:ascii="宋体" w:hAnsi="宋体" w:cs="宋体"/>
                <w:color w:val="auto"/>
                <w:sz w:val="24"/>
                <w:highlight w:val="none"/>
              </w:rPr>
              <w:t>桂林市政府集中采购中心受</w:t>
            </w:r>
            <w:r>
              <w:rPr>
                <w:rFonts w:hint="eastAsia" w:ascii="宋体" w:hAnsi="宋体" w:cs="宋体"/>
                <w:color w:val="auto"/>
                <w:sz w:val="24"/>
                <w:highlight w:val="none"/>
                <w:u w:val="single"/>
                <w:lang w:eastAsia="zh-CN"/>
              </w:rPr>
              <w:t>桂林师范学院</w:t>
            </w:r>
            <w:r>
              <w:rPr>
                <w:rFonts w:hint="eastAsia" w:ascii="宋体" w:hAnsi="宋体" w:cs="宋体"/>
                <w:color w:val="auto"/>
                <w:sz w:val="24"/>
                <w:highlight w:val="none"/>
              </w:rPr>
              <w:t>委托，根据《中华人民共和国政府采购法》《中华人民共和国政府采购法实施条例》《政府采购非招标采购方式管理办法》等规定，现就</w:t>
            </w:r>
            <w:r>
              <w:rPr>
                <w:rFonts w:hint="eastAsia" w:ascii="宋体" w:hAnsi="宋体" w:cs="宋体"/>
                <w:color w:val="auto"/>
                <w:sz w:val="24"/>
                <w:highlight w:val="none"/>
                <w:u w:val="single"/>
                <w:lang w:eastAsia="zh-CN"/>
              </w:rPr>
              <w:t>AI数智语言综合实训中心</w:t>
            </w:r>
            <w:r>
              <w:rPr>
                <w:rFonts w:hint="eastAsia" w:ascii="宋体" w:hAnsi="宋体" w:cs="宋体"/>
                <w:color w:val="auto"/>
                <w:sz w:val="24"/>
                <w:highlight w:val="none"/>
                <w:u w:val="none"/>
                <w:lang w:val="en-US" w:eastAsia="zh-CN"/>
              </w:rPr>
              <w:t>项目</w:t>
            </w:r>
            <w:r>
              <w:rPr>
                <w:rFonts w:hint="eastAsia" w:ascii="宋体" w:hAnsi="宋体" w:cs="宋体"/>
                <w:color w:val="auto"/>
                <w:sz w:val="24"/>
                <w:highlight w:val="none"/>
              </w:rPr>
              <w:t>进行竞争性谈判采购，欢迎符合条件的供应商前来参加谈判活动，并于</w:t>
            </w:r>
            <w:bookmarkStart w:id="1021" w:name="_GoBack"/>
            <w:bookmarkEnd w:id="1021"/>
            <w:r>
              <w:rPr>
                <w:rFonts w:hint="eastAsia" w:ascii="宋体" w:hAnsi="宋体" w:cs="宋体"/>
                <w:color w:val="auto"/>
                <w:sz w:val="24"/>
                <w:highlight w:val="none"/>
                <w:lang w:eastAsia="zh-CN"/>
              </w:rPr>
              <w:t>2026年8月17日</w:t>
            </w:r>
            <w:r>
              <w:rPr>
                <w:rFonts w:hint="eastAsia" w:ascii="宋体" w:hAnsi="宋体" w:cs="宋体"/>
                <w:color w:val="auto"/>
                <w:sz w:val="24"/>
                <w:highlight w:val="none"/>
              </w:rPr>
              <w:t>9点30分（北京时间）前提交响应文件。现将本次竞争性谈判的有关事项公告如下：</w:t>
            </w:r>
          </w:p>
        </w:tc>
      </w:tr>
    </w:tbl>
    <w:p w14:paraId="59E64FAA">
      <w:pPr>
        <w:pStyle w:val="18"/>
        <w:rPr>
          <w:color w:val="auto"/>
          <w:highlight w:val="none"/>
        </w:rPr>
      </w:pPr>
    </w:p>
    <w:p w14:paraId="399BC202">
      <w:pPr>
        <w:spacing w:line="360" w:lineRule="exact"/>
        <w:ind w:firstLine="480"/>
        <w:jc w:val="left"/>
        <w:rPr>
          <w:rFonts w:hint="eastAsia"/>
          <w:color w:val="auto"/>
          <w:sz w:val="24"/>
          <w:highlight w:val="none"/>
        </w:rPr>
      </w:pPr>
      <w:r>
        <w:rPr>
          <w:rFonts w:hint="eastAsia"/>
          <w:color w:val="auto"/>
          <w:sz w:val="24"/>
          <w:highlight w:val="none"/>
        </w:rPr>
        <w:t>一、项目基本情况</w:t>
      </w:r>
      <w:bookmarkEnd w:id="14"/>
      <w:bookmarkEnd w:id="15"/>
      <w:bookmarkEnd w:id="16"/>
      <w:bookmarkEnd w:id="17"/>
    </w:p>
    <w:p w14:paraId="6BD80DEB">
      <w:pPr>
        <w:spacing w:line="360" w:lineRule="exact"/>
        <w:ind w:left="0" w:leftChars="0" w:firstLine="420" w:firstLineChars="175"/>
        <w:jc w:val="left"/>
        <w:rPr>
          <w:rFonts w:hint="eastAsia" w:ascii="宋体" w:hAnsi="宋体" w:eastAsia="宋体" w:cs="宋体"/>
          <w:color w:val="auto"/>
          <w:sz w:val="24"/>
          <w:highlight w:val="none"/>
          <w:lang w:eastAsia="zh-CN"/>
        </w:rPr>
      </w:pPr>
      <w:r>
        <w:rPr>
          <w:rFonts w:hint="eastAsia" w:ascii="宋体" w:hAnsi="宋体" w:cs="宋体"/>
          <w:color w:val="auto"/>
          <w:sz w:val="24"/>
          <w:highlight w:val="none"/>
        </w:rPr>
        <w:t>项目编号：</w:t>
      </w:r>
      <w:r>
        <w:rPr>
          <w:rFonts w:hint="eastAsia" w:ascii="宋体" w:hAnsi="宋体" w:cs="宋体"/>
          <w:color w:val="auto"/>
          <w:sz w:val="24"/>
          <w:highlight w:val="none"/>
          <w:lang w:eastAsia="zh-CN"/>
        </w:rPr>
        <w:t>GXZC2026-J1-002254-GLSZ</w:t>
      </w:r>
    </w:p>
    <w:p w14:paraId="353E679A">
      <w:pPr>
        <w:spacing w:line="360" w:lineRule="exact"/>
        <w:ind w:left="0" w:leftChars="0" w:firstLine="420" w:firstLineChars="175"/>
        <w:jc w:val="left"/>
        <w:rPr>
          <w:rFonts w:hint="eastAsia" w:ascii="宋体" w:hAnsi="宋体" w:eastAsia="宋体" w:cs="宋体"/>
          <w:color w:val="auto"/>
          <w:sz w:val="24"/>
          <w:highlight w:val="none"/>
          <w:u w:val="single"/>
          <w:lang w:eastAsia="zh-CN"/>
        </w:rPr>
      </w:pPr>
      <w:r>
        <w:rPr>
          <w:rFonts w:hint="eastAsia" w:ascii="宋体" w:hAnsi="宋体" w:cs="宋体"/>
          <w:color w:val="auto"/>
          <w:sz w:val="24"/>
          <w:highlight w:val="none"/>
        </w:rPr>
        <w:t>项目名称：</w:t>
      </w:r>
      <w:r>
        <w:rPr>
          <w:rFonts w:hint="eastAsia" w:ascii="宋体" w:hAnsi="宋体" w:cs="宋体"/>
          <w:color w:val="auto"/>
          <w:sz w:val="24"/>
          <w:highlight w:val="none"/>
          <w:lang w:eastAsia="zh-CN"/>
        </w:rPr>
        <w:t>AI数智语言综合实训中心</w:t>
      </w:r>
    </w:p>
    <w:p w14:paraId="020B7822">
      <w:pPr>
        <w:spacing w:line="360" w:lineRule="exact"/>
        <w:ind w:left="0" w:leftChars="0" w:firstLine="420" w:firstLineChars="175"/>
        <w:jc w:val="left"/>
        <w:rPr>
          <w:rFonts w:hint="eastAsia" w:ascii="宋体" w:hAnsi="宋体" w:cs="宋体"/>
          <w:color w:val="auto"/>
          <w:sz w:val="24"/>
          <w:highlight w:val="none"/>
        </w:rPr>
      </w:pPr>
      <w:r>
        <w:rPr>
          <w:rFonts w:hint="eastAsia" w:ascii="宋体" w:hAnsi="宋体" w:cs="宋体"/>
          <w:color w:val="auto"/>
          <w:sz w:val="24"/>
          <w:highlight w:val="none"/>
        </w:rPr>
        <w:t>采购方式：竞争性谈判</w:t>
      </w:r>
    </w:p>
    <w:p w14:paraId="7C30F176">
      <w:pPr>
        <w:keepNext w:val="0"/>
        <w:keepLines w:val="0"/>
        <w:widowControl/>
        <w:suppressLineNumbers w:val="0"/>
        <w:spacing w:line="360" w:lineRule="exact"/>
        <w:ind w:firstLine="420" w:firstLineChars="175"/>
        <w:jc w:val="left"/>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rPr>
        <w:t>预算金额：</w:t>
      </w:r>
      <w:r>
        <w:rPr>
          <w:rFonts w:hint="eastAsia" w:ascii="宋体" w:hAnsi="宋体" w:cs="宋体"/>
          <w:color w:val="auto"/>
          <w:sz w:val="24"/>
          <w:highlight w:val="none"/>
          <w:lang w:eastAsia="zh-CN"/>
        </w:rPr>
        <w:t>人民币壹佰叁拾陆万玖仟元整（¥1369000.00元）</w:t>
      </w:r>
      <w:r>
        <w:rPr>
          <w:rFonts w:hint="eastAsia" w:ascii="宋体" w:hAnsi="宋体" w:cs="宋体"/>
          <w:color w:val="auto"/>
          <w:sz w:val="24"/>
          <w:highlight w:val="none"/>
        </w:rPr>
        <w:t>。</w:t>
      </w:r>
    </w:p>
    <w:p w14:paraId="4C71F811">
      <w:pPr>
        <w:spacing w:line="360" w:lineRule="exact"/>
        <w:ind w:firstLine="480"/>
        <w:jc w:val="left"/>
        <w:rPr>
          <w:rFonts w:hint="default" w:ascii="宋体" w:hAnsi="宋体" w:eastAsia="宋体" w:cs="宋体"/>
          <w:color w:val="auto"/>
          <w:sz w:val="24"/>
          <w:highlight w:val="none"/>
          <w:lang w:val="en-US" w:eastAsia="zh-CN"/>
        </w:rPr>
      </w:pPr>
      <w:r>
        <w:rPr>
          <w:rFonts w:hint="eastAsia" w:ascii="宋体" w:hAnsi="宋体" w:cs="宋体"/>
          <w:color w:val="auto"/>
          <w:sz w:val="24"/>
          <w:highlight w:val="none"/>
        </w:rPr>
        <w:t>采购需求：</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5"/>
        <w:gridCol w:w="2577"/>
        <w:gridCol w:w="1105"/>
        <w:gridCol w:w="1145"/>
        <w:gridCol w:w="2479"/>
      </w:tblGrid>
      <w:tr w14:paraId="0A3B4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025" w:type="dxa"/>
            <w:noWrap w:val="0"/>
            <w:vAlign w:val="center"/>
          </w:tcPr>
          <w:p w14:paraId="01317EB1">
            <w:pPr>
              <w:spacing w:line="360" w:lineRule="exact"/>
              <w:jc w:val="center"/>
              <w:rPr>
                <w:rFonts w:hint="eastAsia" w:ascii="宋体" w:hAnsi="宋体" w:cs="宋体"/>
                <w:color w:val="auto"/>
                <w:sz w:val="24"/>
                <w:highlight w:val="none"/>
              </w:rPr>
            </w:pPr>
            <w:r>
              <w:rPr>
                <w:rFonts w:hint="eastAsia" w:ascii="宋体" w:hAnsi="宋体" w:cs="宋体"/>
                <w:color w:val="auto"/>
                <w:sz w:val="24"/>
                <w:highlight w:val="none"/>
              </w:rPr>
              <w:t>项号</w:t>
            </w:r>
          </w:p>
        </w:tc>
        <w:tc>
          <w:tcPr>
            <w:tcW w:w="2577" w:type="dxa"/>
            <w:noWrap w:val="0"/>
            <w:vAlign w:val="center"/>
          </w:tcPr>
          <w:p w14:paraId="59F35115">
            <w:pPr>
              <w:spacing w:line="360" w:lineRule="exact"/>
              <w:jc w:val="center"/>
              <w:rPr>
                <w:rFonts w:hint="eastAsia" w:ascii="宋体" w:hAnsi="宋体" w:eastAsia="宋体" w:cs="宋体"/>
                <w:color w:val="auto"/>
                <w:sz w:val="24"/>
                <w:highlight w:val="none"/>
                <w:lang w:eastAsia="zh-CN"/>
              </w:rPr>
            </w:pPr>
            <w:r>
              <w:rPr>
                <w:rFonts w:hint="eastAsia" w:ascii="宋体" w:hAnsi="宋体" w:cs="宋体"/>
                <w:color w:val="auto"/>
                <w:sz w:val="24"/>
                <w:highlight w:val="none"/>
                <w:lang w:eastAsia="zh-CN"/>
              </w:rPr>
              <w:t>标的名称</w:t>
            </w:r>
          </w:p>
        </w:tc>
        <w:tc>
          <w:tcPr>
            <w:tcW w:w="1105" w:type="dxa"/>
            <w:noWrap w:val="0"/>
            <w:vAlign w:val="center"/>
          </w:tcPr>
          <w:p w14:paraId="3C397DD1">
            <w:pPr>
              <w:spacing w:line="360" w:lineRule="exact"/>
              <w:jc w:val="center"/>
              <w:rPr>
                <w:rFonts w:hint="eastAsia" w:ascii="宋体" w:hAnsi="宋体" w:cs="宋体"/>
                <w:color w:val="auto"/>
                <w:sz w:val="24"/>
                <w:highlight w:val="none"/>
              </w:rPr>
            </w:pPr>
            <w:r>
              <w:rPr>
                <w:rFonts w:hint="eastAsia" w:ascii="宋体" w:hAnsi="宋体" w:cs="宋体"/>
                <w:color w:val="auto"/>
                <w:sz w:val="24"/>
                <w:highlight w:val="none"/>
              </w:rPr>
              <w:t>单位</w:t>
            </w:r>
          </w:p>
        </w:tc>
        <w:tc>
          <w:tcPr>
            <w:tcW w:w="1145" w:type="dxa"/>
            <w:noWrap w:val="0"/>
            <w:vAlign w:val="center"/>
          </w:tcPr>
          <w:p w14:paraId="04A84BC9">
            <w:pPr>
              <w:spacing w:line="360" w:lineRule="exact"/>
              <w:jc w:val="center"/>
              <w:rPr>
                <w:rFonts w:hint="eastAsia" w:ascii="宋体" w:hAnsi="宋体" w:cs="宋体"/>
                <w:color w:val="auto"/>
                <w:sz w:val="24"/>
                <w:highlight w:val="none"/>
              </w:rPr>
            </w:pPr>
            <w:r>
              <w:rPr>
                <w:rFonts w:hint="eastAsia" w:ascii="宋体" w:hAnsi="宋体" w:cs="宋体"/>
                <w:color w:val="auto"/>
                <w:sz w:val="24"/>
                <w:highlight w:val="none"/>
              </w:rPr>
              <w:t>数量</w:t>
            </w:r>
          </w:p>
        </w:tc>
        <w:tc>
          <w:tcPr>
            <w:tcW w:w="2479" w:type="dxa"/>
            <w:noWrap w:val="0"/>
            <w:vAlign w:val="center"/>
          </w:tcPr>
          <w:p w14:paraId="456EAAAF">
            <w:pPr>
              <w:spacing w:line="360" w:lineRule="exact"/>
              <w:jc w:val="center"/>
              <w:rPr>
                <w:rFonts w:hint="eastAsia" w:ascii="宋体" w:hAnsi="宋体" w:cs="宋体"/>
                <w:color w:val="auto"/>
                <w:sz w:val="24"/>
                <w:highlight w:val="none"/>
              </w:rPr>
            </w:pPr>
            <w:r>
              <w:rPr>
                <w:rFonts w:hint="eastAsia" w:ascii="宋体" w:hAnsi="宋体" w:cs="宋体"/>
                <w:color w:val="auto"/>
                <w:sz w:val="24"/>
                <w:highlight w:val="none"/>
              </w:rPr>
              <w:t>主要技术参数</w:t>
            </w:r>
          </w:p>
        </w:tc>
      </w:tr>
      <w:tr w14:paraId="068B1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025" w:type="dxa"/>
            <w:noWrap w:val="0"/>
            <w:vAlign w:val="center"/>
          </w:tcPr>
          <w:p w14:paraId="41843CE7">
            <w:pPr>
              <w:spacing w:line="360" w:lineRule="exact"/>
              <w:jc w:val="center"/>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w:t>
            </w:r>
          </w:p>
        </w:tc>
        <w:tc>
          <w:tcPr>
            <w:tcW w:w="2577" w:type="dxa"/>
            <w:noWrap w:val="0"/>
            <w:vAlign w:val="center"/>
          </w:tcPr>
          <w:p w14:paraId="201A4FA8">
            <w:pPr>
              <w:spacing w:line="360" w:lineRule="exact"/>
              <w:jc w:val="center"/>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全数字语言教学系统</w:t>
            </w:r>
          </w:p>
        </w:tc>
        <w:tc>
          <w:tcPr>
            <w:tcW w:w="1105" w:type="dxa"/>
            <w:noWrap w:val="0"/>
            <w:vAlign w:val="center"/>
          </w:tcPr>
          <w:p w14:paraId="41F4A93E">
            <w:pPr>
              <w:pStyle w:val="238"/>
              <w:spacing w:line="360" w:lineRule="exact"/>
              <w:jc w:val="center"/>
              <w:rPr>
                <w:rFonts w:hint="eastAsia" w:ascii="宋体" w:hAnsi="宋体" w:cs="宋体"/>
                <w:color w:val="auto"/>
                <w:sz w:val="24"/>
                <w:highlight w:val="none"/>
              </w:rPr>
            </w:pPr>
            <w:r>
              <w:rPr>
                <w:rFonts w:hint="eastAsia" w:ascii="宋体" w:hAnsi="宋体" w:cs="宋体"/>
                <w:color w:val="auto"/>
                <w:sz w:val="24"/>
                <w:highlight w:val="none"/>
                <w:lang w:val="en-US" w:eastAsia="zh-CN"/>
              </w:rPr>
              <w:t>套</w:t>
            </w:r>
          </w:p>
        </w:tc>
        <w:tc>
          <w:tcPr>
            <w:tcW w:w="1145" w:type="dxa"/>
            <w:noWrap w:val="0"/>
            <w:vAlign w:val="center"/>
          </w:tcPr>
          <w:p w14:paraId="4BA20184">
            <w:pPr>
              <w:spacing w:line="360" w:lineRule="exact"/>
              <w:jc w:val="center"/>
              <w:rPr>
                <w:rFonts w:hint="eastAsia" w:ascii="宋体" w:hAnsi="宋体" w:eastAsia="宋体" w:cs="宋体"/>
                <w:color w:val="auto"/>
                <w:sz w:val="24"/>
                <w:highlight w:val="none"/>
                <w:lang w:eastAsia="zh-CN"/>
              </w:rPr>
            </w:pPr>
            <w:r>
              <w:rPr>
                <w:rFonts w:hint="eastAsia" w:ascii="宋体" w:hAnsi="宋体" w:cs="宋体"/>
                <w:color w:val="auto"/>
                <w:sz w:val="24"/>
                <w:highlight w:val="none"/>
                <w:lang w:val="en-US" w:eastAsia="zh-CN"/>
              </w:rPr>
              <w:t>2</w:t>
            </w:r>
          </w:p>
        </w:tc>
        <w:tc>
          <w:tcPr>
            <w:tcW w:w="2479" w:type="dxa"/>
            <w:noWrap w:val="0"/>
            <w:vAlign w:val="center"/>
          </w:tcPr>
          <w:p w14:paraId="706DB731">
            <w:pPr>
              <w:spacing w:line="360" w:lineRule="exact"/>
              <w:jc w:val="center"/>
              <w:rPr>
                <w:rFonts w:hint="eastAsia" w:ascii="宋体" w:hAnsi="宋体" w:cs="宋体"/>
                <w:color w:val="auto"/>
                <w:sz w:val="24"/>
                <w:highlight w:val="none"/>
              </w:rPr>
            </w:pPr>
            <w:r>
              <w:rPr>
                <w:rFonts w:hint="eastAsia" w:ascii="宋体" w:hAnsi="宋体" w:cs="宋体"/>
                <w:color w:val="auto"/>
                <w:sz w:val="24"/>
                <w:highlight w:val="none"/>
              </w:rPr>
              <w:t>详见竞争性谈判文件</w:t>
            </w:r>
          </w:p>
        </w:tc>
      </w:tr>
      <w:tr w14:paraId="6033E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025" w:type="dxa"/>
            <w:noWrap w:val="0"/>
            <w:vAlign w:val="center"/>
          </w:tcPr>
          <w:p w14:paraId="64A5F1AF">
            <w:pPr>
              <w:spacing w:line="360" w:lineRule="exact"/>
              <w:jc w:val="center"/>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2</w:t>
            </w:r>
          </w:p>
        </w:tc>
        <w:tc>
          <w:tcPr>
            <w:tcW w:w="2577" w:type="dxa"/>
            <w:noWrap w:val="0"/>
            <w:vAlign w:val="center"/>
          </w:tcPr>
          <w:p w14:paraId="5A10EE74">
            <w:pPr>
              <w:spacing w:line="360" w:lineRule="exact"/>
              <w:jc w:val="center"/>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生成式人工智能提示词训练系统</w:t>
            </w:r>
          </w:p>
        </w:tc>
        <w:tc>
          <w:tcPr>
            <w:tcW w:w="1105" w:type="dxa"/>
            <w:noWrap w:val="0"/>
            <w:vAlign w:val="center"/>
          </w:tcPr>
          <w:p w14:paraId="441020B1">
            <w:pPr>
              <w:pStyle w:val="238"/>
              <w:spacing w:line="360" w:lineRule="exact"/>
              <w:jc w:val="center"/>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套</w:t>
            </w:r>
          </w:p>
        </w:tc>
        <w:tc>
          <w:tcPr>
            <w:tcW w:w="1145" w:type="dxa"/>
            <w:noWrap w:val="0"/>
            <w:vAlign w:val="center"/>
          </w:tcPr>
          <w:p w14:paraId="13D1DBB0">
            <w:pPr>
              <w:spacing w:line="360" w:lineRule="exact"/>
              <w:jc w:val="center"/>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2</w:t>
            </w:r>
          </w:p>
        </w:tc>
        <w:tc>
          <w:tcPr>
            <w:tcW w:w="2479" w:type="dxa"/>
            <w:noWrap w:val="0"/>
            <w:vAlign w:val="center"/>
          </w:tcPr>
          <w:p w14:paraId="09868C31">
            <w:pPr>
              <w:spacing w:line="360" w:lineRule="exact"/>
              <w:jc w:val="center"/>
              <w:rPr>
                <w:rFonts w:hint="eastAsia" w:ascii="宋体" w:hAnsi="宋体" w:cs="宋体"/>
                <w:color w:val="auto"/>
                <w:sz w:val="24"/>
                <w:highlight w:val="none"/>
              </w:rPr>
            </w:pPr>
            <w:r>
              <w:rPr>
                <w:rFonts w:hint="eastAsia" w:ascii="宋体" w:hAnsi="宋体" w:cs="宋体"/>
                <w:color w:val="auto"/>
                <w:sz w:val="24"/>
                <w:highlight w:val="none"/>
              </w:rPr>
              <w:t>详见竞争性谈判文件</w:t>
            </w:r>
          </w:p>
        </w:tc>
      </w:tr>
      <w:tr w14:paraId="43682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025" w:type="dxa"/>
            <w:noWrap w:val="0"/>
            <w:vAlign w:val="center"/>
          </w:tcPr>
          <w:p w14:paraId="14F9BA6E">
            <w:pPr>
              <w:spacing w:line="360" w:lineRule="exact"/>
              <w:jc w:val="center"/>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3</w:t>
            </w:r>
          </w:p>
        </w:tc>
        <w:tc>
          <w:tcPr>
            <w:tcW w:w="2577" w:type="dxa"/>
            <w:noWrap w:val="0"/>
            <w:vAlign w:val="center"/>
          </w:tcPr>
          <w:p w14:paraId="2C2E002A">
            <w:pPr>
              <w:spacing w:line="360" w:lineRule="exact"/>
              <w:jc w:val="center"/>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AI纯外语课堂</w:t>
            </w:r>
          </w:p>
        </w:tc>
        <w:tc>
          <w:tcPr>
            <w:tcW w:w="1105" w:type="dxa"/>
            <w:noWrap w:val="0"/>
            <w:vAlign w:val="center"/>
          </w:tcPr>
          <w:p w14:paraId="34CA992C">
            <w:pPr>
              <w:pStyle w:val="238"/>
              <w:spacing w:line="360" w:lineRule="exact"/>
              <w:jc w:val="center"/>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套</w:t>
            </w:r>
          </w:p>
        </w:tc>
        <w:tc>
          <w:tcPr>
            <w:tcW w:w="1145" w:type="dxa"/>
            <w:noWrap w:val="0"/>
            <w:vAlign w:val="center"/>
          </w:tcPr>
          <w:p w14:paraId="48B3A483">
            <w:pPr>
              <w:spacing w:line="360" w:lineRule="exact"/>
              <w:jc w:val="center"/>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2</w:t>
            </w:r>
          </w:p>
        </w:tc>
        <w:tc>
          <w:tcPr>
            <w:tcW w:w="2479" w:type="dxa"/>
            <w:noWrap w:val="0"/>
            <w:vAlign w:val="center"/>
          </w:tcPr>
          <w:p w14:paraId="3686B008">
            <w:pPr>
              <w:spacing w:line="360" w:lineRule="exact"/>
              <w:jc w:val="center"/>
              <w:rPr>
                <w:rFonts w:hint="eastAsia" w:ascii="宋体" w:hAnsi="宋体" w:cs="宋体"/>
                <w:color w:val="auto"/>
                <w:sz w:val="24"/>
                <w:highlight w:val="none"/>
              </w:rPr>
            </w:pPr>
            <w:r>
              <w:rPr>
                <w:rFonts w:hint="eastAsia" w:ascii="宋体" w:hAnsi="宋体" w:cs="宋体"/>
                <w:color w:val="auto"/>
                <w:sz w:val="24"/>
                <w:highlight w:val="none"/>
              </w:rPr>
              <w:t>详见竞争性谈判文件</w:t>
            </w:r>
          </w:p>
        </w:tc>
      </w:tr>
      <w:tr w14:paraId="12CED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025" w:type="dxa"/>
            <w:noWrap w:val="0"/>
            <w:vAlign w:val="center"/>
          </w:tcPr>
          <w:p w14:paraId="18B69609">
            <w:pPr>
              <w:spacing w:line="360" w:lineRule="exact"/>
              <w:jc w:val="center"/>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4</w:t>
            </w:r>
          </w:p>
        </w:tc>
        <w:tc>
          <w:tcPr>
            <w:tcW w:w="2577" w:type="dxa"/>
            <w:noWrap w:val="0"/>
            <w:vAlign w:val="center"/>
          </w:tcPr>
          <w:p w14:paraId="414262EE">
            <w:pPr>
              <w:spacing w:line="360" w:lineRule="exact"/>
              <w:jc w:val="center"/>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AI考试（在线）系统</w:t>
            </w:r>
          </w:p>
        </w:tc>
        <w:tc>
          <w:tcPr>
            <w:tcW w:w="1105" w:type="dxa"/>
            <w:noWrap w:val="0"/>
            <w:vAlign w:val="center"/>
          </w:tcPr>
          <w:p w14:paraId="1956C188">
            <w:pPr>
              <w:pStyle w:val="238"/>
              <w:spacing w:line="360" w:lineRule="exact"/>
              <w:jc w:val="center"/>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套</w:t>
            </w:r>
          </w:p>
        </w:tc>
        <w:tc>
          <w:tcPr>
            <w:tcW w:w="1145" w:type="dxa"/>
            <w:noWrap w:val="0"/>
            <w:vAlign w:val="center"/>
          </w:tcPr>
          <w:p w14:paraId="6BAFE3D6">
            <w:pPr>
              <w:spacing w:line="360" w:lineRule="exact"/>
              <w:jc w:val="center"/>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1</w:t>
            </w:r>
          </w:p>
        </w:tc>
        <w:tc>
          <w:tcPr>
            <w:tcW w:w="2479" w:type="dxa"/>
            <w:noWrap w:val="0"/>
            <w:vAlign w:val="center"/>
          </w:tcPr>
          <w:p w14:paraId="3CA62D40">
            <w:pPr>
              <w:spacing w:line="360" w:lineRule="exact"/>
              <w:jc w:val="center"/>
              <w:rPr>
                <w:rFonts w:hint="eastAsia" w:ascii="宋体" w:hAnsi="宋体" w:cs="宋体"/>
                <w:color w:val="auto"/>
                <w:sz w:val="24"/>
                <w:highlight w:val="none"/>
              </w:rPr>
            </w:pPr>
            <w:r>
              <w:rPr>
                <w:rFonts w:hint="eastAsia" w:ascii="宋体" w:hAnsi="宋体" w:cs="宋体"/>
                <w:color w:val="auto"/>
                <w:sz w:val="24"/>
                <w:highlight w:val="none"/>
              </w:rPr>
              <w:t>详见竞争性谈判文件</w:t>
            </w:r>
          </w:p>
        </w:tc>
      </w:tr>
      <w:tr w14:paraId="0D73F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025" w:type="dxa"/>
            <w:noWrap w:val="0"/>
            <w:vAlign w:val="center"/>
          </w:tcPr>
          <w:p w14:paraId="4DB74FE0">
            <w:pPr>
              <w:spacing w:line="360" w:lineRule="exact"/>
              <w:jc w:val="center"/>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5</w:t>
            </w:r>
          </w:p>
        </w:tc>
        <w:tc>
          <w:tcPr>
            <w:tcW w:w="2577" w:type="dxa"/>
            <w:noWrap w:val="0"/>
            <w:vAlign w:val="center"/>
          </w:tcPr>
          <w:p w14:paraId="3D01DAFB">
            <w:pPr>
              <w:spacing w:line="360" w:lineRule="exact"/>
              <w:jc w:val="center"/>
              <w:rPr>
                <w:rFonts w:hint="eastAsia" w:ascii="宋体" w:hAnsi="宋体" w:eastAsia="宋体" w:cs="宋体"/>
                <w:color w:val="auto"/>
                <w:sz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AI智能语伴</w:t>
            </w:r>
          </w:p>
        </w:tc>
        <w:tc>
          <w:tcPr>
            <w:tcW w:w="1105" w:type="dxa"/>
            <w:noWrap w:val="0"/>
            <w:vAlign w:val="center"/>
          </w:tcPr>
          <w:p w14:paraId="1BF5E725">
            <w:pPr>
              <w:pStyle w:val="238"/>
              <w:spacing w:line="360" w:lineRule="exact"/>
              <w:jc w:val="center"/>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套</w:t>
            </w:r>
          </w:p>
        </w:tc>
        <w:tc>
          <w:tcPr>
            <w:tcW w:w="1145" w:type="dxa"/>
            <w:noWrap w:val="0"/>
            <w:vAlign w:val="center"/>
          </w:tcPr>
          <w:p w14:paraId="2025F3A6">
            <w:pPr>
              <w:spacing w:line="360" w:lineRule="exact"/>
              <w:jc w:val="center"/>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1</w:t>
            </w:r>
          </w:p>
        </w:tc>
        <w:tc>
          <w:tcPr>
            <w:tcW w:w="2479" w:type="dxa"/>
            <w:noWrap w:val="0"/>
            <w:vAlign w:val="center"/>
          </w:tcPr>
          <w:p w14:paraId="3767E9DB">
            <w:pPr>
              <w:spacing w:line="360" w:lineRule="exact"/>
              <w:jc w:val="center"/>
              <w:rPr>
                <w:rFonts w:hint="eastAsia" w:ascii="宋体" w:hAnsi="宋体" w:cs="宋体"/>
                <w:color w:val="auto"/>
                <w:sz w:val="24"/>
                <w:highlight w:val="none"/>
              </w:rPr>
            </w:pPr>
            <w:r>
              <w:rPr>
                <w:rFonts w:hint="eastAsia" w:ascii="宋体" w:hAnsi="宋体" w:cs="宋体"/>
                <w:color w:val="auto"/>
                <w:sz w:val="24"/>
                <w:highlight w:val="none"/>
              </w:rPr>
              <w:t>详见竞争性谈判文件</w:t>
            </w:r>
          </w:p>
        </w:tc>
      </w:tr>
      <w:tr w14:paraId="6DF0A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025" w:type="dxa"/>
            <w:noWrap w:val="0"/>
            <w:vAlign w:val="center"/>
          </w:tcPr>
          <w:p w14:paraId="2F9157BC">
            <w:pPr>
              <w:spacing w:line="360" w:lineRule="exact"/>
              <w:jc w:val="center"/>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6</w:t>
            </w:r>
          </w:p>
        </w:tc>
        <w:tc>
          <w:tcPr>
            <w:tcW w:w="2577" w:type="dxa"/>
            <w:noWrap w:val="0"/>
            <w:vAlign w:val="center"/>
          </w:tcPr>
          <w:p w14:paraId="5622DFE4">
            <w:pPr>
              <w:spacing w:line="360" w:lineRule="exact"/>
              <w:jc w:val="center"/>
              <w:rPr>
                <w:rFonts w:hint="eastAsia" w:ascii="宋体" w:hAnsi="宋体" w:eastAsia="宋体" w:cs="宋体"/>
                <w:color w:val="auto"/>
                <w:sz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大学英语四级题库</w:t>
            </w:r>
          </w:p>
        </w:tc>
        <w:tc>
          <w:tcPr>
            <w:tcW w:w="1105" w:type="dxa"/>
            <w:noWrap w:val="0"/>
            <w:vAlign w:val="center"/>
          </w:tcPr>
          <w:p w14:paraId="47871C9A">
            <w:pPr>
              <w:pStyle w:val="238"/>
              <w:spacing w:line="360" w:lineRule="exact"/>
              <w:jc w:val="center"/>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套</w:t>
            </w:r>
          </w:p>
        </w:tc>
        <w:tc>
          <w:tcPr>
            <w:tcW w:w="1145" w:type="dxa"/>
            <w:noWrap w:val="0"/>
            <w:vAlign w:val="center"/>
          </w:tcPr>
          <w:p w14:paraId="2755C948">
            <w:pPr>
              <w:spacing w:line="360" w:lineRule="exact"/>
              <w:jc w:val="center"/>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1</w:t>
            </w:r>
          </w:p>
        </w:tc>
        <w:tc>
          <w:tcPr>
            <w:tcW w:w="2479" w:type="dxa"/>
            <w:noWrap w:val="0"/>
            <w:vAlign w:val="center"/>
          </w:tcPr>
          <w:p w14:paraId="458499CC">
            <w:pPr>
              <w:spacing w:line="360" w:lineRule="exact"/>
              <w:jc w:val="center"/>
              <w:rPr>
                <w:rFonts w:hint="eastAsia" w:ascii="宋体" w:hAnsi="宋体" w:cs="宋体"/>
                <w:color w:val="auto"/>
                <w:sz w:val="24"/>
                <w:highlight w:val="none"/>
              </w:rPr>
            </w:pPr>
            <w:r>
              <w:rPr>
                <w:rFonts w:hint="eastAsia" w:ascii="宋体" w:hAnsi="宋体" w:cs="宋体"/>
                <w:color w:val="auto"/>
                <w:sz w:val="24"/>
                <w:highlight w:val="none"/>
              </w:rPr>
              <w:t>详见竞争性谈判文件</w:t>
            </w:r>
          </w:p>
        </w:tc>
      </w:tr>
      <w:tr w14:paraId="3BAB6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025" w:type="dxa"/>
            <w:noWrap w:val="0"/>
            <w:vAlign w:val="center"/>
          </w:tcPr>
          <w:p w14:paraId="0C9498C1">
            <w:pPr>
              <w:spacing w:line="360" w:lineRule="exact"/>
              <w:jc w:val="center"/>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7</w:t>
            </w:r>
          </w:p>
        </w:tc>
        <w:tc>
          <w:tcPr>
            <w:tcW w:w="2577" w:type="dxa"/>
            <w:noWrap w:val="0"/>
            <w:vAlign w:val="center"/>
          </w:tcPr>
          <w:p w14:paraId="1F1C8C4C">
            <w:pPr>
              <w:spacing w:line="360" w:lineRule="exact"/>
              <w:jc w:val="center"/>
              <w:rPr>
                <w:rFonts w:hint="eastAsia" w:ascii="宋体" w:hAnsi="宋体" w:eastAsia="宋体" w:cs="宋体"/>
                <w:color w:val="auto"/>
                <w:sz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大学英语六级题库</w:t>
            </w:r>
          </w:p>
        </w:tc>
        <w:tc>
          <w:tcPr>
            <w:tcW w:w="1105" w:type="dxa"/>
            <w:noWrap w:val="0"/>
            <w:vAlign w:val="center"/>
          </w:tcPr>
          <w:p w14:paraId="13E307F2">
            <w:pPr>
              <w:pStyle w:val="238"/>
              <w:spacing w:line="360" w:lineRule="exact"/>
              <w:jc w:val="center"/>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套</w:t>
            </w:r>
          </w:p>
        </w:tc>
        <w:tc>
          <w:tcPr>
            <w:tcW w:w="1145" w:type="dxa"/>
            <w:noWrap w:val="0"/>
            <w:vAlign w:val="center"/>
          </w:tcPr>
          <w:p w14:paraId="481CE909">
            <w:pPr>
              <w:spacing w:line="360" w:lineRule="exact"/>
              <w:jc w:val="center"/>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1</w:t>
            </w:r>
          </w:p>
        </w:tc>
        <w:tc>
          <w:tcPr>
            <w:tcW w:w="2479" w:type="dxa"/>
            <w:noWrap w:val="0"/>
            <w:vAlign w:val="center"/>
          </w:tcPr>
          <w:p w14:paraId="282DB22F">
            <w:pPr>
              <w:spacing w:line="360" w:lineRule="exact"/>
              <w:jc w:val="center"/>
              <w:rPr>
                <w:rFonts w:hint="eastAsia" w:ascii="宋体" w:hAnsi="宋体" w:cs="宋体"/>
                <w:color w:val="auto"/>
                <w:sz w:val="24"/>
                <w:highlight w:val="none"/>
              </w:rPr>
            </w:pPr>
            <w:r>
              <w:rPr>
                <w:rFonts w:hint="eastAsia" w:ascii="宋体" w:hAnsi="宋体" w:cs="宋体"/>
                <w:color w:val="auto"/>
                <w:sz w:val="24"/>
                <w:highlight w:val="none"/>
              </w:rPr>
              <w:t>详见竞争性谈判文件</w:t>
            </w:r>
          </w:p>
        </w:tc>
      </w:tr>
      <w:tr w14:paraId="6D1C5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025" w:type="dxa"/>
            <w:noWrap w:val="0"/>
            <w:vAlign w:val="center"/>
          </w:tcPr>
          <w:p w14:paraId="06AC954E">
            <w:pPr>
              <w:spacing w:line="360" w:lineRule="exact"/>
              <w:jc w:val="center"/>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8</w:t>
            </w:r>
          </w:p>
        </w:tc>
        <w:tc>
          <w:tcPr>
            <w:tcW w:w="2577" w:type="dxa"/>
            <w:noWrap w:val="0"/>
            <w:vAlign w:val="center"/>
          </w:tcPr>
          <w:p w14:paraId="781D1F90">
            <w:pPr>
              <w:spacing w:line="360" w:lineRule="exact"/>
              <w:jc w:val="center"/>
              <w:rPr>
                <w:rFonts w:hint="eastAsia" w:ascii="宋体" w:hAnsi="宋体" w:eastAsia="宋体" w:cs="宋体"/>
                <w:color w:val="auto"/>
                <w:sz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英语专业四级题库</w:t>
            </w:r>
          </w:p>
        </w:tc>
        <w:tc>
          <w:tcPr>
            <w:tcW w:w="1105" w:type="dxa"/>
            <w:noWrap w:val="0"/>
            <w:vAlign w:val="center"/>
          </w:tcPr>
          <w:p w14:paraId="38EA38A3">
            <w:pPr>
              <w:pStyle w:val="238"/>
              <w:spacing w:line="360" w:lineRule="exact"/>
              <w:jc w:val="center"/>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套</w:t>
            </w:r>
          </w:p>
        </w:tc>
        <w:tc>
          <w:tcPr>
            <w:tcW w:w="1145" w:type="dxa"/>
            <w:noWrap w:val="0"/>
            <w:vAlign w:val="center"/>
          </w:tcPr>
          <w:p w14:paraId="72A4EF0D">
            <w:pPr>
              <w:spacing w:line="360" w:lineRule="exact"/>
              <w:jc w:val="center"/>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1</w:t>
            </w:r>
          </w:p>
        </w:tc>
        <w:tc>
          <w:tcPr>
            <w:tcW w:w="2479" w:type="dxa"/>
            <w:noWrap w:val="0"/>
            <w:vAlign w:val="center"/>
          </w:tcPr>
          <w:p w14:paraId="02EAFB6D">
            <w:pPr>
              <w:spacing w:line="360" w:lineRule="exact"/>
              <w:jc w:val="center"/>
              <w:rPr>
                <w:rFonts w:hint="eastAsia" w:ascii="宋体" w:hAnsi="宋体" w:cs="宋体"/>
                <w:color w:val="auto"/>
                <w:sz w:val="24"/>
                <w:highlight w:val="none"/>
              </w:rPr>
            </w:pPr>
            <w:r>
              <w:rPr>
                <w:rFonts w:hint="eastAsia" w:ascii="宋体" w:hAnsi="宋体" w:cs="宋体"/>
                <w:color w:val="auto"/>
                <w:sz w:val="24"/>
                <w:highlight w:val="none"/>
              </w:rPr>
              <w:t>详见竞争性谈判文件</w:t>
            </w:r>
          </w:p>
        </w:tc>
      </w:tr>
      <w:tr w14:paraId="72D54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025" w:type="dxa"/>
            <w:noWrap w:val="0"/>
            <w:vAlign w:val="center"/>
          </w:tcPr>
          <w:p w14:paraId="72CDDD30">
            <w:pPr>
              <w:spacing w:line="360" w:lineRule="exact"/>
              <w:jc w:val="center"/>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9</w:t>
            </w:r>
          </w:p>
        </w:tc>
        <w:tc>
          <w:tcPr>
            <w:tcW w:w="2577" w:type="dxa"/>
            <w:noWrap w:val="0"/>
            <w:vAlign w:val="center"/>
          </w:tcPr>
          <w:p w14:paraId="646566BE">
            <w:pPr>
              <w:spacing w:line="360" w:lineRule="exact"/>
              <w:jc w:val="center"/>
              <w:rPr>
                <w:rFonts w:hint="eastAsia" w:ascii="宋体" w:hAnsi="宋体" w:eastAsia="宋体" w:cs="宋体"/>
                <w:color w:val="auto"/>
                <w:sz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英语专业八级题库</w:t>
            </w:r>
          </w:p>
        </w:tc>
        <w:tc>
          <w:tcPr>
            <w:tcW w:w="1105" w:type="dxa"/>
            <w:noWrap w:val="0"/>
            <w:vAlign w:val="center"/>
          </w:tcPr>
          <w:p w14:paraId="23782425">
            <w:pPr>
              <w:pStyle w:val="238"/>
              <w:spacing w:line="360" w:lineRule="exact"/>
              <w:jc w:val="center"/>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套</w:t>
            </w:r>
          </w:p>
        </w:tc>
        <w:tc>
          <w:tcPr>
            <w:tcW w:w="1145" w:type="dxa"/>
            <w:noWrap w:val="0"/>
            <w:vAlign w:val="center"/>
          </w:tcPr>
          <w:p w14:paraId="49A6128B">
            <w:pPr>
              <w:spacing w:line="360" w:lineRule="exact"/>
              <w:jc w:val="center"/>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1</w:t>
            </w:r>
          </w:p>
        </w:tc>
        <w:tc>
          <w:tcPr>
            <w:tcW w:w="2479" w:type="dxa"/>
            <w:noWrap w:val="0"/>
            <w:vAlign w:val="center"/>
          </w:tcPr>
          <w:p w14:paraId="6AD0DE5F">
            <w:pPr>
              <w:spacing w:line="360" w:lineRule="exact"/>
              <w:jc w:val="center"/>
              <w:rPr>
                <w:rFonts w:hint="eastAsia" w:ascii="宋体" w:hAnsi="宋体" w:cs="宋体"/>
                <w:color w:val="auto"/>
                <w:sz w:val="24"/>
                <w:highlight w:val="none"/>
              </w:rPr>
            </w:pPr>
            <w:r>
              <w:rPr>
                <w:rFonts w:hint="eastAsia" w:ascii="宋体" w:hAnsi="宋体" w:cs="宋体"/>
                <w:color w:val="auto"/>
                <w:sz w:val="24"/>
                <w:highlight w:val="none"/>
              </w:rPr>
              <w:t>详见竞争性谈判文件</w:t>
            </w:r>
          </w:p>
        </w:tc>
      </w:tr>
      <w:tr w14:paraId="4CE9A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025" w:type="dxa"/>
            <w:noWrap w:val="0"/>
            <w:vAlign w:val="center"/>
          </w:tcPr>
          <w:p w14:paraId="43697DD5">
            <w:pPr>
              <w:spacing w:line="360" w:lineRule="exact"/>
              <w:jc w:val="center"/>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10</w:t>
            </w:r>
          </w:p>
        </w:tc>
        <w:tc>
          <w:tcPr>
            <w:tcW w:w="2577" w:type="dxa"/>
            <w:noWrap w:val="0"/>
            <w:vAlign w:val="center"/>
          </w:tcPr>
          <w:p w14:paraId="5356ABCC">
            <w:pPr>
              <w:spacing w:line="360" w:lineRule="exact"/>
              <w:jc w:val="center"/>
              <w:rPr>
                <w:rFonts w:hint="eastAsia" w:ascii="宋体" w:hAnsi="宋体" w:eastAsia="宋体" w:cs="宋体"/>
                <w:color w:val="auto"/>
                <w:sz w:val="24"/>
                <w:highlight w:val="none"/>
                <w:lang w:val="en-US" w:eastAsia="zh-CN"/>
              </w:rPr>
            </w:pPr>
            <w:r>
              <w:rPr>
                <w:rFonts w:hint="eastAsia" w:ascii="宋体" w:hAnsi="宋体" w:eastAsia="宋体" w:cs="宋体"/>
                <w:i w:val="0"/>
                <w:iCs w:val="0"/>
                <w:color w:val="auto"/>
                <w:kern w:val="0"/>
                <w:sz w:val="24"/>
                <w:szCs w:val="24"/>
                <w:highlight w:val="none"/>
                <w:u w:val="none"/>
                <w:lang w:val="en-US" w:eastAsia="zh-CN" w:bidi="ar"/>
              </w:rPr>
              <w:t>广西专升本英语题库</w:t>
            </w:r>
          </w:p>
        </w:tc>
        <w:tc>
          <w:tcPr>
            <w:tcW w:w="1105" w:type="dxa"/>
            <w:noWrap w:val="0"/>
            <w:vAlign w:val="center"/>
          </w:tcPr>
          <w:p w14:paraId="73C15311">
            <w:pPr>
              <w:pStyle w:val="238"/>
              <w:spacing w:line="360" w:lineRule="exact"/>
              <w:jc w:val="center"/>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套</w:t>
            </w:r>
          </w:p>
        </w:tc>
        <w:tc>
          <w:tcPr>
            <w:tcW w:w="1145" w:type="dxa"/>
            <w:noWrap w:val="0"/>
            <w:vAlign w:val="center"/>
          </w:tcPr>
          <w:p w14:paraId="62BE3830">
            <w:pPr>
              <w:spacing w:line="360" w:lineRule="exact"/>
              <w:jc w:val="center"/>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1</w:t>
            </w:r>
          </w:p>
        </w:tc>
        <w:tc>
          <w:tcPr>
            <w:tcW w:w="2479" w:type="dxa"/>
            <w:noWrap w:val="0"/>
            <w:vAlign w:val="center"/>
          </w:tcPr>
          <w:p w14:paraId="2BFD41E5">
            <w:pPr>
              <w:spacing w:line="360" w:lineRule="exact"/>
              <w:jc w:val="center"/>
              <w:rPr>
                <w:rFonts w:hint="eastAsia" w:ascii="宋体" w:hAnsi="宋体" w:cs="宋体"/>
                <w:color w:val="auto"/>
                <w:sz w:val="24"/>
                <w:highlight w:val="none"/>
              </w:rPr>
            </w:pPr>
            <w:r>
              <w:rPr>
                <w:rFonts w:hint="eastAsia" w:ascii="宋体" w:hAnsi="宋体" w:cs="宋体"/>
                <w:color w:val="auto"/>
                <w:sz w:val="24"/>
                <w:highlight w:val="none"/>
              </w:rPr>
              <w:t>详见竞争性谈判文件</w:t>
            </w:r>
          </w:p>
        </w:tc>
      </w:tr>
      <w:tr w14:paraId="126FA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025" w:type="dxa"/>
            <w:noWrap w:val="0"/>
            <w:vAlign w:val="center"/>
          </w:tcPr>
          <w:p w14:paraId="4C0DFFAF">
            <w:pPr>
              <w:spacing w:line="360" w:lineRule="exact"/>
              <w:jc w:val="center"/>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11</w:t>
            </w:r>
          </w:p>
        </w:tc>
        <w:tc>
          <w:tcPr>
            <w:tcW w:w="2577" w:type="dxa"/>
            <w:noWrap w:val="0"/>
            <w:vAlign w:val="center"/>
          </w:tcPr>
          <w:p w14:paraId="7119A2EF">
            <w:pPr>
              <w:spacing w:line="360" w:lineRule="exact"/>
              <w:jc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高等学校英语应用能力考试B级题库</w:t>
            </w:r>
          </w:p>
        </w:tc>
        <w:tc>
          <w:tcPr>
            <w:tcW w:w="1105" w:type="dxa"/>
            <w:noWrap w:val="0"/>
            <w:vAlign w:val="center"/>
          </w:tcPr>
          <w:p w14:paraId="1E528861">
            <w:pPr>
              <w:pStyle w:val="238"/>
              <w:spacing w:line="360" w:lineRule="exact"/>
              <w:jc w:val="center"/>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套</w:t>
            </w:r>
          </w:p>
        </w:tc>
        <w:tc>
          <w:tcPr>
            <w:tcW w:w="1145" w:type="dxa"/>
            <w:noWrap w:val="0"/>
            <w:vAlign w:val="center"/>
          </w:tcPr>
          <w:p w14:paraId="35405C4C">
            <w:pPr>
              <w:spacing w:line="360" w:lineRule="exact"/>
              <w:jc w:val="center"/>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1</w:t>
            </w:r>
          </w:p>
        </w:tc>
        <w:tc>
          <w:tcPr>
            <w:tcW w:w="2479" w:type="dxa"/>
            <w:noWrap w:val="0"/>
            <w:vAlign w:val="center"/>
          </w:tcPr>
          <w:p w14:paraId="0E55ABA2">
            <w:pPr>
              <w:spacing w:line="360" w:lineRule="exact"/>
              <w:jc w:val="center"/>
              <w:rPr>
                <w:rFonts w:hint="eastAsia" w:ascii="宋体" w:hAnsi="宋体" w:cs="宋体"/>
                <w:color w:val="auto"/>
                <w:sz w:val="24"/>
                <w:highlight w:val="none"/>
              </w:rPr>
            </w:pPr>
            <w:r>
              <w:rPr>
                <w:rFonts w:hint="eastAsia" w:ascii="宋体" w:hAnsi="宋体" w:cs="宋体"/>
                <w:color w:val="auto"/>
                <w:sz w:val="24"/>
                <w:highlight w:val="none"/>
              </w:rPr>
              <w:t>详见竞争性谈判文件</w:t>
            </w:r>
          </w:p>
        </w:tc>
      </w:tr>
    </w:tbl>
    <w:p w14:paraId="3E79EBE8">
      <w:pPr>
        <w:spacing w:line="36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采购需求的详细内容，详见竞争性谈判文件。</w:t>
      </w:r>
    </w:p>
    <w:p w14:paraId="166F49B6">
      <w:pPr>
        <w:spacing w:line="36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合同履行期限：自合同签订之日起至成交供应商承诺免费保修期满。</w:t>
      </w:r>
    </w:p>
    <w:p w14:paraId="797C07C2">
      <w:pPr>
        <w:spacing w:line="360" w:lineRule="exact"/>
        <w:ind w:firstLine="480"/>
        <w:jc w:val="left"/>
        <w:rPr>
          <w:rFonts w:hint="eastAsia" w:ascii="宋体" w:hAnsi="宋体" w:cs="宋体"/>
          <w:b/>
          <w:bCs/>
          <w:color w:val="auto"/>
          <w:sz w:val="24"/>
          <w:highlight w:val="none"/>
        </w:rPr>
      </w:pPr>
      <w:r>
        <w:rPr>
          <w:rFonts w:hint="eastAsia" w:ascii="宋体" w:hAnsi="宋体" w:cs="宋体"/>
          <w:b/>
          <w:bCs/>
          <w:color w:val="auto"/>
          <w:sz w:val="24"/>
          <w:highlight w:val="none"/>
        </w:rPr>
        <w:t>本项目不接受联合体参与谈判。</w:t>
      </w:r>
    </w:p>
    <w:p w14:paraId="3F83CC83">
      <w:pPr>
        <w:spacing w:line="360" w:lineRule="exact"/>
        <w:ind w:firstLine="480"/>
        <w:jc w:val="left"/>
        <w:rPr>
          <w:rFonts w:hint="eastAsia"/>
          <w:color w:val="auto"/>
          <w:sz w:val="24"/>
          <w:highlight w:val="none"/>
        </w:rPr>
      </w:pPr>
      <w:bookmarkStart w:id="18" w:name="_Toc35393799"/>
      <w:bookmarkStart w:id="19" w:name="_Toc28359013"/>
      <w:bookmarkStart w:id="20" w:name="_Toc28359090"/>
      <w:bookmarkStart w:id="21" w:name="_Toc35393630"/>
      <w:r>
        <w:rPr>
          <w:rFonts w:hint="eastAsia"/>
          <w:color w:val="auto"/>
          <w:sz w:val="24"/>
          <w:highlight w:val="none"/>
        </w:rPr>
        <w:t>二、申请人的资格要求：</w:t>
      </w:r>
      <w:bookmarkEnd w:id="18"/>
      <w:bookmarkEnd w:id="19"/>
      <w:bookmarkEnd w:id="20"/>
      <w:bookmarkEnd w:id="21"/>
    </w:p>
    <w:p w14:paraId="2EBE4AB4">
      <w:pPr>
        <w:spacing w:line="360" w:lineRule="exact"/>
        <w:ind w:firstLine="480"/>
        <w:jc w:val="left"/>
        <w:rPr>
          <w:rFonts w:hint="eastAsia" w:ascii="宋体" w:hAnsi="宋体" w:cs="宋体"/>
          <w:color w:val="auto"/>
          <w:sz w:val="24"/>
          <w:highlight w:val="none"/>
        </w:rPr>
      </w:pPr>
      <w:bookmarkStart w:id="22" w:name="_Toc28359014"/>
      <w:bookmarkStart w:id="23" w:name="_Toc28359091"/>
      <w:r>
        <w:rPr>
          <w:rFonts w:hint="eastAsia" w:ascii="宋体" w:hAnsi="宋体" w:cs="宋体"/>
          <w:color w:val="auto"/>
          <w:sz w:val="24"/>
          <w:highlight w:val="none"/>
        </w:rPr>
        <w:t>1.满足《中华人民共和国政府采购法》第二十二条规定；</w:t>
      </w:r>
    </w:p>
    <w:p w14:paraId="1E012165">
      <w:pPr>
        <w:spacing w:line="360" w:lineRule="exact"/>
        <w:ind w:firstLine="480"/>
        <w:jc w:val="left"/>
        <w:rPr>
          <w:rFonts w:hint="eastAsia"/>
          <w:color w:val="auto"/>
          <w:highlight w:val="none"/>
        </w:rPr>
      </w:pPr>
      <w:r>
        <w:rPr>
          <w:rFonts w:hint="eastAsia" w:ascii="宋体" w:hAnsi="宋体" w:cs="宋体"/>
          <w:color w:val="auto"/>
          <w:sz w:val="24"/>
          <w:highlight w:val="none"/>
        </w:rPr>
        <w:t>2.被列入失信被执行人、</w:t>
      </w:r>
      <w:r>
        <w:rPr>
          <w:rFonts w:hint="eastAsia" w:ascii="宋体" w:hAnsi="宋体" w:cs="宋体"/>
          <w:color w:val="auto"/>
          <w:sz w:val="24"/>
          <w:highlight w:val="none"/>
          <w:lang w:eastAsia="zh-CN"/>
        </w:rPr>
        <w:t>重大税收违法失信主体名单</w:t>
      </w:r>
      <w:r>
        <w:rPr>
          <w:rFonts w:hint="eastAsia" w:ascii="宋体" w:hAnsi="宋体" w:cs="宋体"/>
          <w:color w:val="auto"/>
          <w:sz w:val="24"/>
          <w:highlight w:val="none"/>
        </w:rPr>
        <w:t>、政府采购严重违法失信行为记录名单及其他不符合《中华人民共和国政府采购法》第二十二条规定条件的供应商，将被拒绝其参与本次政府采购活动。供应商可在“信用中国”网站（www.creditchina.gov.cn）、中国政府采购网（www.ccgp.gov.cn）查询相关供应商主体信用记录。</w:t>
      </w:r>
    </w:p>
    <w:p w14:paraId="00C78347">
      <w:pPr>
        <w:spacing w:line="38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3.落实政府采购政策需满足的资格要求：</w:t>
      </w:r>
      <w:r>
        <w:rPr>
          <w:rFonts w:hint="eastAsia" w:ascii="宋体" w:hAnsi="宋体" w:cs="宋体"/>
          <w:b/>
          <w:bCs/>
          <w:color w:val="auto"/>
          <w:sz w:val="24"/>
          <w:highlight w:val="none"/>
        </w:rPr>
        <w:t>无</w:t>
      </w:r>
    </w:p>
    <w:p w14:paraId="4F437C72">
      <w:pPr>
        <w:spacing w:line="360" w:lineRule="exact"/>
        <w:ind w:firstLine="480"/>
        <w:jc w:val="left"/>
        <w:rPr>
          <w:color w:val="auto"/>
          <w:sz w:val="24"/>
          <w:highlight w:val="none"/>
        </w:rPr>
      </w:pPr>
      <w:r>
        <w:rPr>
          <w:rFonts w:hint="eastAsia" w:ascii="宋体" w:hAnsi="宋体" w:cs="宋体"/>
          <w:color w:val="auto"/>
          <w:sz w:val="24"/>
          <w:highlight w:val="none"/>
        </w:rPr>
        <w:t>4.本项目的特定资格要求：</w:t>
      </w:r>
      <w:bookmarkEnd w:id="22"/>
      <w:bookmarkEnd w:id="23"/>
      <w:bookmarkStart w:id="24" w:name="_Toc35393800"/>
      <w:bookmarkStart w:id="25" w:name="_Toc35393631"/>
      <w:r>
        <w:rPr>
          <w:rFonts w:hint="eastAsia" w:ascii="宋体" w:hAnsi="宋体" w:cs="宋体"/>
          <w:b/>
          <w:bCs/>
          <w:color w:val="auto"/>
          <w:sz w:val="24"/>
          <w:highlight w:val="none"/>
        </w:rPr>
        <w:t>无</w:t>
      </w:r>
    </w:p>
    <w:p w14:paraId="6D8F2B62">
      <w:pPr>
        <w:numPr>
          <w:ilvl w:val="0"/>
          <w:numId w:val="1"/>
        </w:numPr>
        <w:spacing w:line="360" w:lineRule="exact"/>
        <w:ind w:firstLine="480"/>
        <w:jc w:val="left"/>
        <w:rPr>
          <w:rFonts w:hint="eastAsia"/>
          <w:color w:val="auto"/>
          <w:sz w:val="24"/>
          <w:highlight w:val="none"/>
        </w:rPr>
      </w:pPr>
      <w:r>
        <w:rPr>
          <w:rFonts w:hint="eastAsia"/>
          <w:color w:val="auto"/>
          <w:sz w:val="24"/>
          <w:highlight w:val="none"/>
        </w:rPr>
        <w:t>获取采购文件</w:t>
      </w:r>
      <w:bookmarkEnd w:id="24"/>
      <w:bookmarkEnd w:id="25"/>
    </w:p>
    <w:p w14:paraId="669235B1">
      <w:pPr>
        <w:spacing w:line="360" w:lineRule="exact"/>
        <w:ind w:firstLine="480"/>
        <w:jc w:val="left"/>
        <w:rPr>
          <w:rFonts w:ascii="宋体" w:hAnsi="宋体" w:cs="宋体"/>
          <w:color w:val="auto"/>
          <w:sz w:val="24"/>
          <w:highlight w:val="none"/>
        </w:rPr>
      </w:pPr>
      <w:r>
        <w:rPr>
          <w:rFonts w:hint="eastAsia" w:ascii="宋体" w:hAnsi="宋体" w:cs="宋体"/>
          <w:color w:val="auto"/>
          <w:sz w:val="24"/>
          <w:highlight w:val="none"/>
        </w:rPr>
        <w:t>1.采购文件获取时间：</w:t>
      </w:r>
      <w:r>
        <w:rPr>
          <w:rFonts w:hint="eastAsia" w:ascii="宋体" w:hAnsi="宋体" w:cs="宋体"/>
          <w:color w:val="auto"/>
          <w:sz w:val="24"/>
          <w:highlight w:val="none"/>
          <w:lang w:eastAsia="zh-CN"/>
        </w:rPr>
        <w:t>2026年</w:t>
      </w:r>
      <w:r>
        <w:rPr>
          <w:rFonts w:hint="eastAsia" w:ascii="宋体" w:hAnsi="宋体" w:cs="宋体"/>
          <w:color w:val="auto"/>
          <w:sz w:val="24"/>
          <w:highlight w:val="none"/>
          <w:lang w:val="en-US" w:eastAsia="zh-CN"/>
        </w:rPr>
        <w:t>8</w:t>
      </w:r>
      <w:r>
        <w:rPr>
          <w:rFonts w:hint="eastAsia" w:ascii="宋体" w:hAnsi="宋体" w:cs="宋体"/>
          <w:color w:val="auto"/>
          <w:sz w:val="24"/>
          <w:highlight w:val="none"/>
          <w:lang w:eastAsia="zh-CN"/>
        </w:rPr>
        <w:t>月</w:t>
      </w:r>
      <w:r>
        <w:rPr>
          <w:rFonts w:hint="eastAsia" w:ascii="宋体" w:hAnsi="宋体" w:cs="宋体"/>
          <w:color w:val="auto"/>
          <w:sz w:val="24"/>
          <w:highlight w:val="none"/>
          <w:lang w:val="en-US" w:eastAsia="zh-CN"/>
        </w:rPr>
        <w:t>7</w:t>
      </w:r>
      <w:r>
        <w:rPr>
          <w:rFonts w:hint="eastAsia" w:ascii="宋体" w:hAnsi="宋体" w:cs="宋体"/>
          <w:color w:val="auto"/>
          <w:sz w:val="24"/>
          <w:highlight w:val="none"/>
          <w:lang w:eastAsia="zh-CN"/>
        </w:rPr>
        <w:t>日</w:t>
      </w:r>
      <w:r>
        <w:rPr>
          <w:rFonts w:hint="eastAsia" w:ascii="宋体" w:hAnsi="宋体" w:cs="宋体"/>
          <w:color w:val="auto"/>
          <w:sz w:val="24"/>
          <w:highlight w:val="none"/>
        </w:rPr>
        <w:t>至</w:t>
      </w:r>
      <w:r>
        <w:rPr>
          <w:rFonts w:hint="eastAsia" w:ascii="宋体" w:hAnsi="宋体" w:cs="宋体"/>
          <w:color w:val="auto"/>
          <w:sz w:val="24"/>
          <w:highlight w:val="none"/>
          <w:lang w:eastAsia="zh-CN"/>
        </w:rPr>
        <w:t>2026年8月17日</w:t>
      </w:r>
      <w:r>
        <w:rPr>
          <w:rFonts w:hint="eastAsia" w:ascii="宋体" w:hAnsi="宋体" w:cs="宋体"/>
          <w:color w:val="auto"/>
          <w:sz w:val="24"/>
          <w:highlight w:val="none"/>
        </w:rPr>
        <w:t xml:space="preserve">9时30分止。   </w:t>
      </w:r>
    </w:p>
    <w:p w14:paraId="03DFD191">
      <w:pPr>
        <w:spacing w:line="36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2.采购文件的获取地点及方式：潜在供应商请登录广西政府采购云平台获取该项目竞争性谈判文件。</w:t>
      </w:r>
    </w:p>
    <w:p w14:paraId="5E2DCAD9">
      <w:pPr>
        <w:pStyle w:val="18"/>
        <w:spacing w:line="360" w:lineRule="exact"/>
        <w:ind w:firstLine="480"/>
        <w:jc w:val="left"/>
        <w:rPr>
          <w:rFonts w:hint="eastAsia"/>
          <w:color w:val="auto"/>
          <w:sz w:val="24"/>
          <w:highlight w:val="none"/>
        </w:rPr>
      </w:pPr>
      <w:r>
        <w:rPr>
          <w:rFonts w:hint="eastAsia" w:ascii="宋体" w:hAnsi="宋体" w:cs="宋体"/>
          <w:color w:val="auto"/>
          <w:sz w:val="24"/>
          <w:highlight w:val="none"/>
        </w:rPr>
        <w:t>3.采购文件售价：本项目采购文件不收取费用。</w:t>
      </w:r>
    </w:p>
    <w:p w14:paraId="62D8B6FF">
      <w:pPr>
        <w:numPr>
          <w:ilvl w:val="0"/>
          <w:numId w:val="2"/>
        </w:numPr>
        <w:spacing w:line="360" w:lineRule="exact"/>
        <w:ind w:firstLine="480"/>
        <w:jc w:val="left"/>
        <w:rPr>
          <w:rFonts w:hint="eastAsia"/>
          <w:color w:val="auto"/>
          <w:sz w:val="24"/>
          <w:highlight w:val="none"/>
        </w:rPr>
      </w:pPr>
      <w:bookmarkStart w:id="26" w:name="_Toc28359015"/>
      <w:bookmarkStart w:id="27" w:name="_Toc28359092"/>
      <w:bookmarkStart w:id="28" w:name="_Toc35393632"/>
      <w:bookmarkStart w:id="29" w:name="_Toc35393801"/>
      <w:r>
        <w:rPr>
          <w:rFonts w:hint="eastAsia"/>
          <w:color w:val="auto"/>
          <w:sz w:val="24"/>
          <w:highlight w:val="none"/>
        </w:rPr>
        <w:t>响应文件</w:t>
      </w:r>
      <w:bookmarkEnd w:id="26"/>
      <w:bookmarkEnd w:id="27"/>
      <w:bookmarkEnd w:id="28"/>
      <w:bookmarkEnd w:id="29"/>
      <w:r>
        <w:rPr>
          <w:rFonts w:hint="eastAsia"/>
          <w:color w:val="auto"/>
          <w:sz w:val="24"/>
          <w:highlight w:val="none"/>
        </w:rPr>
        <w:t>递交时间和地点</w:t>
      </w:r>
    </w:p>
    <w:p w14:paraId="1C3B3073">
      <w:pPr>
        <w:spacing w:line="360" w:lineRule="exact"/>
        <w:ind w:firstLine="480"/>
        <w:jc w:val="left"/>
        <w:rPr>
          <w:rFonts w:hint="eastAsia"/>
          <w:color w:val="auto"/>
          <w:highlight w:val="none"/>
        </w:rPr>
      </w:pPr>
      <w:r>
        <w:rPr>
          <w:rFonts w:hint="eastAsia" w:ascii="宋体" w:hAnsi="宋体" w:cs="宋体"/>
          <w:color w:val="auto"/>
          <w:sz w:val="24"/>
          <w:highlight w:val="none"/>
        </w:rPr>
        <w:t>响应文件递交截止时间：</w:t>
      </w:r>
      <w:r>
        <w:rPr>
          <w:rFonts w:hint="eastAsia" w:ascii="宋体" w:hAnsi="宋体" w:cs="宋体"/>
          <w:color w:val="auto"/>
          <w:sz w:val="24"/>
          <w:highlight w:val="none"/>
          <w:u w:val="single"/>
          <w:lang w:eastAsia="zh-CN"/>
        </w:rPr>
        <w:t>2026年8月17日</w:t>
      </w:r>
      <w:r>
        <w:rPr>
          <w:rFonts w:hint="eastAsia" w:ascii="宋体" w:hAnsi="宋体" w:cs="宋体"/>
          <w:color w:val="auto"/>
          <w:sz w:val="24"/>
          <w:highlight w:val="none"/>
          <w:u w:val="single"/>
        </w:rPr>
        <w:t>9点30分</w:t>
      </w:r>
      <w:r>
        <w:rPr>
          <w:rFonts w:hint="eastAsia" w:ascii="宋体" w:hAnsi="宋体" w:cs="宋体"/>
          <w:color w:val="auto"/>
          <w:sz w:val="24"/>
          <w:highlight w:val="none"/>
        </w:rPr>
        <w:t>（北京时间）</w:t>
      </w:r>
    </w:p>
    <w:p w14:paraId="78DE3F3C">
      <w:pPr>
        <w:spacing w:line="36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地点：通过广西政府采购云平台实行在线响应。</w:t>
      </w:r>
    </w:p>
    <w:p w14:paraId="2E967B77">
      <w:pPr>
        <w:numPr>
          <w:ilvl w:val="0"/>
          <w:numId w:val="2"/>
        </w:numPr>
        <w:spacing w:line="36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开启</w:t>
      </w:r>
    </w:p>
    <w:p w14:paraId="7E6FD09E">
      <w:pPr>
        <w:spacing w:line="36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时间：</w:t>
      </w:r>
      <w:r>
        <w:rPr>
          <w:rFonts w:hint="eastAsia" w:ascii="宋体" w:hAnsi="宋体" w:cs="宋体"/>
          <w:color w:val="auto"/>
          <w:sz w:val="24"/>
          <w:highlight w:val="none"/>
          <w:u w:val="single"/>
          <w:lang w:eastAsia="zh-CN"/>
        </w:rPr>
        <w:t>2026年8月17日</w:t>
      </w:r>
      <w:r>
        <w:rPr>
          <w:rFonts w:hint="eastAsia" w:ascii="宋体" w:hAnsi="宋体" w:cs="宋体"/>
          <w:color w:val="auto"/>
          <w:sz w:val="24"/>
          <w:highlight w:val="none"/>
          <w:u w:val="single"/>
        </w:rPr>
        <w:t>9点30分</w:t>
      </w:r>
      <w:r>
        <w:rPr>
          <w:rFonts w:hint="eastAsia" w:ascii="宋体" w:hAnsi="宋体" w:cs="宋体"/>
          <w:color w:val="auto"/>
          <w:sz w:val="24"/>
          <w:highlight w:val="none"/>
        </w:rPr>
        <w:t>（北京时间）截标后。</w:t>
      </w:r>
    </w:p>
    <w:p w14:paraId="191956B0">
      <w:pPr>
        <w:spacing w:line="360" w:lineRule="exact"/>
        <w:ind w:firstLine="480"/>
        <w:jc w:val="left"/>
        <w:rPr>
          <w:rFonts w:hint="eastAsia"/>
          <w:color w:val="auto"/>
          <w:highlight w:val="none"/>
        </w:rPr>
      </w:pPr>
      <w:r>
        <w:rPr>
          <w:rFonts w:hint="eastAsia" w:ascii="宋体" w:hAnsi="宋体" w:cs="宋体"/>
          <w:color w:val="auto"/>
          <w:sz w:val="24"/>
          <w:highlight w:val="none"/>
        </w:rPr>
        <w:t>地点：</w:t>
      </w:r>
      <w:bookmarkStart w:id="30" w:name="OLE_LINK1"/>
      <w:r>
        <w:rPr>
          <w:rFonts w:hint="eastAsia" w:ascii="宋体" w:hAnsi="宋体" w:cs="宋体"/>
          <w:color w:val="auto"/>
          <w:sz w:val="24"/>
          <w:highlight w:val="none"/>
        </w:rPr>
        <w:t>桂林市公共资源交易中心</w:t>
      </w:r>
      <w:bookmarkEnd w:id="30"/>
      <w:r>
        <w:rPr>
          <w:rFonts w:hint="eastAsia" w:ascii="宋体" w:hAnsi="宋体" w:cs="宋体"/>
          <w:color w:val="auto"/>
          <w:sz w:val="24"/>
          <w:highlight w:val="none"/>
          <w:u w:val="single"/>
          <w:lang w:eastAsia="zh-CN"/>
        </w:rPr>
        <w:t>9号开标室（4号政采开标仓）</w:t>
      </w:r>
      <w:r>
        <w:rPr>
          <w:rFonts w:hint="eastAsia" w:ascii="宋体" w:hAnsi="宋体" w:cs="宋体"/>
          <w:color w:val="auto"/>
          <w:sz w:val="24"/>
          <w:highlight w:val="none"/>
        </w:rPr>
        <w:t>通过广西政府采购云平台实行在线解密开启。</w:t>
      </w:r>
    </w:p>
    <w:p w14:paraId="001C9B1C">
      <w:pPr>
        <w:numPr>
          <w:ilvl w:val="0"/>
          <w:numId w:val="2"/>
        </w:numPr>
        <w:spacing w:line="360" w:lineRule="exact"/>
        <w:ind w:firstLine="480"/>
        <w:jc w:val="left"/>
        <w:rPr>
          <w:rFonts w:hint="eastAsia"/>
          <w:color w:val="auto"/>
          <w:sz w:val="24"/>
          <w:highlight w:val="none"/>
        </w:rPr>
      </w:pPr>
      <w:bookmarkStart w:id="31" w:name="_Toc28359094"/>
      <w:bookmarkStart w:id="32" w:name="_Toc28359017"/>
      <w:bookmarkStart w:id="33" w:name="_Toc35393634"/>
      <w:bookmarkStart w:id="34" w:name="_Toc35393803"/>
      <w:r>
        <w:rPr>
          <w:rFonts w:hint="eastAsia"/>
          <w:color w:val="auto"/>
          <w:sz w:val="24"/>
          <w:highlight w:val="none"/>
        </w:rPr>
        <w:t>公告期限</w:t>
      </w:r>
      <w:bookmarkEnd w:id="31"/>
      <w:bookmarkEnd w:id="32"/>
      <w:bookmarkEnd w:id="33"/>
      <w:bookmarkEnd w:id="34"/>
    </w:p>
    <w:p w14:paraId="615AFCD0">
      <w:pPr>
        <w:spacing w:line="36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自本公告发布之日起5个工作日。</w:t>
      </w:r>
    </w:p>
    <w:p w14:paraId="43691D83">
      <w:pPr>
        <w:spacing w:line="360" w:lineRule="exact"/>
        <w:ind w:firstLine="480"/>
        <w:jc w:val="left"/>
        <w:rPr>
          <w:rFonts w:hint="eastAsia"/>
          <w:color w:val="auto"/>
          <w:sz w:val="24"/>
          <w:highlight w:val="none"/>
        </w:rPr>
      </w:pPr>
      <w:bookmarkStart w:id="35" w:name="_Toc35393804"/>
      <w:bookmarkStart w:id="36" w:name="_Toc35393635"/>
      <w:r>
        <w:rPr>
          <w:rFonts w:hint="eastAsia"/>
          <w:color w:val="auto"/>
          <w:sz w:val="24"/>
          <w:highlight w:val="none"/>
        </w:rPr>
        <w:t>七、其他补充事宜</w:t>
      </w:r>
      <w:bookmarkEnd w:id="35"/>
      <w:bookmarkEnd w:id="36"/>
    </w:p>
    <w:p w14:paraId="4E0DFA6C">
      <w:pPr>
        <w:spacing w:line="360" w:lineRule="exact"/>
        <w:ind w:firstLine="480"/>
        <w:jc w:val="left"/>
        <w:rPr>
          <w:rFonts w:hint="eastAsia" w:ascii="宋体" w:hAnsi="宋体" w:cs="宋体"/>
          <w:color w:val="auto"/>
          <w:sz w:val="24"/>
          <w:highlight w:val="none"/>
        </w:rPr>
      </w:pPr>
      <w:r>
        <w:rPr>
          <w:rFonts w:hint="eastAsia" w:ascii="宋体" w:hAnsi="宋体" w:cs="宋体"/>
          <w:b/>
          <w:bCs/>
          <w:color w:val="auto"/>
          <w:sz w:val="24"/>
          <w:highlight w:val="none"/>
        </w:rPr>
        <w:t>1. 本项目无需缴纳谈判保证金。</w:t>
      </w:r>
    </w:p>
    <w:p w14:paraId="39F80EA7">
      <w:pPr>
        <w:spacing w:line="360" w:lineRule="exact"/>
        <w:ind w:firstLine="480"/>
        <w:jc w:val="left"/>
        <w:rPr>
          <w:rFonts w:ascii="宋体" w:hAnsi="宋体" w:cs="宋体"/>
          <w:color w:val="auto"/>
          <w:sz w:val="24"/>
          <w:highlight w:val="none"/>
        </w:rPr>
      </w:pPr>
      <w:r>
        <w:rPr>
          <w:rFonts w:hint="eastAsia" w:ascii="宋体" w:hAnsi="宋体" w:cs="宋体"/>
          <w:color w:val="auto"/>
          <w:sz w:val="24"/>
          <w:highlight w:val="none"/>
        </w:rPr>
        <w:t>2. 供应商可视自身情况决定是否出席开标会议；如出席开标会议，可以由法定代表人、负责人、自然人或其委托代理人出席开标会议（出席代表需携带本人身份证原件，未携带身份证所造成一切后果，由其自行承担）。</w:t>
      </w:r>
    </w:p>
    <w:p w14:paraId="75431FAE">
      <w:pPr>
        <w:spacing w:line="360" w:lineRule="exact"/>
        <w:ind w:firstLine="480"/>
        <w:jc w:val="left"/>
        <w:rPr>
          <w:color w:val="auto"/>
          <w:highlight w:val="none"/>
        </w:rPr>
      </w:pPr>
      <w:r>
        <w:rPr>
          <w:rFonts w:hint="eastAsia" w:ascii="宋体" w:hAnsi="宋体" w:cs="宋体"/>
          <w:color w:val="auto"/>
          <w:sz w:val="24"/>
          <w:highlight w:val="none"/>
        </w:rPr>
        <w:t>3. 本项目信息发布媒体：</w:t>
      </w:r>
    </w:p>
    <w:p w14:paraId="631817EA">
      <w:pPr>
        <w:spacing w:line="36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广西壮族自治区政府采购网（www.ccgp-guangxi.gov.cn）</w:t>
      </w:r>
    </w:p>
    <w:p w14:paraId="645557B5">
      <w:pPr>
        <w:spacing w:line="360" w:lineRule="exact"/>
        <w:ind w:firstLine="480"/>
        <w:jc w:val="left"/>
        <w:rPr>
          <w:rFonts w:ascii="宋体" w:hAnsi="宋体" w:cs="宋体"/>
          <w:color w:val="auto"/>
          <w:sz w:val="24"/>
          <w:highlight w:val="none"/>
        </w:rPr>
      </w:pPr>
      <w:r>
        <w:rPr>
          <w:rFonts w:hint="eastAsia" w:ascii="宋体" w:hAnsi="宋体" w:cs="宋体"/>
          <w:color w:val="auto"/>
          <w:sz w:val="24"/>
          <w:highlight w:val="none"/>
        </w:rPr>
        <w:t>中国政府采购网（www.ccgp.gov.cn）</w:t>
      </w:r>
    </w:p>
    <w:p w14:paraId="5DC03118">
      <w:pPr>
        <w:numPr>
          <w:ilvl w:val="0"/>
          <w:numId w:val="3"/>
        </w:numPr>
        <w:spacing w:line="36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响应文件解密时间：截标时间后</w:t>
      </w:r>
      <w:r>
        <w:rPr>
          <w:rFonts w:hint="eastAsia" w:ascii="宋体" w:hAnsi="宋体" w:cs="宋体"/>
          <w:color w:val="auto"/>
          <w:sz w:val="24"/>
          <w:highlight w:val="none"/>
          <w:u w:val="single"/>
        </w:rPr>
        <w:t>30</w:t>
      </w:r>
      <w:r>
        <w:rPr>
          <w:rFonts w:hint="eastAsia" w:ascii="宋体" w:hAnsi="宋体" w:cs="宋体"/>
          <w:color w:val="auto"/>
          <w:sz w:val="24"/>
          <w:highlight w:val="none"/>
        </w:rPr>
        <w:t>分钟内（</w:t>
      </w:r>
      <w:r>
        <w:rPr>
          <w:rFonts w:hint="eastAsia" w:ascii="宋体" w:hAnsi="宋体" w:cs="宋体"/>
          <w:color w:val="auto"/>
          <w:sz w:val="24"/>
          <w:highlight w:val="none"/>
          <w:u w:val="single"/>
          <w:lang w:eastAsia="zh-CN"/>
        </w:rPr>
        <w:t>2026年8月17日</w:t>
      </w:r>
      <w:r>
        <w:rPr>
          <w:rFonts w:hint="eastAsia" w:ascii="宋体" w:hAnsi="宋体" w:cs="宋体"/>
          <w:color w:val="auto"/>
          <w:sz w:val="24"/>
          <w:highlight w:val="none"/>
          <w:u w:val="single"/>
        </w:rPr>
        <w:t>上午9时30分至10时00分</w:t>
      </w:r>
      <w:r>
        <w:rPr>
          <w:rFonts w:hint="eastAsia" w:ascii="宋体" w:hAnsi="宋体" w:cs="宋体"/>
          <w:color w:val="auto"/>
          <w:sz w:val="24"/>
          <w:highlight w:val="none"/>
        </w:rPr>
        <w:t>)供应商可以登录广西政府采购云平台，用“项目采购-开标评标”功能进行解密响应文件。</w:t>
      </w:r>
    </w:p>
    <w:p w14:paraId="3470DAEC">
      <w:pPr>
        <w:pStyle w:val="18"/>
        <w:spacing w:line="360" w:lineRule="exact"/>
        <w:ind w:firstLine="480"/>
        <w:jc w:val="left"/>
        <w:rPr>
          <w:rFonts w:hint="eastAsia" w:ascii="宋体" w:hAnsi="宋体" w:cs="宋体"/>
          <w:color w:val="auto"/>
          <w:sz w:val="24"/>
          <w:highlight w:val="none"/>
        </w:rPr>
      </w:pPr>
      <w:r>
        <w:rPr>
          <w:rFonts w:hint="eastAsia" w:ascii="宋体" w:hAnsi="宋体" w:cs="宋体"/>
          <w:b/>
          <w:bCs/>
          <w:color w:val="auto"/>
          <w:sz w:val="24"/>
          <w:highlight w:val="none"/>
        </w:rPr>
        <w:t>注：响应文件网上递交截止时间后，各供应商须在解密时限内对上传广西政府采购云的响应文件进行解密，所有供应商在规定的解密时限内解密完成或解密时限结束后，我中心开启已解密的响应文件。供应商超过解密时限未解密的，系统默认自动放弃，造成响应无效的后果由供应商自行承担。解密响应文件后，30分钟内在线签字确认，超过时间没有在线签字确认的系统将自动视为供应商认可。</w:t>
      </w:r>
      <w:r>
        <w:rPr>
          <w:rFonts w:hint="eastAsia" w:ascii="宋体" w:hAnsi="宋体" w:cs="宋体"/>
          <w:color w:val="auto"/>
          <w:sz w:val="24"/>
          <w:highlight w:val="none"/>
        </w:rPr>
        <w:t> </w:t>
      </w:r>
    </w:p>
    <w:p w14:paraId="624B697E">
      <w:pPr>
        <w:pStyle w:val="61"/>
        <w:spacing w:line="360" w:lineRule="exact"/>
        <w:ind w:firstLine="480"/>
        <w:rPr>
          <w:rFonts w:hint="eastAsia" w:ascii="宋体" w:hAnsi="宋体" w:cs="宋体"/>
          <w:color w:val="auto"/>
          <w:highlight w:val="none"/>
        </w:rPr>
      </w:pPr>
      <w:r>
        <w:rPr>
          <w:rFonts w:hint="eastAsia" w:ascii="宋体" w:hAnsi="宋体" w:cs="宋体"/>
          <w:color w:val="auto"/>
          <w:highlight w:val="none"/>
        </w:rPr>
        <w:t>八、在线投标响应（电子投标）说明</w:t>
      </w:r>
    </w:p>
    <w:p w14:paraId="634AC795">
      <w:pPr>
        <w:spacing w:line="36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1.本项目通过广西政府采购云平台实行在线投标响应（电子投标），供应商需要先安装“广西政府采购云平台客户端”，并按照本谈判文件和广西政府采购云平台的要求，通过“广西政府采购云平台客户端”编制并加密响应文件。供应商未按规定编制并加密的响应文件，广西政府采购云平台将予以拒收。</w:t>
      </w:r>
    </w:p>
    <w:p w14:paraId="4CB56C86">
      <w:pPr>
        <w:pStyle w:val="61"/>
        <w:spacing w:line="360" w:lineRule="exact"/>
        <w:ind w:firstLine="480"/>
        <w:rPr>
          <w:rFonts w:hint="eastAsia" w:ascii="宋体" w:hAnsi="宋体" w:cs="宋体"/>
          <w:color w:val="auto"/>
          <w:highlight w:val="none"/>
        </w:rPr>
      </w:pPr>
      <w:r>
        <w:rPr>
          <w:rFonts w:hint="eastAsia" w:ascii="宋体" w:hAnsi="宋体" w:cs="宋体"/>
          <w:color w:val="auto"/>
          <w:highlight w:val="none"/>
        </w:rPr>
        <w:t>“广西政府采购云平台客户端”请自行前往广西政府采购网下载并安装；电子投标响应具体操作流程参考《政府采购项目电子交易管理操作指南-供应商》；在使用</w:t>
      </w:r>
      <w:r>
        <w:rPr>
          <w:rFonts w:hint="eastAsia" w:ascii="宋体" w:hAnsi="宋体" w:cs="宋体"/>
          <w:color w:val="auto"/>
          <w:szCs w:val="21"/>
          <w:highlight w:val="none"/>
        </w:rPr>
        <w:t>广西政府采购云</w:t>
      </w:r>
      <w:r>
        <w:rPr>
          <w:rFonts w:hint="eastAsia" w:ascii="宋体" w:hAnsi="宋体" w:cs="宋体"/>
          <w:color w:val="auto"/>
          <w:highlight w:val="none"/>
        </w:rPr>
        <w:t>投标客户端时，建议使用WIN7及以上操作系统,通过广西政府采购云平台参与在线投标响应时如遇平台技术问题详询95763。</w:t>
      </w:r>
    </w:p>
    <w:p w14:paraId="57597A8F">
      <w:pPr>
        <w:spacing w:line="36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2.为确保网上操作合法、有效和安全，供应商应当在响应文件递交截止时间前完成在广西政府采购云平台的身份认证，确保在电子投标响应过程中能够对相关数据电子文件进行加密和使用电子签章。使用“广西政府采购云平台客户端”需要提前申领CA数字证书，申领流程请自行前往广西政府采购云平台网站进行查阅；</w:t>
      </w:r>
      <w:r>
        <w:rPr>
          <w:rFonts w:hint="eastAsia" w:ascii="宋体" w:hAnsi="宋体" w:cs="宋体"/>
          <w:b/>
          <w:bCs/>
          <w:color w:val="auto"/>
          <w:sz w:val="24"/>
          <w:highlight w:val="none"/>
        </w:rPr>
        <w:t>（完成CA数字证书办理预计一周左右，建议供应商获取谈判文件后立即办理。）</w:t>
      </w:r>
    </w:p>
    <w:p w14:paraId="25F9D18F">
      <w:pPr>
        <w:spacing w:line="36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3.供应商应当在响应文件递交截止时间前，将生成的“响应文件”上传递交至广西政府采购云平台。响应文件递交截止时间前可以撤回电子响应文件。补充或者修改电子响应文件的，应当先行撤回原文件，补充、修改后重新传输递交，响应文件递交截止时间前未完成传输的，视为撤回响应文件。</w:t>
      </w:r>
    </w:p>
    <w:p w14:paraId="55F820D9">
      <w:pPr>
        <w:pStyle w:val="61"/>
        <w:spacing w:line="360" w:lineRule="exact"/>
        <w:ind w:firstLine="480"/>
        <w:rPr>
          <w:rFonts w:hint="eastAsia"/>
          <w:b/>
          <w:bCs/>
          <w:color w:val="auto"/>
          <w:highlight w:val="none"/>
        </w:rPr>
      </w:pPr>
      <w:r>
        <w:rPr>
          <w:rFonts w:hint="eastAsia" w:ascii="宋体" w:hAnsi="宋体" w:cs="宋体"/>
          <w:b/>
          <w:bCs/>
          <w:color w:val="auto"/>
          <w:highlight w:val="none"/>
        </w:rPr>
        <w:t>4.</w:t>
      </w:r>
      <w:r>
        <w:rPr>
          <w:rFonts w:hint="eastAsia" w:ascii="宋体" w:hAnsi="宋体" w:cs="宋体"/>
          <w:b/>
          <w:bCs/>
          <w:color w:val="auto"/>
          <w:highlight w:val="none"/>
          <w:u w:val="single"/>
        </w:rPr>
        <w:t>本项目需要供应商代表在截标当天截标后，按谈判小组要求及时</w:t>
      </w:r>
      <w:r>
        <w:rPr>
          <w:rFonts w:hint="eastAsia" w:ascii="宋体" w:hAnsi="宋体" w:cs="宋体"/>
          <w:b/>
          <w:bCs/>
          <w:color w:val="auto"/>
          <w:highlight w:val="none"/>
          <w:u w:val="single"/>
          <w:lang w:eastAsia="zh-CN"/>
        </w:rPr>
        <w:t>登录</w:t>
      </w:r>
      <w:r>
        <w:rPr>
          <w:rFonts w:hint="eastAsia" w:ascii="宋体" w:hAnsi="宋体" w:cs="宋体"/>
          <w:b/>
          <w:bCs/>
          <w:color w:val="auto"/>
          <w:highlight w:val="none"/>
          <w:u w:val="single"/>
        </w:rPr>
        <w:t>广西政府采购云平台等候在线谈判及提交最后报价</w:t>
      </w:r>
      <w:r>
        <w:rPr>
          <w:rFonts w:hint="eastAsia" w:ascii="宋体" w:hAnsi="宋体" w:cs="宋体"/>
          <w:b/>
          <w:bCs/>
          <w:color w:val="auto"/>
          <w:highlight w:val="none"/>
        </w:rPr>
        <w:t>。</w:t>
      </w:r>
    </w:p>
    <w:p w14:paraId="59164EB5">
      <w:pPr>
        <w:pStyle w:val="61"/>
        <w:spacing w:line="360" w:lineRule="exact"/>
        <w:ind w:firstLine="480"/>
        <w:rPr>
          <w:rFonts w:hint="eastAsia" w:ascii="宋体" w:hAnsi="宋体" w:cs="宋体"/>
          <w:color w:val="auto"/>
          <w:highlight w:val="none"/>
        </w:rPr>
      </w:pPr>
      <w:r>
        <w:rPr>
          <w:rFonts w:hint="eastAsia" w:ascii="宋体" w:hAnsi="宋体" w:cs="宋体"/>
          <w:color w:val="auto"/>
          <w:highlight w:val="none"/>
        </w:rPr>
        <w:t>5.本采购项目为广西政府采购云全流程电子化操作，参与谈判的供应商需自备计算机和网络设备（设备需可视频通话和读取广西政府采购云CA数字证书），确保谈判过程顺利进行；因供应商自身设备或网络原因造成的一切后果，由供应商自行承担。</w:t>
      </w:r>
    </w:p>
    <w:p w14:paraId="56A189F4">
      <w:pPr>
        <w:spacing w:line="360" w:lineRule="exact"/>
        <w:ind w:firstLine="480"/>
        <w:jc w:val="left"/>
        <w:rPr>
          <w:rFonts w:hint="eastAsia"/>
          <w:color w:val="auto"/>
          <w:sz w:val="24"/>
          <w:highlight w:val="none"/>
        </w:rPr>
      </w:pPr>
      <w:bookmarkStart w:id="37" w:name="_Toc35393636"/>
      <w:bookmarkStart w:id="38" w:name="_Toc35393805"/>
      <w:bookmarkStart w:id="39" w:name="_Toc28359018"/>
      <w:bookmarkStart w:id="40" w:name="_Toc28359095"/>
      <w:r>
        <w:rPr>
          <w:rFonts w:hint="eastAsia"/>
          <w:color w:val="auto"/>
          <w:sz w:val="24"/>
          <w:highlight w:val="none"/>
        </w:rPr>
        <w:t>九、凡对本次采购提出询问，请按以下方式联系。</w:t>
      </w:r>
      <w:bookmarkEnd w:id="37"/>
      <w:bookmarkEnd w:id="38"/>
      <w:bookmarkEnd w:id="39"/>
      <w:bookmarkEnd w:id="40"/>
    </w:p>
    <w:p w14:paraId="48FD2957">
      <w:pPr>
        <w:spacing w:line="360" w:lineRule="exact"/>
        <w:ind w:firstLine="480"/>
        <w:jc w:val="left"/>
        <w:rPr>
          <w:rFonts w:hint="eastAsia" w:ascii="宋体" w:hAnsi="宋体" w:cs="宋体"/>
          <w:color w:val="auto"/>
          <w:sz w:val="24"/>
          <w:highlight w:val="none"/>
        </w:rPr>
      </w:pPr>
      <w:bookmarkStart w:id="41" w:name="_Toc35393806"/>
      <w:bookmarkStart w:id="42" w:name="_Toc28359096"/>
      <w:bookmarkStart w:id="43" w:name="_Toc28359019"/>
      <w:bookmarkStart w:id="44" w:name="_Toc35393637"/>
      <w:r>
        <w:rPr>
          <w:rFonts w:hint="eastAsia" w:ascii="宋体" w:hAnsi="宋体" w:cs="宋体"/>
          <w:color w:val="auto"/>
          <w:sz w:val="24"/>
          <w:highlight w:val="none"/>
        </w:rPr>
        <w:t>1.采购人信息</w:t>
      </w:r>
      <w:bookmarkEnd w:id="41"/>
      <w:bookmarkEnd w:id="42"/>
      <w:bookmarkEnd w:id="43"/>
      <w:bookmarkEnd w:id="44"/>
    </w:p>
    <w:p w14:paraId="6D4A556A">
      <w:pPr>
        <w:spacing w:line="360" w:lineRule="exact"/>
        <w:ind w:firstLine="480"/>
        <w:jc w:val="left"/>
        <w:rPr>
          <w:rFonts w:hint="eastAsia" w:ascii="宋体" w:hAnsi="宋体" w:cs="宋体"/>
          <w:color w:val="auto"/>
          <w:sz w:val="24"/>
          <w:highlight w:val="none"/>
          <w:u w:val="single"/>
        </w:rPr>
      </w:pPr>
      <w:bookmarkStart w:id="45" w:name="_Toc28359020"/>
      <w:bookmarkStart w:id="46" w:name="_Toc28359097"/>
      <w:bookmarkStart w:id="47" w:name="_Toc35393638"/>
      <w:bookmarkStart w:id="48" w:name="_Toc35393807"/>
      <w:r>
        <w:rPr>
          <w:rFonts w:hint="eastAsia" w:ascii="宋体" w:hAnsi="宋体" w:cs="宋体"/>
          <w:color w:val="auto"/>
          <w:sz w:val="24"/>
          <w:highlight w:val="none"/>
        </w:rPr>
        <w:t>名    称：</w:t>
      </w:r>
      <w:r>
        <w:rPr>
          <w:rFonts w:hint="eastAsia" w:ascii="宋体" w:hAnsi="宋体" w:cs="宋体"/>
          <w:color w:val="auto"/>
          <w:sz w:val="24"/>
          <w:highlight w:val="none"/>
          <w:u w:val="single"/>
          <w:lang w:eastAsia="zh-CN"/>
        </w:rPr>
        <w:t>桂林师范学院</w:t>
      </w:r>
      <w:r>
        <w:rPr>
          <w:rFonts w:hint="eastAsia" w:ascii="宋体" w:hAnsi="宋体" w:cs="宋体"/>
          <w:color w:val="auto"/>
          <w:sz w:val="24"/>
          <w:highlight w:val="none"/>
          <w:u w:val="single"/>
        </w:rPr>
        <w:t xml:space="preserve"> </w:t>
      </w:r>
    </w:p>
    <w:p w14:paraId="5DBBB638">
      <w:pPr>
        <w:spacing w:line="360" w:lineRule="exact"/>
        <w:ind w:firstLine="480"/>
        <w:jc w:val="left"/>
        <w:rPr>
          <w:rFonts w:ascii="宋体" w:hAnsi="宋体" w:cs="宋体"/>
          <w:color w:val="auto"/>
          <w:sz w:val="24"/>
          <w:highlight w:val="none"/>
          <w:u w:val="single"/>
        </w:rPr>
      </w:pPr>
      <w:r>
        <w:rPr>
          <w:rFonts w:hint="eastAsia" w:ascii="宋体" w:hAnsi="宋体" w:cs="宋体"/>
          <w:color w:val="auto"/>
          <w:sz w:val="24"/>
          <w:highlight w:val="none"/>
        </w:rPr>
        <w:t>地    址：</w:t>
      </w:r>
      <w:r>
        <w:rPr>
          <w:rStyle w:val="253"/>
          <w:rFonts w:hint="eastAsia" w:ascii="宋体" w:hAnsi="宋体" w:cs="宋体"/>
          <w:color w:val="auto"/>
          <w:sz w:val="24"/>
          <w:highlight w:val="none"/>
          <w:u w:val="single"/>
        </w:rPr>
        <w:t>桂林市临桂区临桂镇飞虎路9号</w:t>
      </w:r>
    </w:p>
    <w:p w14:paraId="13EA9252">
      <w:pPr>
        <w:spacing w:line="36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联 系 人：</w:t>
      </w:r>
      <w:r>
        <w:rPr>
          <w:rStyle w:val="253"/>
          <w:rFonts w:hint="eastAsia" w:ascii="宋体" w:hAnsi="宋体" w:cs="宋体"/>
          <w:color w:val="auto"/>
          <w:sz w:val="24"/>
          <w:highlight w:val="none"/>
          <w:u w:val="single"/>
          <w:lang w:val="en-US" w:eastAsia="zh-CN"/>
        </w:rPr>
        <w:t>惠寰</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0773-3975072</w:t>
      </w:r>
      <w:r>
        <w:rPr>
          <w:rFonts w:hint="eastAsia" w:ascii="宋体" w:hAnsi="宋体" w:cs="宋体"/>
          <w:color w:val="auto"/>
          <w:sz w:val="24"/>
          <w:highlight w:val="none"/>
          <w:lang w:val="en-US" w:eastAsia="zh-CN"/>
        </w:rPr>
        <w:t xml:space="preserve"> </w:t>
      </w:r>
    </w:p>
    <w:p w14:paraId="38B0369D">
      <w:pPr>
        <w:spacing w:line="36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2.采购代理机构信息</w:t>
      </w:r>
      <w:bookmarkEnd w:id="45"/>
      <w:bookmarkEnd w:id="46"/>
      <w:bookmarkEnd w:id="47"/>
      <w:bookmarkEnd w:id="48"/>
    </w:p>
    <w:p w14:paraId="257FECA2">
      <w:pPr>
        <w:spacing w:line="36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名    称：</w:t>
      </w:r>
      <w:r>
        <w:rPr>
          <w:rFonts w:hint="eastAsia" w:ascii="宋体" w:hAnsi="宋体" w:cs="宋体"/>
          <w:color w:val="auto"/>
          <w:sz w:val="24"/>
          <w:highlight w:val="none"/>
          <w:u w:val="single"/>
        </w:rPr>
        <w:t>桂林市政府集中采购中心</w:t>
      </w:r>
    </w:p>
    <w:p w14:paraId="3A2507BC">
      <w:pPr>
        <w:spacing w:line="360" w:lineRule="exact"/>
        <w:ind w:firstLine="480"/>
        <w:jc w:val="left"/>
        <w:rPr>
          <w:rFonts w:hint="eastAsia" w:ascii="宋体" w:hAnsi="宋体" w:cs="宋体"/>
          <w:color w:val="auto"/>
          <w:sz w:val="24"/>
          <w:highlight w:val="none"/>
          <w:u w:val="single"/>
        </w:rPr>
      </w:pPr>
      <w:r>
        <w:rPr>
          <w:rFonts w:hint="eastAsia" w:ascii="宋体" w:hAnsi="宋体" w:cs="宋体"/>
          <w:color w:val="auto"/>
          <w:sz w:val="24"/>
          <w:highlight w:val="none"/>
        </w:rPr>
        <w:t>地　　址：</w:t>
      </w:r>
      <w:r>
        <w:rPr>
          <w:rFonts w:hint="eastAsia" w:ascii="宋体" w:hAnsi="宋体" w:cs="宋体"/>
          <w:color w:val="auto"/>
          <w:sz w:val="24"/>
          <w:highlight w:val="none"/>
          <w:u w:val="single"/>
        </w:rPr>
        <w:t>桂林市临桂区西城中路69号创业大厦西辅楼5楼</w:t>
      </w:r>
    </w:p>
    <w:p w14:paraId="6E10546E">
      <w:pPr>
        <w:spacing w:line="360" w:lineRule="exact"/>
        <w:ind w:firstLine="480"/>
        <w:jc w:val="left"/>
        <w:rPr>
          <w:rFonts w:hint="default" w:ascii="宋体" w:hAnsi="宋体" w:eastAsia="宋体" w:cs="宋体"/>
          <w:color w:val="auto"/>
          <w:sz w:val="24"/>
          <w:highlight w:val="none"/>
          <w:u w:val="single"/>
          <w:lang w:val="en-US" w:eastAsia="zh-CN"/>
        </w:rPr>
      </w:pPr>
      <w:r>
        <w:rPr>
          <w:rFonts w:hint="eastAsia" w:ascii="宋体" w:hAnsi="宋体" w:cs="宋体"/>
          <w:color w:val="auto"/>
          <w:sz w:val="24"/>
          <w:highlight w:val="none"/>
        </w:rPr>
        <w:t>联系方式：</w:t>
      </w:r>
      <w:r>
        <w:rPr>
          <w:rFonts w:hint="eastAsia" w:ascii="宋体" w:hAnsi="宋体" w:cs="宋体"/>
          <w:color w:val="auto"/>
          <w:sz w:val="24"/>
          <w:highlight w:val="none"/>
          <w:u w:val="single"/>
          <w:lang w:val="en-US" w:eastAsia="zh-CN"/>
        </w:rPr>
        <w:t>0773-5625211</w:t>
      </w:r>
    </w:p>
    <w:p w14:paraId="69C5FC1E">
      <w:pPr>
        <w:spacing w:line="360" w:lineRule="exact"/>
        <w:ind w:firstLine="480"/>
        <w:jc w:val="left"/>
        <w:rPr>
          <w:rFonts w:hint="eastAsia" w:ascii="宋体" w:hAnsi="宋体" w:cs="宋体"/>
          <w:color w:val="auto"/>
          <w:sz w:val="24"/>
          <w:highlight w:val="none"/>
        </w:rPr>
      </w:pPr>
      <w:bookmarkStart w:id="49" w:name="_Toc28359021"/>
      <w:bookmarkStart w:id="50" w:name="_Toc35393808"/>
      <w:bookmarkStart w:id="51" w:name="_Toc28359098"/>
      <w:bookmarkStart w:id="52" w:name="_Toc35393639"/>
      <w:r>
        <w:rPr>
          <w:rFonts w:hint="eastAsia" w:ascii="宋体" w:hAnsi="宋体" w:cs="宋体"/>
          <w:color w:val="auto"/>
          <w:sz w:val="24"/>
          <w:highlight w:val="none"/>
        </w:rPr>
        <w:t>3.项目联系方式</w:t>
      </w:r>
      <w:bookmarkEnd w:id="49"/>
      <w:bookmarkEnd w:id="50"/>
      <w:bookmarkEnd w:id="51"/>
      <w:bookmarkEnd w:id="52"/>
    </w:p>
    <w:p w14:paraId="651ADF17">
      <w:pPr>
        <w:pStyle w:val="21"/>
        <w:spacing w:line="360" w:lineRule="exact"/>
        <w:ind w:firstLine="480"/>
        <w:jc w:val="left"/>
        <w:rPr>
          <w:rFonts w:hint="eastAsia" w:hAnsi="宋体" w:eastAsia="宋体" w:cs="宋体"/>
          <w:color w:val="auto"/>
          <w:sz w:val="24"/>
          <w:szCs w:val="24"/>
          <w:highlight w:val="none"/>
          <w:u w:val="single"/>
          <w:lang w:val="en-US" w:eastAsia="zh-CN"/>
        </w:rPr>
      </w:pPr>
      <w:r>
        <w:rPr>
          <w:rFonts w:hint="eastAsia" w:hAnsi="宋体" w:cs="宋体"/>
          <w:color w:val="auto"/>
          <w:sz w:val="24"/>
          <w:szCs w:val="24"/>
          <w:highlight w:val="none"/>
        </w:rPr>
        <w:t>项目联系人</w:t>
      </w:r>
      <w:r>
        <w:rPr>
          <w:rFonts w:hint="eastAsia" w:hAnsi="宋体" w:cs="宋体"/>
          <w:color w:val="auto"/>
          <w:sz w:val="24"/>
          <w:szCs w:val="24"/>
          <w:highlight w:val="none"/>
          <w:lang w:eastAsia="zh-CN"/>
        </w:rPr>
        <w:t>：</w:t>
      </w:r>
      <w:r>
        <w:rPr>
          <w:rFonts w:hint="eastAsia" w:hAnsi="宋体" w:cs="宋体"/>
          <w:color w:val="auto"/>
          <w:sz w:val="24"/>
          <w:szCs w:val="24"/>
          <w:highlight w:val="none"/>
          <w:u w:val="single"/>
          <w:lang w:eastAsia="zh-CN"/>
        </w:rPr>
        <w:t>李劲林</w:t>
      </w:r>
    </w:p>
    <w:p w14:paraId="65A92D98">
      <w:pPr>
        <w:spacing w:line="360" w:lineRule="exact"/>
        <w:ind w:firstLine="480"/>
        <w:jc w:val="left"/>
        <w:rPr>
          <w:rFonts w:hint="default" w:ascii="宋体" w:hAnsi="宋体" w:eastAsia="宋体" w:cs="宋体"/>
          <w:color w:val="auto"/>
          <w:sz w:val="24"/>
          <w:highlight w:val="none"/>
          <w:u w:val="single"/>
          <w:lang w:val="en-US" w:eastAsia="zh-CN"/>
        </w:rPr>
      </w:pPr>
      <w:r>
        <w:rPr>
          <w:rFonts w:hint="eastAsia" w:ascii="宋体" w:hAnsi="宋体" w:cs="宋体"/>
          <w:color w:val="auto"/>
          <w:sz w:val="24"/>
          <w:highlight w:val="none"/>
        </w:rPr>
        <w:t>电　　  话：</w:t>
      </w:r>
      <w:r>
        <w:rPr>
          <w:rFonts w:hint="eastAsia" w:ascii="宋体" w:hAnsi="宋体" w:cs="宋体"/>
          <w:color w:val="auto"/>
          <w:sz w:val="24"/>
          <w:highlight w:val="none"/>
          <w:u w:val="single"/>
          <w:lang w:val="en-US" w:eastAsia="zh-CN"/>
        </w:rPr>
        <w:t>0773-5625211</w:t>
      </w:r>
    </w:p>
    <w:p w14:paraId="58474C5C">
      <w:pPr>
        <w:spacing w:line="400" w:lineRule="exact"/>
        <w:ind w:firstLine="480"/>
        <w:rPr>
          <w:rFonts w:hint="eastAsia" w:ascii="宋体" w:hAnsi="宋体" w:cs="宋体"/>
          <w:color w:val="auto"/>
          <w:sz w:val="24"/>
          <w:highlight w:val="none"/>
        </w:rPr>
      </w:pPr>
      <w:r>
        <w:rPr>
          <w:rFonts w:hint="eastAsia" w:ascii="宋体" w:hAnsi="宋体" w:cs="宋体"/>
          <w:color w:val="auto"/>
          <w:sz w:val="24"/>
          <w:highlight w:val="none"/>
        </w:rPr>
        <w:t>4.政府采购监督管理机构</w:t>
      </w:r>
    </w:p>
    <w:p w14:paraId="4AFE2BD2">
      <w:pPr>
        <w:spacing w:line="400" w:lineRule="exact"/>
        <w:ind w:firstLine="480"/>
        <w:rPr>
          <w:rFonts w:hint="eastAsia" w:ascii="宋体" w:hAnsi="宋体" w:eastAsia="宋体" w:cs="宋体"/>
          <w:color w:val="auto"/>
          <w:sz w:val="24"/>
          <w:highlight w:val="none"/>
          <w:lang w:eastAsia="zh-CN"/>
        </w:rPr>
      </w:pPr>
      <w:r>
        <w:rPr>
          <w:rFonts w:hint="eastAsia" w:ascii="宋体" w:hAnsi="宋体" w:cs="宋体"/>
          <w:color w:val="auto"/>
          <w:sz w:val="24"/>
          <w:highlight w:val="none"/>
        </w:rPr>
        <w:t xml:space="preserve">名 </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称：</w:t>
      </w:r>
      <w:r>
        <w:rPr>
          <w:rFonts w:hint="eastAsia" w:ascii="宋体" w:hAnsi="宋体" w:cs="宋体"/>
          <w:color w:val="auto"/>
          <w:sz w:val="24"/>
          <w:highlight w:val="none"/>
          <w:u w:val="single"/>
          <w:lang w:eastAsia="zh-CN"/>
        </w:rPr>
        <w:t>广西壮族自治区财政厅</w:t>
      </w:r>
    </w:p>
    <w:p w14:paraId="03A2DC92">
      <w:pPr>
        <w:spacing w:line="400" w:lineRule="exact"/>
        <w:ind w:firstLine="480"/>
        <w:rPr>
          <w:rFonts w:hint="eastAsia" w:eastAsia="宋体"/>
          <w:color w:val="auto"/>
          <w:highlight w:val="none"/>
          <w:lang w:eastAsia="zh-CN"/>
        </w:rPr>
        <w:sectPr>
          <w:footerReference r:id="rId10" w:type="default"/>
          <w:pgSz w:w="11906" w:h="16838"/>
          <w:pgMar w:top="1440" w:right="935" w:bottom="1440" w:left="779" w:header="851" w:footer="992" w:gutter="0"/>
          <w:pgNumType w:fmt="numberInDash" w:start="1"/>
          <w:cols w:space="720" w:num="1"/>
        </w:sectPr>
      </w:pPr>
      <w:r>
        <w:rPr>
          <w:rFonts w:hint="eastAsia" w:ascii="宋体" w:hAnsi="宋体" w:cs="宋体"/>
          <w:color w:val="auto"/>
          <w:sz w:val="24"/>
          <w:highlight w:val="none"/>
        </w:rPr>
        <w:t>联系方式：</w:t>
      </w:r>
      <w:r>
        <w:rPr>
          <w:rFonts w:hint="eastAsia" w:ascii="宋体" w:hAnsi="宋体" w:cs="宋体"/>
          <w:color w:val="auto"/>
          <w:sz w:val="24"/>
          <w:highlight w:val="none"/>
          <w:u w:val="single"/>
          <w:lang w:eastAsia="zh-CN"/>
        </w:rPr>
        <w:t>0771-5331544</w:t>
      </w:r>
    </w:p>
    <w:p w14:paraId="14EC2523">
      <w:pPr>
        <w:pStyle w:val="2"/>
        <w:spacing w:line="240" w:lineRule="auto"/>
        <w:ind w:firstLine="402"/>
        <w:jc w:val="center"/>
        <w:rPr>
          <w:color w:val="auto"/>
          <w:sz w:val="32"/>
          <w:szCs w:val="32"/>
          <w:highlight w:val="none"/>
        </w:rPr>
      </w:pPr>
      <w:bookmarkStart w:id="53" w:name="_Toc20189"/>
      <w:bookmarkStart w:id="54" w:name="_Toc7441"/>
      <w:bookmarkStart w:id="55" w:name="_Toc29338"/>
      <w:bookmarkStart w:id="56" w:name="_Toc19055"/>
      <w:bookmarkStart w:id="57" w:name="_Toc9995"/>
      <w:bookmarkStart w:id="58" w:name="_Toc26689"/>
      <w:bookmarkStart w:id="59" w:name="_Toc12693"/>
      <w:bookmarkStart w:id="60" w:name="_Toc13065"/>
      <w:bookmarkStart w:id="61" w:name="_Toc1311"/>
      <w:bookmarkStart w:id="62" w:name="_Toc7014_WPSOffice_Level1"/>
      <w:bookmarkStart w:id="63" w:name="_Toc27901"/>
      <w:bookmarkStart w:id="64" w:name="_Toc16361"/>
      <w:bookmarkStart w:id="65" w:name="_Toc12492"/>
      <w:r>
        <w:rPr>
          <w:rFonts w:hint="eastAsia"/>
          <w:color w:val="auto"/>
          <w:sz w:val="32"/>
          <w:szCs w:val="32"/>
          <w:highlight w:val="none"/>
        </w:rPr>
        <w:t>第二章　供应商须知</w:t>
      </w:r>
      <w:bookmarkEnd w:id="53"/>
      <w:bookmarkEnd w:id="54"/>
      <w:bookmarkEnd w:id="55"/>
      <w:bookmarkEnd w:id="56"/>
      <w:bookmarkEnd w:id="57"/>
      <w:bookmarkEnd w:id="58"/>
      <w:bookmarkEnd w:id="59"/>
      <w:bookmarkEnd w:id="60"/>
      <w:bookmarkEnd w:id="61"/>
      <w:bookmarkEnd w:id="62"/>
      <w:bookmarkEnd w:id="63"/>
      <w:bookmarkEnd w:id="64"/>
      <w:bookmarkEnd w:id="65"/>
    </w:p>
    <w:p w14:paraId="51777717">
      <w:pPr>
        <w:pStyle w:val="3"/>
        <w:jc w:val="center"/>
        <w:rPr>
          <w:rFonts w:hint="eastAsia" w:ascii="宋体" w:hAnsi="宋体" w:cs="宋体"/>
          <w:b/>
          <w:bCs w:val="0"/>
          <w:color w:val="auto"/>
          <w:sz w:val="24"/>
          <w:szCs w:val="24"/>
          <w:highlight w:val="none"/>
        </w:rPr>
      </w:pPr>
      <w:bookmarkStart w:id="66" w:name="_Toc1517"/>
      <w:bookmarkStart w:id="67" w:name="_Toc14657"/>
      <w:bookmarkStart w:id="68" w:name="_Toc5323"/>
      <w:bookmarkStart w:id="69" w:name="_Toc9266"/>
      <w:bookmarkStart w:id="70" w:name="_Toc29133"/>
      <w:bookmarkStart w:id="71" w:name="_Toc14834"/>
      <w:bookmarkStart w:id="72" w:name="_Toc15020"/>
      <w:bookmarkStart w:id="73" w:name="_Toc17842"/>
      <w:bookmarkStart w:id="74" w:name="_Toc6815"/>
      <w:bookmarkStart w:id="75" w:name="_Toc10392"/>
      <w:bookmarkStart w:id="76" w:name="_Toc7891"/>
      <w:bookmarkStart w:id="77" w:name="_Toc10616"/>
      <w:r>
        <w:rPr>
          <w:rFonts w:hint="eastAsia" w:ascii="宋体" w:hAnsi="宋体" w:cs="宋体"/>
          <w:b/>
          <w:bCs w:val="0"/>
          <w:color w:val="auto"/>
          <w:sz w:val="24"/>
          <w:szCs w:val="24"/>
          <w:highlight w:val="none"/>
        </w:rPr>
        <w:t>供 应 商 须 知 前 附 表</w:t>
      </w:r>
      <w:bookmarkEnd w:id="66"/>
      <w:bookmarkEnd w:id="67"/>
      <w:bookmarkEnd w:id="68"/>
      <w:bookmarkEnd w:id="69"/>
      <w:bookmarkEnd w:id="70"/>
      <w:bookmarkEnd w:id="71"/>
      <w:bookmarkEnd w:id="72"/>
      <w:bookmarkEnd w:id="73"/>
      <w:bookmarkEnd w:id="74"/>
      <w:bookmarkEnd w:id="75"/>
      <w:bookmarkEnd w:id="76"/>
      <w:bookmarkEnd w:id="77"/>
    </w:p>
    <w:tbl>
      <w:tblPr>
        <w:tblStyle w:val="42"/>
        <w:tblW w:w="10370" w:type="dxa"/>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
        <w:gridCol w:w="825"/>
        <w:gridCol w:w="1815"/>
        <w:gridCol w:w="7205"/>
      </w:tblGrid>
      <w:tr w14:paraId="6528A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525" w:type="dxa"/>
            <w:noWrap w:val="0"/>
            <w:vAlign w:val="center"/>
          </w:tcPr>
          <w:p w14:paraId="4E581694">
            <w:pPr>
              <w:spacing w:line="360" w:lineRule="auto"/>
              <w:jc w:val="center"/>
              <w:rPr>
                <w:rFonts w:ascii="宋体"/>
                <w:color w:val="auto"/>
                <w:szCs w:val="21"/>
                <w:highlight w:val="none"/>
              </w:rPr>
            </w:pPr>
            <w:r>
              <w:rPr>
                <w:rFonts w:hint="eastAsia" w:ascii="宋体" w:hAnsi="宋体"/>
                <w:color w:val="auto"/>
                <w:szCs w:val="21"/>
                <w:highlight w:val="none"/>
              </w:rPr>
              <w:t>序号</w:t>
            </w:r>
          </w:p>
        </w:tc>
        <w:tc>
          <w:tcPr>
            <w:tcW w:w="825" w:type="dxa"/>
            <w:noWrap w:val="0"/>
            <w:vAlign w:val="center"/>
          </w:tcPr>
          <w:p w14:paraId="372D1392">
            <w:pPr>
              <w:spacing w:line="360" w:lineRule="auto"/>
              <w:jc w:val="center"/>
              <w:rPr>
                <w:rFonts w:ascii="宋体"/>
                <w:color w:val="auto"/>
                <w:szCs w:val="21"/>
                <w:highlight w:val="none"/>
              </w:rPr>
            </w:pPr>
            <w:r>
              <w:rPr>
                <w:rFonts w:hint="eastAsia" w:ascii="宋体" w:hAnsi="宋体"/>
                <w:color w:val="auto"/>
                <w:szCs w:val="21"/>
                <w:highlight w:val="none"/>
              </w:rPr>
              <w:t>条款号</w:t>
            </w:r>
          </w:p>
        </w:tc>
        <w:tc>
          <w:tcPr>
            <w:tcW w:w="1815" w:type="dxa"/>
            <w:noWrap w:val="0"/>
            <w:vAlign w:val="center"/>
          </w:tcPr>
          <w:p w14:paraId="2A035502">
            <w:pPr>
              <w:spacing w:line="360" w:lineRule="auto"/>
              <w:jc w:val="center"/>
              <w:rPr>
                <w:rFonts w:ascii="宋体"/>
                <w:color w:val="auto"/>
                <w:szCs w:val="21"/>
                <w:highlight w:val="none"/>
              </w:rPr>
            </w:pPr>
            <w:r>
              <w:rPr>
                <w:rFonts w:hint="eastAsia" w:ascii="宋体" w:hAnsi="宋体"/>
                <w:color w:val="auto"/>
                <w:szCs w:val="21"/>
                <w:highlight w:val="none"/>
              </w:rPr>
              <w:t>条款名称</w:t>
            </w:r>
          </w:p>
        </w:tc>
        <w:tc>
          <w:tcPr>
            <w:tcW w:w="7205" w:type="dxa"/>
            <w:noWrap w:val="0"/>
            <w:vAlign w:val="center"/>
          </w:tcPr>
          <w:p w14:paraId="6E2B6422">
            <w:pPr>
              <w:spacing w:line="360" w:lineRule="auto"/>
              <w:jc w:val="center"/>
              <w:rPr>
                <w:rFonts w:ascii="宋体"/>
                <w:color w:val="auto"/>
                <w:szCs w:val="21"/>
                <w:highlight w:val="none"/>
              </w:rPr>
            </w:pPr>
            <w:r>
              <w:rPr>
                <w:rFonts w:hint="eastAsia" w:ascii="宋体" w:hAnsi="宋体"/>
                <w:color w:val="auto"/>
                <w:szCs w:val="21"/>
                <w:highlight w:val="none"/>
              </w:rPr>
              <w:t>内容、要求</w:t>
            </w:r>
          </w:p>
        </w:tc>
      </w:tr>
      <w:tr w14:paraId="5A1ED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525" w:type="dxa"/>
            <w:noWrap w:val="0"/>
            <w:vAlign w:val="center"/>
          </w:tcPr>
          <w:p w14:paraId="7854912E">
            <w:pPr>
              <w:spacing w:line="360" w:lineRule="auto"/>
              <w:jc w:val="center"/>
              <w:rPr>
                <w:rFonts w:ascii="宋体" w:hAnsi="宋体"/>
                <w:color w:val="auto"/>
                <w:szCs w:val="21"/>
                <w:highlight w:val="none"/>
              </w:rPr>
            </w:pPr>
            <w:r>
              <w:rPr>
                <w:rFonts w:ascii="宋体" w:hAnsi="宋体"/>
                <w:color w:val="auto"/>
                <w:szCs w:val="21"/>
                <w:highlight w:val="none"/>
              </w:rPr>
              <w:t>1</w:t>
            </w:r>
          </w:p>
        </w:tc>
        <w:tc>
          <w:tcPr>
            <w:tcW w:w="825" w:type="dxa"/>
            <w:noWrap w:val="0"/>
            <w:vAlign w:val="center"/>
          </w:tcPr>
          <w:p w14:paraId="62EDB4AB">
            <w:pPr>
              <w:spacing w:line="360" w:lineRule="auto"/>
              <w:jc w:val="center"/>
              <w:rPr>
                <w:rFonts w:ascii="宋体" w:hAnsi="宋体"/>
                <w:color w:val="auto"/>
                <w:szCs w:val="21"/>
                <w:highlight w:val="none"/>
              </w:rPr>
            </w:pPr>
            <w:r>
              <w:rPr>
                <w:rFonts w:ascii="宋体" w:hAnsi="宋体"/>
                <w:color w:val="auto"/>
                <w:szCs w:val="21"/>
                <w:highlight w:val="none"/>
              </w:rPr>
              <w:t>1.1</w:t>
            </w:r>
          </w:p>
        </w:tc>
        <w:tc>
          <w:tcPr>
            <w:tcW w:w="1815" w:type="dxa"/>
            <w:noWrap w:val="0"/>
            <w:vAlign w:val="center"/>
          </w:tcPr>
          <w:p w14:paraId="14ACF0DA">
            <w:pPr>
              <w:spacing w:line="360" w:lineRule="auto"/>
              <w:jc w:val="center"/>
              <w:rPr>
                <w:rFonts w:ascii="宋体"/>
                <w:color w:val="auto"/>
                <w:szCs w:val="21"/>
                <w:highlight w:val="none"/>
              </w:rPr>
            </w:pPr>
            <w:r>
              <w:rPr>
                <w:rFonts w:hint="eastAsia" w:ascii="宋体" w:hAnsi="宋体"/>
                <w:color w:val="auto"/>
                <w:szCs w:val="21"/>
                <w:highlight w:val="none"/>
              </w:rPr>
              <w:t>项目名称及项目编号</w:t>
            </w:r>
          </w:p>
        </w:tc>
        <w:tc>
          <w:tcPr>
            <w:tcW w:w="7205" w:type="dxa"/>
            <w:noWrap w:val="0"/>
            <w:vAlign w:val="top"/>
          </w:tcPr>
          <w:p w14:paraId="6525A945">
            <w:pPr>
              <w:spacing w:line="360" w:lineRule="auto"/>
              <w:rPr>
                <w:rFonts w:hint="eastAsia" w:ascii="宋体" w:hAnsi="宋体" w:eastAsia="宋体"/>
                <w:color w:val="auto"/>
                <w:szCs w:val="21"/>
                <w:highlight w:val="none"/>
                <w:lang w:eastAsia="zh-CN"/>
              </w:rPr>
            </w:pPr>
            <w:r>
              <w:rPr>
                <w:rFonts w:hint="eastAsia" w:ascii="宋体" w:hAnsi="宋体"/>
                <w:color w:val="auto"/>
                <w:szCs w:val="21"/>
                <w:highlight w:val="none"/>
              </w:rPr>
              <w:t>项目名称：</w:t>
            </w:r>
            <w:r>
              <w:rPr>
                <w:rFonts w:hint="eastAsia" w:ascii="宋体" w:hAnsi="宋体"/>
                <w:color w:val="auto"/>
                <w:szCs w:val="21"/>
                <w:highlight w:val="none"/>
                <w:lang w:eastAsia="zh-CN"/>
              </w:rPr>
              <w:t>AI数智语言综合实训中心</w:t>
            </w:r>
          </w:p>
          <w:p w14:paraId="2E37274B">
            <w:pPr>
              <w:spacing w:line="360" w:lineRule="auto"/>
              <w:rPr>
                <w:rFonts w:hint="eastAsia" w:ascii="宋体" w:eastAsia="宋体"/>
                <w:color w:val="auto"/>
                <w:highlight w:val="none"/>
                <w:lang w:eastAsia="zh-CN"/>
              </w:rPr>
            </w:pPr>
            <w:r>
              <w:rPr>
                <w:rFonts w:hint="eastAsia" w:ascii="宋体" w:hAnsi="宋体"/>
                <w:color w:val="auto"/>
                <w:szCs w:val="21"/>
                <w:highlight w:val="none"/>
              </w:rPr>
              <w:t>项目编号：</w:t>
            </w:r>
            <w:r>
              <w:rPr>
                <w:rFonts w:hint="eastAsia" w:ascii="宋体" w:hAnsi="宋体"/>
                <w:color w:val="auto"/>
                <w:szCs w:val="21"/>
                <w:highlight w:val="none"/>
                <w:lang w:eastAsia="zh-CN"/>
              </w:rPr>
              <w:t>GXZC2026-J1-002254-GLSZ</w:t>
            </w:r>
          </w:p>
        </w:tc>
      </w:tr>
      <w:tr w14:paraId="43AC5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525" w:type="dxa"/>
            <w:noWrap w:val="0"/>
            <w:vAlign w:val="center"/>
          </w:tcPr>
          <w:p w14:paraId="1DD46624">
            <w:pPr>
              <w:spacing w:line="360" w:lineRule="auto"/>
              <w:jc w:val="center"/>
              <w:rPr>
                <w:rFonts w:ascii="宋体" w:hAnsi="宋体"/>
                <w:color w:val="auto"/>
                <w:szCs w:val="21"/>
                <w:highlight w:val="none"/>
              </w:rPr>
            </w:pPr>
            <w:r>
              <w:rPr>
                <w:rFonts w:ascii="宋体" w:hAnsi="宋体"/>
                <w:color w:val="auto"/>
                <w:szCs w:val="21"/>
                <w:highlight w:val="none"/>
              </w:rPr>
              <w:t>2</w:t>
            </w:r>
          </w:p>
        </w:tc>
        <w:tc>
          <w:tcPr>
            <w:tcW w:w="825" w:type="dxa"/>
            <w:noWrap w:val="0"/>
            <w:vAlign w:val="center"/>
          </w:tcPr>
          <w:p w14:paraId="1EFABA0E">
            <w:pPr>
              <w:spacing w:line="360" w:lineRule="auto"/>
              <w:jc w:val="center"/>
              <w:rPr>
                <w:rFonts w:ascii="宋体" w:hAnsi="宋体"/>
                <w:color w:val="auto"/>
                <w:szCs w:val="21"/>
                <w:highlight w:val="none"/>
              </w:rPr>
            </w:pPr>
            <w:r>
              <w:rPr>
                <w:rFonts w:ascii="宋体" w:hAnsi="宋体"/>
                <w:color w:val="auto"/>
                <w:szCs w:val="21"/>
                <w:highlight w:val="none"/>
              </w:rPr>
              <w:t>3</w:t>
            </w:r>
          </w:p>
        </w:tc>
        <w:tc>
          <w:tcPr>
            <w:tcW w:w="1815" w:type="dxa"/>
            <w:noWrap w:val="0"/>
            <w:vAlign w:val="center"/>
          </w:tcPr>
          <w:p w14:paraId="10285D71">
            <w:pPr>
              <w:spacing w:line="360" w:lineRule="auto"/>
              <w:jc w:val="center"/>
              <w:rPr>
                <w:rFonts w:ascii="宋体"/>
                <w:color w:val="auto"/>
                <w:szCs w:val="21"/>
                <w:highlight w:val="none"/>
              </w:rPr>
            </w:pPr>
            <w:r>
              <w:rPr>
                <w:rFonts w:hint="eastAsia" w:ascii="宋体" w:hAnsi="宋体"/>
                <w:color w:val="auto"/>
                <w:szCs w:val="21"/>
                <w:highlight w:val="none"/>
              </w:rPr>
              <w:t>供应商资格</w:t>
            </w:r>
          </w:p>
        </w:tc>
        <w:tc>
          <w:tcPr>
            <w:tcW w:w="7205" w:type="dxa"/>
            <w:noWrap w:val="0"/>
            <w:vAlign w:val="center"/>
          </w:tcPr>
          <w:p w14:paraId="7CB1DD4A">
            <w:pPr>
              <w:spacing w:line="360" w:lineRule="auto"/>
              <w:rPr>
                <w:rFonts w:ascii="宋体"/>
                <w:color w:val="auto"/>
                <w:szCs w:val="21"/>
                <w:highlight w:val="none"/>
              </w:rPr>
            </w:pPr>
            <w:r>
              <w:rPr>
                <w:rFonts w:ascii="宋体" w:hAnsi="宋体"/>
                <w:color w:val="auto"/>
                <w:szCs w:val="21"/>
                <w:highlight w:val="none"/>
              </w:rPr>
              <w:t>3.1</w:t>
            </w:r>
            <w:r>
              <w:rPr>
                <w:rFonts w:hint="eastAsia" w:ascii="宋体" w:hAnsi="宋体"/>
                <w:color w:val="auto"/>
                <w:szCs w:val="21"/>
                <w:highlight w:val="none"/>
              </w:rPr>
              <w:t>符合《中华人民共和国政府采购法》第二十二条和《政府采购法实施条例》第十八条规定，具备合法资格的供应商；</w:t>
            </w:r>
          </w:p>
          <w:p w14:paraId="7F2F6ADA">
            <w:pPr>
              <w:spacing w:line="360" w:lineRule="auto"/>
              <w:rPr>
                <w:rFonts w:hint="eastAsia"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2本项目</w:t>
            </w:r>
            <w:r>
              <w:rPr>
                <w:rFonts w:hint="eastAsia" w:ascii="宋体" w:hAnsi="宋体"/>
                <w:b/>
                <w:bCs/>
                <w:color w:val="auto"/>
                <w:szCs w:val="21"/>
                <w:highlight w:val="none"/>
              </w:rPr>
              <w:t>不接受</w:t>
            </w:r>
            <w:r>
              <w:rPr>
                <w:rFonts w:hint="eastAsia" w:ascii="宋体" w:hAnsi="宋体"/>
                <w:color w:val="auto"/>
                <w:szCs w:val="21"/>
                <w:highlight w:val="none"/>
              </w:rPr>
              <w:t>联合体参与谈判；</w:t>
            </w:r>
          </w:p>
          <w:p w14:paraId="106C0433">
            <w:pPr>
              <w:spacing w:line="360" w:lineRule="auto"/>
              <w:rPr>
                <w:rFonts w:hint="eastAsia"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3对在“信用中国”网站</w:t>
            </w:r>
            <w:r>
              <w:rPr>
                <w:rFonts w:ascii="宋体" w:hAnsi="宋体"/>
                <w:color w:val="auto"/>
                <w:szCs w:val="21"/>
                <w:highlight w:val="none"/>
              </w:rPr>
              <w:t>(www.creditchina.gov.cn)</w:t>
            </w:r>
            <w:r>
              <w:rPr>
                <w:rFonts w:hint="eastAsia" w:ascii="宋体" w:hAnsi="宋体"/>
                <w:color w:val="auto"/>
                <w:szCs w:val="21"/>
                <w:highlight w:val="none"/>
              </w:rPr>
              <w:t>、中国政府采购网</w:t>
            </w:r>
            <w:r>
              <w:rPr>
                <w:rFonts w:ascii="宋体" w:hAnsi="宋体"/>
                <w:color w:val="auto"/>
                <w:szCs w:val="21"/>
                <w:highlight w:val="none"/>
              </w:rPr>
              <w:t>(www.ccgp.gov.cn)</w:t>
            </w:r>
            <w:r>
              <w:rPr>
                <w:rFonts w:hint="eastAsia" w:ascii="宋体" w:hAnsi="宋体"/>
                <w:color w:val="auto"/>
                <w:szCs w:val="21"/>
                <w:highlight w:val="none"/>
              </w:rPr>
              <w:t>等渠道列入失信被执行人、</w:t>
            </w:r>
            <w:r>
              <w:rPr>
                <w:rFonts w:hint="eastAsia" w:ascii="宋体" w:hAnsi="宋体"/>
                <w:color w:val="auto"/>
                <w:szCs w:val="21"/>
                <w:highlight w:val="none"/>
                <w:lang w:eastAsia="zh-CN"/>
              </w:rPr>
              <w:t>重大税收违法失信主体名单</w:t>
            </w:r>
            <w:r>
              <w:rPr>
                <w:rFonts w:hint="eastAsia" w:ascii="宋体" w:hAnsi="宋体"/>
                <w:color w:val="auto"/>
                <w:szCs w:val="21"/>
                <w:highlight w:val="none"/>
              </w:rPr>
              <w:t>、政府采购严重违法失信行为记录名单及其他不符合《中华人民共和国政府采购法》第二十二条规定条件的供应商，不得参与政府采购活动。</w:t>
            </w:r>
          </w:p>
          <w:p w14:paraId="4E2684CD">
            <w:pPr>
              <w:spacing w:line="380" w:lineRule="exact"/>
              <w:rPr>
                <w:rFonts w:hint="eastAsia" w:ascii="宋体" w:hAnsi="宋体"/>
                <w:color w:val="auto"/>
                <w:szCs w:val="21"/>
                <w:highlight w:val="none"/>
              </w:rPr>
            </w:pPr>
            <w:r>
              <w:rPr>
                <w:rFonts w:hint="eastAsia" w:ascii="宋体" w:hAnsi="宋体"/>
                <w:color w:val="auto"/>
                <w:szCs w:val="21"/>
                <w:highlight w:val="none"/>
              </w:rPr>
              <w:t>3.4落实政府采购政策需满足的资格要求：</w:t>
            </w:r>
            <w:r>
              <w:rPr>
                <w:rFonts w:hint="eastAsia" w:ascii="宋体" w:hAnsi="宋体" w:cs="宋体"/>
                <w:color w:val="auto"/>
                <w:szCs w:val="21"/>
                <w:highlight w:val="none"/>
              </w:rPr>
              <w:t>无</w:t>
            </w:r>
            <w:r>
              <w:rPr>
                <w:rFonts w:hint="eastAsia" w:ascii="宋体" w:hAnsi="宋体" w:cs="宋体"/>
                <w:b/>
                <w:bCs/>
                <w:color w:val="auto"/>
                <w:szCs w:val="21"/>
                <w:highlight w:val="none"/>
              </w:rPr>
              <w:t>。</w:t>
            </w:r>
          </w:p>
          <w:p w14:paraId="08ECDCA6">
            <w:pPr>
              <w:spacing w:line="360" w:lineRule="auto"/>
              <w:rPr>
                <w:rFonts w:ascii="宋体"/>
                <w:color w:val="auto"/>
                <w:szCs w:val="21"/>
                <w:highlight w:val="none"/>
              </w:rPr>
            </w:pPr>
            <w:r>
              <w:rPr>
                <w:rFonts w:hint="eastAsia" w:ascii="宋体" w:hAnsi="宋体"/>
                <w:color w:val="auto"/>
                <w:szCs w:val="21"/>
                <w:highlight w:val="none"/>
              </w:rPr>
              <w:t>3.5本项目的特定资格要求：无。</w:t>
            </w:r>
          </w:p>
        </w:tc>
      </w:tr>
      <w:tr w14:paraId="4E3F8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525" w:type="dxa"/>
            <w:noWrap w:val="0"/>
            <w:vAlign w:val="center"/>
          </w:tcPr>
          <w:p w14:paraId="7A064337">
            <w:pPr>
              <w:spacing w:line="360" w:lineRule="auto"/>
              <w:jc w:val="center"/>
              <w:rPr>
                <w:rFonts w:ascii="宋体" w:hAnsi="宋体"/>
                <w:color w:val="auto"/>
                <w:szCs w:val="21"/>
                <w:highlight w:val="none"/>
              </w:rPr>
            </w:pPr>
            <w:r>
              <w:rPr>
                <w:rFonts w:ascii="宋体" w:hAnsi="宋体"/>
                <w:color w:val="auto"/>
                <w:szCs w:val="21"/>
                <w:highlight w:val="none"/>
              </w:rPr>
              <w:t>3</w:t>
            </w:r>
          </w:p>
        </w:tc>
        <w:tc>
          <w:tcPr>
            <w:tcW w:w="825" w:type="dxa"/>
            <w:noWrap w:val="0"/>
            <w:vAlign w:val="center"/>
          </w:tcPr>
          <w:p w14:paraId="7F51728E">
            <w:pPr>
              <w:spacing w:line="360" w:lineRule="auto"/>
              <w:jc w:val="center"/>
              <w:rPr>
                <w:rFonts w:ascii="宋体" w:hAnsi="宋体"/>
                <w:color w:val="auto"/>
                <w:szCs w:val="21"/>
                <w:highlight w:val="none"/>
              </w:rPr>
            </w:pPr>
            <w:r>
              <w:rPr>
                <w:rFonts w:ascii="宋体" w:hAnsi="宋体"/>
                <w:color w:val="auto"/>
                <w:szCs w:val="21"/>
                <w:highlight w:val="none"/>
              </w:rPr>
              <w:t>4</w:t>
            </w:r>
          </w:p>
        </w:tc>
        <w:tc>
          <w:tcPr>
            <w:tcW w:w="1815" w:type="dxa"/>
            <w:noWrap w:val="0"/>
            <w:vAlign w:val="center"/>
          </w:tcPr>
          <w:p w14:paraId="0418128C">
            <w:pPr>
              <w:spacing w:line="360" w:lineRule="auto"/>
              <w:jc w:val="center"/>
              <w:rPr>
                <w:rFonts w:ascii="宋体"/>
                <w:color w:val="auto"/>
                <w:szCs w:val="21"/>
                <w:highlight w:val="none"/>
              </w:rPr>
            </w:pPr>
            <w:r>
              <w:rPr>
                <w:rFonts w:hint="eastAsia" w:ascii="宋体" w:hAnsi="宋体"/>
                <w:color w:val="auto"/>
                <w:szCs w:val="21"/>
                <w:highlight w:val="none"/>
              </w:rPr>
              <w:t>谈判费用</w:t>
            </w:r>
          </w:p>
        </w:tc>
        <w:tc>
          <w:tcPr>
            <w:tcW w:w="7205" w:type="dxa"/>
            <w:noWrap w:val="0"/>
            <w:vAlign w:val="center"/>
          </w:tcPr>
          <w:p w14:paraId="1A3CE694">
            <w:pPr>
              <w:spacing w:line="360" w:lineRule="auto"/>
              <w:rPr>
                <w:rFonts w:ascii="宋体" w:hAnsi="宋体"/>
                <w:color w:val="auto"/>
                <w:szCs w:val="21"/>
                <w:highlight w:val="none"/>
              </w:rPr>
            </w:pPr>
            <w:r>
              <w:rPr>
                <w:rFonts w:hint="eastAsia" w:ascii="宋体" w:hAnsi="宋体"/>
                <w:color w:val="auto"/>
                <w:szCs w:val="21"/>
                <w:highlight w:val="none"/>
              </w:rPr>
              <w:t>不论</w:t>
            </w:r>
            <w:r>
              <w:rPr>
                <w:rFonts w:hint="eastAsia" w:ascii="宋体" w:hAnsi="宋体" w:cs="宋体"/>
                <w:color w:val="auto"/>
                <w:szCs w:val="21"/>
                <w:highlight w:val="none"/>
              </w:rPr>
              <w:t>谈判</w:t>
            </w:r>
            <w:r>
              <w:rPr>
                <w:rFonts w:hint="eastAsia" w:ascii="宋体" w:hAnsi="宋体"/>
                <w:color w:val="auto"/>
                <w:szCs w:val="21"/>
                <w:highlight w:val="none"/>
              </w:rPr>
              <w:t>结果如何，供应商均应自行承担所有与</w:t>
            </w:r>
            <w:r>
              <w:rPr>
                <w:rFonts w:hint="eastAsia" w:ascii="宋体" w:hAnsi="宋体" w:cs="宋体"/>
                <w:color w:val="auto"/>
                <w:szCs w:val="21"/>
                <w:highlight w:val="none"/>
              </w:rPr>
              <w:t>谈判</w:t>
            </w:r>
            <w:r>
              <w:rPr>
                <w:rFonts w:hint="eastAsia" w:ascii="宋体" w:hAnsi="宋体"/>
                <w:color w:val="auto"/>
                <w:szCs w:val="21"/>
                <w:highlight w:val="none"/>
              </w:rPr>
              <w:t>有关的全部费用。</w:t>
            </w:r>
            <w:r>
              <w:rPr>
                <w:rFonts w:ascii="宋体" w:hAnsi="宋体"/>
                <w:color w:val="auto"/>
                <w:szCs w:val="21"/>
                <w:highlight w:val="none"/>
              </w:rPr>
              <w:t xml:space="preserve"> </w:t>
            </w:r>
          </w:p>
        </w:tc>
      </w:tr>
      <w:tr w14:paraId="24362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525" w:type="dxa"/>
            <w:noWrap w:val="0"/>
            <w:vAlign w:val="center"/>
          </w:tcPr>
          <w:p w14:paraId="30E3FE80">
            <w:pPr>
              <w:spacing w:line="360" w:lineRule="auto"/>
              <w:jc w:val="center"/>
              <w:rPr>
                <w:rFonts w:hint="eastAsia" w:ascii="宋体" w:hAnsi="宋体"/>
                <w:color w:val="auto"/>
                <w:szCs w:val="21"/>
                <w:highlight w:val="none"/>
              </w:rPr>
            </w:pPr>
            <w:r>
              <w:rPr>
                <w:rFonts w:hint="eastAsia" w:ascii="宋体" w:hAnsi="宋体"/>
                <w:color w:val="auto"/>
                <w:szCs w:val="21"/>
                <w:highlight w:val="none"/>
              </w:rPr>
              <w:t>4</w:t>
            </w:r>
          </w:p>
        </w:tc>
        <w:tc>
          <w:tcPr>
            <w:tcW w:w="825" w:type="dxa"/>
            <w:noWrap w:val="0"/>
            <w:vAlign w:val="center"/>
          </w:tcPr>
          <w:p w14:paraId="174F3B63">
            <w:pPr>
              <w:spacing w:line="360" w:lineRule="auto"/>
              <w:jc w:val="center"/>
              <w:rPr>
                <w:rFonts w:ascii="宋体" w:hAnsi="宋体"/>
                <w:color w:val="auto"/>
                <w:position w:val="-2"/>
                <w:szCs w:val="21"/>
                <w:highlight w:val="none"/>
              </w:rPr>
            </w:pPr>
            <w:r>
              <w:rPr>
                <w:rFonts w:ascii="宋体" w:hAnsi="宋体"/>
                <w:color w:val="auto"/>
                <w:position w:val="-2"/>
                <w:szCs w:val="21"/>
                <w:highlight w:val="none"/>
              </w:rPr>
              <w:t>13</w:t>
            </w:r>
          </w:p>
        </w:tc>
        <w:tc>
          <w:tcPr>
            <w:tcW w:w="1815" w:type="dxa"/>
            <w:noWrap w:val="0"/>
            <w:vAlign w:val="center"/>
          </w:tcPr>
          <w:p w14:paraId="307BADCA">
            <w:pPr>
              <w:spacing w:line="360" w:lineRule="auto"/>
              <w:jc w:val="center"/>
              <w:rPr>
                <w:rFonts w:ascii="宋体"/>
                <w:color w:val="auto"/>
                <w:position w:val="-2"/>
                <w:szCs w:val="21"/>
                <w:highlight w:val="none"/>
              </w:rPr>
            </w:pPr>
            <w:r>
              <w:rPr>
                <w:rFonts w:hint="eastAsia" w:ascii="宋体" w:hAnsi="宋体"/>
                <w:color w:val="auto"/>
                <w:szCs w:val="21"/>
                <w:highlight w:val="none"/>
              </w:rPr>
              <w:t>谈判报价及采购预算金额</w:t>
            </w:r>
          </w:p>
        </w:tc>
        <w:tc>
          <w:tcPr>
            <w:tcW w:w="7205" w:type="dxa"/>
            <w:noWrap w:val="0"/>
            <w:vAlign w:val="center"/>
          </w:tcPr>
          <w:p w14:paraId="4B266AF6">
            <w:pPr>
              <w:spacing w:line="360" w:lineRule="auto"/>
              <w:rPr>
                <w:rFonts w:ascii="宋体" w:cs="宋体"/>
                <w:color w:val="auto"/>
                <w:szCs w:val="21"/>
                <w:highlight w:val="none"/>
              </w:rPr>
            </w:pPr>
            <w:r>
              <w:rPr>
                <w:rFonts w:ascii="宋体" w:hAnsi="宋体"/>
                <w:color w:val="auto"/>
                <w:szCs w:val="21"/>
                <w:highlight w:val="none"/>
              </w:rPr>
              <w:t>13.1</w:t>
            </w:r>
            <w:r>
              <w:rPr>
                <w:rFonts w:ascii="宋体" w:hAnsi="宋体" w:cs="宋体"/>
                <w:color w:val="auto"/>
                <w:szCs w:val="21"/>
                <w:highlight w:val="none"/>
              </w:rPr>
              <w:t xml:space="preserve"> </w:t>
            </w:r>
            <w:r>
              <w:rPr>
                <w:rFonts w:hint="eastAsia" w:ascii="宋体" w:hAnsi="宋体" w:cs="宋体"/>
                <w:color w:val="auto"/>
                <w:szCs w:val="21"/>
                <w:highlight w:val="none"/>
              </w:rPr>
              <w:t>谈判报价应按谈判文件中相关附表格式填写。</w:t>
            </w:r>
            <w:r>
              <w:rPr>
                <w:rFonts w:hint="eastAsia" w:ascii="宋体" w:hAnsi="宋体" w:cs="宋体"/>
                <w:b/>
                <w:bCs/>
                <w:color w:val="auto"/>
                <w:szCs w:val="21"/>
                <w:highlight w:val="none"/>
              </w:rPr>
              <w:t>采购预算金额：</w:t>
            </w:r>
            <w:r>
              <w:rPr>
                <w:rFonts w:hint="eastAsia" w:ascii="宋体" w:hAnsi="宋体" w:cs="宋体"/>
                <w:b/>
                <w:bCs/>
                <w:color w:val="auto"/>
                <w:szCs w:val="21"/>
                <w:highlight w:val="none"/>
                <w:lang w:eastAsia="zh-CN"/>
              </w:rPr>
              <w:t>人民币壹佰叁拾陆万玖仟元整（¥1369000.00元）</w:t>
            </w:r>
            <w:r>
              <w:rPr>
                <w:rFonts w:hint="eastAsia" w:ascii="宋体" w:hAnsi="宋体" w:cs="宋体"/>
                <w:b/>
                <w:bCs/>
                <w:color w:val="auto"/>
                <w:szCs w:val="21"/>
                <w:highlight w:val="none"/>
              </w:rPr>
              <w:t>。</w:t>
            </w:r>
            <w:r>
              <w:rPr>
                <w:rFonts w:hint="eastAsia" w:ascii="宋体" w:hAnsi="宋体" w:cs="宋体"/>
                <w:color w:val="auto"/>
                <w:szCs w:val="21"/>
                <w:highlight w:val="none"/>
              </w:rPr>
              <w:t>响应报价不得超出预算金额，否则，作响应无效处理。</w:t>
            </w:r>
          </w:p>
          <w:p w14:paraId="7178889D">
            <w:pPr>
              <w:spacing w:line="360" w:lineRule="auto"/>
              <w:jc w:val="left"/>
              <w:rPr>
                <w:rFonts w:ascii="宋体" w:cs="Courier New"/>
                <w:color w:val="auto"/>
                <w:szCs w:val="21"/>
                <w:highlight w:val="none"/>
              </w:rPr>
            </w:pPr>
            <w:r>
              <w:rPr>
                <w:rFonts w:ascii="宋体" w:hAnsi="宋体" w:cs="Courier New"/>
                <w:color w:val="auto"/>
                <w:szCs w:val="21"/>
                <w:highlight w:val="none"/>
              </w:rPr>
              <w:t>13.2</w:t>
            </w:r>
            <w:r>
              <w:rPr>
                <w:rFonts w:hint="eastAsia"/>
                <w:color w:val="auto"/>
                <w:szCs w:val="21"/>
                <w:highlight w:val="none"/>
              </w:rPr>
              <w:t>供应商必须就“采购需求”中所有内容作完整唯一报价，否则，其响应文件无效；响应文件只允许有一个报价，有选择的或有条件的报价将不予接受。</w:t>
            </w:r>
          </w:p>
          <w:p w14:paraId="1061396A">
            <w:pPr>
              <w:spacing w:line="360" w:lineRule="auto"/>
              <w:jc w:val="left"/>
              <w:rPr>
                <w:rFonts w:ascii="宋体" w:cs="Courier New"/>
                <w:color w:val="auto"/>
                <w:szCs w:val="21"/>
                <w:highlight w:val="none"/>
              </w:rPr>
            </w:pPr>
            <w:r>
              <w:rPr>
                <w:rFonts w:ascii="宋体" w:hAnsi="宋体" w:cs="Courier New"/>
                <w:color w:val="auto"/>
                <w:szCs w:val="21"/>
                <w:highlight w:val="none"/>
              </w:rPr>
              <w:t>13.4</w:t>
            </w:r>
            <w:r>
              <w:rPr>
                <w:rFonts w:hint="eastAsia" w:ascii="宋体" w:hAnsi="宋体" w:cs="宋体"/>
                <w:color w:val="auto"/>
                <w:szCs w:val="21"/>
                <w:highlight w:val="none"/>
              </w:rPr>
              <w:t>供应商应在规定时间内在广西政府采购云系统上提交最后报价，超出评委设定的最后报价时限或其最后报价超出采购预算导致已通过评审的响应文件无效的，按供应商在提交响应文件截止时间后撤回响应文件处理。</w:t>
            </w:r>
          </w:p>
        </w:tc>
      </w:tr>
      <w:tr w14:paraId="447F0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525" w:type="dxa"/>
            <w:noWrap w:val="0"/>
            <w:vAlign w:val="center"/>
          </w:tcPr>
          <w:p w14:paraId="4C841E50">
            <w:pPr>
              <w:spacing w:line="360" w:lineRule="auto"/>
              <w:jc w:val="center"/>
              <w:rPr>
                <w:rFonts w:hint="eastAsia" w:ascii="宋体" w:hAnsi="宋体"/>
                <w:color w:val="auto"/>
                <w:szCs w:val="21"/>
                <w:highlight w:val="none"/>
              </w:rPr>
            </w:pPr>
            <w:r>
              <w:rPr>
                <w:rFonts w:hint="eastAsia" w:ascii="宋体" w:hAnsi="宋体"/>
                <w:color w:val="auto"/>
                <w:szCs w:val="21"/>
                <w:highlight w:val="none"/>
              </w:rPr>
              <w:t>5</w:t>
            </w:r>
          </w:p>
        </w:tc>
        <w:tc>
          <w:tcPr>
            <w:tcW w:w="825" w:type="dxa"/>
            <w:noWrap w:val="0"/>
            <w:vAlign w:val="center"/>
          </w:tcPr>
          <w:p w14:paraId="71B2DD8F">
            <w:pPr>
              <w:spacing w:line="360" w:lineRule="auto"/>
              <w:jc w:val="center"/>
              <w:rPr>
                <w:rFonts w:ascii="宋体" w:hAnsi="宋体"/>
                <w:color w:val="auto"/>
                <w:position w:val="-2"/>
                <w:szCs w:val="21"/>
                <w:highlight w:val="none"/>
              </w:rPr>
            </w:pPr>
            <w:r>
              <w:rPr>
                <w:rFonts w:ascii="宋体" w:hAnsi="宋体"/>
                <w:color w:val="auto"/>
                <w:position w:val="-2"/>
                <w:szCs w:val="21"/>
                <w:highlight w:val="none"/>
              </w:rPr>
              <w:t>14.1</w:t>
            </w:r>
          </w:p>
        </w:tc>
        <w:tc>
          <w:tcPr>
            <w:tcW w:w="1815" w:type="dxa"/>
            <w:noWrap w:val="0"/>
            <w:vAlign w:val="center"/>
          </w:tcPr>
          <w:p w14:paraId="5BDFF817">
            <w:pPr>
              <w:spacing w:line="360" w:lineRule="auto"/>
              <w:jc w:val="center"/>
              <w:rPr>
                <w:rFonts w:ascii="宋体"/>
                <w:color w:val="auto"/>
                <w:position w:val="-2"/>
                <w:szCs w:val="21"/>
                <w:highlight w:val="none"/>
              </w:rPr>
            </w:pPr>
            <w:r>
              <w:rPr>
                <w:rFonts w:hint="eastAsia" w:ascii="宋体" w:hAnsi="宋体"/>
                <w:color w:val="auto"/>
                <w:position w:val="-2"/>
                <w:szCs w:val="21"/>
                <w:highlight w:val="none"/>
              </w:rPr>
              <w:t>响应文件有效期</w:t>
            </w:r>
          </w:p>
        </w:tc>
        <w:tc>
          <w:tcPr>
            <w:tcW w:w="7205" w:type="dxa"/>
            <w:noWrap w:val="0"/>
            <w:vAlign w:val="top"/>
          </w:tcPr>
          <w:p w14:paraId="0D0B1FD1">
            <w:pPr>
              <w:tabs>
                <w:tab w:val="left" w:pos="1305"/>
              </w:tabs>
              <w:spacing w:line="360" w:lineRule="auto"/>
              <w:rPr>
                <w:rFonts w:ascii="宋体"/>
                <w:color w:val="auto"/>
                <w:szCs w:val="21"/>
                <w:highlight w:val="none"/>
              </w:rPr>
            </w:pPr>
            <w:r>
              <w:rPr>
                <w:rFonts w:hint="eastAsia" w:ascii="宋体" w:hAnsi="宋体"/>
                <w:color w:val="auto"/>
                <w:szCs w:val="21"/>
                <w:highlight w:val="none"/>
              </w:rPr>
              <w:t>响应文件递交截止时间之日起</w:t>
            </w:r>
            <w:r>
              <w:rPr>
                <w:rFonts w:ascii="宋体" w:hAnsi="宋体"/>
                <w:color w:val="auto"/>
                <w:szCs w:val="21"/>
                <w:highlight w:val="none"/>
              </w:rPr>
              <w:t>90</w:t>
            </w:r>
            <w:r>
              <w:rPr>
                <w:rFonts w:hint="eastAsia" w:ascii="宋体" w:hAnsi="宋体"/>
                <w:color w:val="auto"/>
                <w:szCs w:val="21"/>
                <w:highlight w:val="none"/>
              </w:rPr>
              <w:t>天，有效期不足的响应文件将被拒绝。</w:t>
            </w:r>
          </w:p>
        </w:tc>
      </w:tr>
      <w:tr w14:paraId="7B56E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525" w:type="dxa"/>
            <w:noWrap w:val="0"/>
            <w:vAlign w:val="center"/>
          </w:tcPr>
          <w:p w14:paraId="37D837AE">
            <w:pPr>
              <w:spacing w:line="360" w:lineRule="auto"/>
              <w:jc w:val="center"/>
              <w:rPr>
                <w:rFonts w:hint="eastAsia" w:ascii="宋体" w:hAnsi="宋体"/>
                <w:color w:val="auto"/>
                <w:szCs w:val="21"/>
                <w:highlight w:val="none"/>
              </w:rPr>
            </w:pPr>
            <w:r>
              <w:rPr>
                <w:rFonts w:hint="eastAsia" w:ascii="宋体" w:hAnsi="宋体"/>
                <w:color w:val="auto"/>
                <w:szCs w:val="21"/>
                <w:highlight w:val="none"/>
              </w:rPr>
              <w:t>6</w:t>
            </w:r>
          </w:p>
        </w:tc>
        <w:tc>
          <w:tcPr>
            <w:tcW w:w="825" w:type="dxa"/>
            <w:noWrap w:val="0"/>
            <w:vAlign w:val="center"/>
          </w:tcPr>
          <w:p w14:paraId="31C18492">
            <w:pPr>
              <w:spacing w:line="360" w:lineRule="auto"/>
              <w:jc w:val="center"/>
              <w:rPr>
                <w:rFonts w:ascii="宋体" w:hAnsi="宋体"/>
                <w:color w:val="auto"/>
                <w:position w:val="-2"/>
                <w:szCs w:val="21"/>
                <w:highlight w:val="none"/>
              </w:rPr>
            </w:pPr>
            <w:r>
              <w:rPr>
                <w:rFonts w:hint="eastAsia" w:ascii="宋体" w:hAnsi="宋体"/>
                <w:color w:val="auto"/>
                <w:position w:val="-2"/>
                <w:szCs w:val="21"/>
                <w:highlight w:val="none"/>
              </w:rPr>
              <w:t>15</w:t>
            </w:r>
          </w:p>
        </w:tc>
        <w:tc>
          <w:tcPr>
            <w:tcW w:w="1815" w:type="dxa"/>
            <w:noWrap w:val="0"/>
            <w:vAlign w:val="center"/>
          </w:tcPr>
          <w:p w14:paraId="1DCF9A55">
            <w:pPr>
              <w:spacing w:line="360" w:lineRule="auto"/>
              <w:jc w:val="center"/>
              <w:rPr>
                <w:rFonts w:hint="eastAsia" w:ascii="宋体" w:hAnsi="宋体"/>
                <w:color w:val="auto"/>
                <w:position w:val="-2"/>
                <w:szCs w:val="21"/>
                <w:highlight w:val="none"/>
              </w:rPr>
            </w:pPr>
            <w:r>
              <w:rPr>
                <w:rFonts w:hint="eastAsia" w:ascii="宋体" w:hAnsi="宋体"/>
                <w:color w:val="auto"/>
                <w:position w:val="-2"/>
                <w:szCs w:val="21"/>
                <w:highlight w:val="none"/>
              </w:rPr>
              <w:t>保证金</w:t>
            </w:r>
          </w:p>
        </w:tc>
        <w:tc>
          <w:tcPr>
            <w:tcW w:w="7205" w:type="dxa"/>
            <w:noWrap w:val="0"/>
            <w:vAlign w:val="top"/>
          </w:tcPr>
          <w:p w14:paraId="38F2F3DD">
            <w:pPr>
              <w:tabs>
                <w:tab w:val="left" w:pos="1305"/>
              </w:tabs>
              <w:spacing w:line="360" w:lineRule="auto"/>
              <w:rPr>
                <w:rFonts w:hint="eastAsia" w:ascii="宋体" w:hAnsi="宋体"/>
                <w:color w:val="auto"/>
                <w:szCs w:val="21"/>
                <w:highlight w:val="none"/>
              </w:rPr>
            </w:pPr>
            <w:r>
              <w:rPr>
                <w:rFonts w:hint="eastAsia" w:ascii="宋体" w:hAnsi="宋体"/>
                <w:color w:val="auto"/>
                <w:szCs w:val="21"/>
                <w:highlight w:val="none"/>
              </w:rPr>
              <w:t>本项目无需缴纳谈判保证金。</w:t>
            </w:r>
          </w:p>
        </w:tc>
      </w:tr>
      <w:tr w14:paraId="28FB3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525" w:type="dxa"/>
            <w:noWrap w:val="0"/>
            <w:vAlign w:val="center"/>
          </w:tcPr>
          <w:p w14:paraId="33103D18">
            <w:pPr>
              <w:spacing w:line="360" w:lineRule="auto"/>
              <w:jc w:val="center"/>
              <w:rPr>
                <w:rFonts w:hint="eastAsia" w:ascii="宋体" w:hAnsi="宋体"/>
                <w:color w:val="auto"/>
                <w:szCs w:val="21"/>
                <w:highlight w:val="none"/>
              </w:rPr>
            </w:pPr>
            <w:r>
              <w:rPr>
                <w:rFonts w:hint="eastAsia" w:ascii="宋体" w:hAnsi="宋体"/>
                <w:color w:val="auto"/>
                <w:szCs w:val="21"/>
                <w:highlight w:val="none"/>
              </w:rPr>
              <w:t>7</w:t>
            </w:r>
          </w:p>
        </w:tc>
        <w:tc>
          <w:tcPr>
            <w:tcW w:w="825" w:type="dxa"/>
            <w:noWrap w:val="0"/>
            <w:vAlign w:val="center"/>
          </w:tcPr>
          <w:p w14:paraId="533B2946">
            <w:pPr>
              <w:spacing w:line="360" w:lineRule="auto"/>
              <w:jc w:val="center"/>
              <w:rPr>
                <w:rFonts w:ascii="宋体" w:hAnsi="宋体"/>
                <w:color w:val="auto"/>
                <w:szCs w:val="21"/>
                <w:highlight w:val="none"/>
              </w:rPr>
            </w:pPr>
            <w:r>
              <w:rPr>
                <w:rFonts w:ascii="宋体" w:hAnsi="宋体"/>
                <w:color w:val="auto"/>
                <w:szCs w:val="21"/>
                <w:highlight w:val="none"/>
              </w:rPr>
              <w:t>16</w:t>
            </w:r>
          </w:p>
        </w:tc>
        <w:tc>
          <w:tcPr>
            <w:tcW w:w="1815" w:type="dxa"/>
            <w:noWrap w:val="0"/>
            <w:vAlign w:val="center"/>
          </w:tcPr>
          <w:p w14:paraId="5B983A41">
            <w:pPr>
              <w:spacing w:line="360" w:lineRule="auto"/>
              <w:jc w:val="center"/>
              <w:rPr>
                <w:rFonts w:ascii="宋体"/>
                <w:color w:val="auto"/>
                <w:szCs w:val="21"/>
                <w:highlight w:val="none"/>
              </w:rPr>
            </w:pPr>
            <w:r>
              <w:rPr>
                <w:rFonts w:hint="eastAsia" w:ascii="宋体" w:hAnsi="宋体"/>
                <w:color w:val="auto"/>
                <w:szCs w:val="21"/>
                <w:highlight w:val="none"/>
              </w:rPr>
              <w:t>响应文件的制作</w:t>
            </w:r>
          </w:p>
        </w:tc>
        <w:tc>
          <w:tcPr>
            <w:tcW w:w="7205" w:type="dxa"/>
            <w:noWrap w:val="0"/>
            <w:vAlign w:val="center"/>
          </w:tcPr>
          <w:p w14:paraId="641D909C">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16.1电子响应文件中须加盖供应商公章部分均采用 CA 签章，并根据“政府采购项目电子交易管理操作指南-供应商” 及本谈判文件规定的格式和顺序编制电子响应文件并进行关联定位，以便谈判小组在评审时，点击即可直接定位到该内容。如对谈判文件的某项要求，供应商的电子响应文件未能关联定位提供相应的内容与其对应，则谈判小组在评审时如做出对供应商不利的评审由供应商自行承担。电子响应文件如内容不完整、编排混乱导致响应文件被误读、 漏读，或者在按响应文件规定的部位查找不到相关内容的，由供应商自行承担。</w:t>
            </w:r>
          </w:p>
          <w:p w14:paraId="1A879603">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 xml:space="preserve">16.2 供应商法人（负责人）或授权代表持有广西政府采购云个人CA签章的，应在响应文件中涉及到签字的位置使用个人CA签章，没有办理广西政府采购云个人CA签章的可在响应文件中涉及到签字的位置手写签字后扫描或者拍照做成 PDF 的格式上传即可。 </w:t>
            </w:r>
          </w:p>
          <w:p w14:paraId="126E1C33">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16.3 响应文件不得涂改，若有修改错漏处，须法定代表人（负责人）或授权委托人签字（或个人CA签章）。响应文件因字迹潦草或表达不清所引起的后果由供应商负责。</w:t>
            </w:r>
          </w:p>
          <w:p w14:paraId="25F44826">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 xml:space="preserve">16.4评审前准备 </w:t>
            </w:r>
          </w:p>
          <w:p w14:paraId="458D1054">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 xml:space="preserve">16.4.1本项目实行网上评审，采用电子响应文件；若供应商参与谈判，自行承担谈判一切费用。 </w:t>
            </w:r>
          </w:p>
          <w:p w14:paraId="032302D6">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 xml:space="preserve">16.4.2各供应商在截标前应确保成为广西政府采购云平台正式注册入库供应商，并完成 CA 数字证书申领。因未注册入库、未办理 CA 数字证书等原因造成无法响应或响应失败等后果由供应商自行承担。 </w:t>
            </w:r>
          </w:p>
          <w:p w14:paraId="2F9846F8">
            <w:pPr>
              <w:spacing w:line="360" w:lineRule="auto"/>
              <w:rPr>
                <w:rFonts w:ascii="宋体"/>
                <w:color w:val="auto"/>
                <w:szCs w:val="21"/>
                <w:highlight w:val="none"/>
              </w:rPr>
            </w:pPr>
            <w:r>
              <w:rPr>
                <w:rFonts w:hint="eastAsia" w:ascii="宋体" w:hAnsi="宋体" w:cs="宋体"/>
                <w:color w:val="auto"/>
                <w:szCs w:val="21"/>
                <w:highlight w:val="none"/>
              </w:rPr>
              <w:t>16.4.3供应商将广西政府采购云平台客户端下载、安装完成后，可通过账号密码或 CA 登录客户端进行响应文件制作。客户端请至网站下载专区查看，如有问题可拨打广西政府采购云客户服务热线 95763 进行咨询。</w:t>
            </w:r>
          </w:p>
        </w:tc>
      </w:tr>
      <w:tr w14:paraId="19D33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525" w:type="dxa"/>
            <w:noWrap w:val="0"/>
            <w:vAlign w:val="center"/>
          </w:tcPr>
          <w:p w14:paraId="49410551">
            <w:pPr>
              <w:spacing w:line="360" w:lineRule="auto"/>
              <w:jc w:val="center"/>
              <w:rPr>
                <w:rFonts w:hint="eastAsia" w:ascii="宋体" w:hAnsi="宋体"/>
                <w:color w:val="auto"/>
                <w:szCs w:val="21"/>
                <w:highlight w:val="none"/>
              </w:rPr>
            </w:pPr>
            <w:r>
              <w:rPr>
                <w:rFonts w:hint="eastAsia" w:ascii="宋体" w:hAnsi="宋体"/>
                <w:color w:val="auto"/>
                <w:szCs w:val="21"/>
                <w:highlight w:val="none"/>
              </w:rPr>
              <w:t>8</w:t>
            </w:r>
          </w:p>
        </w:tc>
        <w:tc>
          <w:tcPr>
            <w:tcW w:w="825" w:type="dxa"/>
            <w:noWrap w:val="0"/>
            <w:vAlign w:val="center"/>
          </w:tcPr>
          <w:p w14:paraId="4386AD09">
            <w:pPr>
              <w:spacing w:line="360" w:lineRule="auto"/>
              <w:jc w:val="center"/>
              <w:rPr>
                <w:rFonts w:ascii="宋体" w:hAnsi="宋体"/>
                <w:color w:val="auto"/>
                <w:position w:val="10"/>
                <w:szCs w:val="21"/>
                <w:highlight w:val="none"/>
              </w:rPr>
            </w:pPr>
            <w:r>
              <w:rPr>
                <w:rFonts w:hint="eastAsia" w:ascii="宋体" w:hAnsi="宋体"/>
                <w:color w:val="auto"/>
                <w:position w:val="10"/>
                <w:szCs w:val="21"/>
                <w:highlight w:val="none"/>
              </w:rPr>
              <w:t>17.1</w:t>
            </w:r>
          </w:p>
        </w:tc>
        <w:tc>
          <w:tcPr>
            <w:tcW w:w="1815" w:type="dxa"/>
            <w:noWrap w:val="0"/>
            <w:vAlign w:val="center"/>
          </w:tcPr>
          <w:p w14:paraId="0808BB72">
            <w:pPr>
              <w:spacing w:line="360" w:lineRule="auto"/>
              <w:jc w:val="center"/>
              <w:rPr>
                <w:rFonts w:ascii="宋体"/>
                <w:color w:val="auto"/>
                <w:position w:val="10"/>
                <w:szCs w:val="21"/>
                <w:highlight w:val="none"/>
              </w:rPr>
            </w:pPr>
            <w:r>
              <w:rPr>
                <w:rFonts w:hint="eastAsia" w:ascii="宋体" w:hAnsi="宋体" w:cs="宋体"/>
                <w:color w:val="auto"/>
                <w:szCs w:val="21"/>
                <w:highlight w:val="none"/>
              </w:rPr>
              <w:t>响应文件的补充、修改和撤回</w:t>
            </w:r>
          </w:p>
        </w:tc>
        <w:tc>
          <w:tcPr>
            <w:tcW w:w="7205" w:type="dxa"/>
            <w:noWrap w:val="0"/>
            <w:vAlign w:val="center"/>
          </w:tcPr>
          <w:p w14:paraId="06D71796">
            <w:pPr>
              <w:spacing w:line="360" w:lineRule="auto"/>
              <w:rPr>
                <w:rFonts w:ascii="宋体"/>
                <w:color w:val="auto"/>
                <w:szCs w:val="21"/>
                <w:highlight w:val="none"/>
              </w:rPr>
            </w:pPr>
            <w:r>
              <w:rPr>
                <w:rFonts w:hint="eastAsia" w:ascii="宋体" w:hAnsi="宋体" w:cs="宋体"/>
                <w:color w:val="auto"/>
                <w:szCs w:val="21"/>
                <w:highlight w:val="none"/>
              </w:rPr>
              <w:t>17.1 响应文件递交截止时间前可以撤回电子响应文件。补充或者修改电子响应文件的，应当先行撤回原文件，补充、修改后重新传输递交，响应文件递交截止时间前未完成传输的，视为撤回响应文件。</w:t>
            </w:r>
          </w:p>
        </w:tc>
      </w:tr>
      <w:tr w14:paraId="1B9F5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525" w:type="dxa"/>
            <w:noWrap w:val="0"/>
            <w:vAlign w:val="center"/>
          </w:tcPr>
          <w:p w14:paraId="20208E53">
            <w:pPr>
              <w:spacing w:line="360" w:lineRule="auto"/>
              <w:jc w:val="center"/>
              <w:rPr>
                <w:rFonts w:ascii="宋体" w:hAnsi="宋体"/>
                <w:color w:val="auto"/>
                <w:szCs w:val="21"/>
                <w:highlight w:val="none"/>
              </w:rPr>
            </w:pPr>
            <w:r>
              <w:rPr>
                <w:rFonts w:hint="eastAsia" w:ascii="宋体" w:hAnsi="宋体"/>
                <w:color w:val="auto"/>
                <w:szCs w:val="21"/>
                <w:highlight w:val="none"/>
              </w:rPr>
              <w:t>9</w:t>
            </w:r>
          </w:p>
        </w:tc>
        <w:tc>
          <w:tcPr>
            <w:tcW w:w="825" w:type="dxa"/>
            <w:noWrap w:val="0"/>
            <w:vAlign w:val="center"/>
          </w:tcPr>
          <w:p w14:paraId="7CB9CBB9">
            <w:pPr>
              <w:spacing w:line="360" w:lineRule="auto"/>
              <w:jc w:val="center"/>
              <w:rPr>
                <w:rFonts w:ascii="宋体" w:hAnsi="宋体"/>
                <w:color w:val="auto"/>
                <w:szCs w:val="21"/>
                <w:highlight w:val="none"/>
              </w:rPr>
            </w:pPr>
            <w:r>
              <w:rPr>
                <w:rFonts w:hint="eastAsia" w:ascii="宋体" w:hAnsi="宋体"/>
                <w:color w:val="auto"/>
                <w:szCs w:val="21"/>
                <w:highlight w:val="none"/>
              </w:rPr>
              <w:t>18.1</w:t>
            </w:r>
          </w:p>
        </w:tc>
        <w:tc>
          <w:tcPr>
            <w:tcW w:w="1815" w:type="dxa"/>
            <w:noWrap w:val="0"/>
            <w:vAlign w:val="center"/>
          </w:tcPr>
          <w:p w14:paraId="5AC028EB">
            <w:pPr>
              <w:spacing w:line="360" w:lineRule="auto"/>
              <w:jc w:val="center"/>
              <w:rPr>
                <w:rFonts w:ascii="宋体"/>
                <w:color w:val="auto"/>
                <w:szCs w:val="21"/>
                <w:highlight w:val="none"/>
              </w:rPr>
            </w:pPr>
            <w:r>
              <w:rPr>
                <w:rFonts w:hint="eastAsia" w:ascii="宋体" w:hAnsi="宋体" w:cs="宋体"/>
                <w:color w:val="auto"/>
                <w:szCs w:val="21"/>
                <w:highlight w:val="none"/>
              </w:rPr>
              <w:t>响应文件递交</w:t>
            </w:r>
          </w:p>
        </w:tc>
        <w:tc>
          <w:tcPr>
            <w:tcW w:w="7205" w:type="dxa"/>
            <w:noWrap w:val="0"/>
            <w:vAlign w:val="center"/>
          </w:tcPr>
          <w:p w14:paraId="78003B42">
            <w:pPr>
              <w:spacing w:line="360" w:lineRule="auto"/>
              <w:rPr>
                <w:rFonts w:ascii="宋体"/>
                <w:color w:val="auto"/>
                <w:szCs w:val="21"/>
                <w:highlight w:val="none"/>
              </w:rPr>
            </w:pPr>
            <w:r>
              <w:rPr>
                <w:rFonts w:hint="eastAsia" w:ascii="宋体" w:hAnsi="宋体"/>
                <w:color w:val="auto"/>
                <w:szCs w:val="21"/>
                <w:highlight w:val="none"/>
              </w:rPr>
              <w:t>18.1响应文件递交截止时间：于</w:t>
            </w:r>
            <w:r>
              <w:rPr>
                <w:rFonts w:hint="eastAsia" w:ascii="宋体" w:hAnsi="宋体" w:cs="宋体"/>
                <w:color w:val="auto"/>
                <w:szCs w:val="21"/>
                <w:highlight w:val="none"/>
                <w:u w:val="single"/>
                <w:lang w:eastAsia="zh-CN"/>
              </w:rPr>
              <w:t>2026年8月17日</w:t>
            </w:r>
            <w:r>
              <w:rPr>
                <w:rFonts w:hint="eastAsia" w:ascii="宋体" w:hAnsi="宋体" w:cs="宋体"/>
                <w:color w:val="auto"/>
                <w:szCs w:val="21"/>
                <w:highlight w:val="none"/>
                <w:u w:val="single"/>
              </w:rPr>
              <w:t>上午9时30分</w:t>
            </w:r>
            <w:r>
              <w:rPr>
                <w:rFonts w:hint="eastAsia" w:ascii="宋体" w:hAnsi="宋体" w:cs="宋体"/>
                <w:color w:val="auto"/>
                <w:szCs w:val="21"/>
                <w:highlight w:val="none"/>
              </w:rPr>
              <w:t>之前将电子</w:t>
            </w:r>
            <w:r>
              <w:rPr>
                <w:rFonts w:hint="eastAsia" w:ascii="宋体" w:hAnsi="宋体"/>
                <w:color w:val="auto"/>
                <w:szCs w:val="21"/>
                <w:highlight w:val="none"/>
              </w:rPr>
              <w:t>响应</w:t>
            </w:r>
            <w:r>
              <w:rPr>
                <w:rFonts w:hint="eastAsia" w:ascii="宋体" w:hAnsi="宋体" w:cs="宋体"/>
                <w:color w:val="auto"/>
                <w:szCs w:val="21"/>
                <w:highlight w:val="none"/>
              </w:rPr>
              <w:t>文件上传到广西政府采购云平台。应按照本项目谈判文件和广西政府采购云平台的要求编制、加密传输</w:t>
            </w:r>
            <w:r>
              <w:rPr>
                <w:rFonts w:hint="eastAsia" w:ascii="宋体" w:hAnsi="宋体"/>
                <w:color w:val="auto"/>
                <w:szCs w:val="21"/>
                <w:highlight w:val="none"/>
              </w:rPr>
              <w:t>响应</w:t>
            </w:r>
            <w:r>
              <w:rPr>
                <w:rFonts w:hint="eastAsia" w:ascii="宋体" w:hAnsi="宋体" w:cs="宋体"/>
                <w:color w:val="auto"/>
                <w:szCs w:val="21"/>
                <w:highlight w:val="none"/>
              </w:rPr>
              <w:t>文件。供应商在使用系统进行投标响应的过程中遇到涉及平台使用的任何问题，可致电广西政府采购云平台技术支持热线咨询，联系方式：95763。</w:t>
            </w:r>
          </w:p>
        </w:tc>
      </w:tr>
      <w:tr w14:paraId="6D865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525" w:type="dxa"/>
            <w:noWrap w:val="0"/>
            <w:vAlign w:val="center"/>
          </w:tcPr>
          <w:p w14:paraId="68AE460F">
            <w:pPr>
              <w:spacing w:line="360" w:lineRule="auto"/>
              <w:jc w:val="center"/>
              <w:rPr>
                <w:rFonts w:ascii="宋体" w:hAnsi="宋体"/>
                <w:color w:val="auto"/>
                <w:szCs w:val="21"/>
                <w:highlight w:val="none"/>
              </w:rPr>
            </w:pPr>
            <w:r>
              <w:rPr>
                <w:rFonts w:hint="eastAsia" w:ascii="宋体" w:hAnsi="宋体"/>
                <w:color w:val="auto"/>
                <w:szCs w:val="21"/>
                <w:highlight w:val="none"/>
              </w:rPr>
              <w:t>10</w:t>
            </w:r>
          </w:p>
        </w:tc>
        <w:tc>
          <w:tcPr>
            <w:tcW w:w="825" w:type="dxa"/>
            <w:noWrap w:val="0"/>
            <w:vAlign w:val="center"/>
          </w:tcPr>
          <w:p w14:paraId="23481EB2">
            <w:pPr>
              <w:spacing w:line="360" w:lineRule="auto"/>
              <w:jc w:val="center"/>
              <w:rPr>
                <w:rFonts w:ascii="宋体" w:hAnsi="宋体"/>
                <w:color w:val="auto"/>
                <w:szCs w:val="21"/>
                <w:highlight w:val="none"/>
              </w:rPr>
            </w:pPr>
            <w:r>
              <w:rPr>
                <w:rFonts w:hint="eastAsia" w:ascii="宋体" w:hAnsi="宋体"/>
                <w:color w:val="auto"/>
                <w:szCs w:val="21"/>
                <w:highlight w:val="none"/>
              </w:rPr>
              <w:t>18.2</w:t>
            </w:r>
          </w:p>
        </w:tc>
        <w:tc>
          <w:tcPr>
            <w:tcW w:w="1815" w:type="dxa"/>
            <w:noWrap w:val="0"/>
            <w:vAlign w:val="center"/>
          </w:tcPr>
          <w:p w14:paraId="720206B7">
            <w:pPr>
              <w:spacing w:line="360" w:lineRule="auto"/>
              <w:jc w:val="center"/>
              <w:rPr>
                <w:rFonts w:ascii="宋体"/>
                <w:color w:val="auto"/>
                <w:szCs w:val="21"/>
                <w:highlight w:val="none"/>
              </w:rPr>
            </w:pPr>
            <w:r>
              <w:rPr>
                <w:rFonts w:hint="eastAsia" w:ascii="宋体" w:hAnsi="宋体" w:cs="宋体"/>
                <w:color w:val="auto"/>
                <w:szCs w:val="21"/>
                <w:highlight w:val="none"/>
              </w:rPr>
              <w:t>响应文件解密</w:t>
            </w:r>
          </w:p>
        </w:tc>
        <w:tc>
          <w:tcPr>
            <w:tcW w:w="7205" w:type="dxa"/>
            <w:noWrap w:val="0"/>
            <w:vAlign w:val="center"/>
          </w:tcPr>
          <w:p w14:paraId="3DA1177E">
            <w:pPr>
              <w:pStyle w:val="18"/>
              <w:rPr>
                <w:rFonts w:hint="eastAsia" w:ascii="宋体" w:hAnsi="宋体" w:cs="宋体"/>
                <w:color w:val="auto"/>
                <w:highlight w:val="none"/>
              </w:rPr>
            </w:pPr>
            <w:r>
              <w:rPr>
                <w:rFonts w:hint="eastAsia" w:ascii="宋体" w:hAnsi="宋体" w:cs="宋体"/>
                <w:color w:val="auto"/>
                <w:szCs w:val="21"/>
                <w:highlight w:val="none"/>
              </w:rPr>
              <w:t>18.2</w:t>
            </w:r>
            <w:r>
              <w:rPr>
                <w:rFonts w:hint="eastAsia" w:ascii="宋体" w:hAnsi="宋体" w:cs="宋体"/>
                <w:color w:val="auto"/>
                <w:highlight w:val="none"/>
              </w:rPr>
              <w:t>响应文件解密时间：截标时间后</w:t>
            </w:r>
            <w:r>
              <w:rPr>
                <w:rFonts w:hint="eastAsia" w:ascii="宋体" w:hAnsi="宋体" w:cs="宋体"/>
                <w:color w:val="auto"/>
                <w:highlight w:val="none"/>
                <w:u w:val="single"/>
              </w:rPr>
              <w:t>30</w:t>
            </w:r>
            <w:r>
              <w:rPr>
                <w:rFonts w:hint="eastAsia" w:ascii="宋体" w:hAnsi="宋体" w:cs="宋体"/>
                <w:color w:val="auto"/>
                <w:highlight w:val="none"/>
              </w:rPr>
              <w:t>分钟内（</w:t>
            </w:r>
            <w:r>
              <w:rPr>
                <w:rFonts w:hint="eastAsia" w:ascii="宋体" w:hAnsi="宋体" w:cs="宋体"/>
                <w:color w:val="auto"/>
                <w:highlight w:val="none"/>
                <w:u w:val="single"/>
                <w:lang w:eastAsia="zh-CN"/>
              </w:rPr>
              <w:t>2026年8月17日</w:t>
            </w:r>
            <w:r>
              <w:rPr>
                <w:rFonts w:hint="eastAsia" w:ascii="宋体" w:hAnsi="宋体" w:cs="宋体"/>
                <w:color w:val="auto"/>
                <w:highlight w:val="none"/>
                <w:u w:val="single"/>
              </w:rPr>
              <w:t>上午9时30分至10时00分</w:t>
            </w:r>
            <w:r>
              <w:rPr>
                <w:rFonts w:hint="eastAsia" w:ascii="宋体" w:hAnsi="宋体" w:cs="宋体"/>
                <w:color w:val="auto"/>
                <w:highlight w:val="none"/>
              </w:rPr>
              <w:t>)供应商可以登录广西政府采购云平台，用“项目采购-开标评标”功能进行解密响应文件。</w:t>
            </w:r>
          </w:p>
          <w:p w14:paraId="19399CC1">
            <w:pPr>
              <w:pStyle w:val="18"/>
              <w:rPr>
                <w:rFonts w:ascii="宋体"/>
                <w:color w:val="auto"/>
                <w:szCs w:val="21"/>
                <w:highlight w:val="none"/>
              </w:rPr>
            </w:pPr>
            <w:r>
              <w:rPr>
                <w:rFonts w:hint="eastAsia" w:ascii="宋体" w:hAnsi="宋体" w:cs="宋体"/>
                <w:b/>
                <w:bCs/>
                <w:color w:val="auto"/>
                <w:szCs w:val="21"/>
                <w:highlight w:val="none"/>
              </w:rPr>
              <w:t>注：响应文件网上递交截止时间后，各供应商须在解密时限内对上传广西政府采购云的响应文件进行解密，所有供应商在规定的解密时限内解密完成或解密时限结束后，我中心开启已解密的响应文件。供应商超过解密时限未解密的，系统默认自动放弃，造成响应无效的后果由供应商自行承担。解密响应文件后，30分钟内在线签字确认，超过时间没有在线签字确认的系统将自动视为供应商认可。</w:t>
            </w:r>
          </w:p>
        </w:tc>
      </w:tr>
      <w:tr w14:paraId="5D302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525" w:type="dxa"/>
            <w:noWrap w:val="0"/>
            <w:vAlign w:val="center"/>
          </w:tcPr>
          <w:p w14:paraId="463E133B">
            <w:pPr>
              <w:spacing w:line="360" w:lineRule="auto"/>
              <w:jc w:val="center"/>
              <w:rPr>
                <w:rFonts w:ascii="宋体" w:hAnsi="宋体"/>
                <w:color w:val="auto"/>
                <w:szCs w:val="21"/>
                <w:highlight w:val="none"/>
              </w:rPr>
            </w:pPr>
            <w:r>
              <w:rPr>
                <w:rFonts w:hint="eastAsia" w:ascii="宋体" w:hAnsi="宋体"/>
                <w:color w:val="auto"/>
                <w:szCs w:val="21"/>
                <w:highlight w:val="none"/>
              </w:rPr>
              <w:t>11</w:t>
            </w:r>
          </w:p>
        </w:tc>
        <w:tc>
          <w:tcPr>
            <w:tcW w:w="825" w:type="dxa"/>
            <w:noWrap w:val="0"/>
            <w:vAlign w:val="center"/>
          </w:tcPr>
          <w:p w14:paraId="65C1EC00">
            <w:pPr>
              <w:spacing w:line="360" w:lineRule="auto"/>
              <w:ind w:firstLine="105"/>
              <w:jc w:val="center"/>
              <w:rPr>
                <w:rFonts w:ascii="宋体" w:hAnsi="宋体"/>
                <w:color w:val="auto"/>
                <w:position w:val="-2"/>
                <w:szCs w:val="21"/>
                <w:highlight w:val="none"/>
              </w:rPr>
            </w:pPr>
            <w:r>
              <w:rPr>
                <w:rFonts w:hint="eastAsia" w:ascii="宋体" w:hAnsi="宋体"/>
                <w:color w:val="auto"/>
                <w:position w:val="-2"/>
                <w:szCs w:val="21"/>
                <w:highlight w:val="none"/>
              </w:rPr>
              <w:t>19</w:t>
            </w:r>
            <w:r>
              <w:rPr>
                <w:rFonts w:ascii="宋体" w:hAnsi="宋体"/>
                <w:color w:val="auto"/>
                <w:position w:val="-2"/>
                <w:szCs w:val="21"/>
                <w:highlight w:val="none"/>
              </w:rPr>
              <w:t>.1</w:t>
            </w:r>
          </w:p>
        </w:tc>
        <w:tc>
          <w:tcPr>
            <w:tcW w:w="1815" w:type="dxa"/>
            <w:noWrap w:val="0"/>
            <w:vAlign w:val="center"/>
          </w:tcPr>
          <w:p w14:paraId="23456352">
            <w:pPr>
              <w:spacing w:line="360" w:lineRule="auto"/>
              <w:jc w:val="center"/>
              <w:rPr>
                <w:rFonts w:ascii="宋体"/>
                <w:color w:val="auto"/>
                <w:szCs w:val="21"/>
                <w:highlight w:val="none"/>
              </w:rPr>
            </w:pPr>
            <w:r>
              <w:rPr>
                <w:rFonts w:hint="eastAsia" w:ascii="宋体" w:hAnsi="宋体"/>
                <w:color w:val="auto"/>
                <w:szCs w:val="21"/>
                <w:highlight w:val="none"/>
              </w:rPr>
              <w:t>谈判小组组成</w:t>
            </w:r>
          </w:p>
        </w:tc>
        <w:tc>
          <w:tcPr>
            <w:tcW w:w="7205" w:type="dxa"/>
            <w:noWrap w:val="0"/>
            <w:vAlign w:val="center"/>
          </w:tcPr>
          <w:p w14:paraId="60A7F06F">
            <w:pPr>
              <w:spacing w:line="360" w:lineRule="auto"/>
              <w:ind w:left="15" w:hanging="14"/>
              <w:rPr>
                <w:rFonts w:ascii="宋体"/>
                <w:color w:val="auto"/>
                <w:szCs w:val="21"/>
                <w:highlight w:val="none"/>
              </w:rPr>
            </w:pPr>
            <w:r>
              <w:rPr>
                <w:rFonts w:hint="eastAsia" w:ascii="宋体" w:hAnsi="宋体"/>
                <w:color w:val="auto"/>
                <w:szCs w:val="21"/>
                <w:highlight w:val="none"/>
              </w:rPr>
              <w:t>谈判及评审工作由采购代理机构负责组织，具体谈判、评审工作由依法组建的谈判小组负责，谈判小组由采购人代表和有关方面的专家组成。谈判小组的构成：</w:t>
            </w:r>
            <w:r>
              <w:rPr>
                <w:rFonts w:ascii="宋体" w:hAnsi="宋体"/>
                <w:color w:val="auto"/>
                <w:szCs w:val="21"/>
                <w:highlight w:val="none"/>
                <w:u w:val="single"/>
              </w:rPr>
              <w:t xml:space="preserve">3 </w:t>
            </w:r>
            <w:r>
              <w:rPr>
                <w:rFonts w:hint="eastAsia" w:ascii="宋体" w:hAnsi="宋体"/>
                <w:color w:val="auto"/>
                <w:szCs w:val="21"/>
                <w:highlight w:val="none"/>
              </w:rPr>
              <w:t>人，其中采购人代表</w:t>
            </w:r>
            <w:r>
              <w:rPr>
                <w:rFonts w:ascii="宋体" w:hAnsi="宋体"/>
                <w:color w:val="auto"/>
                <w:szCs w:val="21"/>
                <w:highlight w:val="none"/>
                <w:u w:val="single"/>
              </w:rPr>
              <w:t xml:space="preserve"> 1 </w:t>
            </w:r>
            <w:r>
              <w:rPr>
                <w:rFonts w:hint="eastAsia" w:ascii="宋体" w:hAnsi="宋体"/>
                <w:color w:val="auto"/>
                <w:szCs w:val="21"/>
                <w:highlight w:val="none"/>
              </w:rPr>
              <w:t>人，专家</w:t>
            </w:r>
            <w:r>
              <w:rPr>
                <w:rFonts w:ascii="宋体" w:hAnsi="宋体"/>
                <w:color w:val="auto"/>
                <w:szCs w:val="21"/>
                <w:highlight w:val="none"/>
                <w:u w:val="single"/>
              </w:rPr>
              <w:t xml:space="preserve"> 2</w:t>
            </w:r>
            <w:r>
              <w:rPr>
                <w:rFonts w:hint="eastAsia" w:ascii="宋体" w:hAnsi="宋体"/>
                <w:color w:val="auto"/>
                <w:szCs w:val="21"/>
                <w:highlight w:val="none"/>
              </w:rPr>
              <w:t>人。</w:t>
            </w:r>
          </w:p>
        </w:tc>
      </w:tr>
      <w:tr w14:paraId="50F41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525" w:type="dxa"/>
            <w:noWrap w:val="0"/>
            <w:vAlign w:val="center"/>
          </w:tcPr>
          <w:p w14:paraId="49E79233">
            <w:pPr>
              <w:spacing w:line="360" w:lineRule="auto"/>
              <w:jc w:val="center"/>
              <w:rPr>
                <w:rFonts w:ascii="宋体" w:hAnsi="宋体"/>
                <w:color w:val="auto"/>
                <w:szCs w:val="21"/>
                <w:highlight w:val="none"/>
              </w:rPr>
            </w:pPr>
            <w:r>
              <w:rPr>
                <w:rFonts w:hint="eastAsia" w:ascii="宋体" w:hAnsi="宋体"/>
                <w:color w:val="auto"/>
                <w:szCs w:val="21"/>
                <w:highlight w:val="none"/>
              </w:rPr>
              <w:t>12</w:t>
            </w:r>
          </w:p>
        </w:tc>
        <w:tc>
          <w:tcPr>
            <w:tcW w:w="825" w:type="dxa"/>
            <w:noWrap w:val="0"/>
            <w:vAlign w:val="center"/>
          </w:tcPr>
          <w:p w14:paraId="6089444F">
            <w:pPr>
              <w:spacing w:line="360" w:lineRule="auto"/>
              <w:jc w:val="center"/>
              <w:rPr>
                <w:rFonts w:ascii="宋体" w:hAnsi="宋体"/>
                <w:color w:val="auto"/>
                <w:szCs w:val="21"/>
                <w:highlight w:val="none"/>
              </w:rPr>
            </w:pPr>
            <w:r>
              <w:rPr>
                <w:rFonts w:hint="eastAsia" w:ascii="宋体" w:hAnsi="宋体"/>
                <w:color w:val="auto"/>
                <w:szCs w:val="21"/>
                <w:highlight w:val="none"/>
              </w:rPr>
              <w:t>19</w:t>
            </w:r>
            <w:r>
              <w:rPr>
                <w:rFonts w:ascii="宋体" w:hAnsi="宋体"/>
                <w:color w:val="auto"/>
                <w:szCs w:val="21"/>
                <w:highlight w:val="none"/>
              </w:rPr>
              <w:t>.2</w:t>
            </w:r>
          </w:p>
        </w:tc>
        <w:tc>
          <w:tcPr>
            <w:tcW w:w="1815" w:type="dxa"/>
            <w:noWrap w:val="0"/>
            <w:vAlign w:val="center"/>
          </w:tcPr>
          <w:p w14:paraId="60A3F7D3">
            <w:pPr>
              <w:spacing w:line="360" w:lineRule="auto"/>
              <w:jc w:val="center"/>
              <w:rPr>
                <w:rFonts w:ascii="宋体"/>
                <w:color w:val="auto"/>
                <w:szCs w:val="21"/>
                <w:highlight w:val="none"/>
              </w:rPr>
            </w:pPr>
            <w:r>
              <w:rPr>
                <w:rFonts w:hint="eastAsia" w:ascii="宋体" w:hAnsi="宋体"/>
                <w:color w:val="auto"/>
                <w:szCs w:val="21"/>
                <w:highlight w:val="none"/>
              </w:rPr>
              <w:t>谈判时间、地点、人员</w:t>
            </w:r>
          </w:p>
        </w:tc>
        <w:tc>
          <w:tcPr>
            <w:tcW w:w="7205" w:type="dxa"/>
            <w:noWrap w:val="0"/>
            <w:vAlign w:val="top"/>
          </w:tcPr>
          <w:p w14:paraId="45AF3E61">
            <w:pPr>
              <w:spacing w:line="360" w:lineRule="auto"/>
              <w:ind w:left="315" w:hanging="315"/>
              <w:jc w:val="left"/>
              <w:rPr>
                <w:rFonts w:ascii="宋体"/>
                <w:color w:val="auto"/>
                <w:szCs w:val="21"/>
                <w:highlight w:val="none"/>
              </w:rPr>
            </w:pPr>
            <w:r>
              <w:rPr>
                <w:rFonts w:hint="eastAsia" w:ascii="宋体" w:hAnsi="宋体"/>
                <w:color w:val="auto"/>
                <w:szCs w:val="21"/>
                <w:highlight w:val="none"/>
              </w:rPr>
              <w:t>19</w:t>
            </w:r>
            <w:r>
              <w:rPr>
                <w:rFonts w:ascii="宋体" w:hAnsi="宋体"/>
                <w:color w:val="auto"/>
                <w:szCs w:val="21"/>
                <w:highlight w:val="none"/>
              </w:rPr>
              <w:t>.2.1</w:t>
            </w:r>
            <w:r>
              <w:rPr>
                <w:rFonts w:hint="eastAsia" w:ascii="宋体" w:hAnsi="宋体"/>
                <w:color w:val="auto"/>
                <w:szCs w:val="21"/>
                <w:highlight w:val="none"/>
              </w:rPr>
              <w:t>谈判时间：响应文件递交截止时间后。</w:t>
            </w:r>
          </w:p>
          <w:p w14:paraId="1E02880F">
            <w:pPr>
              <w:spacing w:line="360" w:lineRule="auto"/>
              <w:jc w:val="left"/>
              <w:rPr>
                <w:rFonts w:ascii="宋体"/>
                <w:b/>
                <w:bCs/>
                <w:color w:val="auto"/>
                <w:szCs w:val="21"/>
                <w:highlight w:val="none"/>
              </w:rPr>
            </w:pPr>
            <w:r>
              <w:rPr>
                <w:rFonts w:hint="eastAsia" w:ascii="宋体" w:hAnsi="宋体"/>
                <w:color w:val="auto"/>
                <w:szCs w:val="21"/>
                <w:highlight w:val="none"/>
              </w:rPr>
              <w:t>19</w:t>
            </w:r>
            <w:r>
              <w:rPr>
                <w:rFonts w:ascii="宋体" w:hAnsi="宋体"/>
                <w:color w:val="auto"/>
                <w:szCs w:val="21"/>
                <w:highlight w:val="none"/>
              </w:rPr>
              <w:t>.2.2</w:t>
            </w:r>
            <w:r>
              <w:rPr>
                <w:rFonts w:hint="eastAsia" w:ascii="宋体" w:hAnsi="宋体"/>
                <w:color w:val="auto"/>
                <w:szCs w:val="21"/>
                <w:highlight w:val="none"/>
              </w:rPr>
              <w:t>谈判地点：</w:t>
            </w:r>
            <w:r>
              <w:rPr>
                <w:rFonts w:hint="eastAsia" w:ascii="宋体" w:hAnsi="宋体" w:cs="宋体"/>
                <w:b/>
                <w:bCs/>
                <w:color w:val="auto"/>
                <w:szCs w:val="21"/>
                <w:highlight w:val="none"/>
              </w:rPr>
              <w:t>通过广西政府采购云平台在线谈判</w:t>
            </w:r>
            <w:r>
              <w:rPr>
                <w:rFonts w:hint="eastAsia" w:ascii="宋体" w:hAnsi="宋体"/>
                <w:b/>
                <w:bCs/>
                <w:color w:val="auto"/>
                <w:szCs w:val="21"/>
                <w:highlight w:val="none"/>
              </w:rPr>
              <w:t>。</w:t>
            </w:r>
          </w:p>
          <w:p w14:paraId="7FC1FED0">
            <w:pPr>
              <w:spacing w:line="360" w:lineRule="auto"/>
              <w:ind w:left="15" w:hanging="14"/>
              <w:jc w:val="left"/>
              <w:rPr>
                <w:rFonts w:ascii="宋体"/>
                <w:color w:val="auto"/>
                <w:szCs w:val="21"/>
                <w:highlight w:val="none"/>
              </w:rPr>
            </w:pPr>
            <w:r>
              <w:rPr>
                <w:rFonts w:hint="eastAsia" w:ascii="宋体" w:hAnsi="宋体"/>
                <w:color w:val="auto"/>
                <w:szCs w:val="21"/>
                <w:highlight w:val="none"/>
              </w:rPr>
              <w:t>19</w:t>
            </w:r>
            <w:r>
              <w:rPr>
                <w:rFonts w:ascii="宋体" w:hAnsi="宋体"/>
                <w:color w:val="auto"/>
                <w:szCs w:val="21"/>
                <w:highlight w:val="none"/>
              </w:rPr>
              <w:t>.2.3</w:t>
            </w:r>
            <w:r>
              <w:rPr>
                <w:rFonts w:hint="eastAsia" w:ascii="宋体" w:hAnsi="宋体"/>
                <w:color w:val="auto"/>
                <w:szCs w:val="21"/>
                <w:highlight w:val="none"/>
              </w:rPr>
              <w:t>谈判参加人员：供应商法定代表人、负责人、自然人或相应的委托代理人持有</w:t>
            </w:r>
            <w:r>
              <w:rPr>
                <w:rFonts w:hint="eastAsia" w:ascii="宋体" w:hAnsi="宋体"/>
                <w:color w:val="auto"/>
                <w:szCs w:val="21"/>
                <w:highlight w:val="none"/>
                <w:u w:val="single"/>
              </w:rPr>
              <w:t>效身份证原件和供应商广西政府采购云平台CA数字证书</w:t>
            </w:r>
            <w:r>
              <w:rPr>
                <w:rFonts w:hint="eastAsia" w:ascii="宋体" w:hAnsi="宋体"/>
                <w:color w:val="auto"/>
                <w:szCs w:val="21"/>
                <w:highlight w:val="none"/>
              </w:rPr>
              <w:t>参加谈判。请供应商及时</w:t>
            </w:r>
            <w:r>
              <w:rPr>
                <w:rFonts w:hint="eastAsia" w:ascii="宋体" w:hAnsi="宋体"/>
                <w:color w:val="auto"/>
                <w:szCs w:val="21"/>
                <w:highlight w:val="none"/>
                <w:lang w:eastAsia="zh-CN"/>
              </w:rPr>
              <w:t>登录</w:t>
            </w:r>
            <w:r>
              <w:rPr>
                <w:rFonts w:hint="eastAsia" w:ascii="宋体" w:hAnsi="宋体"/>
                <w:color w:val="auto"/>
                <w:szCs w:val="21"/>
                <w:highlight w:val="none"/>
              </w:rPr>
              <w:t>广西政府采购云平台等候谈判。</w:t>
            </w:r>
          </w:p>
          <w:p w14:paraId="524159BF">
            <w:pPr>
              <w:tabs>
                <w:tab w:val="left" w:pos="1140"/>
              </w:tabs>
              <w:spacing w:line="360" w:lineRule="auto"/>
              <w:jc w:val="left"/>
              <w:rPr>
                <w:rFonts w:ascii="宋体"/>
                <w:color w:val="auto"/>
                <w:szCs w:val="21"/>
                <w:highlight w:val="none"/>
              </w:rPr>
            </w:pPr>
            <w:r>
              <w:rPr>
                <w:rFonts w:hint="eastAsia" w:ascii="宋体" w:hAnsi="宋体"/>
                <w:color w:val="auto"/>
                <w:szCs w:val="21"/>
                <w:highlight w:val="none"/>
              </w:rPr>
              <w:t>19</w:t>
            </w:r>
            <w:r>
              <w:rPr>
                <w:rFonts w:ascii="宋体" w:hAnsi="宋体"/>
                <w:color w:val="auto"/>
                <w:szCs w:val="21"/>
                <w:highlight w:val="none"/>
              </w:rPr>
              <w:t>.2.4</w:t>
            </w:r>
            <w:r>
              <w:rPr>
                <w:rFonts w:hint="eastAsia" w:ascii="宋体" w:hAnsi="宋体"/>
                <w:color w:val="auto"/>
                <w:szCs w:val="21"/>
                <w:highlight w:val="none"/>
              </w:rPr>
              <w:t>响应文件递交截止时间后，由谈判小组在评标室内开启响应文件。</w:t>
            </w:r>
          </w:p>
        </w:tc>
      </w:tr>
      <w:tr w14:paraId="69BDE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525" w:type="dxa"/>
            <w:noWrap w:val="0"/>
            <w:vAlign w:val="center"/>
          </w:tcPr>
          <w:p w14:paraId="56E0DEBD">
            <w:pPr>
              <w:spacing w:line="360" w:lineRule="auto"/>
              <w:jc w:val="center"/>
              <w:rPr>
                <w:rFonts w:ascii="宋体"/>
                <w:color w:val="auto"/>
                <w:szCs w:val="21"/>
                <w:highlight w:val="none"/>
              </w:rPr>
            </w:pPr>
            <w:r>
              <w:rPr>
                <w:rFonts w:hint="eastAsia" w:ascii="宋体" w:hAnsi="宋体" w:cs="Arial"/>
                <w:color w:val="auto"/>
                <w:szCs w:val="21"/>
                <w:highlight w:val="none"/>
              </w:rPr>
              <w:t>13</w:t>
            </w:r>
          </w:p>
        </w:tc>
        <w:tc>
          <w:tcPr>
            <w:tcW w:w="825" w:type="dxa"/>
            <w:noWrap w:val="0"/>
            <w:vAlign w:val="center"/>
          </w:tcPr>
          <w:p w14:paraId="7514C4B7">
            <w:pPr>
              <w:spacing w:line="360" w:lineRule="auto"/>
              <w:jc w:val="center"/>
              <w:rPr>
                <w:rFonts w:ascii="宋体" w:hAnsi="宋体"/>
                <w:color w:val="auto"/>
                <w:szCs w:val="21"/>
                <w:highlight w:val="none"/>
              </w:rPr>
            </w:pPr>
            <w:r>
              <w:rPr>
                <w:rFonts w:hint="eastAsia" w:ascii="宋体" w:hAnsi="宋体"/>
                <w:color w:val="auto"/>
                <w:szCs w:val="21"/>
                <w:highlight w:val="none"/>
              </w:rPr>
              <w:t>20</w:t>
            </w:r>
            <w:r>
              <w:rPr>
                <w:rFonts w:ascii="宋体" w:hAnsi="宋体"/>
                <w:color w:val="auto"/>
                <w:szCs w:val="21"/>
                <w:highlight w:val="none"/>
              </w:rPr>
              <w:t>.2</w:t>
            </w:r>
          </w:p>
        </w:tc>
        <w:tc>
          <w:tcPr>
            <w:tcW w:w="1815" w:type="dxa"/>
            <w:noWrap w:val="0"/>
            <w:vAlign w:val="center"/>
          </w:tcPr>
          <w:p w14:paraId="12AFC161">
            <w:pPr>
              <w:pStyle w:val="21"/>
              <w:spacing w:line="360" w:lineRule="auto"/>
              <w:jc w:val="center"/>
              <w:rPr>
                <w:rFonts w:hAnsi="宋体" w:cs="Arial"/>
                <w:color w:val="auto"/>
                <w:sz w:val="21"/>
                <w:highlight w:val="none"/>
              </w:rPr>
            </w:pPr>
            <w:r>
              <w:rPr>
                <w:rFonts w:hint="eastAsia" w:hAnsi="宋体" w:cs="Arial"/>
                <w:color w:val="auto"/>
                <w:sz w:val="21"/>
                <w:highlight w:val="none"/>
              </w:rPr>
              <w:t>评审办法</w:t>
            </w:r>
          </w:p>
        </w:tc>
        <w:tc>
          <w:tcPr>
            <w:tcW w:w="7205" w:type="dxa"/>
            <w:noWrap w:val="0"/>
            <w:vAlign w:val="center"/>
          </w:tcPr>
          <w:p w14:paraId="03A67AEC">
            <w:pPr>
              <w:tabs>
                <w:tab w:val="left" w:pos="1140"/>
              </w:tabs>
              <w:spacing w:line="360" w:lineRule="auto"/>
              <w:rPr>
                <w:rFonts w:ascii="宋体"/>
                <w:color w:val="auto"/>
                <w:szCs w:val="21"/>
                <w:highlight w:val="none"/>
              </w:rPr>
            </w:pPr>
            <w:r>
              <w:rPr>
                <w:rFonts w:hint="eastAsia" w:ascii="宋体" w:hAnsi="宋体"/>
                <w:color w:val="auto"/>
                <w:szCs w:val="21"/>
                <w:highlight w:val="none"/>
              </w:rPr>
              <w:t>具体详见第四章评审办法。</w:t>
            </w:r>
          </w:p>
        </w:tc>
      </w:tr>
      <w:tr w14:paraId="4BA14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525" w:type="dxa"/>
            <w:noWrap w:val="0"/>
            <w:vAlign w:val="center"/>
          </w:tcPr>
          <w:p w14:paraId="09FC1A3B">
            <w:pPr>
              <w:spacing w:line="360" w:lineRule="auto"/>
              <w:jc w:val="center"/>
              <w:rPr>
                <w:rFonts w:ascii="宋体" w:hAnsi="宋体"/>
                <w:color w:val="auto"/>
                <w:szCs w:val="21"/>
                <w:highlight w:val="none"/>
              </w:rPr>
            </w:pPr>
            <w:r>
              <w:rPr>
                <w:rFonts w:hint="eastAsia" w:ascii="宋体" w:hAnsi="宋体"/>
                <w:color w:val="auto"/>
                <w:szCs w:val="21"/>
                <w:highlight w:val="none"/>
              </w:rPr>
              <w:t>14</w:t>
            </w:r>
          </w:p>
        </w:tc>
        <w:tc>
          <w:tcPr>
            <w:tcW w:w="825" w:type="dxa"/>
            <w:noWrap w:val="0"/>
            <w:vAlign w:val="center"/>
          </w:tcPr>
          <w:p w14:paraId="4BFAC515">
            <w:pPr>
              <w:spacing w:line="360" w:lineRule="auto"/>
              <w:jc w:val="center"/>
              <w:rPr>
                <w:rFonts w:ascii="宋体" w:hAnsi="宋体"/>
                <w:color w:val="auto"/>
                <w:szCs w:val="21"/>
                <w:highlight w:val="none"/>
              </w:rPr>
            </w:pPr>
            <w:r>
              <w:rPr>
                <w:rFonts w:hint="eastAsia" w:ascii="宋体" w:hAnsi="宋体"/>
                <w:color w:val="auto"/>
                <w:szCs w:val="21"/>
                <w:highlight w:val="none"/>
              </w:rPr>
              <w:t>26</w:t>
            </w:r>
          </w:p>
        </w:tc>
        <w:tc>
          <w:tcPr>
            <w:tcW w:w="1815" w:type="dxa"/>
            <w:noWrap w:val="0"/>
            <w:vAlign w:val="center"/>
          </w:tcPr>
          <w:p w14:paraId="7BFC3349">
            <w:pPr>
              <w:spacing w:line="360" w:lineRule="auto"/>
              <w:jc w:val="center"/>
              <w:rPr>
                <w:rFonts w:ascii="宋体"/>
                <w:color w:val="auto"/>
                <w:szCs w:val="21"/>
                <w:highlight w:val="none"/>
              </w:rPr>
            </w:pPr>
            <w:r>
              <w:rPr>
                <w:rFonts w:hint="eastAsia" w:ascii="宋体" w:hAnsi="宋体"/>
                <w:color w:val="auto"/>
                <w:szCs w:val="21"/>
                <w:highlight w:val="none"/>
              </w:rPr>
              <w:t>信用查询</w:t>
            </w:r>
          </w:p>
        </w:tc>
        <w:tc>
          <w:tcPr>
            <w:tcW w:w="7205" w:type="dxa"/>
            <w:noWrap w:val="0"/>
            <w:vAlign w:val="center"/>
          </w:tcPr>
          <w:p w14:paraId="1E2649FA">
            <w:pPr>
              <w:spacing w:line="360" w:lineRule="auto"/>
              <w:ind w:left="15" w:hanging="14"/>
              <w:rPr>
                <w:rFonts w:ascii="宋体"/>
                <w:color w:val="auto"/>
                <w:szCs w:val="21"/>
                <w:highlight w:val="none"/>
              </w:rPr>
            </w:pPr>
            <w:r>
              <w:rPr>
                <w:rFonts w:hint="eastAsia" w:ascii="宋体" w:hAnsi="宋体"/>
                <w:color w:val="auto"/>
                <w:szCs w:val="21"/>
                <w:highlight w:val="none"/>
              </w:rPr>
              <w:t>根据《关于做好政府采购有关信用主体标识码登记及在政府采购活动中查询使用信用记录有关问题的通知》（桂财采〔</w:t>
            </w:r>
            <w:r>
              <w:rPr>
                <w:rFonts w:ascii="宋体" w:hAnsi="宋体"/>
                <w:color w:val="auto"/>
                <w:szCs w:val="21"/>
                <w:highlight w:val="none"/>
              </w:rPr>
              <w:t>2016</w:t>
            </w:r>
            <w:r>
              <w:rPr>
                <w:rFonts w:hint="eastAsia" w:ascii="宋体" w:hAnsi="宋体"/>
                <w:color w:val="auto"/>
                <w:szCs w:val="21"/>
                <w:highlight w:val="none"/>
              </w:rPr>
              <w:t>〕</w:t>
            </w:r>
            <w:r>
              <w:rPr>
                <w:rFonts w:ascii="宋体" w:hAnsi="宋体"/>
                <w:color w:val="auto"/>
                <w:szCs w:val="21"/>
                <w:highlight w:val="none"/>
              </w:rPr>
              <w:t>37</w:t>
            </w:r>
            <w:r>
              <w:rPr>
                <w:rFonts w:hint="eastAsia" w:ascii="宋体" w:hAnsi="宋体"/>
                <w:color w:val="auto"/>
                <w:szCs w:val="21"/>
                <w:highlight w:val="none"/>
              </w:rPr>
              <w:t>号），由采购代理机构对第一成交候选人进行信用查询：</w:t>
            </w:r>
          </w:p>
          <w:p w14:paraId="03E7C78D">
            <w:pPr>
              <w:spacing w:line="360" w:lineRule="auto"/>
              <w:ind w:left="15" w:hanging="14"/>
              <w:rPr>
                <w:rFonts w:ascii="宋体"/>
                <w:color w:val="auto"/>
                <w:szCs w:val="21"/>
                <w:highlight w:val="none"/>
              </w:rPr>
            </w:pPr>
            <w:r>
              <w:rPr>
                <w:rFonts w:hint="eastAsia" w:ascii="宋体" w:hAnsi="宋体"/>
                <w:color w:val="auto"/>
                <w:szCs w:val="21"/>
                <w:highlight w:val="none"/>
              </w:rPr>
              <w:t>⑴查询渠道：“信用中国”网站</w:t>
            </w:r>
            <w:r>
              <w:rPr>
                <w:rFonts w:ascii="宋体" w:hAnsi="宋体"/>
                <w:color w:val="auto"/>
                <w:szCs w:val="21"/>
                <w:highlight w:val="none"/>
              </w:rPr>
              <w:t>(www.creditchina.gov.cn)</w:t>
            </w:r>
            <w:r>
              <w:rPr>
                <w:rFonts w:hint="eastAsia" w:ascii="宋体" w:hAnsi="宋体"/>
                <w:color w:val="auto"/>
                <w:szCs w:val="21"/>
                <w:highlight w:val="none"/>
              </w:rPr>
              <w:t>、中国政府采购网</w:t>
            </w:r>
            <w:r>
              <w:rPr>
                <w:rFonts w:ascii="宋体" w:hAnsi="宋体"/>
                <w:color w:val="auto"/>
                <w:szCs w:val="21"/>
                <w:highlight w:val="none"/>
              </w:rPr>
              <w:t>(www.ccgp.gov.cn)</w:t>
            </w:r>
            <w:r>
              <w:rPr>
                <w:rFonts w:hint="eastAsia" w:ascii="宋体" w:hAnsi="宋体"/>
                <w:color w:val="auto"/>
                <w:szCs w:val="21"/>
                <w:highlight w:val="none"/>
              </w:rPr>
              <w:t>等；</w:t>
            </w:r>
          </w:p>
          <w:p w14:paraId="52D76953">
            <w:pPr>
              <w:spacing w:line="360" w:lineRule="auto"/>
              <w:ind w:left="315" w:hanging="315"/>
              <w:rPr>
                <w:rFonts w:ascii="宋体"/>
                <w:color w:val="auto"/>
                <w:szCs w:val="21"/>
                <w:highlight w:val="none"/>
              </w:rPr>
            </w:pPr>
            <w:r>
              <w:rPr>
                <w:rFonts w:hint="eastAsia" w:ascii="宋体" w:hAnsi="宋体"/>
                <w:color w:val="auto"/>
                <w:szCs w:val="21"/>
                <w:highlight w:val="none"/>
              </w:rPr>
              <w:t>⑵查询时间：成交通知书发出前；</w:t>
            </w:r>
          </w:p>
          <w:p w14:paraId="554E6860">
            <w:pPr>
              <w:spacing w:line="360" w:lineRule="auto"/>
              <w:ind w:left="15" w:hanging="14"/>
              <w:rPr>
                <w:rFonts w:ascii="宋体"/>
                <w:color w:val="auto"/>
                <w:szCs w:val="21"/>
                <w:highlight w:val="none"/>
              </w:rPr>
            </w:pPr>
            <w:r>
              <w:rPr>
                <w:rFonts w:hint="eastAsia" w:ascii="宋体" w:hAnsi="宋体"/>
                <w:color w:val="auto"/>
                <w:szCs w:val="21"/>
                <w:highlight w:val="none"/>
              </w:rPr>
              <w:t>⑶信用信息查询记录和证据留存方式：在查询网站中直接打印查询记录，打印材料作为采购活动资料保存；</w:t>
            </w:r>
          </w:p>
          <w:p w14:paraId="3D459338">
            <w:pPr>
              <w:spacing w:line="360" w:lineRule="auto"/>
              <w:ind w:left="15" w:hanging="14"/>
              <w:rPr>
                <w:rFonts w:ascii="宋体"/>
                <w:color w:val="auto"/>
                <w:szCs w:val="21"/>
                <w:highlight w:val="none"/>
              </w:rPr>
            </w:pPr>
            <w:r>
              <w:rPr>
                <w:rFonts w:hint="eastAsia" w:ascii="宋体" w:hAnsi="宋体"/>
                <w:color w:val="auto"/>
                <w:szCs w:val="21"/>
                <w:highlight w:val="none"/>
              </w:rPr>
              <w:t>⑷信用信息使用规则：对在“信用中国”网站</w:t>
            </w:r>
            <w:r>
              <w:rPr>
                <w:rFonts w:ascii="宋体" w:hAnsi="宋体"/>
                <w:color w:val="auto"/>
                <w:szCs w:val="21"/>
                <w:highlight w:val="none"/>
              </w:rPr>
              <w:t>(www.creditchina.gov.cn)</w:t>
            </w:r>
            <w:r>
              <w:rPr>
                <w:rFonts w:hint="eastAsia" w:ascii="宋体" w:hAnsi="宋体"/>
                <w:color w:val="auto"/>
                <w:szCs w:val="21"/>
                <w:highlight w:val="none"/>
              </w:rPr>
              <w:t>、中国政府采购网</w:t>
            </w:r>
            <w:r>
              <w:rPr>
                <w:rFonts w:ascii="宋体" w:hAnsi="宋体"/>
                <w:color w:val="auto"/>
                <w:szCs w:val="21"/>
                <w:highlight w:val="none"/>
              </w:rPr>
              <w:t>(www.ccgp.gov.cn)</w:t>
            </w:r>
            <w:r>
              <w:rPr>
                <w:rFonts w:hint="eastAsia" w:ascii="宋体" w:hAnsi="宋体"/>
                <w:color w:val="auto"/>
                <w:szCs w:val="21"/>
                <w:highlight w:val="none"/>
              </w:rPr>
              <w:t>等渠道列入失信被执行人、</w:t>
            </w:r>
            <w:r>
              <w:rPr>
                <w:rFonts w:hint="eastAsia" w:ascii="宋体" w:hAnsi="宋体"/>
                <w:color w:val="auto"/>
                <w:szCs w:val="21"/>
                <w:highlight w:val="none"/>
                <w:lang w:eastAsia="zh-CN"/>
              </w:rPr>
              <w:t>重大税收违法失信主体名单</w:t>
            </w:r>
            <w:r>
              <w:rPr>
                <w:rFonts w:hint="eastAsia" w:ascii="宋体" w:hAnsi="宋体"/>
                <w:color w:val="auto"/>
                <w:szCs w:val="21"/>
                <w:highlight w:val="none"/>
              </w:rPr>
              <w:t>、政府采购严重违法失信行为记录名单及其他不符合《中华人民共和国政府采购法》第二十二条规定条件的供应商，取消其成交候选人资格。两个以上的自然人、法人或者其他组织组成一个联合体，以一个供应商的身份共同参加政府采购活动的，对所有联合体成员进行信用记录查询，联合体成员存在不良信用记录的，视同联合体存在不良信用记录。</w:t>
            </w:r>
          </w:p>
        </w:tc>
      </w:tr>
      <w:tr w14:paraId="4EDA7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525" w:type="dxa"/>
            <w:noWrap w:val="0"/>
            <w:vAlign w:val="center"/>
          </w:tcPr>
          <w:p w14:paraId="442C6503">
            <w:pPr>
              <w:spacing w:line="360" w:lineRule="auto"/>
              <w:jc w:val="center"/>
              <w:rPr>
                <w:rFonts w:ascii="宋体" w:hAnsi="宋体"/>
                <w:color w:val="auto"/>
                <w:szCs w:val="21"/>
                <w:highlight w:val="none"/>
              </w:rPr>
            </w:pPr>
            <w:r>
              <w:rPr>
                <w:rFonts w:hint="eastAsia" w:ascii="宋体" w:hAnsi="宋体"/>
                <w:color w:val="auto"/>
                <w:szCs w:val="21"/>
                <w:highlight w:val="none"/>
              </w:rPr>
              <w:t>15</w:t>
            </w:r>
          </w:p>
        </w:tc>
        <w:tc>
          <w:tcPr>
            <w:tcW w:w="825" w:type="dxa"/>
            <w:noWrap w:val="0"/>
            <w:vAlign w:val="center"/>
          </w:tcPr>
          <w:p w14:paraId="2D54567B">
            <w:pPr>
              <w:spacing w:line="360" w:lineRule="auto"/>
              <w:jc w:val="center"/>
              <w:rPr>
                <w:rFonts w:ascii="宋体" w:hAnsi="宋体"/>
                <w:color w:val="auto"/>
                <w:szCs w:val="21"/>
                <w:highlight w:val="none"/>
              </w:rPr>
            </w:pPr>
            <w:r>
              <w:rPr>
                <w:rFonts w:hint="eastAsia" w:ascii="宋体" w:hAnsi="宋体"/>
                <w:color w:val="auto"/>
                <w:szCs w:val="21"/>
                <w:highlight w:val="none"/>
              </w:rPr>
              <w:t>27</w:t>
            </w:r>
          </w:p>
        </w:tc>
        <w:tc>
          <w:tcPr>
            <w:tcW w:w="1815" w:type="dxa"/>
            <w:noWrap w:val="0"/>
            <w:vAlign w:val="center"/>
          </w:tcPr>
          <w:p w14:paraId="3C290613">
            <w:pPr>
              <w:spacing w:line="360" w:lineRule="auto"/>
              <w:jc w:val="center"/>
              <w:rPr>
                <w:rFonts w:ascii="宋体"/>
                <w:color w:val="auto"/>
                <w:szCs w:val="21"/>
                <w:highlight w:val="none"/>
              </w:rPr>
            </w:pPr>
            <w:r>
              <w:rPr>
                <w:rFonts w:hint="eastAsia" w:ascii="宋体" w:hAnsi="宋体"/>
                <w:color w:val="auto"/>
                <w:szCs w:val="21"/>
                <w:highlight w:val="none"/>
              </w:rPr>
              <w:t>成交结果公告</w:t>
            </w:r>
          </w:p>
          <w:p w14:paraId="1196D121">
            <w:pPr>
              <w:spacing w:line="360" w:lineRule="auto"/>
              <w:jc w:val="center"/>
              <w:rPr>
                <w:rFonts w:ascii="宋体"/>
                <w:color w:val="auto"/>
                <w:szCs w:val="21"/>
                <w:highlight w:val="none"/>
              </w:rPr>
            </w:pPr>
            <w:r>
              <w:rPr>
                <w:rFonts w:hint="eastAsia" w:ascii="宋体" w:hAnsi="宋体"/>
                <w:color w:val="auto"/>
                <w:szCs w:val="21"/>
                <w:highlight w:val="none"/>
              </w:rPr>
              <w:t>及成交通知书</w:t>
            </w:r>
          </w:p>
        </w:tc>
        <w:tc>
          <w:tcPr>
            <w:tcW w:w="7205" w:type="dxa"/>
            <w:noWrap w:val="0"/>
            <w:vAlign w:val="top"/>
          </w:tcPr>
          <w:p w14:paraId="281E5F0E">
            <w:pPr>
              <w:spacing w:line="360" w:lineRule="auto"/>
              <w:rPr>
                <w:rFonts w:asci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7</w:t>
            </w:r>
            <w:r>
              <w:rPr>
                <w:rFonts w:ascii="宋体" w:hAnsi="宋体"/>
                <w:color w:val="auto"/>
                <w:szCs w:val="21"/>
                <w:highlight w:val="none"/>
              </w:rPr>
              <w:t>.1</w:t>
            </w:r>
            <w:r>
              <w:rPr>
                <w:rFonts w:hint="eastAsia" w:ascii="宋体" w:hAnsi="宋体"/>
                <w:color w:val="auto"/>
                <w:szCs w:val="21"/>
                <w:highlight w:val="none"/>
              </w:rPr>
              <w:t>采购代理机构于谈判结束后两个工作日内将评审报告送交采购人，采购人应当自收到评审报告五个工作日内在评审报告推荐的成交候选人中按顺序确定成交供应商，采购代理机构在成交供应商确定之日起两个工作日内发出成交通知书，并在指定媒体上公告成交信息。</w:t>
            </w:r>
          </w:p>
          <w:p w14:paraId="564EBC1E">
            <w:pPr>
              <w:spacing w:line="360" w:lineRule="auto"/>
              <w:rPr>
                <w:rFonts w:asci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7</w:t>
            </w:r>
            <w:r>
              <w:rPr>
                <w:rFonts w:ascii="宋体" w:hAnsi="宋体"/>
                <w:color w:val="auto"/>
                <w:szCs w:val="21"/>
                <w:highlight w:val="none"/>
              </w:rPr>
              <w:t>.2</w:t>
            </w:r>
            <w:r>
              <w:rPr>
                <w:rFonts w:hint="eastAsia" w:ascii="宋体" w:hAnsi="宋体"/>
                <w:color w:val="auto"/>
                <w:szCs w:val="21"/>
                <w:highlight w:val="none"/>
              </w:rPr>
              <w:t>成交公告发布的同时，采购代理机构在线向成交供应商发出电子成交通知书。</w:t>
            </w:r>
          </w:p>
        </w:tc>
      </w:tr>
      <w:tr w14:paraId="044A4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525" w:type="dxa"/>
            <w:noWrap w:val="0"/>
            <w:vAlign w:val="center"/>
          </w:tcPr>
          <w:p w14:paraId="69C88616">
            <w:pPr>
              <w:spacing w:line="360" w:lineRule="auto"/>
              <w:jc w:val="center"/>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6</w:t>
            </w:r>
          </w:p>
        </w:tc>
        <w:tc>
          <w:tcPr>
            <w:tcW w:w="825" w:type="dxa"/>
            <w:noWrap w:val="0"/>
            <w:vAlign w:val="center"/>
          </w:tcPr>
          <w:p w14:paraId="657EDC75">
            <w:pPr>
              <w:spacing w:line="360" w:lineRule="auto"/>
              <w:jc w:val="center"/>
              <w:rPr>
                <w:rFonts w:ascii="宋体" w:hAnsi="宋体"/>
                <w:color w:val="auto"/>
                <w:szCs w:val="21"/>
                <w:highlight w:val="none"/>
              </w:rPr>
            </w:pPr>
            <w:r>
              <w:rPr>
                <w:rFonts w:hint="eastAsia" w:ascii="宋体" w:hAnsi="宋体"/>
                <w:color w:val="auto"/>
                <w:szCs w:val="21"/>
                <w:highlight w:val="none"/>
              </w:rPr>
              <w:t>28</w:t>
            </w:r>
          </w:p>
        </w:tc>
        <w:tc>
          <w:tcPr>
            <w:tcW w:w="1815" w:type="dxa"/>
            <w:noWrap w:val="0"/>
            <w:vAlign w:val="center"/>
          </w:tcPr>
          <w:p w14:paraId="77E7D1B4">
            <w:pPr>
              <w:spacing w:line="360" w:lineRule="auto"/>
              <w:jc w:val="center"/>
              <w:rPr>
                <w:rFonts w:ascii="宋体"/>
                <w:color w:val="auto"/>
                <w:szCs w:val="21"/>
                <w:highlight w:val="none"/>
              </w:rPr>
            </w:pPr>
            <w:r>
              <w:rPr>
                <w:rFonts w:hint="eastAsia" w:ascii="宋体" w:hAnsi="宋体"/>
                <w:color w:val="auto"/>
                <w:szCs w:val="21"/>
                <w:highlight w:val="none"/>
              </w:rPr>
              <w:t>履约保证金</w:t>
            </w:r>
          </w:p>
        </w:tc>
        <w:tc>
          <w:tcPr>
            <w:tcW w:w="7205" w:type="dxa"/>
            <w:noWrap w:val="0"/>
            <w:vAlign w:val="center"/>
          </w:tcPr>
          <w:p w14:paraId="434D7717">
            <w:pPr>
              <w:spacing w:line="360" w:lineRule="auto"/>
              <w:ind w:left="0" w:leftChars="0" w:firstLine="0" w:firstLineChars="0"/>
              <w:contextualSpacing/>
              <w:rPr>
                <w:rFonts w:hint="eastAsia" w:ascii="宋体" w:hAnsi="宋体" w:cs="宋体"/>
                <w:color w:val="auto"/>
                <w:highlight w:val="none"/>
                <w:lang w:val="en-US" w:eastAsia="zh-CN"/>
              </w:rPr>
            </w:pPr>
            <w:r>
              <w:rPr>
                <w:rFonts w:hint="eastAsia" w:ascii="宋体" w:hAnsi="宋体" w:cs="宋体"/>
                <w:color w:val="auto"/>
                <w:highlight w:val="none"/>
                <w:lang w:val="en-US" w:eastAsia="zh-CN"/>
              </w:rPr>
              <w:t>本项目收取履约保证金。</w:t>
            </w:r>
          </w:p>
          <w:p w14:paraId="07C2C92D">
            <w:pPr>
              <w:spacing w:line="360" w:lineRule="auto"/>
              <w:ind w:left="0" w:leftChars="0" w:firstLine="0" w:firstLineChars="0"/>
              <w:contextualSpacing/>
              <w:rPr>
                <w:rFonts w:hint="eastAsia" w:ascii="宋体" w:hAnsi="宋体" w:cs="宋体"/>
                <w:color w:val="auto"/>
                <w:highlight w:val="none"/>
                <w:lang w:val="en-US" w:eastAsia="zh-CN"/>
              </w:rPr>
            </w:pPr>
            <w:r>
              <w:rPr>
                <w:rFonts w:hint="default" w:ascii="宋体" w:hAnsi="宋体" w:cs="宋体"/>
                <w:color w:val="auto"/>
                <w:highlight w:val="none"/>
                <w:lang w:val="en-US" w:eastAsia="zh-CN"/>
              </w:rPr>
              <w:t>（一）</w:t>
            </w:r>
            <w:r>
              <w:rPr>
                <w:rFonts w:hint="eastAsia" w:ascii="宋体" w:hAnsi="宋体" w:cs="宋体"/>
                <w:color w:val="auto"/>
                <w:highlight w:val="none"/>
                <w:lang w:val="en-US" w:eastAsia="zh-CN"/>
              </w:rPr>
              <w:t>缴纳标准：中标（成交）供应商为中小企业的，按项目中标（成交）金额的2%收取；其他企业按项目中标（成交）金额的5%收取。（备注：中小企业认定严格按照《政府采购促进中小企业发展管理办法》（财库〔2020〕46号）及《中小企业划型标准规定》（工信部联企业〔2011〕300号）相关规定执行，项目以中标（成交）供应商自行出具的《中小企业声明函》作为认定依据。中标（成交）供应商须对自身企业类型声明的真实性、合法性、有效性承担全部责任，存在虚假声明的，视同违约，采购人将依规追究其相应责任）。</w:t>
            </w:r>
          </w:p>
          <w:p w14:paraId="4442A287">
            <w:pPr>
              <w:spacing w:line="360" w:lineRule="auto"/>
              <w:ind w:left="0" w:leftChars="0" w:firstLine="0" w:firstLineChars="0"/>
              <w:contextualSpacing/>
              <w:rPr>
                <w:rFonts w:hint="eastAsia" w:ascii="宋体" w:hAnsi="宋体" w:cs="宋体"/>
                <w:color w:val="auto"/>
                <w:highlight w:val="none"/>
                <w:lang w:val="en-US" w:eastAsia="zh-CN"/>
              </w:rPr>
            </w:pPr>
            <w:r>
              <w:rPr>
                <w:rFonts w:hint="default" w:ascii="宋体" w:hAnsi="宋体" w:cs="宋体"/>
                <w:color w:val="auto"/>
                <w:highlight w:val="none"/>
                <w:lang w:val="en-US" w:eastAsia="zh-CN"/>
              </w:rPr>
              <w:t>（二）</w:t>
            </w:r>
            <w:r>
              <w:rPr>
                <w:rFonts w:hint="eastAsia" w:ascii="宋体" w:hAnsi="宋体" w:cs="宋体"/>
                <w:color w:val="auto"/>
                <w:highlight w:val="none"/>
                <w:lang w:val="en-US" w:eastAsia="zh-CN"/>
              </w:rPr>
              <w:t>缴纳方式：须通过银行转账、支票、汇票、本票或金融机构、担保机构出具的保函等非现金方式缴纳。采用银行转账等方式的，须转入采购人指定账户。</w:t>
            </w:r>
          </w:p>
          <w:p w14:paraId="5BC32944">
            <w:pPr>
              <w:spacing w:line="360" w:lineRule="auto"/>
              <w:ind w:left="0" w:leftChars="0" w:firstLine="0" w:firstLineChars="0"/>
              <w:contextualSpacing/>
              <w:rPr>
                <w:rFonts w:hint="eastAsia" w:ascii="宋体" w:hAnsi="宋体" w:cs="宋体"/>
                <w:color w:val="auto"/>
                <w:highlight w:val="none"/>
                <w:lang w:val="en-US" w:eastAsia="zh-CN"/>
              </w:rPr>
            </w:pPr>
            <w:r>
              <w:rPr>
                <w:rFonts w:hint="eastAsia" w:ascii="宋体" w:hAnsi="宋体" w:cs="宋体"/>
                <w:color w:val="auto"/>
                <w:highlight w:val="none"/>
                <w:lang w:val="en-US" w:eastAsia="zh-CN"/>
              </w:rPr>
              <w:t>指定账户信息：</w:t>
            </w:r>
          </w:p>
          <w:p w14:paraId="231C7EA3">
            <w:pPr>
              <w:spacing w:line="360" w:lineRule="auto"/>
              <w:ind w:left="0" w:leftChars="0" w:firstLine="0" w:firstLineChars="0"/>
              <w:contextualSpacing/>
              <w:rPr>
                <w:rFonts w:hint="eastAsia" w:ascii="宋体" w:hAnsi="宋体" w:cs="宋体"/>
                <w:color w:val="auto"/>
                <w:highlight w:val="none"/>
                <w:lang w:val="en-US" w:eastAsia="zh-CN"/>
              </w:rPr>
            </w:pPr>
            <w:r>
              <w:rPr>
                <w:rFonts w:hint="eastAsia" w:ascii="宋体" w:hAnsi="宋体" w:cs="宋体"/>
                <w:color w:val="auto"/>
                <w:highlight w:val="none"/>
                <w:lang w:val="en-US" w:eastAsia="zh-CN"/>
              </w:rPr>
              <w:t>户名：桂林师范学院；</w:t>
            </w:r>
          </w:p>
          <w:p w14:paraId="763C39D0">
            <w:pPr>
              <w:spacing w:line="360" w:lineRule="auto"/>
              <w:ind w:left="0" w:leftChars="0" w:firstLine="0" w:firstLineChars="0"/>
              <w:contextualSpacing/>
              <w:rPr>
                <w:rFonts w:hint="eastAsia" w:ascii="宋体" w:hAnsi="宋体" w:cs="宋体"/>
                <w:color w:val="auto"/>
                <w:highlight w:val="none"/>
                <w:lang w:val="en-US" w:eastAsia="zh-CN"/>
              </w:rPr>
            </w:pPr>
            <w:r>
              <w:rPr>
                <w:rFonts w:hint="eastAsia" w:ascii="宋体" w:hAnsi="宋体" w:cs="宋体"/>
                <w:color w:val="auto"/>
                <w:highlight w:val="none"/>
                <w:lang w:val="en-US" w:eastAsia="zh-CN"/>
              </w:rPr>
              <w:t>账号：20205101040000787；</w:t>
            </w:r>
          </w:p>
          <w:p w14:paraId="540E5FA4">
            <w:pPr>
              <w:spacing w:line="360" w:lineRule="auto"/>
              <w:ind w:left="0" w:leftChars="0" w:firstLine="0" w:firstLineChars="0"/>
              <w:contextualSpacing/>
              <w:rPr>
                <w:rFonts w:hint="eastAsia" w:ascii="宋体" w:hAnsi="宋体" w:cs="宋体"/>
                <w:color w:val="auto"/>
                <w:highlight w:val="none"/>
                <w:lang w:val="en-US" w:eastAsia="zh-CN"/>
              </w:rPr>
            </w:pPr>
            <w:r>
              <w:rPr>
                <w:rFonts w:hint="eastAsia" w:ascii="宋体" w:hAnsi="宋体" w:cs="宋体"/>
                <w:color w:val="auto"/>
                <w:highlight w:val="none"/>
                <w:lang w:val="en-US" w:eastAsia="zh-CN"/>
              </w:rPr>
              <w:t>开户行：中国农业银行桂林分行营业部；</w:t>
            </w:r>
          </w:p>
          <w:p w14:paraId="4305685D">
            <w:pPr>
              <w:spacing w:line="360" w:lineRule="auto"/>
              <w:ind w:left="0" w:leftChars="0" w:firstLine="0" w:firstLineChars="0"/>
              <w:contextualSpacing/>
              <w:rPr>
                <w:rFonts w:hint="eastAsia" w:ascii="宋体" w:hAnsi="宋体" w:cs="宋体"/>
                <w:color w:val="auto"/>
                <w:highlight w:val="none"/>
                <w:lang w:val="en-US" w:eastAsia="zh-CN"/>
              </w:rPr>
            </w:pPr>
            <w:r>
              <w:rPr>
                <w:rFonts w:hint="eastAsia" w:ascii="宋体" w:hAnsi="宋体" w:cs="宋体"/>
                <w:color w:val="auto"/>
                <w:highlight w:val="none"/>
                <w:lang w:val="en-US" w:eastAsia="zh-CN"/>
              </w:rPr>
              <w:t>转账时备注“项目名称（项目编号）+履约保证金”。</w:t>
            </w:r>
          </w:p>
          <w:p w14:paraId="6668FE72">
            <w:pPr>
              <w:spacing w:line="360" w:lineRule="auto"/>
              <w:ind w:left="0" w:leftChars="0" w:firstLine="0" w:firstLineChars="0"/>
              <w:contextualSpacing/>
              <w:rPr>
                <w:rFonts w:hint="eastAsia" w:ascii="宋体" w:hAnsi="宋体" w:cs="宋体"/>
                <w:color w:val="auto"/>
                <w:highlight w:val="none"/>
                <w:lang w:val="en-US" w:eastAsia="zh-CN"/>
              </w:rPr>
            </w:pPr>
            <w:r>
              <w:rPr>
                <w:rFonts w:hint="default" w:ascii="宋体" w:hAnsi="宋体" w:cs="宋体"/>
                <w:color w:val="auto"/>
                <w:highlight w:val="none"/>
                <w:lang w:val="en-US" w:eastAsia="zh-CN"/>
              </w:rPr>
              <w:t>（三）</w:t>
            </w:r>
            <w:r>
              <w:rPr>
                <w:rFonts w:hint="eastAsia" w:ascii="宋体" w:hAnsi="宋体" w:cs="宋体"/>
                <w:color w:val="auto"/>
                <w:highlight w:val="none"/>
                <w:lang w:val="en-US" w:eastAsia="zh-CN"/>
              </w:rPr>
              <w:t>退付规定：</w:t>
            </w:r>
          </w:p>
          <w:p w14:paraId="18CE325A">
            <w:pPr>
              <w:spacing w:line="360" w:lineRule="auto"/>
              <w:ind w:left="0" w:leftChars="0" w:firstLine="0" w:firstLineChars="0"/>
              <w:contextualSpacing/>
              <w:rPr>
                <w:rFonts w:hint="eastAsia" w:ascii="宋体" w:hAnsi="宋体" w:cs="宋体"/>
                <w:color w:val="auto"/>
                <w:highlight w:val="none"/>
                <w:lang w:val="en-US" w:eastAsia="zh-CN"/>
              </w:rPr>
            </w:pPr>
            <w:r>
              <w:rPr>
                <w:rFonts w:hint="default" w:ascii="宋体" w:hAnsi="宋体" w:cs="宋体"/>
                <w:color w:val="auto"/>
                <w:highlight w:val="none"/>
                <w:lang w:val="en-US" w:eastAsia="zh-CN"/>
              </w:rPr>
              <w:t>（1）</w:t>
            </w:r>
            <w:r>
              <w:rPr>
                <w:rFonts w:hint="eastAsia" w:ascii="宋体" w:hAnsi="宋体" w:cs="宋体"/>
                <w:color w:val="auto"/>
                <w:highlight w:val="none"/>
                <w:lang w:val="en-US" w:eastAsia="zh-CN"/>
              </w:rPr>
              <w:t>不予退付情形。</w:t>
            </w:r>
          </w:p>
          <w:p w14:paraId="5CB3B1ED">
            <w:pPr>
              <w:spacing w:line="360" w:lineRule="auto"/>
              <w:ind w:left="0" w:leftChars="0" w:firstLine="0" w:firstLineChars="0"/>
              <w:contextualSpacing/>
              <w:rPr>
                <w:rFonts w:hint="eastAsia" w:ascii="宋体" w:hAnsi="宋体" w:cs="宋体"/>
                <w:color w:val="auto"/>
                <w:highlight w:val="none"/>
                <w:lang w:val="en-US" w:eastAsia="zh-CN"/>
              </w:rPr>
            </w:pPr>
            <w:r>
              <w:rPr>
                <w:rFonts w:hint="eastAsia" w:ascii="宋体" w:hAnsi="宋体" w:cs="宋体"/>
                <w:color w:val="auto"/>
                <w:highlight w:val="none"/>
                <w:lang w:val="en-US" w:eastAsia="zh-CN"/>
              </w:rPr>
              <w:t>中标（成交）供应商未按合同约定全面履行履约义务、存在违约行为，或项目存在未整改完毕的质量问题的，履约保证金不予退还。</w:t>
            </w:r>
          </w:p>
          <w:p w14:paraId="028B60A0">
            <w:pPr>
              <w:spacing w:line="360" w:lineRule="auto"/>
              <w:ind w:left="0" w:leftChars="0" w:firstLine="0" w:firstLineChars="0"/>
              <w:contextualSpacing/>
              <w:rPr>
                <w:rFonts w:hint="eastAsia" w:ascii="宋体" w:hAnsi="宋体" w:cs="宋体"/>
                <w:color w:val="auto"/>
                <w:highlight w:val="none"/>
                <w:lang w:val="en-US" w:eastAsia="zh-CN"/>
              </w:rPr>
            </w:pPr>
            <w:r>
              <w:rPr>
                <w:rFonts w:hint="default" w:ascii="宋体" w:hAnsi="宋体" w:cs="宋体"/>
                <w:color w:val="auto"/>
                <w:highlight w:val="none"/>
                <w:lang w:val="en-US" w:eastAsia="zh-CN"/>
              </w:rPr>
              <w:t>（2）</w:t>
            </w:r>
            <w:r>
              <w:rPr>
                <w:rFonts w:hint="eastAsia" w:ascii="宋体" w:hAnsi="宋体" w:cs="宋体"/>
                <w:color w:val="auto"/>
                <w:highlight w:val="none"/>
                <w:lang w:val="en-US" w:eastAsia="zh-CN"/>
              </w:rPr>
              <w:t>无息退付情形。</w:t>
            </w:r>
          </w:p>
          <w:p w14:paraId="3C6777C7">
            <w:pPr>
              <w:spacing w:line="360" w:lineRule="auto"/>
              <w:ind w:left="0" w:leftChars="0" w:firstLine="0" w:firstLineChars="0"/>
              <w:contextualSpacing/>
              <w:rPr>
                <w:rFonts w:hint="eastAsia" w:ascii="宋体" w:hAnsi="宋体" w:cs="宋体"/>
                <w:color w:val="auto"/>
                <w:highlight w:val="none"/>
                <w:lang w:val="en-US" w:eastAsia="zh-CN"/>
              </w:rPr>
            </w:pPr>
            <w:r>
              <w:rPr>
                <w:rFonts w:hint="eastAsia" w:ascii="宋体" w:hAnsi="宋体" w:cs="宋体"/>
                <w:color w:val="auto"/>
                <w:highlight w:val="none"/>
                <w:lang w:val="en-US" w:eastAsia="zh-CN"/>
              </w:rPr>
              <w:t>待中标供应商履行完合同约定的权利义务事项后(中标供应商承诺免费保修满)不存在争议的，中标（成交）供应商可凭验收合格资料、履约保证金退付申请书、履约保证金缴费凭证（转账回执等），向采购人申请办理退费手续。采购人收到中标（成交）供应商完整、合规的书面退费资料完成审核后，采购人在5个工作日内办理履约保证金退还手续。</w:t>
            </w:r>
          </w:p>
          <w:p w14:paraId="15EB7E08">
            <w:pPr>
              <w:spacing w:line="360" w:lineRule="auto"/>
              <w:ind w:left="0" w:leftChars="0" w:firstLine="0" w:firstLineChars="0"/>
              <w:contextualSpacing/>
              <w:rPr>
                <w:rFonts w:hint="eastAsia" w:ascii="宋体" w:hAnsi="宋体" w:cs="宋体"/>
                <w:color w:val="auto"/>
                <w:highlight w:val="none"/>
                <w:lang w:val="en-US" w:eastAsia="zh-CN"/>
              </w:rPr>
            </w:pPr>
            <w:r>
              <w:rPr>
                <w:rFonts w:hint="default" w:ascii="宋体" w:hAnsi="宋体" w:cs="宋体"/>
                <w:color w:val="auto"/>
                <w:highlight w:val="none"/>
                <w:lang w:val="en-US" w:eastAsia="zh-CN"/>
              </w:rPr>
              <w:t>（3）</w:t>
            </w:r>
            <w:r>
              <w:rPr>
                <w:rFonts w:hint="eastAsia" w:ascii="宋体" w:hAnsi="宋体" w:cs="宋体"/>
                <w:color w:val="auto"/>
                <w:highlight w:val="none"/>
                <w:lang w:val="en-US" w:eastAsia="zh-CN"/>
              </w:rPr>
              <w:t>责任界定。</w:t>
            </w:r>
          </w:p>
          <w:p w14:paraId="294EF349">
            <w:pPr>
              <w:spacing w:line="360" w:lineRule="auto"/>
              <w:ind w:left="0" w:leftChars="0" w:firstLine="0" w:firstLineChars="0"/>
              <w:contextualSpacing/>
              <w:rPr>
                <w:rFonts w:hint="eastAsia" w:ascii="宋体" w:eastAsia="宋体"/>
                <w:color w:val="auto"/>
                <w:szCs w:val="21"/>
                <w:highlight w:val="none"/>
                <w:lang w:eastAsia="zh-CN"/>
              </w:rPr>
            </w:pPr>
            <w:r>
              <w:rPr>
                <w:rFonts w:hint="eastAsia" w:ascii="宋体" w:hAnsi="宋体" w:cs="宋体"/>
                <w:color w:val="auto"/>
                <w:highlight w:val="none"/>
                <w:lang w:val="en-US" w:eastAsia="zh-CN"/>
              </w:rPr>
              <w:t xml:space="preserve">因中标（成交）供应商自身原因，未按时提交退费申请、提交的退费资料不完整、不合规等，导致保证金无法按期退还的，所有逾期责任及相关风险由中标（成交）供应商自行承担，采购人不承担任何责任。 </w:t>
            </w:r>
          </w:p>
        </w:tc>
      </w:tr>
      <w:tr w14:paraId="7D94B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25" w:type="dxa"/>
            <w:noWrap w:val="0"/>
            <w:vAlign w:val="center"/>
          </w:tcPr>
          <w:p w14:paraId="4C8B0825">
            <w:pPr>
              <w:spacing w:line="360" w:lineRule="auto"/>
              <w:jc w:val="center"/>
              <w:rPr>
                <w:rFonts w:ascii="宋体" w:hAnsi="宋体"/>
                <w:color w:val="auto"/>
                <w:szCs w:val="21"/>
                <w:highlight w:val="none"/>
              </w:rPr>
            </w:pPr>
            <w:r>
              <w:rPr>
                <w:rFonts w:hint="eastAsia" w:ascii="宋体" w:hAnsi="宋体"/>
                <w:color w:val="auto"/>
                <w:szCs w:val="21"/>
                <w:highlight w:val="none"/>
              </w:rPr>
              <w:t>17</w:t>
            </w:r>
          </w:p>
        </w:tc>
        <w:tc>
          <w:tcPr>
            <w:tcW w:w="825" w:type="dxa"/>
            <w:noWrap w:val="0"/>
            <w:vAlign w:val="center"/>
          </w:tcPr>
          <w:p w14:paraId="6C825A7F">
            <w:pPr>
              <w:spacing w:line="360" w:lineRule="auto"/>
              <w:jc w:val="center"/>
              <w:rPr>
                <w:rFonts w:ascii="宋体" w:hAnsi="宋体"/>
                <w:color w:val="auto"/>
                <w:szCs w:val="21"/>
                <w:highlight w:val="none"/>
              </w:rPr>
            </w:pPr>
            <w:r>
              <w:rPr>
                <w:rFonts w:hint="eastAsia" w:ascii="宋体" w:hAnsi="宋体"/>
                <w:color w:val="auto"/>
                <w:szCs w:val="21"/>
                <w:highlight w:val="none"/>
              </w:rPr>
              <w:t>29</w:t>
            </w:r>
            <w:r>
              <w:rPr>
                <w:rFonts w:ascii="宋体" w:hAnsi="宋体"/>
                <w:color w:val="auto"/>
                <w:szCs w:val="21"/>
                <w:highlight w:val="none"/>
              </w:rPr>
              <w:t>.1</w:t>
            </w:r>
          </w:p>
        </w:tc>
        <w:tc>
          <w:tcPr>
            <w:tcW w:w="1815" w:type="dxa"/>
            <w:noWrap w:val="0"/>
            <w:vAlign w:val="center"/>
          </w:tcPr>
          <w:p w14:paraId="0C7CA229">
            <w:pPr>
              <w:spacing w:line="360" w:lineRule="auto"/>
              <w:jc w:val="center"/>
              <w:rPr>
                <w:rFonts w:ascii="宋体"/>
                <w:color w:val="auto"/>
                <w:szCs w:val="21"/>
                <w:highlight w:val="none"/>
              </w:rPr>
            </w:pPr>
            <w:r>
              <w:rPr>
                <w:rFonts w:hint="eastAsia" w:ascii="宋体" w:hAnsi="宋体"/>
                <w:color w:val="auto"/>
                <w:szCs w:val="21"/>
                <w:highlight w:val="none"/>
              </w:rPr>
              <w:t>签订合同时间</w:t>
            </w:r>
          </w:p>
        </w:tc>
        <w:tc>
          <w:tcPr>
            <w:tcW w:w="7205" w:type="dxa"/>
            <w:noWrap w:val="0"/>
            <w:vAlign w:val="top"/>
          </w:tcPr>
          <w:p w14:paraId="2A294957">
            <w:pPr>
              <w:spacing w:line="360" w:lineRule="auto"/>
              <w:rPr>
                <w:rFonts w:ascii="宋体"/>
                <w:color w:val="auto"/>
                <w:szCs w:val="21"/>
                <w:highlight w:val="none"/>
              </w:rPr>
            </w:pPr>
            <w:r>
              <w:rPr>
                <w:rFonts w:hint="eastAsia" w:ascii="宋体" w:hAnsi="宋体"/>
                <w:color w:val="auto"/>
                <w:highlight w:val="none"/>
              </w:rPr>
              <w:t>成交通知书发出之日起</w:t>
            </w:r>
            <w:r>
              <w:rPr>
                <w:rFonts w:hint="eastAsia" w:ascii="宋体" w:hAnsi="宋体"/>
                <w:color w:val="auto"/>
                <w:highlight w:val="none"/>
                <w:lang w:val="en-US" w:eastAsia="zh-CN"/>
              </w:rPr>
              <w:t>二十五日</w:t>
            </w:r>
            <w:r>
              <w:rPr>
                <w:rFonts w:hint="eastAsia" w:ascii="宋体" w:hAnsi="宋体"/>
                <w:color w:val="auto"/>
                <w:highlight w:val="none"/>
              </w:rPr>
              <w:t>内。</w:t>
            </w:r>
            <w:r>
              <w:rPr>
                <w:rFonts w:hint="eastAsia" w:ascii="宋体" w:hAnsi="宋体"/>
                <w:color w:val="auto"/>
                <w:szCs w:val="21"/>
                <w:highlight w:val="none"/>
              </w:rPr>
              <w:t>成交供应商收到成交通知书后，</w:t>
            </w:r>
            <w:r>
              <w:rPr>
                <w:rFonts w:hint="eastAsia" w:ascii="宋体" w:hAnsi="宋体" w:cs="宋体"/>
                <w:color w:val="auto"/>
                <w:szCs w:val="21"/>
                <w:highlight w:val="none"/>
              </w:rPr>
              <w:t>应按规定与采购人在广西政府采购云平台上在线签订电子合同。</w:t>
            </w:r>
          </w:p>
        </w:tc>
      </w:tr>
      <w:tr w14:paraId="47E00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25" w:type="dxa"/>
            <w:noWrap w:val="0"/>
            <w:vAlign w:val="center"/>
          </w:tcPr>
          <w:p w14:paraId="248F04B1">
            <w:pPr>
              <w:spacing w:line="360" w:lineRule="auto"/>
              <w:jc w:val="center"/>
              <w:rPr>
                <w:rFonts w:ascii="宋体" w:hAnsi="宋体"/>
                <w:color w:val="auto"/>
                <w:szCs w:val="21"/>
                <w:highlight w:val="none"/>
              </w:rPr>
            </w:pPr>
            <w:r>
              <w:rPr>
                <w:rFonts w:hint="eastAsia" w:ascii="宋体" w:hAnsi="宋体"/>
                <w:color w:val="auto"/>
                <w:szCs w:val="21"/>
                <w:highlight w:val="none"/>
              </w:rPr>
              <w:t>18</w:t>
            </w:r>
          </w:p>
        </w:tc>
        <w:tc>
          <w:tcPr>
            <w:tcW w:w="825" w:type="dxa"/>
            <w:noWrap w:val="0"/>
            <w:vAlign w:val="center"/>
          </w:tcPr>
          <w:p w14:paraId="065C06BE">
            <w:pPr>
              <w:spacing w:line="360" w:lineRule="auto"/>
              <w:jc w:val="center"/>
              <w:rPr>
                <w:rFonts w:hint="eastAsia" w:ascii="宋体" w:hAnsi="宋体"/>
                <w:color w:val="auto"/>
                <w:szCs w:val="21"/>
                <w:highlight w:val="none"/>
              </w:rPr>
            </w:pPr>
            <w:r>
              <w:rPr>
                <w:rFonts w:hint="eastAsia" w:ascii="宋体" w:hAnsi="宋体"/>
                <w:color w:val="auto"/>
                <w:szCs w:val="21"/>
                <w:highlight w:val="none"/>
              </w:rPr>
              <w:t>29</w:t>
            </w:r>
            <w:r>
              <w:rPr>
                <w:rFonts w:ascii="宋体" w:hAnsi="宋体"/>
                <w:color w:val="auto"/>
                <w:szCs w:val="21"/>
                <w:highlight w:val="none"/>
              </w:rPr>
              <w:t>.</w:t>
            </w:r>
            <w:r>
              <w:rPr>
                <w:rFonts w:hint="eastAsia" w:ascii="宋体" w:hAnsi="宋体"/>
                <w:color w:val="auto"/>
                <w:szCs w:val="21"/>
                <w:highlight w:val="none"/>
              </w:rPr>
              <w:t>3</w:t>
            </w:r>
          </w:p>
        </w:tc>
        <w:tc>
          <w:tcPr>
            <w:tcW w:w="1815" w:type="dxa"/>
            <w:noWrap w:val="0"/>
            <w:vAlign w:val="center"/>
          </w:tcPr>
          <w:p w14:paraId="090BD8B7">
            <w:pPr>
              <w:spacing w:line="360" w:lineRule="auto"/>
              <w:jc w:val="center"/>
              <w:rPr>
                <w:rFonts w:ascii="宋体"/>
                <w:color w:val="auto"/>
                <w:szCs w:val="21"/>
                <w:highlight w:val="none"/>
              </w:rPr>
            </w:pPr>
            <w:r>
              <w:rPr>
                <w:rFonts w:hint="eastAsia" w:ascii="宋体" w:hAnsi="宋体"/>
                <w:color w:val="auto"/>
                <w:szCs w:val="21"/>
                <w:highlight w:val="none"/>
              </w:rPr>
              <w:t>合同备案存档</w:t>
            </w:r>
          </w:p>
        </w:tc>
        <w:tc>
          <w:tcPr>
            <w:tcW w:w="7205" w:type="dxa"/>
            <w:noWrap w:val="0"/>
            <w:vAlign w:val="center"/>
          </w:tcPr>
          <w:p w14:paraId="3B132522">
            <w:pPr>
              <w:spacing w:line="360" w:lineRule="auto"/>
              <w:rPr>
                <w:rFonts w:ascii="宋体"/>
                <w:color w:val="auto"/>
                <w:szCs w:val="21"/>
                <w:highlight w:val="none"/>
              </w:rPr>
            </w:pPr>
            <w:r>
              <w:rPr>
                <w:rFonts w:hint="eastAsia" w:ascii="宋体" w:hAnsi="宋体" w:cs="宋体"/>
                <w:color w:val="auto"/>
                <w:szCs w:val="21"/>
                <w:highlight w:val="none"/>
              </w:rPr>
              <w:t>政府采购合同双方自签订之日起将自动存档于广西政府采购云平台上</w:t>
            </w:r>
            <w:r>
              <w:rPr>
                <w:rFonts w:hint="eastAsia" w:ascii="宋体"/>
                <w:color w:val="auto"/>
                <w:szCs w:val="21"/>
                <w:highlight w:val="none"/>
              </w:rPr>
              <w:t>。</w:t>
            </w:r>
          </w:p>
        </w:tc>
      </w:tr>
      <w:tr w14:paraId="3D1EE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525" w:type="dxa"/>
            <w:noWrap w:val="0"/>
            <w:vAlign w:val="bottom"/>
          </w:tcPr>
          <w:p w14:paraId="1187AB7A">
            <w:pPr>
              <w:spacing w:line="360" w:lineRule="auto"/>
              <w:jc w:val="both"/>
              <w:rPr>
                <w:rFonts w:ascii="宋体" w:hAnsi="宋体"/>
                <w:color w:val="auto"/>
                <w:szCs w:val="21"/>
                <w:highlight w:val="none"/>
              </w:rPr>
            </w:pPr>
            <w:r>
              <w:rPr>
                <w:rFonts w:hint="eastAsia" w:ascii="宋体" w:hAnsi="宋体"/>
                <w:color w:val="auto"/>
                <w:szCs w:val="21"/>
                <w:highlight w:val="none"/>
              </w:rPr>
              <w:t>19</w:t>
            </w:r>
          </w:p>
        </w:tc>
        <w:tc>
          <w:tcPr>
            <w:tcW w:w="825" w:type="dxa"/>
            <w:noWrap w:val="0"/>
            <w:vAlign w:val="bottom"/>
          </w:tcPr>
          <w:p w14:paraId="11C11EC1">
            <w:pPr>
              <w:spacing w:line="360" w:lineRule="auto"/>
              <w:jc w:val="both"/>
              <w:rPr>
                <w:rFonts w:ascii="宋体" w:hAnsi="宋体"/>
                <w:color w:val="auto"/>
                <w:szCs w:val="21"/>
                <w:highlight w:val="none"/>
              </w:rPr>
            </w:pPr>
            <w:r>
              <w:rPr>
                <w:rFonts w:hint="eastAsia" w:ascii="宋体" w:hAnsi="宋体"/>
                <w:color w:val="auto"/>
                <w:szCs w:val="21"/>
                <w:highlight w:val="none"/>
              </w:rPr>
              <w:t>30</w:t>
            </w:r>
          </w:p>
        </w:tc>
        <w:tc>
          <w:tcPr>
            <w:tcW w:w="1815" w:type="dxa"/>
            <w:noWrap w:val="0"/>
            <w:vAlign w:val="bottom"/>
          </w:tcPr>
          <w:p w14:paraId="287BDF11">
            <w:pPr>
              <w:spacing w:line="360" w:lineRule="auto"/>
              <w:jc w:val="both"/>
              <w:rPr>
                <w:rFonts w:ascii="宋体"/>
                <w:color w:val="auto"/>
                <w:szCs w:val="21"/>
                <w:highlight w:val="none"/>
              </w:rPr>
            </w:pPr>
            <w:r>
              <w:rPr>
                <w:rFonts w:hint="eastAsia" w:ascii="宋体" w:hAnsi="宋体"/>
                <w:color w:val="auto"/>
                <w:szCs w:val="21"/>
                <w:highlight w:val="none"/>
              </w:rPr>
              <w:t>采购代理服务费</w:t>
            </w:r>
          </w:p>
        </w:tc>
        <w:tc>
          <w:tcPr>
            <w:tcW w:w="7205" w:type="dxa"/>
            <w:noWrap w:val="0"/>
            <w:vAlign w:val="bottom"/>
          </w:tcPr>
          <w:p w14:paraId="68056670">
            <w:pPr>
              <w:spacing w:line="360" w:lineRule="auto"/>
              <w:jc w:val="both"/>
              <w:rPr>
                <w:rFonts w:hint="eastAsia" w:ascii="宋体" w:hAnsi="宋体"/>
                <w:color w:val="auto"/>
                <w:szCs w:val="21"/>
                <w:highlight w:val="none"/>
              </w:rPr>
            </w:pPr>
            <w:r>
              <w:rPr>
                <w:rFonts w:hint="eastAsia" w:ascii="宋体" w:hAnsi="宋体"/>
                <w:color w:val="auto"/>
                <w:highlight w:val="none"/>
              </w:rPr>
              <w:t>本项目不收取代理服务费。</w:t>
            </w:r>
          </w:p>
        </w:tc>
      </w:tr>
      <w:tr w14:paraId="55EDE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25" w:type="dxa"/>
            <w:shd w:val="clear" w:color="auto" w:fill="auto"/>
            <w:noWrap w:val="0"/>
            <w:vAlign w:val="center"/>
          </w:tcPr>
          <w:p w14:paraId="189E9546">
            <w:pPr>
              <w:spacing w:line="360" w:lineRule="exact"/>
              <w:jc w:val="both"/>
              <w:rPr>
                <w:rFonts w:hint="eastAsia" w:ascii="宋体" w:hAnsi="宋体" w:eastAsia="宋体" w:cs="宋体"/>
                <w:color w:val="auto"/>
                <w:sz w:val="21"/>
                <w:szCs w:val="21"/>
                <w:highlight w:val="none"/>
                <w:lang w:val="en-US" w:eastAsia="zh-CN" w:bidi="ar-SA"/>
              </w:rPr>
            </w:pPr>
            <w:r>
              <w:rPr>
                <w:rFonts w:hint="eastAsia" w:ascii="宋体" w:hAnsi="宋体" w:cs="宋体"/>
                <w:color w:val="auto"/>
                <w:szCs w:val="21"/>
                <w:highlight w:val="none"/>
                <w:lang w:val="en-US" w:eastAsia="zh-CN"/>
              </w:rPr>
              <w:t>20</w:t>
            </w:r>
          </w:p>
        </w:tc>
        <w:tc>
          <w:tcPr>
            <w:tcW w:w="825" w:type="dxa"/>
            <w:shd w:val="clear" w:color="auto" w:fill="auto"/>
            <w:noWrap w:val="0"/>
            <w:vAlign w:val="center"/>
          </w:tcPr>
          <w:p w14:paraId="2B3D2BF4">
            <w:pPr>
              <w:spacing w:line="360" w:lineRule="exact"/>
              <w:jc w:val="both"/>
              <w:rPr>
                <w:rFonts w:hint="default" w:ascii="宋体" w:hAnsi="宋体" w:eastAsia="宋体" w:cs="宋体"/>
                <w:color w:val="auto"/>
                <w:sz w:val="21"/>
                <w:szCs w:val="21"/>
                <w:highlight w:val="none"/>
                <w:lang w:val="en-US" w:eastAsia="zh-CN" w:bidi="ar-SA"/>
              </w:rPr>
            </w:pPr>
            <w:r>
              <w:rPr>
                <w:rFonts w:hint="eastAsia" w:ascii="宋体" w:hAnsi="宋体" w:cs="宋体"/>
                <w:color w:val="auto"/>
                <w:szCs w:val="21"/>
                <w:highlight w:val="none"/>
                <w:lang w:val="en-US" w:eastAsia="zh-CN"/>
              </w:rPr>
              <w:t>31</w:t>
            </w:r>
          </w:p>
        </w:tc>
        <w:tc>
          <w:tcPr>
            <w:tcW w:w="1815" w:type="dxa"/>
            <w:shd w:val="clear" w:color="auto" w:fill="auto"/>
            <w:noWrap w:val="0"/>
            <w:vAlign w:val="center"/>
          </w:tcPr>
          <w:p w14:paraId="205FABC6">
            <w:pPr>
              <w:spacing w:line="380" w:lineRule="exact"/>
              <w:ind w:firstLine="0"/>
              <w:jc w:val="both"/>
              <w:outlineLvl w:val="2"/>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本国产品标准及相关政策</w:t>
            </w:r>
          </w:p>
          <w:p w14:paraId="6B6E30A7">
            <w:pPr>
              <w:spacing w:line="360" w:lineRule="exact"/>
              <w:jc w:val="both"/>
              <w:rPr>
                <w:rFonts w:hint="eastAsia" w:ascii="宋体" w:hAnsi="宋体" w:eastAsia="宋体" w:cs="宋体"/>
                <w:color w:val="auto"/>
                <w:sz w:val="21"/>
                <w:szCs w:val="21"/>
                <w:highlight w:val="none"/>
                <w:lang w:val="en-US" w:eastAsia="zh-CN" w:bidi="ar-SA"/>
              </w:rPr>
            </w:pPr>
          </w:p>
        </w:tc>
        <w:tc>
          <w:tcPr>
            <w:tcW w:w="7205" w:type="dxa"/>
            <w:shd w:val="clear" w:color="auto" w:fill="auto"/>
            <w:noWrap w:val="0"/>
            <w:vAlign w:val="center"/>
          </w:tcPr>
          <w:p w14:paraId="4E4A7F92">
            <w:pPr>
              <w:spacing w:line="360" w:lineRule="auto"/>
              <w:jc w:val="both"/>
              <w:rPr>
                <w:rFonts w:hint="eastAsia" w:ascii="宋体" w:hAnsi="宋体" w:eastAsia="宋体" w:cs="宋体"/>
                <w:color w:val="auto"/>
                <w:sz w:val="21"/>
                <w:szCs w:val="21"/>
                <w:highlight w:val="none"/>
                <w:lang w:val="en-US" w:eastAsia="zh-CN" w:bidi="ar-SA"/>
              </w:rPr>
            </w:pPr>
            <w:r>
              <w:rPr>
                <w:rFonts w:hint="eastAsia" w:ascii="宋体" w:hAnsi="宋体" w:eastAsia="宋体" w:cs="Times New Roman"/>
                <w:color w:val="auto"/>
                <w:highlight w:val="none"/>
                <w:lang w:val="en-US" w:eastAsia="zh-CN"/>
              </w:rPr>
              <w:t>《</w:t>
            </w:r>
            <w:r>
              <w:rPr>
                <w:rFonts w:hint="eastAsia" w:ascii="宋体" w:hAnsi="宋体" w:eastAsia="宋体" w:cs="Times New Roman"/>
                <w:color w:val="auto"/>
                <w:highlight w:val="none"/>
              </w:rPr>
              <w:t>国务院办公厅关于在政府采购中实施本国产品标准及相关政策的通知</w:t>
            </w:r>
            <w:r>
              <w:rPr>
                <w:rFonts w:hint="eastAsia" w:ascii="宋体" w:hAnsi="宋体" w:eastAsia="宋体" w:cs="Times New Roman"/>
                <w:color w:val="auto"/>
                <w:highlight w:val="none"/>
                <w:lang w:val="en-US" w:eastAsia="zh-CN"/>
              </w:rPr>
              <w:t>》（国办发〔2025〕34号）</w:t>
            </w:r>
          </w:p>
        </w:tc>
      </w:tr>
      <w:tr w14:paraId="3ED50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525" w:type="dxa"/>
            <w:noWrap w:val="0"/>
            <w:vAlign w:val="center"/>
          </w:tcPr>
          <w:p w14:paraId="419E757F">
            <w:pPr>
              <w:spacing w:line="360" w:lineRule="auto"/>
              <w:jc w:val="both"/>
              <w:rPr>
                <w:rFonts w:hint="eastAsia" w:ascii="宋体" w:hAnsi="宋体" w:eastAsia="宋体"/>
                <w:color w:val="auto"/>
                <w:szCs w:val="21"/>
                <w:highlight w:val="none"/>
                <w:lang w:eastAsia="zh-CN"/>
              </w:rPr>
            </w:pPr>
            <w:r>
              <w:rPr>
                <w:rFonts w:hint="eastAsia" w:ascii="宋体" w:hAnsi="宋体"/>
                <w:color w:val="auto"/>
                <w:szCs w:val="21"/>
                <w:highlight w:val="none"/>
              </w:rPr>
              <w:t>2</w:t>
            </w:r>
            <w:r>
              <w:rPr>
                <w:rFonts w:hint="eastAsia" w:ascii="宋体" w:hAnsi="宋体"/>
                <w:color w:val="auto"/>
                <w:szCs w:val="21"/>
                <w:highlight w:val="none"/>
                <w:lang w:val="en-US" w:eastAsia="zh-CN"/>
              </w:rPr>
              <w:t>1</w:t>
            </w:r>
          </w:p>
        </w:tc>
        <w:tc>
          <w:tcPr>
            <w:tcW w:w="825" w:type="dxa"/>
            <w:noWrap w:val="0"/>
            <w:vAlign w:val="center"/>
          </w:tcPr>
          <w:p w14:paraId="2DC66DBC">
            <w:pPr>
              <w:spacing w:line="360" w:lineRule="auto"/>
              <w:jc w:val="both"/>
              <w:rPr>
                <w:rFonts w:hint="eastAsia" w:ascii="宋体" w:hAnsi="宋体" w:eastAsia="宋体"/>
                <w:color w:val="auto"/>
                <w:szCs w:val="21"/>
                <w:highlight w:val="none"/>
                <w:lang w:eastAsia="zh-CN"/>
              </w:rPr>
            </w:pPr>
            <w:r>
              <w:rPr>
                <w:rFonts w:ascii="宋体" w:hAnsi="宋体"/>
                <w:color w:val="auto"/>
                <w:szCs w:val="21"/>
                <w:highlight w:val="none"/>
              </w:rPr>
              <w:t>3</w:t>
            </w:r>
            <w:r>
              <w:rPr>
                <w:rFonts w:hint="eastAsia" w:ascii="宋体" w:hAnsi="宋体"/>
                <w:color w:val="auto"/>
                <w:szCs w:val="21"/>
                <w:highlight w:val="none"/>
                <w:lang w:val="en-US" w:eastAsia="zh-CN"/>
              </w:rPr>
              <w:t>2</w:t>
            </w:r>
          </w:p>
        </w:tc>
        <w:tc>
          <w:tcPr>
            <w:tcW w:w="1815" w:type="dxa"/>
            <w:noWrap w:val="0"/>
            <w:vAlign w:val="center"/>
          </w:tcPr>
          <w:p w14:paraId="7454359A">
            <w:pPr>
              <w:spacing w:line="360" w:lineRule="auto"/>
              <w:jc w:val="both"/>
              <w:rPr>
                <w:rFonts w:ascii="宋体"/>
                <w:color w:val="auto"/>
                <w:szCs w:val="21"/>
                <w:highlight w:val="none"/>
              </w:rPr>
            </w:pPr>
            <w:r>
              <w:rPr>
                <w:rFonts w:hint="eastAsia" w:ascii="宋体" w:hAnsi="宋体"/>
                <w:color w:val="auto"/>
                <w:szCs w:val="21"/>
                <w:highlight w:val="none"/>
                <w:lang w:eastAsia="zh-CN"/>
              </w:rPr>
              <w:t>编制依据</w:t>
            </w:r>
          </w:p>
        </w:tc>
        <w:tc>
          <w:tcPr>
            <w:tcW w:w="7205" w:type="dxa"/>
            <w:noWrap w:val="0"/>
            <w:vAlign w:val="center"/>
          </w:tcPr>
          <w:p w14:paraId="21BE9B02">
            <w:pPr>
              <w:spacing w:line="360" w:lineRule="auto"/>
              <w:jc w:val="both"/>
              <w:rPr>
                <w:rFonts w:ascii="宋体"/>
                <w:color w:val="auto"/>
                <w:szCs w:val="21"/>
                <w:highlight w:val="none"/>
              </w:rPr>
            </w:pPr>
            <w:r>
              <w:rPr>
                <w:rFonts w:hint="eastAsia" w:ascii="宋体" w:hAnsi="宋体"/>
                <w:color w:val="auto"/>
                <w:highlight w:val="none"/>
              </w:rPr>
              <w:t>本竞争性谈判文件是根据《中华人民共和国政府采购法》《中华人民共和国政府采购法实施条例》《政府采购非招标采购方式管理办法》和政府采购管理有关规定编制。</w:t>
            </w:r>
          </w:p>
        </w:tc>
      </w:tr>
      <w:tr w14:paraId="33BDE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525" w:type="dxa"/>
            <w:noWrap w:val="0"/>
            <w:vAlign w:val="center"/>
          </w:tcPr>
          <w:p w14:paraId="7C14CC4D">
            <w:pPr>
              <w:spacing w:line="360" w:lineRule="auto"/>
              <w:jc w:val="both"/>
              <w:rPr>
                <w:rFonts w:hint="eastAsia" w:ascii="宋体" w:hAnsi="宋体" w:eastAsia="宋体"/>
                <w:color w:val="auto"/>
                <w:szCs w:val="21"/>
                <w:highlight w:val="none"/>
                <w:lang w:eastAsia="zh-CN"/>
              </w:rPr>
            </w:pPr>
            <w:r>
              <w:rPr>
                <w:rFonts w:hint="eastAsia" w:ascii="宋体" w:hAnsi="宋体"/>
                <w:color w:val="auto"/>
                <w:szCs w:val="21"/>
                <w:highlight w:val="none"/>
              </w:rPr>
              <w:t>2</w:t>
            </w:r>
            <w:r>
              <w:rPr>
                <w:rFonts w:hint="eastAsia" w:ascii="宋体" w:hAnsi="宋体"/>
                <w:color w:val="auto"/>
                <w:szCs w:val="21"/>
                <w:highlight w:val="none"/>
                <w:lang w:val="en-US" w:eastAsia="zh-CN"/>
              </w:rPr>
              <w:t>2</w:t>
            </w:r>
          </w:p>
        </w:tc>
        <w:tc>
          <w:tcPr>
            <w:tcW w:w="825" w:type="dxa"/>
            <w:noWrap w:val="0"/>
            <w:vAlign w:val="center"/>
          </w:tcPr>
          <w:p w14:paraId="2637F634">
            <w:pPr>
              <w:spacing w:line="360" w:lineRule="auto"/>
              <w:jc w:val="both"/>
              <w:rPr>
                <w:rFonts w:hint="eastAsia" w:ascii="宋体" w:hAnsi="宋体" w:eastAsia="宋体"/>
                <w:color w:val="auto"/>
                <w:szCs w:val="21"/>
                <w:highlight w:val="none"/>
                <w:lang w:eastAsia="zh-CN"/>
              </w:rPr>
            </w:pPr>
            <w:r>
              <w:rPr>
                <w:rFonts w:ascii="宋体" w:hAnsi="宋体"/>
                <w:color w:val="auto"/>
                <w:szCs w:val="21"/>
                <w:highlight w:val="none"/>
              </w:rPr>
              <w:t>3</w:t>
            </w:r>
            <w:r>
              <w:rPr>
                <w:rFonts w:hint="eastAsia" w:ascii="宋体" w:hAnsi="宋体"/>
                <w:color w:val="auto"/>
                <w:szCs w:val="21"/>
                <w:highlight w:val="none"/>
                <w:lang w:val="en-US" w:eastAsia="zh-CN"/>
              </w:rPr>
              <w:t>3</w:t>
            </w:r>
          </w:p>
        </w:tc>
        <w:tc>
          <w:tcPr>
            <w:tcW w:w="1815" w:type="dxa"/>
            <w:noWrap w:val="0"/>
            <w:vAlign w:val="center"/>
          </w:tcPr>
          <w:p w14:paraId="4B7D8109">
            <w:pPr>
              <w:spacing w:line="360" w:lineRule="auto"/>
              <w:jc w:val="both"/>
              <w:rPr>
                <w:rFonts w:ascii="宋体"/>
                <w:color w:val="auto"/>
                <w:szCs w:val="21"/>
                <w:highlight w:val="none"/>
              </w:rPr>
            </w:pPr>
            <w:r>
              <w:rPr>
                <w:rFonts w:hint="eastAsia" w:ascii="宋体" w:hAnsi="宋体"/>
                <w:color w:val="auto"/>
                <w:szCs w:val="21"/>
                <w:highlight w:val="none"/>
              </w:rPr>
              <w:t>监督管理机构</w:t>
            </w:r>
          </w:p>
        </w:tc>
        <w:tc>
          <w:tcPr>
            <w:tcW w:w="7205" w:type="dxa"/>
            <w:noWrap w:val="0"/>
            <w:vAlign w:val="center"/>
          </w:tcPr>
          <w:p w14:paraId="4D5A3685">
            <w:pPr>
              <w:spacing w:line="360" w:lineRule="auto"/>
              <w:jc w:val="both"/>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广西壮族自治区财政厅</w:t>
            </w:r>
            <w:r>
              <w:rPr>
                <w:rFonts w:hint="eastAsia" w:ascii="宋体" w:hAnsi="宋体"/>
                <w:color w:val="auto"/>
                <w:szCs w:val="21"/>
                <w:highlight w:val="none"/>
              </w:rPr>
              <w:t xml:space="preserve">   </w:t>
            </w:r>
            <w:r>
              <w:rPr>
                <w:rFonts w:hint="eastAsia" w:ascii="宋体" w:hAnsi="宋体"/>
                <w:color w:val="auto"/>
                <w:szCs w:val="21"/>
                <w:highlight w:val="none"/>
                <w:lang w:eastAsia="zh-CN"/>
              </w:rPr>
              <w:t>0771-5331544</w:t>
            </w:r>
          </w:p>
        </w:tc>
      </w:tr>
    </w:tbl>
    <w:p w14:paraId="7F62998E">
      <w:pPr>
        <w:pStyle w:val="26"/>
        <w:rPr>
          <w:rFonts w:hint="eastAsia"/>
          <w:color w:val="auto"/>
          <w:highlight w:val="none"/>
        </w:rPr>
      </w:pPr>
    </w:p>
    <w:p w14:paraId="6A32E4AB">
      <w:pPr>
        <w:rPr>
          <w:rFonts w:hint="eastAsia" w:ascii="宋体" w:hAnsi="宋体"/>
          <w:color w:val="auto"/>
          <w:szCs w:val="21"/>
          <w:highlight w:val="none"/>
        </w:rPr>
      </w:pPr>
    </w:p>
    <w:p w14:paraId="4680A006">
      <w:pPr>
        <w:rPr>
          <w:rFonts w:hint="eastAsia" w:ascii="宋体" w:hAnsi="宋体"/>
          <w:color w:val="auto"/>
          <w:szCs w:val="21"/>
          <w:highlight w:val="none"/>
        </w:rPr>
      </w:pPr>
    </w:p>
    <w:p w14:paraId="4FE18174">
      <w:pPr>
        <w:rPr>
          <w:rFonts w:hint="eastAsia" w:ascii="宋体" w:hAnsi="宋体"/>
          <w:color w:val="auto"/>
          <w:szCs w:val="21"/>
          <w:highlight w:val="none"/>
        </w:rPr>
      </w:pPr>
    </w:p>
    <w:p w14:paraId="7DD4AB4E">
      <w:pPr>
        <w:rPr>
          <w:rFonts w:hint="eastAsia" w:ascii="宋体" w:hAnsi="宋体"/>
          <w:color w:val="auto"/>
          <w:szCs w:val="21"/>
          <w:highlight w:val="none"/>
        </w:rPr>
      </w:pPr>
    </w:p>
    <w:p w14:paraId="4F4E01E9">
      <w:pPr>
        <w:spacing w:line="360" w:lineRule="auto"/>
        <w:rPr>
          <w:rFonts w:hint="eastAsia" w:ascii="宋体" w:hAnsi="宋体"/>
          <w:color w:val="auto"/>
          <w:szCs w:val="21"/>
          <w:highlight w:val="none"/>
        </w:rPr>
      </w:pPr>
    </w:p>
    <w:p w14:paraId="55679003">
      <w:pPr>
        <w:spacing w:line="360" w:lineRule="auto"/>
        <w:rPr>
          <w:rFonts w:hint="eastAsia" w:ascii="宋体" w:hAnsi="宋体"/>
          <w:color w:val="auto"/>
          <w:szCs w:val="21"/>
          <w:highlight w:val="none"/>
        </w:rPr>
      </w:pPr>
    </w:p>
    <w:p w14:paraId="395BCA7B">
      <w:pPr>
        <w:spacing w:line="360" w:lineRule="auto"/>
        <w:rPr>
          <w:rFonts w:hint="eastAsia" w:ascii="宋体" w:hAnsi="宋体"/>
          <w:color w:val="auto"/>
          <w:szCs w:val="21"/>
          <w:highlight w:val="none"/>
        </w:rPr>
      </w:pPr>
    </w:p>
    <w:p w14:paraId="466A0A0A">
      <w:pPr>
        <w:spacing w:line="360" w:lineRule="auto"/>
        <w:rPr>
          <w:rFonts w:hint="eastAsia" w:ascii="宋体" w:hAnsi="宋体"/>
          <w:color w:val="auto"/>
          <w:szCs w:val="21"/>
          <w:highlight w:val="none"/>
        </w:rPr>
      </w:pPr>
    </w:p>
    <w:p w14:paraId="686380A0">
      <w:pPr>
        <w:spacing w:line="360" w:lineRule="auto"/>
        <w:rPr>
          <w:rFonts w:hint="eastAsia" w:ascii="宋体" w:hAnsi="宋体"/>
          <w:color w:val="auto"/>
          <w:szCs w:val="21"/>
          <w:highlight w:val="none"/>
        </w:rPr>
      </w:pPr>
    </w:p>
    <w:p w14:paraId="3D9C8221">
      <w:pPr>
        <w:spacing w:line="360" w:lineRule="auto"/>
        <w:rPr>
          <w:rFonts w:hint="eastAsia" w:ascii="宋体" w:hAnsi="宋体"/>
          <w:color w:val="auto"/>
          <w:szCs w:val="21"/>
          <w:highlight w:val="none"/>
        </w:rPr>
      </w:pPr>
    </w:p>
    <w:p w14:paraId="0D0FCC8E">
      <w:pPr>
        <w:spacing w:line="360" w:lineRule="auto"/>
        <w:rPr>
          <w:rFonts w:hint="eastAsia" w:ascii="宋体" w:hAnsi="宋体"/>
          <w:color w:val="auto"/>
          <w:szCs w:val="21"/>
          <w:highlight w:val="none"/>
        </w:rPr>
      </w:pPr>
    </w:p>
    <w:p w14:paraId="61AE7AA1">
      <w:pPr>
        <w:spacing w:line="360" w:lineRule="auto"/>
        <w:rPr>
          <w:rFonts w:hint="eastAsia" w:ascii="宋体" w:hAnsi="宋体"/>
          <w:color w:val="auto"/>
          <w:szCs w:val="21"/>
          <w:highlight w:val="none"/>
        </w:rPr>
      </w:pPr>
    </w:p>
    <w:p w14:paraId="74E56AE5">
      <w:pPr>
        <w:spacing w:line="360" w:lineRule="auto"/>
        <w:rPr>
          <w:rFonts w:hint="eastAsia" w:ascii="宋体" w:hAnsi="宋体"/>
          <w:color w:val="auto"/>
          <w:szCs w:val="21"/>
          <w:highlight w:val="none"/>
        </w:rPr>
      </w:pPr>
    </w:p>
    <w:p w14:paraId="75A9824B">
      <w:pPr>
        <w:rPr>
          <w:rFonts w:hint="eastAsia" w:ascii="宋体" w:hAnsi="宋体"/>
          <w:color w:val="auto"/>
          <w:szCs w:val="21"/>
          <w:highlight w:val="none"/>
        </w:rPr>
      </w:pPr>
      <w:r>
        <w:rPr>
          <w:rFonts w:hint="eastAsia" w:ascii="宋体" w:hAnsi="宋体"/>
          <w:color w:val="auto"/>
          <w:szCs w:val="21"/>
          <w:highlight w:val="none"/>
        </w:rPr>
        <w:br w:type="page"/>
      </w:r>
    </w:p>
    <w:p w14:paraId="6E89B380">
      <w:pPr>
        <w:pStyle w:val="3"/>
        <w:ind w:left="0" w:firstLine="0"/>
        <w:jc w:val="center"/>
        <w:rPr>
          <w:b/>
          <w:bCs w:val="0"/>
          <w:color w:val="auto"/>
          <w:szCs w:val="28"/>
          <w:highlight w:val="none"/>
        </w:rPr>
      </w:pPr>
      <w:bookmarkStart w:id="78" w:name="_Toc13850"/>
      <w:bookmarkStart w:id="79" w:name="_Toc19226"/>
      <w:bookmarkStart w:id="80" w:name="_Toc21245"/>
      <w:bookmarkStart w:id="81" w:name="_Toc12795"/>
      <w:bookmarkStart w:id="82" w:name="_Toc32434"/>
      <w:bookmarkStart w:id="83" w:name="_Toc28833"/>
      <w:bookmarkStart w:id="84" w:name="_Toc2118"/>
      <w:bookmarkStart w:id="85" w:name="_Toc20219"/>
      <w:bookmarkStart w:id="86" w:name="_Toc3655"/>
      <w:bookmarkStart w:id="87" w:name="_Toc17800"/>
      <w:bookmarkStart w:id="88" w:name="_Toc23882"/>
      <w:bookmarkStart w:id="89" w:name="_Toc17986"/>
      <w:r>
        <w:rPr>
          <w:rFonts w:hint="eastAsia"/>
          <w:b/>
          <w:bCs w:val="0"/>
          <w:color w:val="auto"/>
          <w:szCs w:val="28"/>
          <w:highlight w:val="none"/>
        </w:rPr>
        <w:t>一、总则</w:t>
      </w:r>
      <w:bookmarkEnd w:id="78"/>
      <w:bookmarkEnd w:id="79"/>
      <w:bookmarkEnd w:id="80"/>
      <w:bookmarkEnd w:id="81"/>
      <w:bookmarkEnd w:id="82"/>
      <w:bookmarkEnd w:id="83"/>
      <w:bookmarkEnd w:id="84"/>
      <w:bookmarkEnd w:id="85"/>
      <w:bookmarkEnd w:id="86"/>
      <w:bookmarkEnd w:id="87"/>
      <w:bookmarkEnd w:id="88"/>
      <w:bookmarkEnd w:id="89"/>
    </w:p>
    <w:p w14:paraId="48FBE2EB">
      <w:pPr>
        <w:pStyle w:val="4"/>
        <w:spacing w:before="0" w:after="0" w:line="360" w:lineRule="auto"/>
        <w:ind w:firstLine="420"/>
        <w:rPr>
          <w:rFonts w:hint="eastAsia" w:ascii="宋体" w:hAnsi="宋体" w:cs="宋体"/>
          <w:color w:val="auto"/>
          <w:sz w:val="21"/>
          <w:szCs w:val="21"/>
          <w:highlight w:val="none"/>
        </w:rPr>
      </w:pPr>
      <w:bookmarkStart w:id="90" w:name="_Toc28207"/>
      <w:bookmarkStart w:id="91" w:name="_Toc5438"/>
      <w:bookmarkStart w:id="92" w:name="_Toc14878"/>
      <w:bookmarkStart w:id="93" w:name="_Toc1911"/>
      <w:bookmarkStart w:id="94" w:name="_Toc31852"/>
      <w:bookmarkStart w:id="95" w:name="_Toc4898"/>
      <w:bookmarkStart w:id="96" w:name="_Toc11418"/>
      <w:bookmarkStart w:id="97" w:name="_Toc3536"/>
      <w:bookmarkStart w:id="98" w:name="_Toc8149"/>
      <w:bookmarkStart w:id="99" w:name="_Toc31144"/>
      <w:bookmarkStart w:id="100" w:name="_Toc14895"/>
      <w:bookmarkStart w:id="101" w:name="_Toc500"/>
      <w:r>
        <w:rPr>
          <w:rFonts w:hint="eastAsia" w:ascii="宋体" w:hAnsi="宋体" w:cs="宋体"/>
          <w:color w:val="auto"/>
          <w:sz w:val="21"/>
          <w:szCs w:val="21"/>
          <w:highlight w:val="none"/>
        </w:rPr>
        <w:t>1. 适</w:t>
      </w:r>
      <w:r>
        <w:rPr>
          <w:rFonts w:hint="eastAsia" w:ascii="宋体" w:hAnsi="宋体" w:cs="宋体"/>
          <w:color w:val="auto"/>
          <w:sz w:val="21"/>
          <w:szCs w:val="21"/>
          <w:highlight w:val="none"/>
          <w:lang w:eastAsia="zh-CN"/>
        </w:rPr>
        <w:t>用</w:t>
      </w:r>
      <w:r>
        <w:rPr>
          <w:rFonts w:hint="eastAsia" w:ascii="宋体" w:hAnsi="宋体" w:cs="宋体"/>
          <w:color w:val="auto"/>
          <w:sz w:val="21"/>
          <w:szCs w:val="21"/>
          <w:highlight w:val="none"/>
        </w:rPr>
        <w:t>范围</w:t>
      </w:r>
      <w:bookmarkEnd w:id="90"/>
      <w:bookmarkEnd w:id="91"/>
      <w:bookmarkEnd w:id="92"/>
      <w:bookmarkEnd w:id="93"/>
      <w:bookmarkEnd w:id="94"/>
      <w:bookmarkEnd w:id="95"/>
      <w:bookmarkEnd w:id="96"/>
      <w:bookmarkEnd w:id="97"/>
      <w:bookmarkEnd w:id="98"/>
      <w:bookmarkEnd w:id="99"/>
      <w:bookmarkEnd w:id="100"/>
      <w:bookmarkEnd w:id="101"/>
    </w:p>
    <w:p w14:paraId="731532D4">
      <w:pPr>
        <w:spacing w:line="360" w:lineRule="exact"/>
        <w:ind w:firstLine="435"/>
        <w:rPr>
          <w:rFonts w:ascii="宋体"/>
          <w:color w:val="auto"/>
          <w:szCs w:val="21"/>
          <w:highlight w:val="none"/>
        </w:rPr>
      </w:pPr>
      <w:r>
        <w:rPr>
          <w:rFonts w:ascii="宋体" w:hAnsi="宋体"/>
          <w:color w:val="auto"/>
          <w:szCs w:val="21"/>
          <w:highlight w:val="none"/>
        </w:rPr>
        <w:t xml:space="preserve">1.1  </w:t>
      </w:r>
      <w:r>
        <w:rPr>
          <w:rFonts w:hint="eastAsia" w:ascii="宋体" w:hAnsi="宋体"/>
          <w:color w:val="auto"/>
          <w:szCs w:val="21"/>
          <w:highlight w:val="none"/>
        </w:rPr>
        <w:t>项目名称及项目编号：</w:t>
      </w:r>
    </w:p>
    <w:p w14:paraId="296266C0">
      <w:pPr>
        <w:spacing w:line="360" w:lineRule="exact"/>
        <w:ind w:firstLine="435"/>
        <w:rPr>
          <w:rFonts w:ascii="宋体"/>
          <w:color w:val="auto"/>
          <w:szCs w:val="21"/>
          <w:highlight w:val="none"/>
        </w:rPr>
      </w:pPr>
      <w:r>
        <w:rPr>
          <w:rFonts w:hint="eastAsia" w:ascii="宋体" w:hAnsi="宋体"/>
          <w:color w:val="auto"/>
          <w:szCs w:val="21"/>
          <w:highlight w:val="none"/>
        </w:rPr>
        <w:t>项目名称：</w:t>
      </w:r>
      <w:r>
        <w:rPr>
          <w:rFonts w:hint="eastAsia" w:ascii="宋体" w:hAnsi="宋体"/>
          <w:color w:val="auto"/>
          <w:szCs w:val="21"/>
          <w:highlight w:val="none"/>
          <w:lang w:eastAsia="zh-CN"/>
        </w:rPr>
        <w:t>AI数智语言综合实训中心</w:t>
      </w:r>
      <w:r>
        <w:rPr>
          <w:rFonts w:hint="eastAsia" w:ascii="宋体" w:hAnsi="宋体"/>
          <w:color w:val="auto"/>
          <w:szCs w:val="21"/>
          <w:highlight w:val="none"/>
        </w:rPr>
        <w:t xml:space="preserve">       </w:t>
      </w:r>
      <w:r>
        <w:rPr>
          <w:rFonts w:ascii="宋体" w:hAnsi="宋体"/>
          <w:color w:val="auto"/>
          <w:szCs w:val="21"/>
          <w:highlight w:val="none"/>
        </w:rPr>
        <w:t xml:space="preserve">     </w:t>
      </w:r>
    </w:p>
    <w:p w14:paraId="5E41CC2F">
      <w:pPr>
        <w:spacing w:line="360" w:lineRule="exact"/>
        <w:ind w:firstLine="435"/>
        <w:rPr>
          <w:rFonts w:hint="eastAsia" w:ascii="宋体" w:eastAsia="宋体"/>
          <w:color w:val="auto"/>
          <w:szCs w:val="21"/>
          <w:highlight w:val="none"/>
          <w:lang w:eastAsia="zh-CN"/>
        </w:rPr>
      </w:pPr>
      <w:r>
        <w:rPr>
          <w:rFonts w:hint="eastAsia" w:ascii="宋体" w:hAnsi="宋体"/>
          <w:color w:val="auto"/>
          <w:szCs w:val="21"/>
          <w:highlight w:val="none"/>
        </w:rPr>
        <w:t>项目编号：</w:t>
      </w:r>
      <w:r>
        <w:rPr>
          <w:rFonts w:hint="eastAsia" w:ascii="宋体" w:hAnsi="宋体"/>
          <w:color w:val="auto"/>
          <w:szCs w:val="21"/>
          <w:highlight w:val="none"/>
          <w:lang w:eastAsia="zh-CN"/>
        </w:rPr>
        <w:t>GXZC2026-J1-002254-GLSZ</w:t>
      </w:r>
    </w:p>
    <w:p w14:paraId="34757E06">
      <w:pPr>
        <w:spacing w:line="360" w:lineRule="exact"/>
        <w:ind w:firstLine="411"/>
        <w:rPr>
          <w:rFonts w:ascii="宋体"/>
          <w:color w:val="auto"/>
          <w:szCs w:val="21"/>
          <w:highlight w:val="none"/>
        </w:rPr>
      </w:pPr>
      <w:r>
        <w:rPr>
          <w:rFonts w:ascii="宋体" w:hAnsi="宋体"/>
          <w:color w:val="auto"/>
          <w:szCs w:val="21"/>
          <w:highlight w:val="none"/>
        </w:rPr>
        <w:t>1.2</w:t>
      </w:r>
      <w:r>
        <w:rPr>
          <w:rFonts w:hint="eastAsia" w:ascii="宋体" w:hAnsi="宋体"/>
          <w:color w:val="auto"/>
          <w:szCs w:val="21"/>
          <w:highlight w:val="none"/>
        </w:rPr>
        <w:t>本竞争性谈判文件（以下简称谈判文件）适用于本谈判项目的谈判、评审、合同履约、验收、付款等行为（法律、法规另有规定的，从其规定）。</w:t>
      </w:r>
    </w:p>
    <w:p w14:paraId="75686FA4">
      <w:pPr>
        <w:pStyle w:val="4"/>
        <w:spacing w:before="0" w:after="0" w:line="360" w:lineRule="auto"/>
        <w:ind w:firstLine="420"/>
        <w:rPr>
          <w:rFonts w:hint="eastAsia" w:ascii="宋体" w:hAnsi="宋体" w:cs="宋体"/>
          <w:color w:val="auto"/>
          <w:sz w:val="21"/>
          <w:szCs w:val="21"/>
          <w:highlight w:val="none"/>
        </w:rPr>
      </w:pPr>
      <w:bookmarkStart w:id="102" w:name="_Toc11384"/>
      <w:bookmarkStart w:id="103" w:name="_Toc22247"/>
      <w:bookmarkStart w:id="104" w:name="_Toc10650"/>
      <w:bookmarkStart w:id="105" w:name="_Toc5584"/>
      <w:bookmarkStart w:id="106" w:name="_Toc21649"/>
      <w:bookmarkStart w:id="107" w:name="_Toc32250"/>
      <w:bookmarkStart w:id="108" w:name="_Toc13126"/>
      <w:bookmarkStart w:id="109" w:name="_Toc6189"/>
      <w:bookmarkStart w:id="110" w:name="_Toc30503"/>
      <w:bookmarkStart w:id="111" w:name="_Toc1418"/>
      <w:bookmarkStart w:id="112" w:name="_Toc20514"/>
      <w:bookmarkStart w:id="113" w:name="_Toc23404"/>
      <w:r>
        <w:rPr>
          <w:rFonts w:hint="eastAsia" w:ascii="宋体" w:hAnsi="宋体" w:cs="宋体"/>
          <w:color w:val="auto"/>
          <w:sz w:val="21"/>
          <w:szCs w:val="21"/>
          <w:highlight w:val="none"/>
        </w:rPr>
        <w:t>2. 定义</w:t>
      </w:r>
      <w:bookmarkEnd w:id="102"/>
      <w:bookmarkEnd w:id="103"/>
      <w:bookmarkEnd w:id="104"/>
      <w:bookmarkEnd w:id="105"/>
      <w:bookmarkEnd w:id="106"/>
      <w:bookmarkEnd w:id="107"/>
      <w:bookmarkEnd w:id="108"/>
      <w:bookmarkEnd w:id="109"/>
      <w:bookmarkEnd w:id="110"/>
      <w:bookmarkEnd w:id="111"/>
      <w:bookmarkEnd w:id="112"/>
      <w:bookmarkEnd w:id="113"/>
    </w:p>
    <w:p w14:paraId="31C5A057">
      <w:pPr>
        <w:spacing w:line="360" w:lineRule="exact"/>
        <w:ind w:firstLine="435"/>
        <w:rPr>
          <w:rFonts w:ascii="宋体"/>
          <w:color w:val="auto"/>
          <w:szCs w:val="21"/>
          <w:highlight w:val="none"/>
        </w:rPr>
      </w:pPr>
      <w:r>
        <w:rPr>
          <w:rFonts w:ascii="宋体" w:hAnsi="宋体"/>
          <w:color w:val="auto"/>
          <w:szCs w:val="21"/>
          <w:highlight w:val="none"/>
        </w:rPr>
        <w:t>2.1</w:t>
      </w:r>
      <w:r>
        <w:rPr>
          <w:rFonts w:hint="eastAsia" w:ascii="宋体" w:hAnsi="宋体"/>
          <w:color w:val="auto"/>
          <w:szCs w:val="21"/>
          <w:highlight w:val="none"/>
        </w:rPr>
        <w:t>“供应商”是指符合本次采购项目的供应商资格并提交响应文件、参加谈判的供应商。如果该供应商在本次谈判中成交，即成为“成交供应商”。</w:t>
      </w:r>
    </w:p>
    <w:p w14:paraId="17BC946F">
      <w:pPr>
        <w:spacing w:line="360" w:lineRule="exact"/>
        <w:ind w:firstLine="435"/>
        <w:rPr>
          <w:rFonts w:ascii="宋体"/>
          <w:color w:val="auto"/>
          <w:szCs w:val="21"/>
          <w:highlight w:val="none"/>
        </w:rPr>
      </w:pPr>
      <w:r>
        <w:rPr>
          <w:rFonts w:ascii="宋体" w:hAnsi="宋体"/>
          <w:color w:val="auto"/>
          <w:szCs w:val="21"/>
          <w:highlight w:val="none"/>
        </w:rPr>
        <w:t>2.2</w:t>
      </w:r>
      <w:r>
        <w:rPr>
          <w:rFonts w:hint="eastAsia" w:ascii="宋体" w:hAnsi="宋体"/>
          <w:color w:val="auto"/>
          <w:szCs w:val="21"/>
          <w:highlight w:val="none"/>
        </w:rPr>
        <w:t>“货物”系指按谈判文件规定，供应商须向采购人提供的一切设备、保险、税金、备品备件、工具、手册及其它有关技术资料和材料。</w:t>
      </w:r>
    </w:p>
    <w:p w14:paraId="6E2331D5">
      <w:pPr>
        <w:spacing w:line="360" w:lineRule="exact"/>
        <w:ind w:firstLine="435"/>
        <w:rPr>
          <w:rFonts w:ascii="宋体"/>
          <w:color w:val="auto"/>
          <w:szCs w:val="21"/>
          <w:highlight w:val="none"/>
        </w:rPr>
      </w:pPr>
      <w:r>
        <w:rPr>
          <w:rFonts w:ascii="宋体" w:hAnsi="宋体"/>
          <w:color w:val="auto"/>
          <w:szCs w:val="21"/>
          <w:highlight w:val="none"/>
        </w:rPr>
        <w:t>2.3</w:t>
      </w:r>
      <w:r>
        <w:rPr>
          <w:rFonts w:hint="eastAsia" w:ascii="宋体" w:hAnsi="宋体"/>
          <w:color w:val="auto"/>
          <w:szCs w:val="21"/>
          <w:highlight w:val="none"/>
        </w:rPr>
        <w:t>“服务”系指按谈判文件规定，供应商须承担的安装、调试、技术协助、校准、培训、技术指导以及其他类似的义务。</w:t>
      </w:r>
    </w:p>
    <w:p w14:paraId="1E99F81A">
      <w:pPr>
        <w:spacing w:line="360" w:lineRule="exact"/>
        <w:ind w:firstLine="435"/>
        <w:rPr>
          <w:rFonts w:ascii="宋体"/>
          <w:color w:val="auto"/>
          <w:szCs w:val="21"/>
          <w:highlight w:val="none"/>
        </w:rPr>
      </w:pPr>
      <w:r>
        <w:rPr>
          <w:rFonts w:ascii="宋体" w:hAnsi="宋体"/>
          <w:color w:val="auto"/>
          <w:szCs w:val="21"/>
          <w:highlight w:val="none"/>
        </w:rPr>
        <w:t>2.4</w:t>
      </w:r>
      <w:r>
        <w:rPr>
          <w:rFonts w:hint="eastAsia" w:ascii="宋体" w:hAnsi="宋体"/>
          <w:color w:val="auto"/>
          <w:szCs w:val="21"/>
          <w:highlight w:val="none"/>
        </w:rPr>
        <w:t>“项目”系指供应商按谈判文件规定向采购人提供的货物和服务。</w:t>
      </w:r>
    </w:p>
    <w:p w14:paraId="081C8BA7">
      <w:pPr>
        <w:spacing w:line="360" w:lineRule="exact"/>
        <w:ind w:firstLine="435"/>
        <w:rPr>
          <w:rFonts w:ascii="宋体"/>
          <w:color w:val="auto"/>
          <w:szCs w:val="21"/>
          <w:highlight w:val="none"/>
        </w:rPr>
      </w:pPr>
      <w:r>
        <w:rPr>
          <w:rFonts w:ascii="宋体" w:hAnsi="宋体"/>
          <w:color w:val="auto"/>
          <w:szCs w:val="21"/>
          <w:highlight w:val="none"/>
        </w:rPr>
        <w:t>2.5</w:t>
      </w:r>
      <w:r>
        <w:rPr>
          <w:rFonts w:hint="eastAsia" w:ascii="宋体" w:hAnsi="宋体"/>
          <w:color w:val="auto"/>
          <w:szCs w:val="21"/>
          <w:highlight w:val="none"/>
        </w:rPr>
        <w:t>“书面形式”包括信函、传真、电报等。</w:t>
      </w:r>
    </w:p>
    <w:p w14:paraId="2E4A9897">
      <w:pPr>
        <w:spacing w:line="360" w:lineRule="exact"/>
        <w:ind w:firstLine="435"/>
        <w:rPr>
          <w:rFonts w:hint="eastAsia" w:ascii="宋体" w:hAnsi="宋体" w:cs="宋体"/>
          <w:b/>
          <w:color w:val="auto"/>
          <w:szCs w:val="21"/>
          <w:highlight w:val="none"/>
          <w:u w:val="single"/>
        </w:rPr>
      </w:pPr>
      <w:r>
        <w:rPr>
          <w:rFonts w:hint="eastAsia" w:ascii="宋体" w:hAnsi="宋体" w:cs="宋体"/>
          <w:b/>
          <w:color w:val="auto"/>
          <w:szCs w:val="21"/>
          <w:highlight w:val="none"/>
          <w:u w:val="single"/>
        </w:rPr>
        <w:t>2.6实质性要求：</w:t>
      </w:r>
      <w:r>
        <w:rPr>
          <w:rFonts w:hint="eastAsia" w:ascii="宋体" w:hAnsi="宋体" w:cs="宋体"/>
          <w:b/>
          <w:bCs/>
          <w:color w:val="auto"/>
          <w:szCs w:val="21"/>
          <w:highlight w:val="none"/>
          <w:u w:val="single"/>
        </w:rPr>
        <w:t>“采购需求”中所有要求均为实质性要求，不允许负偏离，否则视为无效响应</w:t>
      </w:r>
      <w:r>
        <w:rPr>
          <w:rFonts w:hint="eastAsia" w:ascii="宋体" w:hAnsi="宋体" w:cs="宋体"/>
          <w:b/>
          <w:color w:val="auto"/>
          <w:szCs w:val="21"/>
          <w:highlight w:val="none"/>
          <w:u w:val="single"/>
        </w:rPr>
        <w:t>。</w:t>
      </w:r>
    </w:p>
    <w:p w14:paraId="5507CF53">
      <w:pPr>
        <w:pStyle w:val="4"/>
        <w:spacing w:before="0" w:after="0" w:line="360" w:lineRule="auto"/>
        <w:ind w:firstLine="420"/>
        <w:rPr>
          <w:rFonts w:hint="eastAsia" w:ascii="宋体" w:hAnsi="宋体" w:cs="宋体"/>
          <w:color w:val="auto"/>
          <w:sz w:val="21"/>
          <w:szCs w:val="21"/>
          <w:highlight w:val="none"/>
        </w:rPr>
      </w:pPr>
      <w:bookmarkStart w:id="114" w:name="_Toc10307"/>
      <w:bookmarkStart w:id="115" w:name="_Toc32735"/>
      <w:bookmarkStart w:id="116" w:name="_Toc32534"/>
      <w:bookmarkStart w:id="117" w:name="_Toc6157"/>
      <w:bookmarkStart w:id="118" w:name="_Toc24409"/>
      <w:bookmarkStart w:id="119" w:name="_Toc11151"/>
      <w:bookmarkStart w:id="120" w:name="_Toc5213"/>
      <w:bookmarkStart w:id="121" w:name="_Toc31681"/>
      <w:bookmarkStart w:id="122" w:name="_Toc4442"/>
      <w:bookmarkStart w:id="123" w:name="_Toc22141"/>
      <w:bookmarkStart w:id="124" w:name="_Toc28389"/>
      <w:bookmarkStart w:id="125" w:name="_Toc32327"/>
      <w:r>
        <w:rPr>
          <w:rFonts w:hint="eastAsia" w:ascii="宋体" w:hAnsi="宋体" w:cs="宋体"/>
          <w:color w:val="auto"/>
          <w:sz w:val="21"/>
          <w:szCs w:val="21"/>
          <w:highlight w:val="none"/>
        </w:rPr>
        <w:t>3. 供应商资格</w:t>
      </w:r>
      <w:bookmarkEnd w:id="114"/>
      <w:bookmarkEnd w:id="115"/>
      <w:bookmarkEnd w:id="116"/>
      <w:bookmarkEnd w:id="117"/>
      <w:bookmarkEnd w:id="118"/>
      <w:bookmarkEnd w:id="119"/>
      <w:bookmarkEnd w:id="120"/>
      <w:bookmarkEnd w:id="121"/>
      <w:bookmarkEnd w:id="122"/>
      <w:bookmarkEnd w:id="123"/>
      <w:bookmarkEnd w:id="124"/>
      <w:bookmarkEnd w:id="125"/>
    </w:p>
    <w:p w14:paraId="0D96B109">
      <w:pPr>
        <w:spacing w:line="360" w:lineRule="exact"/>
        <w:ind w:firstLine="435"/>
        <w:rPr>
          <w:rFonts w:ascii="宋体" w:cs="宋体"/>
          <w:bCs/>
          <w:color w:val="auto"/>
          <w:szCs w:val="21"/>
          <w:highlight w:val="none"/>
        </w:rPr>
      </w:pPr>
      <w:r>
        <w:rPr>
          <w:rFonts w:ascii="宋体" w:hAnsi="宋体" w:cs="宋体"/>
          <w:bCs/>
          <w:color w:val="auto"/>
          <w:szCs w:val="21"/>
          <w:highlight w:val="none"/>
        </w:rPr>
        <w:t>3.1</w:t>
      </w:r>
      <w:r>
        <w:rPr>
          <w:rFonts w:hint="eastAsia" w:ascii="宋体" w:hAnsi="宋体" w:cs="宋体"/>
          <w:bCs/>
          <w:color w:val="auto"/>
          <w:szCs w:val="21"/>
          <w:highlight w:val="none"/>
        </w:rPr>
        <w:t>符合《中华人民共和国政府采购法》第二十二条和《政府采购法实施条例》第十八条规定，具备合法资格的供应商；</w:t>
      </w:r>
    </w:p>
    <w:p w14:paraId="66836445">
      <w:pPr>
        <w:spacing w:line="360" w:lineRule="exact"/>
        <w:ind w:firstLine="435"/>
        <w:rPr>
          <w:rFonts w:hint="eastAsia" w:ascii="宋体" w:cs="宋体"/>
          <w:bCs/>
          <w:color w:val="auto"/>
          <w:szCs w:val="21"/>
          <w:highlight w:val="none"/>
        </w:rPr>
      </w:pPr>
      <w:r>
        <w:rPr>
          <w:rFonts w:ascii="宋体" w:hAnsi="宋体" w:cs="宋体"/>
          <w:bCs/>
          <w:color w:val="auto"/>
          <w:szCs w:val="21"/>
          <w:highlight w:val="none"/>
        </w:rPr>
        <w:t>3.</w:t>
      </w:r>
      <w:r>
        <w:rPr>
          <w:rFonts w:hint="eastAsia" w:ascii="宋体" w:hAnsi="宋体" w:cs="宋体"/>
          <w:bCs/>
          <w:color w:val="auto"/>
          <w:szCs w:val="21"/>
          <w:highlight w:val="none"/>
        </w:rPr>
        <w:t>2本项目不接受联合体参与谈判；</w:t>
      </w:r>
    </w:p>
    <w:p w14:paraId="60FFF43B">
      <w:pPr>
        <w:spacing w:line="360" w:lineRule="exact"/>
        <w:ind w:firstLine="435"/>
        <w:rPr>
          <w:rFonts w:hint="eastAsia" w:ascii="宋体" w:hAnsi="宋体" w:cs="宋体"/>
          <w:bCs/>
          <w:color w:val="auto"/>
          <w:szCs w:val="21"/>
          <w:highlight w:val="none"/>
        </w:rPr>
      </w:pPr>
      <w:r>
        <w:rPr>
          <w:rFonts w:ascii="宋体" w:hAnsi="宋体" w:cs="宋体"/>
          <w:bCs/>
          <w:color w:val="auto"/>
          <w:szCs w:val="21"/>
          <w:highlight w:val="none"/>
        </w:rPr>
        <w:t>3.</w:t>
      </w:r>
      <w:r>
        <w:rPr>
          <w:rFonts w:hint="eastAsia" w:ascii="宋体" w:hAnsi="宋体" w:cs="宋体"/>
          <w:bCs/>
          <w:color w:val="auto"/>
          <w:szCs w:val="21"/>
          <w:highlight w:val="none"/>
        </w:rPr>
        <w:t>3对在“信用中国”网站</w:t>
      </w:r>
      <w:r>
        <w:rPr>
          <w:rFonts w:ascii="宋体" w:hAnsi="宋体" w:cs="宋体"/>
          <w:bCs/>
          <w:color w:val="auto"/>
          <w:szCs w:val="21"/>
          <w:highlight w:val="none"/>
        </w:rPr>
        <w:t>(www.creditchina.gov.cn)</w:t>
      </w:r>
      <w:r>
        <w:rPr>
          <w:rFonts w:hint="eastAsia" w:ascii="宋体" w:hAnsi="宋体" w:cs="宋体"/>
          <w:bCs/>
          <w:color w:val="auto"/>
          <w:szCs w:val="21"/>
          <w:highlight w:val="none"/>
        </w:rPr>
        <w:t>、中国政府采购网</w:t>
      </w:r>
      <w:r>
        <w:rPr>
          <w:rFonts w:ascii="宋体" w:hAnsi="宋体" w:cs="宋体"/>
          <w:bCs/>
          <w:color w:val="auto"/>
          <w:szCs w:val="21"/>
          <w:highlight w:val="none"/>
        </w:rPr>
        <w:t>(www.ccgp.gov.cn)</w:t>
      </w:r>
      <w:r>
        <w:rPr>
          <w:rFonts w:hint="eastAsia" w:ascii="宋体" w:hAnsi="宋体" w:cs="宋体"/>
          <w:bCs/>
          <w:color w:val="auto"/>
          <w:szCs w:val="21"/>
          <w:highlight w:val="none"/>
        </w:rPr>
        <w:t>等渠道列入失信被执行人、</w:t>
      </w:r>
      <w:r>
        <w:rPr>
          <w:rFonts w:hint="eastAsia" w:ascii="宋体" w:hAnsi="宋体" w:cs="宋体"/>
          <w:bCs/>
          <w:color w:val="auto"/>
          <w:szCs w:val="21"/>
          <w:highlight w:val="none"/>
          <w:lang w:eastAsia="zh-CN"/>
        </w:rPr>
        <w:t>重大税收违法失信主体名单</w:t>
      </w:r>
      <w:r>
        <w:rPr>
          <w:rFonts w:hint="eastAsia" w:ascii="宋体" w:hAnsi="宋体" w:cs="宋体"/>
          <w:bCs/>
          <w:color w:val="auto"/>
          <w:szCs w:val="21"/>
          <w:highlight w:val="none"/>
        </w:rPr>
        <w:t>、政府采购严重违法失信行为记录名单及其他不符合《中华人民共和国政府采购法》第二十二条规定条件的供应商，不得参与政府采购活动。</w:t>
      </w:r>
    </w:p>
    <w:p w14:paraId="132454C3">
      <w:pPr>
        <w:spacing w:line="380" w:lineRule="exact"/>
        <w:ind w:firstLine="420"/>
        <w:rPr>
          <w:rFonts w:hint="eastAsia" w:ascii="宋体" w:hAnsi="宋体" w:cs="宋体"/>
          <w:b/>
          <w:bCs/>
          <w:color w:val="auto"/>
          <w:sz w:val="24"/>
          <w:highlight w:val="none"/>
        </w:rPr>
      </w:pPr>
      <w:r>
        <w:rPr>
          <w:rFonts w:hint="eastAsia" w:ascii="宋体" w:hAnsi="宋体" w:cs="宋体"/>
          <w:bCs/>
          <w:color w:val="auto"/>
          <w:szCs w:val="21"/>
          <w:highlight w:val="none"/>
        </w:rPr>
        <w:t>3.4落实政府采购政策需满足的资格要求：无</w:t>
      </w:r>
      <w:r>
        <w:rPr>
          <w:rFonts w:hint="eastAsia" w:ascii="宋体" w:hAnsi="宋体" w:cs="宋体"/>
          <w:b/>
          <w:bCs/>
          <w:color w:val="auto"/>
          <w:szCs w:val="21"/>
          <w:highlight w:val="none"/>
        </w:rPr>
        <w:t>。</w:t>
      </w:r>
    </w:p>
    <w:p w14:paraId="5FF79C51">
      <w:pPr>
        <w:spacing w:line="380" w:lineRule="exact"/>
        <w:ind w:firstLine="420"/>
        <w:rPr>
          <w:rFonts w:hint="eastAsia" w:ascii="宋体" w:hAnsi="宋体" w:cs="宋体"/>
          <w:bCs/>
          <w:color w:val="auto"/>
          <w:szCs w:val="21"/>
          <w:highlight w:val="none"/>
        </w:rPr>
      </w:pPr>
      <w:r>
        <w:rPr>
          <w:rFonts w:hint="eastAsia" w:ascii="宋体" w:hAnsi="宋体" w:cs="宋体"/>
          <w:bCs/>
          <w:color w:val="auto"/>
          <w:szCs w:val="21"/>
          <w:highlight w:val="none"/>
        </w:rPr>
        <w:t>3.5本项目的特定资格要求：无。</w:t>
      </w:r>
    </w:p>
    <w:p w14:paraId="3ADD3C88">
      <w:pPr>
        <w:pStyle w:val="4"/>
        <w:spacing w:before="0" w:after="0" w:line="360" w:lineRule="auto"/>
        <w:ind w:firstLine="420"/>
        <w:rPr>
          <w:rFonts w:hint="eastAsia" w:ascii="宋体" w:hAnsi="宋体" w:cs="宋体"/>
          <w:color w:val="auto"/>
          <w:sz w:val="21"/>
          <w:szCs w:val="21"/>
          <w:highlight w:val="none"/>
        </w:rPr>
      </w:pPr>
      <w:bookmarkStart w:id="126" w:name="_Toc32640"/>
      <w:bookmarkStart w:id="127" w:name="_Toc8725"/>
      <w:bookmarkStart w:id="128" w:name="_Toc10575"/>
      <w:bookmarkStart w:id="129" w:name="_Toc2957"/>
      <w:bookmarkStart w:id="130" w:name="_Toc2933"/>
      <w:bookmarkStart w:id="131" w:name="_Toc31769"/>
      <w:bookmarkStart w:id="132" w:name="_Toc31247"/>
      <w:bookmarkStart w:id="133" w:name="_Toc14258"/>
      <w:bookmarkStart w:id="134" w:name="_Toc31156"/>
      <w:bookmarkStart w:id="135" w:name="_Toc12354"/>
      <w:bookmarkStart w:id="136" w:name="_Toc2001"/>
      <w:bookmarkStart w:id="137" w:name="_Toc20634"/>
      <w:r>
        <w:rPr>
          <w:rFonts w:hint="eastAsia" w:ascii="宋体" w:hAnsi="宋体" w:cs="宋体"/>
          <w:color w:val="auto"/>
          <w:sz w:val="21"/>
          <w:szCs w:val="21"/>
          <w:highlight w:val="none"/>
        </w:rPr>
        <w:t>4. 谈判费用</w:t>
      </w:r>
      <w:bookmarkEnd w:id="126"/>
      <w:bookmarkEnd w:id="127"/>
      <w:bookmarkEnd w:id="128"/>
      <w:bookmarkEnd w:id="129"/>
      <w:bookmarkEnd w:id="130"/>
      <w:bookmarkEnd w:id="131"/>
      <w:bookmarkEnd w:id="132"/>
      <w:bookmarkEnd w:id="133"/>
      <w:bookmarkEnd w:id="134"/>
      <w:bookmarkEnd w:id="135"/>
      <w:bookmarkEnd w:id="136"/>
      <w:bookmarkEnd w:id="137"/>
    </w:p>
    <w:p w14:paraId="5D6D81B2">
      <w:pPr>
        <w:tabs>
          <w:tab w:val="left" w:pos="1635"/>
        </w:tabs>
        <w:spacing w:line="360" w:lineRule="exact"/>
        <w:ind w:firstLine="435"/>
        <w:rPr>
          <w:rFonts w:ascii="宋体"/>
          <w:color w:val="auto"/>
          <w:szCs w:val="21"/>
          <w:highlight w:val="none"/>
        </w:rPr>
      </w:pPr>
      <w:r>
        <w:rPr>
          <w:rFonts w:hint="eastAsia" w:ascii="宋体" w:hAnsi="宋体"/>
          <w:color w:val="auto"/>
          <w:szCs w:val="21"/>
          <w:highlight w:val="none"/>
        </w:rPr>
        <w:t>不论</w:t>
      </w:r>
      <w:r>
        <w:rPr>
          <w:rFonts w:hint="eastAsia" w:ascii="宋体" w:hAnsi="宋体" w:cs="宋体"/>
          <w:color w:val="auto"/>
          <w:szCs w:val="21"/>
          <w:highlight w:val="none"/>
        </w:rPr>
        <w:t>谈判</w:t>
      </w:r>
      <w:r>
        <w:rPr>
          <w:rFonts w:hint="eastAsia" w:ascii="宋体" w:hAnsi="宋体"/>
          <w:color w:val="auto"/>
          <w:szCs w:val="21"/>
          <w:highlight w:val="none"/>
        </w:rPr>
        <w:t>结果如何，供应商均应自行承担所有与谈判有关的全部费用。</w:t>
      </w:r>
    </w:p>
    <w:p w14:paraId="2A6B33AA">
      <w:pPr>
        <w:pStyle w:val="4"/>
        <w:spacing w:before="0" w:after="0" w:line="360" w:lineRule="auto"/>
        <w:ind w:firstLine="420"/>
        <w:rPr>
          <w:rFonts w:hint="eastAsia" w:ascii="宋体" w:hAnsi="宋体" w:cs="宋体"/>
          <w:color w:val="auto"/>
          <w:sz w:val="21"/>
          <w:szCs w:val="21"/>
          <w:highlight w:val="none"/>
        </w:rPr>
      </w:pPr>
      <w:bookmarkStart w:id="138" w:name="_Toc8295"/>
      <w:bookmarkStart w:id="139" w:name="_Toc31425"/>
      <w:bookmarkStart w:id="140" w:name="_Toc22801"/>
      <w:bookmarkStart w:id="141" w:name="_Toc17809"/>
      <w:bookmarkStart w:id="142" w:name="_Toc25039"/>
      <w:bookmarkStart w:id="143" w:name="_Toc22057"/>
      <w:bookmarkStart w:id="144" w:name="_Toc18797"/>
      <w:bookmarkStart w:id="145" w:name="_Toc25660"/>
      <w:bookmarkStart w:id="146" w:name="_Toc23827"/>
      <w:bookmarkStart w:id="147" w:name="_Toc26103"/>
      <w:bookmarkStart w:id="148" w:name="_Toc20233"/>
      <w:bookmarkStart w:id="149" w:name="_Toc1635"/>
      <w:r>
        <w:rPr>
          <w:rFonts w:hint="eastAsia" w:ascii="宋体" w:hAnsi="宋体" w:cs="宋体"/>
          <w:color w:val="auto"/>
          <w:sz w:val="21"/>
          <w:szCs w:val="21"/>
          <w:highlight w:val="none"/>
        </w:rPr>
        <w:t>5.联合体要求</w:t>
      </w:r>
      <w:bookmarkEnd w:id="138"/>
      <w:bookmarkEnd w:id="139"/>
      <w:bookmarkEnd w:id="140"/>
      <w:bookmarkEnd w:id="141"/>
      <w:bookmarkEnd w:id="142"/>
      <w:bookmarkEnd w:id="143"/>
      <w:bookmarkEnd w:id="144"/>
      <w:bookmarkEnd w:id="145"/>
      <w:bookmarkEnd w:id="146"/>
      <w:bookmarkEnd w:id="147"/>
      <w:bookmarkEnd w:id="148"/>
      <w:bookmarkEnd w:id="149"/>
    </w:p>
    <w:p w14:paraId="61E44FEF">
      <w:pPr>
        <w:spacing w:line="360" w:lineRule="exact"/>
        <w:ind w:firstLine="420"/>
        <w:rPr>
          <w:rFonts w:hint="eastAsia"/>
          <w:color w:val="auto"/>
          <w:highlight w:val="none"/>
        </w:rPr>
      </w:pPr>
      <w:r>
        <w:rPr>
          <w:rFonts w:hint="eastAsia" w:ascii="宋体" w:hAnsi="宋体"/>
          <w:bCs/>
          <w:color w:val="auto"/>
          <w:szCs w:val="21"/>
          <w:highlight w:val="none"/>
        </w:rPr>
        <w:t xml:space="preserve">本项目不接受联合体参与谈判。     </w:t>
      </w:r>
    </w:p>
    <w:p w14:paraId="50B48FCB">
      <w:pPr>
        <w:pStyle w:val="4"/>
        <w:spacing w:before="0" w:after="0" w:line="360" w:lineRule="auto"/>
        <w:ind w:firstLine="420"/>
        <w:rPr>
          <w:rFonts w:hint="eastAsia" w:ascii="宋体" w:hAnsi="宋体" w:cs="宋体"/>
          <w:color w:val="auto"/>
          <w:sz w:val="21"/>
          <w:szCs w:val="21"/>
          <w:highlight w:val="none"/>
        </w:rPr>
      </w:pPr>
      <w:bookmarkStart w:id="150" w:name="_Toc6105"/>
      <w:bookmarkStart w:id="151" w:name="_Toc15680"/>
      <w:bookmarkStart w:id="152" w:name="_Toc20109"/>
      <w:bookmarkStart w:id="153" w:name="_Toc28044"/>
      <w:bookmarkStart w:id="154" w:name="_Toc10978"/>
      <w:bookmarkStart w:id="155" w:name="_Toc31465"/>
      <w:bookmarkStart w:id="156" w:name="_Toc22550"/>
      <w:bookmarkStart w:id="157" w:name="_Toc15445"/>
      <w:bookmarkStart w:id="158" w:name="_Toc26025"/>
      <w:bookmarkStart w:id="159" w:name="_Toc12290"/>
      <w:bookmarkStart w:id="160" w:name="_Toc12836"/>
      <w:bookmarkStart w:id="161" w:name="_Toc23275"/>
      <w:r>
        <w:rPr>
          <w:rFonts w:hint="eastAsia" w:ascii="宋体" w:hAnsi="宋体" w:cs="宋体"/>
          <w:color w:val="auto"/>
          <w:sz w:val="21"/>
          <w:szCs w:val="21"/>
          <w:highlight w:val="none"/>
        </w:rPr>
        <w:t>6. 质疑和投诉</w:t>
      </w:r>
      <w:bookmarkEnd w:id="150"/>
      <w:bookmarkEnd w:id="151"/>
      <w:bookmarkEnd w:id="152"/>
      <w:bookmarkEnd w:id="153"/>
      <w:bookmarkEnd w:id="154"/>
      <w:bookmarkEnd w:id="155"/>
      <w:bookmarkEnd w:id="156"/>
      <w:bookmarkEnd w:id="157"/>
      <w:bookmarkEnd w:id="158"/>
      <w:bookmarkEnd w:id="159"/>
      <w:bookmarkEnd w:id="160"/>
      <w:bookmarkEnd w:id="161"/>
      <w:r>
        <w:rPr>
          <w:rFonts w:hint="eastAsia" w:ascii="宋体" w:hAnsi="宋体" w:cs="宋体"/>
          <w:color w:val="auto"/>
          <w:sz w:val="21"/>
          <w:szCs w:val="21"/>
          <w:highlight w:val="none"/>
        </w:rPr>
        <w:tab/>
      </w:r>
    </w:p>
    <w:p w14:paraId="3676A67D">
      <w:pPr>
        <w:spacing w:line="360" w:lineRule="exact"/>
        <w:ind w:firstLine="420"/>
        <w:rPr>
          <w:rFonts w:hint="eastAsia" w:ascii="宋体" w:hAnsi="宋体" w:cs="宋体"/>
          <w:color w:val="auto"/>
          <w:highlight w:val="none"/>
        </w:rPr>
      </w:pPr>
      <w:r>
        <w:rPr>
          <w:rFonts w:hint="eastAsia" w:ascii="宋体" w:hAnsi="宋体" w:cs="宋体"/>
          <w:color w:val="auto"/>
          <w:highlight w:val="none"/>
        </w:rPr>
        <w:t>6.1供应商认为</w:t>
      </w:r>
      <w:r>
        <w:rPr>
          <w:color w:val="auto"/>
          <w:highlight w:val="none"/>
        </w:rPr>
        <w:t>谈判文件</w:t>
      </w:r>
      <w:r>
        <w:rPr>
          <w:rFonts w:hint="eastAsia" w:ascii="宋体" w:hAnsi="宋体" w:cs="宋体"/>
          <w:color w:val="auto"/>
          <w:highlight w:val="none"/>
        </w:rPr>
        <w:t>使自己的合法权益受到损害的，应当在本项目</w:t>
      </w:r>
      <w:r>
        <w:rPr>
          <w:color w:val="auto"/>
          <w:highlight w:val="none"/>
        </w:rPr>
        <w:t>谈判公告</w:t>
      </w:r>
      <w:r>
        <w:rPr>
          <w:rFonts w:hint="eastAsia" w:ascii="宋体" w:hAnsi="宋体" w:cs="宋体"/>
          <w:color w:val="auto"/>
          <w:highlight w:val="none"/>
        </w:rPr>
        <w:t>期限届满之日起七个工作日内以书面形式向采购人或桂林市政府集中采购中心提出质疑。供应商认为</w:t>
      </w:r>
      <w:r>
        <w:rPr>
          <w:rFonts w:hint="eastAsia" w:ascii="宋体" w:hAnsi="宋体" w:cs="宋体"/>
          <w:color w:val="auto"/>
          <w:highlight w:val="none"/>
          <w:lang w:eastAsia="zh-CN"/>
        </w:rPr>
        <w:t>谈判</w:t>
      </w:r>
      <w:r>
        <w:rPr>
          <w:rFonts w:hint="eastAsia" w:ascii="宋体" w:hAnsi="宋体" w:cs="宋体"/>
          <w:color w:val="auto"/>
          <w:highlight w:val="none"/>
        </w:rPr>
        <w:t>过程或</w:t>
      </w:r>
      <w:r>
        <w:rPr>
          <w:rFonts w:hint="eastAsia" w:ascii="宋体" w:hAnsi="宋体" w:cs="宋体"/>
          <w:color w:val="auto"/>
          <w:highlight w:val="none"/>
          <w:lang w:eastAsia="zh-CN"/>
        </w:rPr>
        <w:t>成交</w:t>
      </w:r>
      <w:r>
        <w:rPr>
          <w:rFonts w:hint="eastAsia" w:ascii="宋体" w:hAnsi="宋体" w:cs="宋体"/>
          <w:color w:val="auto"/>
          <w:highlight w:val="none"/>
        </w:rPr>
        <w:t>结果使自己的合法权益受到损害的，应当在采购程序环节结束之日或</w:t>
      </w:r>
      <w:r>
        <w:rPr>
          <w:color w:val="auto"/>
          <w:highlight w:val="none"/>
        </w:rPr>
        <w:t>成交结果公告期限届满</w:t>
      </w:r>
      <w:r>
        <w:rPr>
          <w:rFonts w:hint="eastAsia" w:ascii="宋体" w:hAnsi="宋体" w:cs="宋体"/>
          <w:color w:val="auto"/>
          <w:highlight w:val="none"/>
        </w:rPr>
        <w:t>之日起七个工作日内，以书面形式向采购人或桂林市政府集中采购中心提出质疑。</w:t>
      </w:r>
    </w:p>
    <w:p w14:paraId="7C75062A">
      <w:pPr>
        <w:spacing w:line="360" w:lineRule="exact"/>
        <w:ind w:firstLine="420"/>
        <w:rPr>
          <w:rFonts w:hint="eastAsia" w:ascii="宋体" w:hAnsi="宋体" w:cs="宋体"/>
          <w:color w:val="auto"/>
          <w:highlight w:val="none"/>
        </w:rPr>
      </w:pPr>
      <w:r>
        <w:rPr>
          <w:rFonts w:hint="eastAsia" w:ascii="宋体" w:hAnsi="宋体" w:cs="宋体"/>
          <w:color w:val="auto"/>
          <w:highlight w:val="none"/>
        </w:rPr>
        <w:t>接收质疑函方式：以书面形式（原件）提交。</w:t>
      </w:r>
    </w:p>
    <w:p w14:paraId="78549776">
      <w:pPr>
        <w:spacing w:line="360" w:lineRule="exact"/>
        <w:ind w:firstLine="420"/>
        <w:rPr>
          <w:rFonts w:hint="eastAsia" w:ascii="宋体" w:hAnsi="宋体" w:cs="宋体"/>
          <w:color w:val="auto"/>
          <w:highlight w:val="none"/>
        </w:rPr>
      </w:pPr>
      <w:r>
        <w:rPr>
          <w:rFonts w:hint="eastAsia" w:ascii="宋体" w:hAnsi="宋体" w:cs="宋体"/>
          <w:color w:val="auto"/>
          <w:highlight w:val="none"/>
        </w:rPr>
        <w:t>质疑联系人：桂林市政府集中采购中心，联系电话：0773-5625162</w:t>
      </w:r>
    </w:p>
    <w:p w14:paraId="1BE8CC3C">
      <w:pPr>
        <w:spacing w:line="360" w:lineRule="exact"/>
        <w:ind w:firstLine="420"/>
        <w:rPr>
          <w:rFonts w:hint="eastAsia" w:ascii="宋体" w:hAnsi="宋体" w:cs="宋体"/>
          <w:color w:val="auto"/>
          <w:highlight w:val="none"/>
        </w:rPr>
      </w:pPr>
      <w:r>
        <w:rPr>
          <w:rFonts w:hint="eastAsia" w:ascii="宋体" w:hAnsi="宋体" w:cs="宋体"/>
          <w:color w:val="auto"/>
          <w:highlight w:val="none"/>
        </w:rPr>
        <w:t>通讯地址：桂林市临桂区西城中路69号创业大厦西辅楼5楼574室</w:t>
      </w:r>
    </w:p>
    <w:p w14:paraId="0474B29B">
      <w:pPr>
        <w:spacing w:line="360" w:lineRule="exact"/>
        <w:ind w:firstLine="420"/>
        <w:rPr>
          <w:rFonts w:hint="eastAsia" w:ascii="宋体" w:hAnsi="宋体" w:cs="宋体"/>
          <w:color w:val="auto"/>
          <w:highlight w:val="none"/>
        </w:rPr>
      </w:pPr>
      <w:r>
        <w:rPr>
          <w:rFonts w:hint="eastAsia" w:ascii="宋体" w:hAnsi="宋体" w:cs="宋体"/>
          <w:color w:val="auto"/>
          <w:highlight w:val="none"/>
        </w:rPr>
        <w:t>6.2收到供应商书面质疑函后，采购人应当在七个工作日内对质疑事项作出答复（答复内容不得涉及商业秘密），并委托采购代理机构以书面形式通知质疑供应商，在财政部门指定的媒体发布质疑答复公告。</w:t>
      </w:r>
    </w:p>
    <w:p w14:paraId="5028E600">
      <w:pPr>
        <w:spacing w:line="360" w:lineRule="exact"/>
        <w:ind w:firstLine="420"/>
        <w:rPr>
          <w:rFonts w:hint="eastAsia" w:ascii="宋体" w:hAnsi="宋体" w:cs="宋体"/>
          <w:color w:val="auto"/>
          <w:highlight w:val="none"/>
        </w:rPr>
      </w:pPr>
      <w:r>
        <w:rPr>
          <w:rFonts w:hint="eastAsia" w:ascii="宋体" w:hAnsi="宋体" w:cs="宋体"/>
          <w:color w:val="auto"/>
          <w:highlight w:val="none"/>
        </w:rPr>
        <w:t>6.3供应商对采购人或采购代理机构的答复不满意，或者采购人或采购代理机构未在规定的时间内作出答复的，可以在答复期满后十五个工作日内向本级财政部门投诉。</w:t>
      </w:r>
    </w:p>
    <w:p w14:paraId="270EE2AB">
      <w:pPr>
        <w:spacing w:line="360" w:lineRule="exact"/>
        <w:ind w:firstLine="420"/>
        <w:rPr>
          <w:rFonts w:hint="eastAsia" w:ascii="宋体" w:hAnsi="宋体" w:cs="宋体"/>
          <w:color w:val="auto"/>
          <w:highlight w:val="none"/>
        </w:rPr>
      </w:pPr>
      <w:r>
        <w:rPr>
          <w:rFonts w:hint="eastAsia" w:ascii="宋体" w:hAnsi="宋体" w:cs="宋体"/>
          <w:color w:val="auto"/>
          <w:highlight w:val="none"/>
        </w:rPr>
        <w:t>6.4质疑、投诉应当采用书面形式，质疑书、投诉书实行实名制，均应明确阐述</w:t>
      </w:r>
      <w:r>
        <w:rPr>
          <w:rFonts w:hint="eastAsia" w:ascii="宋体" w:hAnsi="宋体" w:cs="宋体"/>
          <w:color w:val="auto"/>
          <w:highlight w:val="none"/>
          <w:lang w:eastAsia="zh-CN"/>
        </w:rPr>
        <w:t>谈判</w:t>
      </w:r>
      <w:r>
        <w:rPr>
          <w:rFonts w:hint="eastAsia" w:ascii="宋体" w:hAnsi="宋体" w:cs="宋体"/>
          <w:color w:val="auto"/>
          <w:highlight w:val="none"/>
        </w:rPr>
        <w:t>文件、</w:t>
      </w:r>
      <w:r>
        <w:rPr>
          <w:rFonts w:hint="eastAsia" w:ascii="宋体" w:hAnsi="宋体" w:cs="宋体"/>
          <w:color w:val="auto"/>
          <w:highlight w:val="none"/>
          <w:lang w:eastAsia="zh-CN"/>
        </w:rPr>
        <w:t>采购</w:t>
      </w:r>
      <w:r>
        <w:rPr>
          <w:rFonts w:hint="eastAsia" w:ascii="宋体" w:hAnsi="宋体" w:cs="宋体"/>
          <w:color w:val="auto"/>
          <w:highlight w:val="none"/>
        </w:rPr>
        <w:t>过程或</w:t>
      </w:r>
      <w:r>
        <w:rPr>
          <w:rFonts w:hint="eastAsia" w:ascii="宋体" w:hAnsi="宋体" w:cs="宋体"/>
          <w:color w:val="auto"/>
          <w:highlight w:val="none"/>
          <w:lang w:eastAsia="zh-CN"/>
        </w:rPr>
        <w:t>成交</w:t>
      </w:r>
      <w:r>
        <w:rPr>
          <w:rFonts w:hint="eastAsia" w:ascii="宋体" w:hAnsi="宋体" w:cs="宋体"/>
          <w:color w:val="auto"/>
          <w:highlight w:val="none"/>
        </w:rPr>
        <w:t>结果中使自己合法权益受到损害的实质性内容，并提供必要的证明材料。</w:t>
      </w:r>
    </w:p>
    <w:p w14:paraId="72868E1C">
      <w:pPr>
        <w:spacing w:line="360" w:lineRule="exact"/>
        <w:ind w:firstLine="420"/>
        <w:rPr>
          <w:rFonts w:hint="eastAsia" w:ascii="宋体" w:hAnsi="宋体" w:cs="宋体"/>
          <w:color w:val="auto"/>
          <w:highlight w:val="none"/>
        </w:rPr>
      </w:pPr>
      <w:r>
        <w:rPr>
          <w:rFonts w:hint="eastAsia" w:ascii="宋体" w:hAnsi="宋体" w:cs="宋体"/>
          <w:color w:val="auto"/>
          <w:highlight w:val="none"/>
        </w:rPr>
        <w:t>6.5供应商在法定质疑期内应当一次性提出针对同一采购程序环节的质疑。</w:t>
      </w:r>
    </w:p>
    <w:p w14:paraId="0A79B776">
      <w:pPr>
        <w:spacing w:line="360" w:lineRule="exact"/>
        <w:ind w:firstLine="420"/>
        <w:rPr>
          <w:rFonts w:hint="eastAsia" w:ascii="宋体" w:hAnsi="宋体" w:cs="宋体"/>
          <w:color w:val="auto"/>
          <w:highlight w:val="none"/>
        </w:rPr>
      </w:pPr>
      <w:r>
        <w:rPr>
          <w:rFonts w:hint="eastAsia" w:ascii="宋体" w:hAnsi="宋体" w:cs="宋体"/>
          <w:color w:val="auto"/>
          <w:highlight w:val="none"/>
        </w:rPr>
        <w:t>6.6 不在法定质疑期内提出的质疑函可以拒收。不符合要求的质疑函在法定质疑期内及时补充完整，否则作质疑不成立处理。</w:t>
      </w:r>
      <w:bookmarkStart w:id="162" w:name="_Toc2262"/>
      <w:bookmarkStart w:id="163" w:name="_Toc13444"/>
      <w:bookmarkStart w:id="164" w:name="_Toc9309"/>
      <w:bookmarkStart w:id="165" w:name="_Toc24675"/>
      <w:bookmarkStart w:id="166" w:name="_Toc18778"/>
      <w:bookmarkStart w:id="167" w:name="_Toc3350"/>
      <w:bookmarkStart w:id="168" w:name="_Toc27100"/>
      <w:bookmarkStart w:id="169" w:name="_Toc31836"/>
      <w:bookmarkStart w:id="170" w:name="_Toc9814"/>
      <w:bookmarkStart w:id="171" w:name="_Toc5692"/>
      <w:bookmarkStart w:id="172" w:name="_Toc7459"/>
      <w:bookmarkStart w:id="173" w:name="_Toc17834"/>
    </w:p>
    <w:p w14:paraId="6491F71D">
      <w:pPr>
        <w:pStyle w:val="4"/>
        <w:spacing w:before="0" w:after="0" w:line="360" w:lineRule="auto"/>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7. 转包与分包</w:t>
      </w:r>
      <w:bookmarkEnd w:id="162"/>
      <w:bookmarkEnd w:id="163"/>
      <w:bookmarkEnd w:id="164"/>
      <w:bookmarkEnd w:id="165"/>
      <w:bookmarkEnd w:id="166"/>
      <w:bookmarkEnd w:id="167"/>
      <w:bookmarkEnd w:id="168"/>
      <w:bookmarkEnd w:id="169"/>
      <w:bookmarkEnd w:id="170"/>
      <w:bookmarkEnd w:id="171"/>
      <w:bookmarkEnd w:id="172"/>
      <w:bookmarkEnd w:id="173"/>
    </w:p>
    <w:p w14:paraId="3AF4C34F">
      <w:pPr>
        <w:tabs>
          <w:tab w:val="left" w:pos="2190"/>
        </w:tabs>
        <w:spacing w:line="360" w:lineRule="exact"/>
        <w:ind w:firstLine="435"/>
        <w:rPr>
          <w:rFonts w:ascii="宋体"/>
          <w:color w:val="auto"/>
          <w:szCs w:val="21"/>
          <w:highlight w:val="none"/>
        </w:rPr>
      </w:pPr>
      <w:r>
        <w:rPr>
          <w:rFonts w:ascii="宋体" w:hAnsi="宋体"/>
          <w:color w:val="auto"/>
          <w:szCs w:val="21"/>
          <w:highlight w:val="none"/>
        </w:rPr>
        <w:t xml:space="preserve">7.1 </w:t>
      </w:r>
      <w:r>
        <w:rPr>
          <w:rFonts w:hint="eastAsia" w:ascii="宋体" w:hAnsi="宋体"/>
          <w:color w:val="auto"/>
          <w:szCs w:val="21"/>
          <w:highlight w:val="none"/>
        </w:rPr>
        <w:t>本项目不允许转包。</w:t>
      </w:r>
    </w:p>
    <w:p w14:paraId="559FEBC1">
      <w:pPr>
        <w:tabs>
          <w:tab w:val="left" w:pos="2190"/>
        </w:tabs>
        <w:spacing w:line="360" w:lineRule="exact"/>
        <w:ind w:firstLine="435"/>
        <w:rPr>
          <w:rFonts w:ascii="宋体"/>
          <w:color w:val="auto"/>
          <w:szCs w:val="21"/>
          <w:highlight w:val="none"/>
        </w:rPr>
      </w:pPr>
      <w:r>
        <w:rPr>
          <w:rFonts w:ascii="宋体" w:hAnsi="宋体"/>
          <w:color w:val="auto"/>
          <w:szCs w:val="21"/>
          <w:highlight w:val="none"/>
        </w:rPr>
        <w:t xml:space="preserve">7.2 </w:t>
      </w:r>
      <w:r>
        <w:rPr>
          <w:rFonts w:hint="eastAsia" w:ascii="宋体" w:hAnsi="宋体"/>
          <w:color w:val="auto"/>
          <w:szCs w:val="21"/>
          <w:highlight w:val="none"/>
        </w:rPr>
        <w:t>本项目不可以分包。</w:t>
      </w:r>
    </w:p>
    <w:p w14:paraId="443AD7EE">
      <w:pPr>
        <w:pStyle w:val="4"/>
        <w:spacing w:before="0" w:after="0" w:line="360" w:lineRule="auto"/>
        <w:ind w:firstLine="420"/>
        <w:rPr>
          <w:rFonts w:hint="eastAsia" w:ascii="宋体" w:hAnsi="宋体" w:cs="宋体"/>
          <w:color w:val="auto"/>
          <w:sz w:val="21"/>
          <w:szCs w:val="21"/>
          <w:highlight w:val="none"/>
        </w:rPr>
      </w:pPr>
      <w:bookmarkStart w:id="174" w:name="_Toc1638"/>
      <w:bookmarkStart w:id="175" w:name="_Toc11259"/>
      <w:bookmarkStart w:id="176" w:name="_Toc17535"/>
      <w:bookmarkStart w:id="177" w:name="_Toc11519"/>
      <w:bookmarkStart w:id="178" w:name="_Toc20316"/>
      <w:bookmarkStart w:id="179" w:name="_Toc5833"/>
      <w:bookmarkStart w:id="180" w:name="_Toc13074"/>
      <w:bookmarkStart w:id="181" w:name="_Toc21741"/>
      <w:bookmarkStart w:id="182" w:name="_Toc14869"/>
      <w:bookmarkStart w:id="183" w:name="_Toc18475"/>
      <w:bookmarkStart w:id="184" w:name="_Toc17907"/>
      <w:bookmarkStart w:id="185" w:name="_Toc24568"/>
      <w:r>
        <w:rPr>
          <w:rFonts w:hint="eastAsia" w:ascii="宋体" w:hAnsi="宋体" w:cs="宋体"/>
          <w:color w:val="auto"/>
          <w:sz w:val="21"/>
          <w:szCs w:val="21"/>
          <w:highlight w:val="none"/>
        </w:rPr>
        <w:t>8. 特别说明</w:t>
      </w:r>
      <w:bookmarkEnd w:id="174"/>
      <w:bookmarkEnd w:id="175"/>
      <w:bookmarkEnd w:id="176"/>
      <w:bookmarkEnd w:id="177"/>
      <w:bookmarkEnd w:id="178"/>
      <w:bookmarkEnd w:id="179"/>
      <w:bookmarkEnd w:id="180"/>
      <w:bookmarkEnd w:id="181"/>
      <w:bookmarkEnd w:id="182"/>
      <w:bookmarkEnd w:id="183"/>
      <w:bookmarkEnd w:id="184"/>
      <w:bookmarkEnd w:id="185"/>
    </w:p>
    <w:p w14:paraId="3A72E570">
      <w:pPr>
        <w:tabs>
          <w:tab w:val="left" w:pos="1635"/>
        </w:tabs>
        <w:spacing w:line="360" w:lineRule="exact"/>
        <w:ind w:firstLine="420"/>
        <w:rPr>
          <w:rFonts w:ascii="宋体"/>
          <w:b/>
          <w:color w:val="auto"/>
          <w:szCs w:val="21"/>
          <w:highlight w:val="none"/>
        </w:rPr>
      </w:pPr>
      <w:r>
        <w:rPr>
          <w:rFonts w:hint="eastAsia" w:ascii="宋体" w:hAnsi="宋体"/>
          <w:b/>
          <w:color w:val="auto"/>
          <w:szCs w:val="21"/>
          <w:highlight w:val="none"/>
        </w:rPr>
        <w:t>8.1关联供应商不得参加同一合同项下政府采购活动，否则响应文件将被视为无效：</w:t>
      </w:r>
    </w:p>
    <w:p w14:paraId="74AF3C79">
      <w:pPr>
        <w:tabs>
          <w:tab w:val="left" w:pos="1635"/>
        </w:tabs>
        <w:spacing w:line="360" w:lineRule="exact"/>
        <w:ind w:firstLine="420"/>
        <w:rPr>
          <w:rFonts w:asci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1</w:t>
      </w:r>
      <w:r>
        <w:rPr>
          <w:rFonts w:hint="eastAsia" w:ascii="宋体" w:hAnsi="宋体"/>
          <w:color w:val="auto"/>
          <w:szCs w:val="21"/>
          <w:highlight w:val="none"/>
        </w:rPr>
        <w:t>）单位负责人为同一人或者存在直接控股、管理关系的，不得参加同一合同项下的政府采购活动。</w:t>
      </w:r>
    </w:p>
    <w:p w14:paraId="3E7E7E8D">
      <w:pPr>
        <w:tabs>
          <w:tab w:val="left" w:pos="1635"/>
        </w:tabs>
        <w:spacing w:line="360" w:lineRule="exact"/>
        <w:ind w:firstLine="435"/>
        <w:rPr>
          <w:rFonts w:ascii="宋体"/>
          <w:color w:val="auto"/>
          <w:szCs w:val="21"/>
          <w:highlight w:val="none"/>
        </w:rPr>
      </w:pPr>
      <w:r>
        <w:rPr>
          <w:rFonts w:hint="eastAsia" w:ascii="宋体" w:hAnsi="宋体"/>
          <w:color w:val="auto"/>
          <w:szCs w:val="21"/>
          <w:highlight w:val="none"/>
        </w:rPr>
        <w:t>（2）为本采购项目提供整体设计、规范编制或者项目管理、监理、检测等服务的供应商，不得再参加本次采购活动。</w:t>
      </w:r>
    </w:p>
    <w:p w14:paraId="09E647B9">
      <w:pPr>
        <w:tabs>
          <w:tab w:val="left" w:pos="1635"/>
        </w:tabs>
        <w:spacing w:line="360" w:lineRule="exact"/>
        <w:ind w:firstLine="435"/>
        <w:rPr>
          <w:rFonts w:hint="eastAsia" w:ascii="宋体" w:hAnsi="宋体"/>
          <w:b/>
          <w:bCs/>
          <w:color w:val="auto"/>
          <w:szCs w:val="21"/>
          <w:highlight w:val="none"/>
        </w:rPr>
      </w:pPr>
      <w:r>
        <w:rPr>
          <w:rFonts w:hint="eastAsia" w:ascii="宋体" w:hAnsi="宋体"/>
          <w:b/>
          <w:color w:val="auto"/>
          <w:szCs w:val="21"/>
          <w:highlight w:val="none"/>
        </w:rPr>
        <w:t>8.2</w:t>
      </w:r>
      <w:r>
        <w:rPr>
          <w:rFonts w:hint="eastAsia" w:ascii="宋体" w:hAnsi="宋体"/>
          <w:b/>
          <w:bCs/>
          <w:color w:val="auto"/>
          <w:szCs w:val="21"/>
          <w:highlight w:val="none"/>
        </w:rPr>
        <w:t>提供相同品牌产品的不同供应商参加同一合同项下谈判的，以其中通过资格审查、符合性审查且最后报价最低的参加评审，最后报价相同的，由采购人自主选择确定一个参加评审的供应商，其他报价无效。非单一产品采购项目中，多家供应商提供的核心产品品牌相同的，视为提供相同品牌产品。</w:t>
      </w:r>
    </w:p>
    <w:p w14:paraId="0070D661">
      <w:pPr>
        <w:pStyle w:val="18"/>
        <w:rPr>
          <w:rFonts w:hint="eastAsia"/>
          <w:color w:val="auto"/>
          <w:highlight w:val="none"/>
        </w:rPr>
      </w:pPr>
    </w:p>
    <w:p w14:paraId="15C11694">
      <w:pPr>
        <w:pStyle w:val="3"/>
        <w:jc w:val="center"/>
        <w:rPr>
          <w:rFonts w:hint="eastAsia"/>
          <w:b/>
          <w:bCs w:val="0"/>
          <w:color w:val="auto"/>
          <w:szCs w:val="28"/>
          <w:highlight w:val="none"/>
        </w:rPr>
      </w:pPr>
      <w:bookmarkStart w:id="186" w:name="_Toc2459"/>
      <w:bookmarkStart w:id="187" w:name="_Toc4525"/>
      <w:bookmarkStart w:id="188" w:name="_Toc8864"/>
      <w:bookmarkStart w:id="189" w:name="_Toc15583"/>
      <w:bookmarkStart w:id="190" w:name="_Toc30079"/>
      <w:bookmarkStart w:id="191" w:name="_Toc19379"/>
      <w:bookmarkStart w:id="192" w:name="_Toc19868"/>
      <w:bookmarkStart w:id="193" w:name="_Toc2829"/>
      <w:bookmarkStart w:id="194" w:name="_Toc3019"/>
      <w:bookmarkStart w:id="195" w:name="_Toc3532"/>
      <w:bookmarkStart w:id="196" w:name="_Toc18374"/>
      <w:bookmarkStart w:id="197" w:name="_Toc14768"/>
      <w:r>
        <w:rPr>
          <w:rFonts w:hint="eastAsia"/>
          <w:b/>
          <w:bCs w:val="0"/>
          <w:color w:val="auto"/>
          <w:szCs w:val="28"/>
          <w:highlight w:val="none"/>
        </w:rPr>
        <w:t>二、谈判文件</w:t>
      </w:r>
      <w:bookmarkEnd w:id="186"/>
      <w:bookmarkEnd w:id="187"/>
      <w:bookmarkEnd w:id="188"/>
      <w:bookmarkEnd w:id="189"/>
      <w:bookmarkEnd w:id="190"/>
      <w:bookmarkEnd w:id="191"/>
      <w:bookmarkEnd w:id="192"/>
      <w:bookmarkEnd w:id="193"/>
      <w:bookmarkEnd w:id="194"/>
      <w:bookmarkEnd w:id="195"/>
      <w:bookmarkEnd w:id="196"/>
      <w:bookmarkEnd w:id="197"/>
    </w:p>
    <w:p w14:paraId="6D10E4A1">
      <w:pPr>
        <w:pStyle w:val="4"/>
        <w:spacing w:before="0" w:after="0" w:line="360" w:lineRule="auto"/>
        <w:ind w:firstLine="420"/>
        <w:rPr>
          <w:rFonts w:hint="eastAsia" w:ascii="宋体" w:hAnsi="宋体" w:cs="宋体"/>
          <w:color w:val="auto"/>
          <w:sz w:val="21"/>
          <w:szCs w:val="21"/>
          <w:highlight w:val="none"/>
        </w:rPr>
      </w:pPr>
      <w:bookmarkStart w:id="198" w:name="_Toc3432"/>
      <w:bookmarkStart w:id="199" w:name="_Toc15893"/>
      <w:bookmarkStart w:id="200" w:name="_Toc32371"/>
      <w:bookmarkStart w:id="201" w:name="_Toc3546"/>
      <w:bookmarkStart w:id="202" w:name="_Toc25591"/>
      <w:bookmarkStart w:id="203" w:name="_Toc3148"/>
      <w:bookmarkStart w:id="204" w:name="_Toc18991"/>
      <w:bookmarkStart w:id="205" w:name="_Toc20220"/>
      <w:bookmarkStart w:id="206" w:name="_Toc3905"/>
      <w:bookmarkStart w:id="207" w:name="_Toc24068"/>
      <w:bookmarkStart w:id="208" w:name="_Toc7893"/>
      <w:bookmarkStart w:id="209" w:name="_Toc8743"/>
      <w:r>
        <w:rPr>
          <w:rFonts w:hint="eastAsia" w:ascii="宋体" w:hAnsi="宋体" w:cs="宋体"/>
          <w:color w:val="auto"/>
          <w:sz w:val="21"/>
          <w:szCs w:val="21"/>
          <w:highlight w:val="none"/>
        </w:rPr>
        <w:t>9. 谈判文件的构成</w:t>
      </w:r>
      <w:bookmarkEnd w:id="198"/>
      <w:bookmarkEnd w:id="199"/>
      <w:bookmarkEnd w:id="200"/>
      <w:bookmarkEnd w:id="201"/>
      <w:bookmarkEnd w:id="202"/>
      <w:bookmarkEnd w:id="203"/>
      <w:bookmarkEnd w:id="204"/>
      <w:bookmarkEnd w:id="205"/>
      <w:bookmarkEnd w:id="206"/>
      <w:bookmarkEnd w:id="207"/>
      <w:bookmarkEnd w:id="208"/>
      <w:bookmarkEnd w:id="209"/>
    </w:p>
    <w:p w14:paraId="304F2D70">
      <w:pPr>
        <w:spacing w:line="360" w:lineRule="auto"/>
        <w:ind w:firstLine="420"/>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）竞争性谈判公告；</w:t>
      </w:r>
    </w:p>
    <w:p w14:paraId="00D0848F">
      <w:pPr>
        <w:spacing w:line="360" w:lineRule="auto"/>
        <w:ind w:firstLine="420"/>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）供应商须知；</w:t>
      </w:r>
    </w:p>
    <w:p w14:paraId="4E6C28A4">
      <w:pPr>
        <w:spacing w:line="360" w:lineRule="auto"/>
        <w:ind w:firstLine="420"/>
        <w:rPr>
          <w:rFonts w:hint="eastAsia" w:ascii="宋体" w:hAnsi="宋体"/>
          <w:b/>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）采购需求</w:t>
      </w:r>
      <w:r>
        <w:rPr>
          <w:rFonts w:hint="eastAsia" w:ascii="宋体" w:hAnsi="宋体"/>
          <w:bCs/>
          <w:color w:val="auto"/>
          <w:szCs w:val="21"/>
          <w:highlight w:val="none"/>
        </w:rPr>
        <w:t>；</w:t>
      </w:r>
    </w:p>
    <w:p w14:paraId="352AA8EE">
      <w:pPr>
        <w:spacing w:line="360" w:lineRule="auto"/>
        <w:ind w:firstLine="420"/>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）评审办法；</w:t>
      </w:r>
    </w:p>
    <w:p w14:paraId="6248541A">
      <w:pPr>
        <w:spacing w:line="360" w:lineRule="auto"/>
        <w:ind w:firstLine="420"/>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）采购合同（合同主要条款及格式）；</w:t>
      </w:r>
    </w:p>
    <w:p w14:paraId="6CCEDD67">
      <w:pPr>
        <w:spacing w:line="360" w:lineRule="auto"/>
        <w:ind w:firstLine="420"/>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6</w:t>
      </w:r>
      <w:r>
        <w:rPr>
          <w:rFonts w:hint="eastAsia" w:ascii="宋体" w:hAnsi="宋体" w:cs="宋体"/>
          <w:color w:val="auto"/>
          <w:szCs w:val="21"/>
          <w:highlight w:val="none"/>
        </w:rPr>
        <w:t>）响应文件（格式）。</w:t>
      </w:r>
    </w:p>
    <w:p w14:paraId="214808EC">
      <w:pPr>
        <w:pStyle w:val="4"/>
        <w:spacing w:before="0" w:after="0" w:line="360" w:lineRule="auto"/>
        <w:ind w:firstLine="420"/>
        <w:rPr>
          <w:rFonts w:hint="eastAsia" w:ascii="宋体" w:hAnsi="宋体" w:cs="宋体"/>
          <w:color w:val="auto"/>
          <w:sz w:val="21"/>
          <w:szCs w:val="21"/>
          <w:highlight w:val="none"/>
        </w:rPr>
      </w:pPr>
      <w:bookmarkStart w:id="210" w:name="_Toc26306"/>
      <w:bookmarkStart w:id="211" w:name="_Toc289"/>
      <w:bookmarkStart w:id="212" w:name="_Toc18821"/>
      <w:bookmarkStart w:id="213" w:name="_Toc1448"/>
      <w:bookmarkStart w:id="214" w:name="_Toc29427"/>
      <w:bookmarkStart w:id="215" w:name="_Toc10179"/>
      <w:bookmarkStart w:id="216" w:name="_Toc11229"/>
      <w:bookmarkStart w:id="217" w:name="_Toc30256"/>
      <w:bookmarkStart w:id="218" w:name="_Toc6173"/>
      <w:bookmarkStart w:id="219" w:name="_Toc12804"/>
      <w:bookmarkStart w:id="220" w:name="_Toc12978"/>
      <w:bookmarkStart w:id="221" w:name="_Toc142"/>
      <w:r>
        <w:rPr>
          <w:rFonts w:hint="eastAsia" w:ascii="宋体" w:hAnsi="宋体" w:cs="宋体"/>
          <w:color w:val="auto"/>
          <w:sz w:val="21"/>
          <w:szCs w:val="21"/>
          <w:highlight w:val="none"/>
        </w:rPr>
        <w:t>10. 谈判文件的澄清与修改</w:t>
      </w:r>
      <w:bookmarkEnd w:id="210"/>
      <w:bookmarkEnd w:id="211"/>
      <w:bookmarkEnd w:id="212"/>
      <w:bookmarkEnd w:id="213"/>
      <w:bookmarkEnd w:id="214"/>
      <w:bookmarkEnd w:id="215"/>
      <w:bookmarkEnd w:id="216"/>
      <w:bookmarkEnd w:id="217"/>
      <w:bookmarkEnd w:id="218"/>
      <w:bookmarkEnd w:id="219"/>
      <w:bookmarkEnd w:id="220"/>
      <w:bookmarkEnd w:id="221"/>
    </w:p>
    <w:p w14:paraId="0467C2ED">
      <w:pPr>
        <w:spacing w:line="360" w:lineRule="auto"/>
        <w:ind w:left="420"/>
        <w:jc w:val="left"/>
        <w:rPr>
          <w:rFonts w:hint="eastAsia" w:ascii="宋体" w:hAnsi="宋体" w:cs="宋体"/>
          <w:color w:val="auto"/>
          <w:szCs w:val="21"/>
          <w:highlight w:val="none"/>
        </w:rPr>
      </w:pPr>
      <w:r>
        <w:rPr>
          <w:rFonts w:ascii="宋体" w:hAnsi="宋体" w:cs="宋体"/>
          <w:color w:val="auto"/>
          <w:szCs w:val="21"/>
          <w:highlight w:val="none"/>
        </w:rPr>
        <w:t xml:space="preserve">10.1 </w:t>
      </w:r>
      <w:r>
        <w:rPr>
          <w:rFonts w:hint="eastAsia" w:ascii="宋体" w:hAnsi="宋体" w:cs="宋体"/>
          <w:color w:val="auto"/>
          <w:szCs w:val="21"/>
          <w:highlight w:val="none"/>
        </w:rPr>
        <w:t>提交首次响应文件截止之日前，采购代理机构可以对已发出的谈判文件进行必要澄清、答复、修改或补充，澄清或者修改的内容可能影响响应文件编制的，采购人、采购代理机构应当在提交首次响应文件递交截止时间五个工作日前在本项目竞争性谈判公告发布的同一媒体上发布更正公告，不足五个工作日的，应当顺延首次响应文件递交截止时间。</w:t>
      </w:r>
    </w:p>
    <w:p w14:paraId="54DDD163">
      <w:pPr>
        <w:spacing w:line="360" w:lineRule="auto"/>
        <w:ind w:left="420"/>
        <w:jc w:val="left"/>
        <w:rPr>
          <w:rFonts w:ascii="宋体" w:cs="宋体"/>
          <w:b/>
          <w:bCs/>
          <w:color w:val="auto"/>
          <w:szCs w:val="21"/>
          <w:highlight w:val="none"/>
        </w:rPr>
      </w:pPr>
      <w:r>
        <w:rPr>
          <w:rFonts w:ascii="宋体" w:hAnsi="宋体" w:cs="宋体"/>
          <w:color w:val="auto"/>
          <w:szCs w:val="21"/>
          <w:highlight w:val="none"/>
        </w:rPr>
        <w:t>10.2</w:t>
      </w:r>
      <w:r>
        <w:rPr>
          <w:rFonts w:hint="eastAsia" w:ascii="宋体" w:hAnsi="宋体" w:cs="宋体"/>
          <w:b/>
          <w:bCs/>
          <w:color w:val="auto"/>
          <w:szCs w:val="21"/>
          <w:highlight w:val="none"/>
        </w:rPr>
        <w:t>供应商应实时关注本项目信息公告发布媒体相关网站了解澄清、修改等与项目有关的内容，如因供应商未及时登录相关网站了解澄清、修改等与项目有关的内容，从而导致响应文件无效的，由供应商自行承担责任。</w:t>
      </w:r>
    </w:p>
    <w:p w14:paraId="5C2E61D3">
      <w:pPr>
        <w:spacing w:line="360" w:lineRule="auto"/>
        <w:ind w:left="420"/>
        <w:jc w:val="left"/>
        <w:rPr>
          <w:rFonts w:hint="eastAsia" w:ascii="宋体" w:hAnsi="宋体" w:cs="宋体"/>
          <w:color w:val="auto"/>
          <w:szCs w:val="21"/>
          <w:highlight w:val="none"/>
        </w:rPr>
      </w:pPr>
      <w:r>
        <w:rPr>
          <w:rFonts w:hint="eastAsia" w:ascii="宋体" w:hAnsi="宋体" w:cs="宋体"/>
          <w:color w:val="auto"/>
          <w:szCs w:val="21"/>
          <w:highlight w:val="none"/>
        </w:rPr>
        <w:t>10.3澄清或者修改的内容为谈判文件的组成部分。当澄清或者修改通知就同一内容的表述不一致时，以最后发出的文件为准。</w:t>
      </w:r>
    </w:p>
    <w:p w14:paraId="60BD76D0">
      <w:pPr>
        <w:spacing w:line="360" w:lineRule="auto"/>
        <w:ind w:left="420"/>
        <w:jc w:val="left"/>
        <w:rPr>
          <w:rFonts w:hint="eastAsia" w:ascii="宋体" w:hAnsi="宋体" w:cs="宋体"/>
          <w:color w:val="auto"/>
          <w:szCs w:val="21"/>
          <w:highlight w:val="none"/>
        </w:rPr>
      </w:pPr>
      <w:r>
        <w:rPr>
          <w:rFonts w:hint="eastAsia" w:ascii="宋体" w:hAnsi="宋体" w:cs="宋体"/>
          <w:color w:val="auto"/>
          <w:szCs w:val="21"/>
          <w:highlight w:val="none"/>
        </w:rPr>
        <w:t>10.4 谈判文件的澄清或者修改都应该通过本项目采购代理机构以法定形式发布，采购人非通过本机构，不得擅自澄清或者修改谈判文件。</w:t>
      </w:r>
    </w:p>
    <w:p w14:paraId="7D573DD9">
      <w:pPr>
        <w:spacing w:line="360" w:lineRule="auto"/>
        <w:ind w:left="420"/>
        <w:jc w:val="left"/>
        <w:rPr>
          <w:rFonts w:hint="eastAsia"/>
          <w:color w:val="auto"/>
          <w:highlight w:val="none"/>
        </w:rPr>
      </w:pPr>
      <w:r>
        <w:rPr>
          <w:rFonts w:hint="eastAsia" w:ascii="宋体" w:hAnsi="宋体" w:cs="宋体"/>
          <w:color w:val="auto"/>
          <w:szCs w:val="21"/>
          <w:highlight w:val="none"/>
        </w:rPr>
        <w:t>10.5采购单位可以视采购具体情况，延长响应文件截止时间和谈判时间，在本项目竞争性谈判公告发布的同一媒体上发布变更公告。</w:t>
      </w:r>
    </w:p>
    <w:p w14:paraId="335FCC36">
      <w:pPr>
        <w:pStyle w:val="3"/>
        <w:jc w:val="center"/>
        <w:rPr>
          <w:rFonts w:hint="eastAsia"/>
          <w:b/>
          <w:bCs w:val="0"/>
          <w:color w:val="auto"/>
          <w:szCs w:val="28"/>
          <w:highlight w:val="none"/>
        </w:rPr>
      </w:pPr>
      <w:bookmarkStart w:id="222" w:name="_Toc3834"/>
      <w:bookmarkStart w:id="223" w:name="_Toc23004"/>
      <w:bookmarkStart w:id="224" w:name="_Toc1838"/>
      <w:bookmarkStart w:id="225" w:name="_Toc30408"/>
      <w:bookmarkStart w:id="226" w:name="_Toc4294"/>
      <w:bookmarkStart w:id="227" w:name="_Toc27466"/>
      <w:bookmarkStart w:id="228" w:name="_Toc31243"/>
      <w:bookmarkStart w:id="229" w:name="_Toc13768"/>
      <w:bookmarkStart w:id="230" w:name="_Toc28536"/>
      <w:bookmarkStart w:id="231" w:name="_Toc13602"/>
      <w:bookmarkStart w:id="232" w:name="_Toc6502"/>
      <w:bookmarkStart w:id="233" w:name="_Toc5782"/>
      <w:r>
        <w:rPr>
          <w:rFonts w:hint="eastAsia"/>
          <w:b/>
          <w:bCs w:val="0"/>
          <w:color w:val="auto"/>
          <w:szCs w:val="28"/>
          <w:highlight w:val="none"/>
        </w:rPr>
        <w:t>三、竞争性谈判响应文件的编制</w:t>
      </w:r>
      <w:bookmarkEnd w:id="222"/>
      <w:bookmarkEnd w:id="223"/>
      <w:bookmarkEnd w:id="224"/>
      <w:bookmarkEnd w:id="225"/>
      <w:bookmarkEnd w:id="226"/>
      <w:bookmarkEnd w:id="227"/>
      <w:bookmarkEnd w:id="228"/>
      <w:bookmarkEnd w:id="229"/>
      <w:bookmarkEnd w:id="230"/>
      <w:bookmarkEnd w:id="231"/>
      <w:bookmarkEnd w:id="232"/>
      <w:bookmarkEnd w:id="233"/>
    </w:p>
    <w:p w14:paraId="24593147">
      <w:pPr>
        <w:pStyle w:val="4"/>
        <w:spacing w:before="0" w:after="0" w:line="360" w:lineRule="auto"/>
        <w:ind w:firstLine="420"/>
        <w:rPr>
          <w:rFonts w:hint="eastAsia" w:ascii="宋体" w:hAnsi="宋体" w:cs="宋体"/>
          <w:color w:val="auto"/>
          <w:sz w:val="21"/>
          <w:szCs w:val="21"/>
          <w:highlight w:val="none"/>
        </w:rPr>
      </w:pPr>
      <w:bookmarkStart w:id="234" w:name="_Toc1151"/>
      <w:bookmarkStart w:id="235" w:name="_Toc3672"/>
      <w:bookmarkStart w:id="236" w:name="_Toc1961"/>
      <w:bookmarkStart w:id="237" w:name="_Toc5167"/>
      <w:bookmarkStart w:id="238" w:name="_Toc3373"/>
      <w:bookmarkStart w:id="239" w:name="_Toc3548"/>
      <w:bookmarkStart w:id="240" w:name="_Toc6724"/>
      <w:bookmarkStart w:id="241" w:name="_Toc13590"/>
      <w:bookmarkStart w:id="242" w:name="_Toc11209"/>
      <w:bookmarkStart w:id="243" w:name="_Toc1879"/>
      <w:bookmarkStart w:id="244" w:name="_Toc28492"/>
      <w:bookmarkStart w:id="245" w:name="_Toc7258"/>
      <w:r>
        <w:rPr>
          <w:rFonts w:hint="eastAsia" w:ascii="宋体" w:hAnsi="宋体" w:cs="宋体"/>
          <w:color w:val="auto"/>
          <w:sz w:val="21"/>
          <w:szCs w:val="21"/>
          <w:highlight w:val="none"/>
        </w:rPr>
        <w:t>11.竞争性谈判响应文件（以下简称响应文件）的组成及要求</w:t>
      </w:r>
      <w:bookmarkEnd w:id="234"/>
      <w:bookmarkEnd w:id="235"/>
      <w:bookmarkEnd w:id="236"/>
      <w:bookmarkEnd w:id="237"/>
      <w:bookmarkEnd w:id="238"/>
      <w:bookmarkEnd w:id="239"/>
      <w:bookmarkEnd w:id="240"/>
      <w:bookmarkEnd w:id="241"/>
      <w:bookmarkEnd w:id="242"/>
      <w:bookmarkEnd w:id="243"/>
      <w:bookmarkEnd w:id="244"/>
      <w:bookmarkEnd w:id="245"/>
    </w:p>
    <w:p w14:paraId="6931458E">
      <w:pPr>
        <w:spacing w:line="360" w:lineRule="auto"/>
        <w:ind w:firstLine="420"/>
        <w:rPr>
          <w:rFonts w:ascii="宋体" w:hAnsi="宋体" w:cs="宋体"/>
          <w:b/>
          <w:bCs/>
          <w:color w:val="auto"/>
          <w:szCs w:val="21"/>
          <w:highlight w:val="none"/>
        </w:rPr>
      </w:pPr>
      <w:r>
        <w:rPr>
          <w:rFonts w:hint="eastAsia" w:ascii="宋体" w:hAnsi="宋体" w:cs="宋体"/>
          <w:b/>
          <w:bCs/>
          <w:color w:val="auto"/>
          <w:szCs w:val="21"/>
          <w:highlight w:val="none"/>
        </w:rPr>
        <w:t>11</w:t>
      </w:r>
      <w:r>
        <w:rPr>
          <w:rFonts w:ascii="宋体" w:hAnsi="宋体" w:cs="宋体"/>
          <w:b/>
          <w:bCs/>
          <w:color w:val="auto"/>
          <w:szCs w:val="21"/>
          <w:highlight w:val="none"/>
        </w:rPr>
        <w:t>.1 本项目实行电子投标</w:t>
      </w:r>
      <w:r>
        <w:rPr>
          <w:rFonts w:hint="eastAsia" w:ascii="宋体" w:hAnsi="宋体" w:cs="宋体"/>
          <w:b/>
          <w:bCs/>
          <w:color w:val="auto"/>
          <w:szCs w:val="21"/>
          <w:highlight w:val="none"/>
        </w:rPr>
        <w:t>响应</w:t>
      </w:r>
      <w:r>
        <w:rPr>
          <w:rFonts w:ascii="宋体" w:hAnsi="宋体" w:cs="宋体"/>
          <w:b/>
          <w:bCs/>
          <w:color w:val="auto"/>
          <w:szCs w:val="21"/>
          <w:highlight w:val="none"/>
        </w:rPr>
        <w:t>，供应商应准备电子响应文件</w:t>
      </w:r>
      <w:r>
        <w:rPr>
          <w:rFonts w:hint="eastAsia" w:ascii="宋体" w:hAnsi="宋体" w:cs="宋体"/>
          <w:b/>
          <w:bCs/>
          <w:color w:val="auto"/>
          <w:szCs w:val="21"/>
          <w:highlight w:val="none"/>
        </w:rPr>
        <w:t>：</w:t>
      </w:r>
    </w:p>
    <w:p w14:paraId="5CA965C8">
      <w:pPr>
        <w:spacing w:line="360" w:lineRule="auto"/>
        <w:ind w:firstLine="420"/>
        <w:rPr>
          <w:rFonts w:hint="eastAsia"/>
          <w:color w:val="auto"/>
          <w:highlight w:val="none"/>
        </w:rPr>
      </w:pPr>
      <w:r>
        <w:rPr>
          <w:rFonts w:hint="eastAsia" w:ascii="宋体" w:hAnsi="宋体" w:cs="宋体"/>
          <w:b/>
          <w:bCs/>
          <w:color w:val="auto"/>
          <w:szCs w:val="21"/>
          <w:highlight w:val="none"/>
        </w:rPr>
        <w:t>11</w:t>
      </w:r>
      <w:r>
        <w:rPr>
          <w:rFonts w:ascii="宋体" w:hAnsi="宋体" w:cs="宋体"/>
          <w:b/>
          <w:bCs/>
          <w:color w:val="auto"/>
          <w:szCs w:val="21"/>
          <w:highlight w:val="none"/>
        </w:rPr>
        <w:t>.1.1 电子响应文件按</w:t>
      </w:r>
      <w:r>
        <w:rPr>
          <w:rFonts w:hint="eastAsia" w:ascii="宋体" w:hAnsi="宋体" w:cs="宋体"/>
          <w:b/>
          <w:bCs/>
          <w:color w:val="auto"/>
          <w:szCs w:val="21"/>
          <w:highlight w:val="none"/>
        </w:rPr>
        <w:t>广西政府采购云平台</w:t>
      </w:r>
      <w:r>
        <w:rPr>
          <w:rFonts w:ascii="宋体" w:hAnsi="宋体" w:cs="宋体"/>
          <w:b/>
          <w:bCs/>
          <w:color w:val="auto"/>
          <w:szCs w:val="21"/>
          <w:highlight w:val="none"/>
        </w:rPr>
        <w:t>要求及本</w:t>
      </w:r>
      <w:r>
        <w:rPr>
          <w:rFonts w:hint="eastAsia" w:ascii="宋体" w:hAnsi="宋体" w:cs="宋体"/>
          <w:b/>
          <w:bCs/>
          <w:color w:val="auto"/>
          <w:szCs w:val="21"/>
          <w:highlight w:val="none"/>
        </w:rPr>
        <w:t>谈判</w:t>
      </w:r>
      <w:r>
        <w:rPr>
          <w:rFonts w:ascii="宋体" w:hAnsi="宋体" w:cs="宋体"/>
          <w:b/>
          <w:bCs/>
          <w:color w:val="auto"/>
          <w:szCs w:val="21"/>
          <w:highlight w:val="none"/>
        </w:rPr>
        <w:t>文件要求制作、加密并递交。具体操作流程可参考《政府采购项目电子交易管理操作指南-供应商》</w:t>
      </w:r>
      <w:r>
        <w:rPr>
          <w:rFonts w:hint="eastAsia" w:ascii="宋体" w:hAnsi="宋体" w:cs="宋体"/>
          <w:b/>
          <w:bCs/>
          <w:color w:val="auto"/>
          <w:szCs w:val="21"/>
          <w:highlight w:val="none"/>
        </w:rPr>
        <w:t>，</w:t>
      </w:r>
      <w:r>
        <w:rPr>
          <w:rFonts w:ascii="宋体" w:hAnsi="宋体" w:cs="宋体"/>
          <w:b/>
          <w:bCs/>
          <w:color w:val="auto"/>
          <w:szCs w:val="21"/>
          <w:highlight w:val="none"/>
        </w:rPr>
        <w:t>指南可在 “</w:t>
      </w:r>
      <w:r>
        <w:rPr>
          <w:rFonts w:hint="eastAsia" w:ascii="宋体" w:hAnsi="宋体" w:cs="宋体"/>
          <w:b/>
          <w:bCs/>
          <w:color w:val="auto"/>
          <w:szCs w:val="21"/>
          <w:highlight w:val="none"/>
        </w:rPr>
        <w:t>广西政府采购云平台</w:t>
      </w:r>
      <w:r>
        <w:rPr>
          <w:rFonts w:ascii="宋体" w:hAnsi="宋体" w:cs="宋体"/>
          <w:b/>
          <w:bCs/>
          <w:color w:val="auto"/>
          <w:szCs w:val="21"/>
          <w:highlight w:val="none"/>
        </w:rPr>
        <w:t xml:space="preserve">”下载。 </w:t>
      </w:r>
    </w:p>
    <w:p w14:paraId="73003B0D">
      <w:pPr>
        <w:spacing w:line="360" w:lineRule="auto"/>
        <w:ind w:firstLine="420"/>
        <w:rPr>
          <w:rFonts w:ascii="宋体" w:cs="宋体"/>
          <w:b/>
          <w:bCs/>
          <w:color w:val="auto"/>
          <w:szCs w:val="21"/>
          <w:highlight w:val="none"/>
        </w:rPr>
      </w:pPr>
      <w:r>
        <w:rPr>
          <w:rFonts w:ascii="宋体" w:hAnsi="宋体" w:cs="宋体"/>
          <w:b/>
          <w:bCs/>
          <w:color w:val="auto"/>
          <w:szCs w:val="21"/>
          <w:highlight w:val="none"/>
        </w:rPr>
        <w:t>1</w:t>
      </w:r>
      <w:r>
        <w:rPr>
          <w:rFonts w:hint="eastAsia" w:ascii="宋体" w:hAnsi="宋体" w:cs="宋体"/>
          <w:b/>
          <w:bCs/>
          <w:color w:val="auto"/>
          <w:szCs w:val="21"/>
          <w:highlight w:val="none"/>
        </w:rPr>
        <w:t>1</w:t>
      </w:r>
      <w:r>
        <w:rPr>
          <w:rFonts w:ascii="宋体" w:hAnsi="宋体" w:cs="宋体"/>
          <w:b/>
          <w:bCs/>
          <w:color w:val="auto"/>
          <w:szCs w:val="21"/>
          <w:highlight w:val="none"/>
        </w:rPr>
        <w:t>.</w:t>
      </w:r>
      <w:r>
        <w:rPr>
          <w:rFonts w:hint="eastAsia" w:ascii="宋体" w:hAnsi="宋体" w:cs="宋体"/>
          <w:b/>
          <w:bCs/>
          <w:color w:val="auto"/>
          <w:szCs w:val="21"/>
          <w:highlight w:val="none"/>
        </w:rPr>
        <w:t>2响应文件组成【格式见第六章“响应文件（格式）”】</w:t>
      </w:r>
    </w:p>
    <w:p w14:paraId="1387532B">
      <w:pPr>
        <w:spacing w:line="360" w:lineRule="auto"/>
        <w:ind w:firstLine="420"/>
        <w:rPr>
          <w:color w:val="auto"/>
          <w:highlight w:val="none"/>
        </w:rPr>
      </w:pPr>
      <w:r>
        <w:rPr>
          <w:rFonts w:ascii="宋体" w:hAnsi="宋体" w:cs="宋体"/>
          <w:b/>
          <w:bCs/>
          <w:color w:val="auto"/>
          <w:szCs w:val="21"/>
          <w:highlight w:val="none"/>
        </w:rPr>
        <w:t>11.</w:t>
      </w:r>
      <w:r>
        <w:rPr>
          <w:rFonts w:hint="eastAsia" w:ascii="宋体" w:hAnsi="宋体" w:cs="宋体"/>
          <w:b/>
          <w:bCs/>
          <w:color w:val="auto"/>
          <w:szCs w:val="21"/>
          <w:highlight w:val="none"/>
        </w:rPr>
        <w:t>2.1资格性响应证明材料：</w:t>
      </w:r>
    </w:p>
    <w:p w14:paraId="5015FB8D">
      <w:pPr>
        <w:spacing w:line="360" w:lineRule="auto"/>
        <w:ind w:firstLine="420"/>
        <w:rPr>
          <w:rFonts w:ascii="宋体" w:cs="宋体"/>
          <w:color w:val="auto"/>
          <w:szCs w:val="21"/>
          <w:highlight w:val="none"/>
        </w:rPr>
      </w:pPr>
      <w:r>
        <w:rPr>
          <w:rFonts w:hint="eastAsia" w:ascii="宋体" w:hAnsi="宋体" w:cs="宋体"/>
          <w:color w:val="auto"/>
          <w:szCs w:val="21"/>
          <w:highlight w:val="none"/>
        </w:rPr>
        <w:t>（1）供应商相应的法定代表人、负责人、自然人身份证正反两面扫描件</w:t>
      </w:r>
      <w:r>
        <w:rPr>
          <w:rFonts w:hint="eastAsia" w:ascii="宋体" w:hAnsi="宋体" w:cs="宋体"/>
          <w:b/>
          <w:bCs/>
          <w:color w:val="auto"/>
          <w:szCs w:val="21"/>
          <w:highlight w:val="none"/>
        </w:rPr>
        <w:t>（必须提供）；</w:t>
      </w:r>
    </w:p>
    <w:p w14:paraId="58A8AB8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供应商的授权委托书原件、委托代理人身份证正反面扫描件以及由县级以上（含县级）社会养老保险经办机构出具的供应商为委托代理人缴纳的响应文件递交截止时间前三个月内任意一个月养老保险证明扫描件，除供应商为以下四种情形的：</w:t>
      </w:r>
    </w:p>
    <w:p w14:paraId="7CD76A05">
      <w:pPr>
        <w:spacing w:line="360" w:lineRule="auto"/>
        <w:ind w:firstLine="630"/>
        <w:rPr>
          <w:rFonts w:hint="eastAsia" w:ascii="宋体" w:hAnsi="宋体" w:cs="宋体"/>
          <w:color w:val="auto"/>
          <w:szCs w:val="21"/>
          <w:highlight w:val="none"/>
        </w:rPr>
      </w:pPr>
      <w:r>
        <w:rPr>
          <w:rFonts w:hint="eastAsia" w:ascii="宋体" w:hAnsi="宋体" w:cs="宋体"/>
          <w:color w:val="auto"/>
          <w:szCs w:val="21"/>
          <w:highlight w:val="none"/>
        </w:rPr>
        <w:t>①如供应商为截标时间前60日以内成立的公司，可以提供供应商与委托代理人签订的劳动合同扫描件代替养老保险证明扫描件；</w:t>
      </w:r>
    </w:p>
    <w:p w14:paraId="5C793EF7">
      <w:pPr>
        <w:spacing w:line="360" w:lineRule="auto"/>
        <w:ind w:firstLine="630"/>
        <w:rPr>
          <w:rFonts w:hint="eastAsia" w:ascii="宋体" w:hAnsi="宋体" w:cs="宋体"/>
          <w:color w:val="auto"/>
          <w:szCs w:val="21"/>
          <w:highlight w:val="none"/>
        </w:rPr>
      </w:pPr>
      <w:r>
        <w:rPr>
          <w:rFonts w:hint="eastAsia" w:ascii="宋体" w:hAnsi="宋体" w:cs="宋体"/>
          <w:color w:val="auto"/>
          <w:szCs w:val="21"/>
          <w:highlight w:val="none"/>
        </w:rPr>
        <w:t>②如供应商为事业单位，可以提供事业单位机构编制管理证扫描件或事业单位机构为其发放工资的工资条扫描件代替养老保险证明扫描件；</w:t>
      </w:r>
    </w:p>
    <w:p w14:paraId="5A1F9096">
      <w:pPr>
        <w:spacing w:line="360" w:lineRule="auto"/>
        <w:ind w:firstLine="630"/>
        <w:rPr>
          <w:rFonts w:hint="eastAsia" w:ascii="宋体" w:hAnsi="宋体" w:cs="宋体"/>
          <w:color w:val="auto"/>
          <w:szCs w:val="21"/>
          <w:highlight w:val="none"/>
        </w:rPr>
      </w:pPr>
      <w:r>
        <w:rPr>
          <w:rFonts w:hint="eastAsia" w:ascii="宋体" w:hAnsi="宋体" w:cs="宋体"/>
          <w:color w:val="auto"/>
          <w:szCs w:val="21"/>
          <w:highlight w:val="none"/>
        </w:rPr>
        <w:t>③如委托代理人为免缴纳养老保险人员，提供免缴纳养老保险的证明材料扫描件及供应商与委托代理人签订的劳动合同扫描件代替养老保险证明扫描件；</w:t>
      </w:r>
    </w:p>
    <w:p w14:paraId="0CE06A8B">
      <w:pPr>
        <w:pStyle w:val="18"/>
        <w:spacing w:line="360" w:lineRule="auto"/>
        <w:ind w:firstLine="630"/>
        <w:rPr>
          <w:rFonts w:hint="eastAsia" w:ascii="宋体" w:hAnsi="宋体" w:cs="宋体"/>
          <w:color w:val="auto"/>
          <w:szCs w:val="21"/>
          <w:highlight w:val="none"/>
        </w:rPr>
      </w:pPr>
      <w:r>
        <w:rPr>
          <w:rFonts w:hint="eastAsia" w:ascii="宋体" w:hAnsi="宋体" w:cs="宋体"/>
          <w:color w:val="auto"/>
          <w:szCs w:val="21"/>
          <w:highlight w:val="none"/>
        </w:rPr>
        <w:t>④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p>
    <w:p w14:paraId="6A48BDC7">
      <w:pPr>
        <w:spacing w:line="360" w:lineRule="auto"/>
        <w:ind w:firstLine="420"/>
        <w:rPr>
          <w:rFonts w:hint="eastAsia" w:ascii="宋体" w:hAnsi="宋体" w:cs="宋体"/>
          <w:b/>
          <w:bCs/>
          <w:color w:val="auto"/>
          <w:szCs w:val="21"/>
          <w:highlight w:val="none"/>
        </w:rPr>
      </w:pPr>
      <w:r>
        <w:rPr>
          <w:rFonts w:hint="eastAsia" w:ascii="宋体" w:hAnsi="宋体" w:cs="宋体"/>
          <w:b/>
          <w:bCs/>
          <w:color w:val="auto"/>
          <w:szCs w:val="21"/>
          <w:highlight w:val="none"/>
        </w:rPr>
        <w:t>【属自然人的应提供由县级以上（含县级）社会养老保险经办机构出具的自然人本人及委托代理人所缴纳的响应文件递交截止时间前三个月内任意一个月养老保险证明扫描件，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r>
        <w:rPr>
          <w:rFonts w:hint="eastAsia" w:ascii="宋体" w:hAnsi="宋体" w:cs="宋体"/>
          <w:color w:val="auto"/>
          <w:szCs w:val="21"/>
          <w:highlight w:val="none"/>
        </w:rPr>
        <w:t>】</w:t>
      </w:r>
      <w:r>
        <w:rPr>
          <w:rFonts w:hint="eastAsia" w:ascii="宋体" w:hAnsi="宋体" w:cs="宋体"/>
          <w:b/>
          <w:bCs/>
          <w:color w:val="auto"/>
          <w:szCs w:val="21"/>
          <w:highlight w:val="none"/>
        </w:rPr>
        <w:t>（委托代理时必须提供；如为联合体的，授权委托书原件须由牵头人出具）</w:t>
      </w:r>
    </w:p>
    <w:p w14:paraId="525C75B2">
      <w:pPr>
        <w:spacing w:line="360" w:lineRule="auto"/>
        <w:ind w:firstLine="420"/>
        <w:rPr>
          <w:rFonts w:ascii="宋体" w:cs="宋体"/>
          <w:b/>
          <w:bCs/>
          <w:color w:val="auto"/>
          <w:szCs w:val="21"/>
          <w:highlight w:val="none"/>
        </w:rPr>
      </w:pPr>
      <w:r>
        <w:rPr>
          <w:rFonts w:hint="eastAsia" w:ascii="宋体" w:hAnsi="宋体" w:cs="宋体"/>
          <w:color w:val="auto"/>
          <w:szCs w:val="21"/>
          <w:highlight w:val="none"/>
        </w:rPr>
        <w:t>（3）供应商参加政府采购活动前</w:t>
      </w:r>
      <w:r>
        <w:rPr>
          <w:rFonts w:ascii="宋体" w:hAnsi="宋体" w:cs="宋体"/>
          <w:color w:val="auto"/>
          <w:szCs w:val="21"/>
          <w:highlight w:val="none"/>
        </w:rPr>
        <w:t>3</w:t>
      </w:r>
      <w:r>
        <w:rPr>
          <w:rFonts w:hint="eastAsia" w:ascii="宋体" w:hAnsi="宋体" w:cs="宋体"/>
          <w:color w:val="auto"/>
          <w:szCs w:val="21"/>
          <w:highlight w:val="none"/>
        </w:rPr>
        <w:t>年内在经营活动中没有重大违法记录及有关信用信息的书面声明</w:t>
      </w:r>
      <w:r>
        <w:rPr>
          <w:rFonts w:hint="eastAsia" w:ascii="宋体" w:hAnsi="宋体" w:cs="宋体"/>
          <w:b/>
          <w:bCs/>
          <w:color w:val="auto"/>
          <w:szCs w:val="21"/>
          <w:highlight w:val="none"/>
        </w:rPr>
        <w:t>（必须提供）；</w:t>
      </w:r>
    </w:p>
    <w:p w14:paraId="6E453E9D">
      <w:pPr>
        <w:spacing w:line="360" w:lineRule="auto"/>
        <w:ind w:firstLine="420"/>
        <w:rPr>
          <w:rFonts w:ascii="宋体" w:cs="宋体"/>
          <w:color w:val="auto"/>
          <w:szCs w:val="21"/>
          <w:highlight w:val="none"/>
        </w:rPr>
      </w:pPr>
      <w:r>
        <w:rPr>
          <w:rFonts w:hint="eastAsia" w:ascii="宋体" w:hAnsi="宋体" w:cs="宋体"/>
          <w:color w:val="auto"/>
          <w:szCs w:val="21"/>
          <w:highlight w:val="none"/>
        </w:rPr>
        <w:t>（4）供应商的法人或者其他组织营业执照等证明文件扫描件</w:t>
      </w:r>
      <w:r>
        <w:rPr>
          <w:rFonts w:hint="eastAsia" w:ascii="宋体" w:hAnsi="宋体" w:cs="宋体"/>
          <w:b/>
          <w:bCs/>
          <w:color w:val="auto"/>
          <w:szCs w:val="21"/>
          <w:highlight w:val="none"/>
        </w:rPr>
        <w:t>（必须提供，自然人除外）；</w:t>
      </w:r>
    </w:p>
    <w:p w14:paraId="63BCE569">
      <w:pPr>
        <w:tabs>
          <w:tab w:val="left" w:pos="1305"/>
        </w:tabs>
        <w:spacing w:line="360" w:lineRule="auto"/>
        <w:ind w:firstLine="420"/>
        <w:rPr>
          <w:rFonts w:ascii="宋体" w:hAnsi="宋体" w:cs="宋体"/>
          <w:color w:val="auto"/>
          <w:szCs w:val="21"/>
          <w:highlight w:val="none"/>
          <w:u w:val="single"/>
        </w:rPr>
      </w:pPr>
      <w:r>
        <w:rPr>
          <w:rFonts w:hint="eastAsia" w:ascii="宋体" w:hAnsi="宋体" w:cs="宋体"/>
          <w:b/>
          <w:color w:val="auto"/>
          <w:szCs w:val="21"/>
          <w:highlight w:val="none"/>
          <w:u w:val="single"/>
        </w:rPr>
        <w:t>注：供应商为企业（包括合伙企业），应提供</w:t>
      </w:r>
      <w:r>
        <w:rPr>
          <w:rFonts w:hint="eastAsia" w:ascii="宋体" w:hAnsi="宋体" w:cs="宋体"/>
          <w:b/>
          <w:color w:val="auto"/>
          <w:szCs w:val="21"/>
          <w:highlight w:val="none"/>
          <w:u w:val="single"/>
          <w:lang w:eastAsia="zh-CN"/>
        </w:rPr>
        <w:t>市场监管部门（登记机关）</w:t>
      </w:r>
      <w:r>
        <w:rPr>
          <w:rFonts w:hint="eastAsia" w:ascii="宋体" w:hAnsi="宋体" w:cs="宋体"/>
          <w:b/>
          <w:color w:val="auto"/>
          <w:szCs w:val="21"/>
          <w:highlight w:val="none"/>
          <w:u w:val="single"/>
        </w:rPr>
        <w:t>注册的有效“企业法人营业执照”或“营业执照；供应商为事业单位，应提供有效的“事业单位法人证书”；供应商为非企业专业服务机构的，应提供执业许可证等证明文件；供应商为个体工商户，应提供有效的“个体工商户营业执照”。（所需材料均为</w:t>
      </w:r>
      <w:r>
        <w:rPr>
          <w:rFonts w:hint="eastAsia" w:ascii="宋体" w:hAnsi="宋体" w:cs="宋体"/>
          <w:b/>
          <w:color w:val="auto"/>
          <w:szCs w:val="21"/>
          <w:highlight w:val="none"/>
          <w:u w:val="single"/>
          <w:lang w:eastAsia="zh-CN"/>
        </w:rPr>
        <w:t>扫描件</w:t>
      </w:r>
      <w:r>
        <w:rPr>
          <w:rFonts w:hint="eastAsia" w:ascii="宋体" w:hAnsi="宋体" w:cs="宋体"/>
          <w:b/>
          <w:color w:val="auto"/>
          <w:szCs w:val="21"/>
          <w:highlight w:val="none"/>
          <w:u w:val="single"/>
        </w:rPr>
        <w:t>）</w:t>
      </w:r>
    </w:p>
    <w:p w14:paraId="3D45341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（5）财务状况报告</w:t>
      </w:r>
      <w:r>
        <w:rPr>
          <w:rFonts w:hint="eastAsia" w:ascii="宋体" w:hAnsi="宋体" w:cs="宋体"/>
          <w:b/>
          <w:bCs/>
          <w:color w:val="auto"/>
          <w:szCs w:val="21"/>
          <w:highlight w:val="none"/>
        </w:rPr>
        <w:t>（格式自拟，必须提供）</w:t>
      </w:r>
      <w:r>
        <w:rPr>
          <w:rFonts w:hint="eastAsia" w:ascii="宋体" w:hAnsi="宋体" w:cs="宋体"/>
          <w:color w:val="auto"/>
          <w:szCs w:val="21"/>
          <w:highlight w:val="none"/>
        </w:rPr>
        <w:t>；</w:t>
      </w:r>
    </w:p>
    <w:p w14:paraId="5AFC9358">
      <w:pPr>
        <w:spacing w:line="360" w:lineRule="auto"/>
        <w:ind w:firstLine="420"/>
        <w:rPr>
          <w:rFonts w:hint="eastAsia"/>
          <w:color w:val="auto"/>
          <w:highlight w:val="none"/>
        </w:rPr>
      </w:pPr>
      <w:r>
        <w:rPr>
          <w:rFonts w:hint="eastAsia" w:ascii="宋体" w:hAnsi="宋体" w:cs="宋体"/>
          <w:color w:val="auto"/>
          <w:szCs w:val="21"/>
          <w:highlight w:val="none"/>
        </w:rPr>
        <w:t>（6）供应商截止开标时间前近半年内任意一个月或任一季度依法缴纳税收的证明材料【增值税发票(税收完税证明)或企业所得税完税证明或税务部门出具的免税证明或税务部门出具的无欠税证明】扫描件</w:t>
      </w:r>
      <w:r>
        <w:rPr>
          <w:rFonts w:hint="eastAsia" w:ascii="宋体" w:hAnsi="宋体" w:cs="宋体"/>
          <w:b/>
          <w:bCs/>
          <w:color w:val="auto"/>
          <w:szCs w:val="21"/>
          <w:highlight w:val="none"/>
        </w:rPr>
        <w:t>（必须提供）。</w:t>
      </w:r>
    </w:p>
    <w:p w14:paraId="65DC3858">
      <w:pPr>
        <w:pStyle w:val="41"/>
        <w:spacing w:after="0" w:line="360" w:lineRule="auto"/>
        <w:ind w:left="0" w:firstLine="422"/>
        <w:rPr>
          <w:rFonts w:hint="eastAsia" w:ascii="宋体" w:hAnsi="宋体" w:cs="宋体"/>
          <w:color w:val="auto"/>
          <w:highlight w:val="none"/>
        </w:rPr>
      </w:pPr>
      <w:r>
        <w:rPr>
          <w:rFonts w:hint="eastAsia" w:ascii="宋体" w:hAnsi="宋体" w:cs="宋体"/>
          <w:b/>
          <w:bCs/>
          <w:color w:val="auto"/>
          <w:szCs w:val="21"/>
          <w:highlight w:val="none"/>
        </w:rPr>
        <w:t>11.2.2符合性响应证明材料：</w:t>
      </w:r>
    </w:p>
    <w:p w14:paraId="25A24BD6">
      <w:pPr>
        <w:pStyle w:val="41"/>
        <w:spacing w:after="0" w:line="400" w:lineRule="exact"/>
        <w:ind w:left="0"/>
        <w:rPr>
          <w:rFonts w:hint="eastAsia" w:ascii="宋体" w:hAnsi="宋体" w:cs="宋体"/>
          <w:color w:val="auto"/>
          <w:szCs w:val="21"/>
          <w:highlight w:val="none"/>
        </w:rPr>
      </w:pPr>
      <w:r>
        <w:rPr>
          <w:rFonts w:hint="eastAsia" w:ascii="宋体" w:hAnsi="宋体" w:cs="宋体"/>
          <w:color w:val="auto"/>
          <w:szCs w:val="21"/>
          <w:highlight w:val="none"/>
        </w:rPr>
        <w:t>（1）响应函（格式见附件）</w:t>
      </w:r>
      <w:r>
        <w:rPr>
          <w:rFonts w:hint="eastAsia" w:ascii="宋体" w:hAnsi="宋体" w:cs="宋体"/>
          <w:b/>
          <w:bCs/>
          <w:color w:val="auto"/>
          <w:szCs w:val="21"/>
          <w:highlight w:val="none"/>
        </w:rPr>
        <w:t>（必须提供）</w:t>
      </w:r>
      <w:r>
        <w:rPr>
          <w:rFonts w:hint="eastAsia" w:ascii="宋体" w:hAnsi="宋体" w:cs="宋体"/>
          <w:color w:val="auto"/>
          <w:szCs w:val="21"/>
          <w:highlight w:val="none"/>
        </w:rPr>
        <w:t>；</w:t>
      </w:r>
    </w:p>
    <w:p w14:paraId="1FDA3B49">
      <w:pPr>
        <w:pStyle w:val="41"/>
        <w:spacing w:after="0" w:line="400" w:lineRule="exact"/>
        <w:ind w:left="0"/>
        <w:rPr>
          <w:rFonts w:hint="eastAsia" w:ascii="宋体" w:hAnsi="宋体" w:cs="宋体"/>
          <w:color w:val="auto"/>
          <w:szCs w:val="21"/>
          <w:highlight w:val="none"/>
        </w:rPr>
      </w:pPr>
      <w:r>
        <w:rPr>
          <w:rFonts w:hint="eastAsia" w:ascii="宋体" w:hAnsi="宋体" w:cs="宋体"/>
          <w:color w:val="auto"/>
          <w:szCs w:val="21"/>
          <w:highlight w:val="none"/>
        </w:rPr>
        <w:t>（2）谈判报价表（格式见附件）</w:t>
      </w:r>
      <w:r>
        <w:rPr>
          <w:rFonts w:hint="eastAsia" w:ascii="宋体" w:hAnsi="宋体" w:cs="宋体"/>
          <w:b/>
          <w:bCs/>
          <w:color w:val="auto"/>
          <w:szCs w:val="21"/>
          <w:highlight w:val="none"/>
        </w:rPr>
        <w:t>（必须提供）</w:t>
      </w:r>
      <w:r>
        <w:rPr>
          <w:rFonts w:hint="eastAsia" w:ascii="宋体" w:hAnsi="宋体" w:cs="宋体"/>
          <w:color w:val="auto"/>
          <w:szCs w:val="21"/>
          <w:highlight w:val="none"/>
        </w:rPr>
        <w:t>；</w:t>
      </w:r>
    </w:p>
    <w:p w14:paraId="60027713">
      <w:pPr>
        <w:pStyle w:val="41"/>
        <w:spacing w:after="0" w:line="400" w:lineRule="exact"/>
        <w:ind w:left="0"/>
        <w:rPr>
          <w:rFonts w:hint="eastAsia" w:ascii="宋体" w:hAnsi="宋体" w:cs="宋体"/>
          <w:color w:val="auto"/>
          <w:szCs w:val="21"/>
          <w:highlight w:val="none"/>
        </w:rPr>
      </w:pPr>
      <w:r>
        <w:rPr>
          <w:rFonts w:hint="eastAsia" w:ascii="宋体" w:hAnsi="宋体" w:cs="宋体"/>
          <w:color w:val="auto"/>
          <w:szCs w:val="21"/>
          <w:highlight w:val="none"/>
        </w:rPr>
        <w:t>（3）技术规格偏离表</w:t>
      </w:r>
      <w:r>
        <w:rPr>
          <w:rFonts w:hint="eastAsia" w:ascii="宋体" w:hAnsi="宋体" w:cs="宋体"/>
          <w:b/>
          <w:bCs/>
          <w:color w:val="auto"/>
          <w:szCs w:val="21"/>
          <w:highlight w:val="none"/>
        </w:rPr>
        <w:t>（必须提供）</w:t>
      </w:r>
      <w:r>
        <w:rPr>
          <w:rFonts w:hint="eastAsia" w:ascii="宋体" w:hAnsi="宋体" w:cs="宋体"/>
          <w:color w:val="auto"/>
          <w:szCs w:val="21"/>
          <w:highlight w:val="none"/>
        </w:rPr>
        <w:t>；</w:t>
      </w:r>
    </w:p>
    <w:p w14:paraId="6C5935C4">
      <w:pPr>
        <w:pStyle w:val="41"/>
        <w:spacing w:after="0" w:line="400" w:lineRule="exact"/>
        <w:ind w:left="0"/>
        <w:rPr>
          <w:rFonts w:hint="eastAsia" w:ascii="宋体" w:hAnsi="宋体" w:cs="宋体"/>
          <w:color w:val="auto"/>
          <w:szCs w:val="21"/>
          <w:highlight w:val="none"/>
        </w:rPr>
      </w:pPr>
      <w:r>
        <w:rPr>
          <w:rFonts w:hint="eastAsia" w:ascii="宋体" w:hAnsi="宋体" w:cs="宋体"/>
          <w:color w:val="auto"/>
          <w:szCs w:val="21"/>
          <w:highlight w:val="none"/>
        </w:rPr>
        <w:t>（4）商务响应表</w:t>
      </w:r>
      <w:r>
        <w:rPr>
          <w:rFonts w:hint="eastAsia" w:ascii="宋体" w:hAnsi="宋体" w:cs="宋体"/>
          <w:b/>
          <w:bCs/>
          <w:color w:val="auto"/>
          <w:szCs w:val="21"/>
          <w:highlight w:val="none"/>
        </w:rPr>
        <w:t>（必须提供）</w:t>
      </w:r>
      <w:r>
        <w:rPr>
          <w:rFonts w:hint="eastAsia" w:ascii="宋体" w:hAnsi="宋体" w:cs="宋体"/>
          <w:color w:val="auto"/>
          <w:szCs w:val="21"/>
          <w:highlight w:val="none"/>
        </w:rPr>
        <w:t>；</w:t>
      </w:r>
    </w:p>
    <w:p w14:paraId="5F6CEC17">
      <w:pPr>
        <w:pStyle w:val="41"/>
        <w:spacing w:after="0" w:line="400" w:lineRule="exact"/>
        <w:ind w:left="0"/>
        <w:rPr>
          <w:rFonts w:hint="eastAsia" w:ascii="宋体" w:hAnsi="宋体" w:cs="宋体"/>
          <w:color w:val="auto"/>
          <w:szCs w:val="21"/>
          <w:highlight w:val="none"/>
        </w:rPr>
      </w:pPr>
      <w:r>
        <w:rPr>
          <w:rFonts w:hint="eastAsia" w:ascii="宋体" w:hAnsi="宋体" w:cs="宋体"/>
          <w:color w:val="auto"/>
          <w:szCs w:val="21"/>
          <w:highlight w:val="none"/>
        </w:rPr>
        <w:t>（5）供应商的售后服务承诺书（必须包含售后服务要求的全部内容）</w:t>
      </w:r>
      <w:r>
        <w:rPr>
          <w:rFonts w:hint="eastAsia" w:ascii="宋体" w:hAnsi="宋体" w:cs="宋体"/>
          <w:b/>
          <w:bCs/>
          <w:color w:val="auto"/>
          <w:szCs w:val="21"/>
          <w:highlight w:val="none"/>
        </w:rPr>
        <w:t>（必须提供）</w:t>
      </w:r>
      <w:r>
        <w:rPr>
          <w:rFonts w:hint="eastAsia" w:ascii="宋体" w:hAnsi="宋体" w:cs="宋体"/>
          <w:color w:val="auto"/>
          <w:szCs w:val="21"/>
          <w:highlight w:val="none"/>
        </w:rPr>
        <w:t>；</w:t>
      </w:r>
    </w:p>
    <w:p w14:paraId="5238A840">
      <w:pPr>
        <w:pStyle w:val="41"/>
        <w:spacing w:after="0" w:line="400" w:lineRule="exact"/>
        <w:ind w:left="0"/>
        <w:rPr>
          <w:rFonts w:hint="eastAsia" w:ascii="宋体" w:hAnsi="宋体" w:cs="宋体"/>
          <w:color w:val="auto"/>
          <w:szCs w:val="21"/>
          <w:highlight w:val="none"/>
        </w:rPr>
      </w:pPr>
      <w:r>
        <w:rPr>
          <w:rFonts w:hint="eastAsia" w:ascii="宋体" w:hAnsi="宋体" w:cs="宋体"/>
          <w:color w:val="auto"/>
          <w:szCs w:val="21"/>
          <w:highlight w:val="none"/>
        </w:rPr>
        <w:t>（6）“采购需求”需提供的有效证明文件</w:t>
      </w:r>
      <w:r>
        <w:rPr>
          <w:rFonts w:hint="eastAsia" w:ascii="宋体" w:hAnsi="宋体" w:cs="宋体"/>
          <w:b/>
          <w:bCs/>
          <w:color w:val="auto"/>
          <w:szCs w:val="21"/>
          <w:highlight w:val="none"/>
        </w:rPr>
        <w:t>（按其要求提供）</w:t>
      </w:r>
      <w:r>
        <w:rPr>
          <w:rFonts w:hint="eastAsia" w:ascii="宋体" w:hAnsi="宋体" w:cs="宋体"/>
          <w:color w:val="auto"/>
          <w:szCs w:val="21"/>
          <w:highlight w:val="none"/>
        </w:rPr>
        <w:t>。</w:t>
      </w:r>
    </w:p>
    <w:p w14:paraId="1F7ADF35">
      <w:pPr>
        <w:pStyle w:val="41"/>
        <w:spacing w:after="0" w:line="400" w:lineRule="exact"/>
        <w:ind w:left="0" w:firstLine="422"/>
        <w:rPr>
          <w:rFonts w:hint="eastAsia" w:ascii="宋体" w:hAnsi="宋体" w:cs="宋体"/>
          <w:b/>
          <w:bCs/>
          <w:color w:val="auto"/>
          <w:szCs w:val="21"/>
          <w:highlight w:val="none"/>
        </w:rPr>
      </w:pPr>
      <w:r>
        <w:rPr>
          <w:rFonts w:hint="eastAsia" w:ascii="宋体" w:hAnsi="宋体" w:cs="宋体"/>
          <w:b/>
          <w:bCs/>
          <w:color w:val="auto"/>
          <w:szCs w:val="21"/>
          <w:highlight w:val="none"/>
        </w:rPr>
        <w:t>11.2.3其他有效证明材料</w:t>
      </w:r>
    </w:p>
    <w:p w14:paraId="745F3B4F">
      <w:pPr>
        <w:spacing w:line="400" w:lineRule="exact"/>
        <w:ind w:firstLine="420"/>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（1）项目实施人员一览表</w:t>
      </w:r>
      <w:r>
        <w:rPr>
          <w:rFonts w:hint="eastAsia" w:ascii="宋体" w:hAnsi="宋体" w:eastAsia="宋体" w:cs="宋体"/>
          <w:b/>
          <w:color w:val="auto"/>
          <w:szCs w:val="21"/>
          <w:highlight w:val="none"/>
        </w:rPr>
        <w:t>（如有，请提供）</w:t>
      </w:r>
      <w:r>
        <w:rPr>
          <w:rFonts w:hint="eastAsia" w:ascii="宋体" w:hAnsi="宋体" w:eastAsia="宋体" w:cs="宋体"/>
          <w:b/>
          <w:bCs/>
          <w:color w:val="auto"/>
          <w:szCs w:val="21"/>
          <w:highlight w:val="none"/>
        </w:rPr>
        <w:t>；</w:t>
      </w:r>
    </w:p>
    <w:p w14:paraId="61FAEEED">
      <w:pPr>
        <w:tabs>
          <w:tab w:val="left" w:pos="1305"/>
        </w:tabs>
        <w:spacing w:line="400" w:lineRule="exact"/>
        <w:ind w:firstLine="420"/>
        <w:rPr>
          <w:rFonts w:hint="eastAsia" w:ascii="宋体" w:hAnsi="宋体" w:eastAsia="宋体" w:cs="宋体"/>
          <w:color w:val="auto"/>
          <w:szCs w:val="20"/>
          <w:highlight w:val="none"/>
        </w:rPr>
      </w:pPr>
      <w:r>
        <w:rPr>
          <w:rFonts w:hint="eastAsia" w:ascii="宋体" w:hAnsi="宋体" w:eastAsia="宋体" w:cs="宋体"/>
          <w:color w:val="auto"/>
          <w:szCs w:val="21"/>
          <w:highlight w:val="none"/>
        </w:rPr>
        <w:t>（2）节能方面的证书扫描件</w:t>
      </w:r>
      <w:r>
        <w:rPr>
          <w:rFonts w:hint="eastAsia" w:ascii="宋体" w:hAnsi="宋体" w:eastAsia="宋体" w:cs="宋体"/>
          <w:b/>
          <w:color w:val="auto"/>
          <w:szCs w:val="21"/>
          <w:highlight w:val="none"/>
        </w:rPr>
        <w:t>（如有，请提供）</w:t>
      </w:r>
      <w:r>
        <w:rPr>
          <w:rFonts w:hint="eastAsia" w:ascii="宋体" w:hAnsi="宋体" w:eastAsia="宋体" w:cs="宋体"/>
          <w:bCs/>
          <w:color w:val="auto"/>
          <w:szCs w:val="21"/>
          <w:highlight w:val="none"/>
        </w:rPr>
        <w:t>；</w:t>
      </w:r>
    </w:p>
    <w:p w14:paraId="602D8811">
      <w:pPr>
        <w:tabs>
          <w:tab w:val="left" w:pos="1305"/>
        </w:tabs>
        <w:spacing w:line="40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（3）环境标志方面的证书扫描件</w:t>
      </w:r>
      <w:r>
        <w:rPr>
          <w:rFonts w:hint="eastAsia" w:ascii="宋体" w:hAnsi="宋体" w:eastAsia="宋体" w:cs="宋体"/>
          <w:b/>
          <w:color w:val="auto"/>
          <w:szCs w:val="21"/>
          <w:highlight w:val="none"/>
        </w:rPr>
        <w:t>（如有，请提供）</w:t>
      </w:r>
      <w:r>
        <w:rPr>
          <w:rFonts w:hint="eastAsia" w:ascii="宋体" w:hAnsi="宋体" w:eastAsia="宋体" w:cs="宋体"/>
          <w:bCs/>
          <w:color w:val="auto"/>
          <w:szCs w:val="21"/>
          <w:highlight w:val="none"/>
        </w:rPr>
        <w:t>；</w:t>
      </w:r>
    </w:p>
    <w:p w14:paraId="7389D4FE">
      <w:pPr>
        <w:tabs>
          <w:tab w:val="left" w:pos="1305"/>
        </w:tabs>
        <w:spacing w:line="400" w:lineRule="exact"/>
        <w:ind w:firstLine="420"/>
        <w:rPr>
          <w:rFonts w:hint="eastAsia" w:ascii="宋体" w:hAnsi="宋体" w:eastAsia="宋体" w:cs="宋体"/>
          <w:bCs/>
          <w:color w:val="auto"/>
          <w:highlight w:val="none"/>
        </w:rPr>
      </w:pPr>
      <w:r>
        <w:rPr>
          <w:rFonts w:hint="eastAsia" w:ascii="宋体" w:hAnsi="宋体" w:eastAsia="宋体" w:cs="宋体"/>
          <w:color w:val="auto"/>
          <w:szCs w:val="21"/>
          <w:highlight w:val="none"/>
        </w:rPr>
        <w:t>（4）供应商自</w:t>
      </w:r>
      <w:r>
        <w:rPr>
          <w:rFonts w:hint="eastAsia" w:ascii="宋体" w:hAnsi="宋体" w:eastAsia="宋体" w:cs="宋体"/>
          <w:color w:val="auto"/>
          <w:highlight w:val="none"/>
        </w:rPr>
        <w:t>2023年1月1日</w:t>
      </w:r>
      <w:r>
        <w:rPr>
          <w:rFonts w:hint="eastAsia" w:ascii="宋体" w:hAnsi="宋体" w:eastAsia="宋体" w:cs="宋体"/>
          <w:color w:val="auto"/>
          <w:szCs w:val="21"/>
          <w:highlight w:val="none"/>
        </w:rPr>
        <w:t>以来具有同类产品的销售业绩 [以中标（成交）通知书或采购合同扫描件加盖电子签章为准（能清晰反映所销售的货物名称、种类、金额)，否则将不予计分；同一个编号的项目有两个或两个以上的分标中标的只算一次]</w:t>
      </w:r>
      <w:r>
        <w:rPr>
          <w:rFonts w:hint="eastAsia" w:ascii="宋体" w:hAnsi="宋体" w:eastAsia="宋体" w:cs="宋体"/>
          <w:b/>
          <w:color w:val="auto"/>
          <w:highlight w:val="none"/>
        </w:rPr>
        <w:t>（如有，请提供）</w:t>
      </w:r>
      <w:r>
        <w:rPr>
          <w:rFonts w:hint="eastAsia" w:ascii="宋体" w:hAnsi="宋体" w:eastAsia="宋体" w:cs="宋体"/>
          <w:bCs/>
          <w:color w:val="auto"/>
          <w:highlight w:val="none"/>
        </w:rPr>
        <w:t>；</w:t>
      </w:r>
    </w:p>
    <w:p w14:paraId="23487D72">
      <w:pPr>
        <w:pStyle w:val="13"/>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（5）《中小企业声明函》（见附件）</w:t>
      </w:r>
      <w:r>
        <w:rPr>
          <w:rFonts w:hint="eastAsia" w:ascii="宋体" w:hAnsi="宋体" w:eastAsia="宋体" w:cs="宋体"/>
          <w:b/>
          <w:bCs/>
          <w:color w:val="auto"/>
          <w:highlight w:val="none"/>
        </w:rPr>
        <w:t>（如有，请提供）</w:t>
      </w:r>
      <w:r>
        <w:rPr>
          <w:rFonts w:hint="eastAsia" w:ascii="宋体" w:hAnsi="宋体" w:eastAsia="宋体" w:cs="宋体"/>
          <w:color w:val="auto"/>
          <w:highlight w:val="none"/>
        </w:rPr>
        <w:t>；</w:t>
      </w:r>
    </w:p>
    <w:p w14:paraId="601DC9DE">
      <w:pPr>
        <w:pStyle w:val="13"/>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（6）如货物生产企业属于监狱企业的，应当提供由省级以上监狱管理局、戒毒管理局等（含新疆生产建设兵团）出具的属于监狱企业的证明文件</w:t>
      </w:r>
      <w:r>
        <w:rPr>
          <w:rFonts w:hint="eastAsia" w:ascii="宋体" w:hAnsi="宋体" w:eastAsia="宋体" w:cs="宋体"/>
          <w:b/>
          <w:color w:val="auto"/>
          <w:highlight w:val="none"/>
        </w:rPr>
        <w:t>（如有，请提供）</w:t>
      </w:r>
      <w:r>
        <w:rPr>
          <w:rFonts w:hint="eastAsia" w:ascii="宋体" w:hAnsi="宋体" w:eastAsia="宋体" w:cs="宋体"/>
          <w:color w:val="auto"/>
          <w:highlight w:val="none"/>
        </w:rPr>
        <w:t>；</w:t>
      </w:r>
    </w:p>
    <w:p w14:paraId="0207832E">
      <w:pPr>
        <w:pStyle w:val="13"/>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（7）符合条件的残疾人福利性单位在参加政府采购活动时，应当提供《残疾人福利性单位声明函》（见附件），并对声明的真实性负责</w:t>
      </w:r>
      <w:r>
        <w:rPr>
          <w:rFonts w:hint="eastAsia" w:ascii="宋体" w:hAnsi="宋体" w:eastAsia="宋体" w:cs="宋体"/>
          <w:b/>
          <w:color w:val="auto"/>
          <w:highlight w:val="none"/>
        </w:rPr>
        <w:t>（如有，请提供）</w:t>
      </w:r>
      <w:r>
        <w:rPr>
          <w:rFonts w:hint="eastAsia" w:ascii="宋体" w:hAnsi="宋体" w:eastAsia="宋体" w:cs="宋体"/>
          <w:color w:val="auto"/>
          <w:highlight w:val="none"/>
        </w:rPr>
        <w:t>。</w:t>
      </w:r>
    </w:p>
    <w:p w14:paraId="2311291E">
      <w:pPr>
        <w:pStyle w:val="23"/>
        <w:ind w:firstLine="420"/>
        <w:rPr>
          <w:rFonts w:hint="eastAsia" w:ascii="宋体" w:hAnsi="宋体" w:eastAsia="宋体" w:cs="宋体"/>
          <w:color w:val="auto"/>
          <w:highlight w:val="none"/>
          <w:lang w:eastAsia="zh-CN"/>
        </w:rPr>
      </w:pP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8</w:t>
      </w:r>
      <w:r>
        <w:rPr>
          <w:rFonts w:hint="eastAsia" w:ascii="宋体" w:hAnsi="宋体" w:eastAsia="宋体" w:cs="宋体"/>
          <w:b w:val="0"/>
          <w:bCs w:val="0"/>
          <w:color w:val="auto"/>
          <w:sz w:val="21"/>
          <w:szCs w:val="21"/>
          <w:highlight w:val="none"/>
          <w:lang w:eastAsia="zh-CN"/>
        </w:rPr>
        <w:t>）《关于符合本国产品标准的声明函》</w:t>
      </w:r>
      <w:r>
        <w:rPr>
          <w:rFonts w:hint="eastAsia" w:ascii="宋体" w:hAnsi="宋体" w:eastAsia="宋体" w:cs="宋体"/>
          <w:b w:val="0"/>
          <w:bCs w:val="0"/>
          <w:color w:val="auto"/>
          <w:sz w:val="21"/>
          <w:szCs w:val="21"/>
          <w:highlight w:val="none"/>
        </w:rPr>
        <w:t>（见附件）</w:t>
      </w:r>
      <w:r>
        <w:rPr>
          <w:rFonts w:hint="eastAsia" w:ascii="宋体" w:hAnsi="宋体" w:eastAsia="宋体" w:cs="宋体"/>
          <w:b/>
          <w:bCs/>
          <w:color w:val="auto"/>
          <w:sz w:val="21"/>
          <w:szCs w:val="21"/>
          <w:highlight w:val="none"/>
        </w:rPr>
        <w:t>（如有，请提供）；</w:t>
      </w:r>
    </w:p>
    <w:p w14:paraId="53DE1979">
      <w:pPr>
        <w:tabs>
          <w:tab w:val="left" w:pos="1305"/>
        </w:tabs>
        <w:spacing w:line="40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）项目实施方案</w:t>
      </w:r>
      <w:r>
        <w:rPr>
          <w:rFonts w:hint="eastAsia" w:ascii="宋体" w:hAnsi="宋体" w:eastAsia="宋体" w:cs="宋体"/>
          <w:b/>
          <w:bCs/>
          <w:color w:val="auto"/>
          <w:szCs w:val="21"/>
          <w:highlight w:val="none"/>
        </w:rPr>
        <w:t>（如有，请提供）</w:t>
      </w:r>
      <w:r>
        <w:rPr>
          <w:rFonts w:hint="eastAsia" w:ascii="宋体" w:hAnsi="宋体" w:eastAsia="宋体" w:cs="宋体"/>
          <w:color w:val="auto"/>
          <w:szCs w:val="21"/>
          <w:highlight w:val="none"/>
        </w:rPr>
        <w:t>；</w:t>
      </w:r>
    </w:p>
    <w:p w14:paraId="11F7AA26">
      <w:pPr>
        <w:tabs>
          <w:tab w:val="left" w:pos="1305"/>
        </w:tabs>
        <w:spacing w:line="40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）供应商可结合本项目的评审办法视自身情况自行提交相关证明材料</w:t>
      </w:r>
      <w:r>
        <w:rPr>
          <w:rFonts w:hint="eastAsia" w:ascii="宋体" w:hAnsi="宋体" w:eastAsia="宋体" w:cs="宋体"/>
          <w:b/>
          <w:bCs/>
          <w:color w:val="auto"/>
          <w:szCs w:val="21"/>
          <w:highlight w:val="none"/>
        </w:rPr>
        <w:t>（如有，请提供）</w:t>
      </w:r>
      <w:r>
        <w:rPr>
          <w:rFonts w:hint="eastAsia" w:ascii="宋体" w:hAnsi="宋体" w:eastAsia="宋体" w:cs="宋体"/>
          <w:color w:val="auto"/>
          <w:szCs w:val="21"/>
          <w:highlight w:val="none"/>
        </w:rPr>
        <w:t>。</w:t>
      </w:r>
    </w:p>
    <w:p w14:paraId="14E4081C">
      <w:pPr>
        <w:spacing w:line="440" w:lineRule="exact"/>
        <w:ind w:firstLine="420"/>
        <w:outlineLvl w:val="4"/>
        <w:rPr>
          <w:rFonts w:hint="eastAsia" w:ascii="宋体" w:hAnsi="宋体" w:cs="宋体"/>
          <w:b/>
          <w:bCs/>
          <w:color w:val="auto"/>
          <w:szCs w:val="21"/>
          <w:highlight w:val="none"/>
        </w:rPr>
      </w:pPr>
      <w:r>
        <w:rPr>
          <w:rFonts w:hint="eastAsia" w:ascii="宋体" w:hAnsi="宋体" w:cs="宋体"/>
          <w:b/>
          <w:bCs/>
          <w:color w:val="auto"/>
          <w:szCs w:val="21"/>
          <w:highlight w:val="none"/>
        </w:rPr>
        <w:t>供应商提供的以上相关证明材料属于“必须提供”的文件应加盖供应商公章（CA签章）/自然人签字或加盖个人CA签章，否则响应无效。</w:t>
      </w:r>
    </w:p>
    <w:p w14:paraId="2904AF5C">
      <w:pPr>
        <w:spacing w:line="360" w:lineRule="auto"/>
        <w:ind w:firstLine="420"/>
        <w:rPr>
          <w:rFonts w:ascii="宋体" w:cs="宋体"/>
          <w:color w:val="auto"/>
          <w:szCs w:val="21"/>
          <w:highlight w:val="none"/>
        </w:rPr>
      </w:pPr>
      <w:r>
        <w:rPr>
          <w:rFonts w:ascii="宋体" w:hAnsi="宋体" w:cs="宋体"/>
          <w:color w:val="auto"/>
          <w:szCs w:val="21"/>
          <w:highlight w:val="none"/>
        </w:rPr>
        <w:t>11.</w:t>
      </w:r>
      <w:r>
        <w:rPr>
          <w:rFonts w:hint="eastAsia" w:ascii="宋体" w:hAnsi="宋体" w:cs="宋体"/>
          <w:color w:val="auto"/>
          <w:szCs w:val="21"/>
          <w:highlight w:val="none"/>
        </w:rPr>
        <w:t>3</w:t>
      </w:r>
      <w:r>
        <w:rPr>
          <w:rFonts w:ascii="宋体" w:hAnsi="宋体" w:cs="宋体"/>
          <w:color w:val="auto"/>
          <w:szCs w:val="21"/>
          <w:highlight w:val="none"/>
        </w:rPr>
        <w:t xml:space="preserve"> </w:t>
      </w:r>
      <w:r>
        <w:rPr>
          <w:rFonts w:hint="eastAsia" w:ascii="宋体" w:hAnsi="宋体" w:cs="宋体"/>
          <w:color w:val="auto"/>
          <w:szCs w:val="21"/>
          <w:highlight w:val="none"/>
        </w:rPr>
        <w:t>供应商应按竞争性谈判文件第六章“响应文件（格式）”编制响应文件。</w:t>
      </w:r>
    </w:p>
    <w:p w14:paraId="61B70FFE">
      <w:pPr>
        <w:pStyle w:val="4"/>
        <w:spacing w:before="0" w:after="0" w:line="360" w:lineRule="auto"/>
        <w:ind w:firstLine="420"/>
        <w:rPr>
          <w:rFonts w:hint="eastAsia" w:ascii="宋体" w:hAnsi="宋体" w:cs="宋体"/>
          <w:color w:val="auto"/>
          <w:sz w:val="21"/>
          <w:szCs w:val="21"/>
          <w:highlight w:val="none"/>
        </w:rPr>
      </w:pPr>
      <w:bookmarkStart w:id="246" w:name="_Toc14301"/>
      <w:bookmarkStart w:id="247" w:name="_Toc18336"/>
      <w:bookmarkStart w:id="248" w:name="_Toc24949"/>
      <w:bookmarkStart w:id="249" w:name="_Toc501"/>
      <w:bookmarkStart w:id="250" w:name="_Toc2153"/>
      <w:bookmarkStart w:id="251" w:name="_Toc25055"/>
      <w:bookmarkStart w:id="252" w:name="_Toc22573"/>
      <w:bookmarkStart w:id="253" w:name="_Toc22977"/>
      <w:bookmarkStart w:id="254" w:name="_Toc10331"/>
      <w:bookmarkStart w:id="255" w:name="_Toc24628"/>
      <w:bookmarkStart w:id="256" w:name="_Toc22516"/>
      <w:bookmarkStart w:id="257" w:name="_Toc12374"/>
      <w:r>
        <w:rPr>
          <w:rFonts w:hint="eastAsia" w:ascii="宋体" w:hAnsi="宋体" w:cs="宋体"/>
          <w:color w:val="auto"/>
          <w:sz w:val="21"/>
          <w:szCs w:val="21"/>
          <w:highlight w:val="none"/>
        </w:rPr>
        <w:t>12. 响应文件的语言及计量</w:t>
      </w:r>
      <w:bookmarkEnd w:id="246"/>
      <w:bookmarkEnd w:id="247"/>
      <w:bookmarkEnd w:id="248"/>
      <w:bookmarkEnd w:id="249"/>
      <w:bookmarkEnd w:id="250"/>
      <w:bookmarkEnd w:id="251"/>
      <w:bookmarkEnd w:id="252"/>
      <w:bookmarkEnd w:id="253"/>
      <w:bookmarkEnd w:id="254"/>
      <w:bookmarkEnd w:id="255"/>
      <w:bookmarkEnd w:id="256"/>
      <w:bookmarkEnd w:id="257"/>
    </w:p>
    <w:p w14:paraId="0F2BEB88">
      <w:pPr>
        <w:spacing w:line="360" w:lineRule="auto"/>
        <w:ind w:firstLine="420"/>
        <w:rPr>
          <w:rFonts w:ascii="宋体" w:cs="宋体"/>
          <w:color w:val="auto"/>
          <w:szCs w:val="21"/>
          <w:highlight w:val="none"/>
        </w:rPr>
      </w:pPr>
      <w:r>
        <w:rPr>
          <w:rFonts w:ascii="宋体" w:hAnsi="宋体" w:cs="宋体"/>
          <w:color w:val="auto"/>
          <w:szCs w:val="21"/>
          <w:highlight w:val="none"/>
        </w:rPr>
        <w:t xml:space="preserve">12.1 </w:t>
      </w:r>
      <w:r>
        <w:rPr>
          <w:rFonts w:hint="eastAsia" w:ascii="宋体" w:hAnsi="宋体" w:cs="宋体"/>
          <w:color w:val="auto"/>
          <w:szCs w:val="21"/>
          <w:highlight w:val="none"/>
        </w:rPr>
        <w:t>响应文件以及供应商与采购代理机构就有关谈判事宜的所有来往函电，均应以中文汉语书写。供应商提交的支持文件和印刷的文献可以使用别的语言，但其相应内容必须附有中文翻译文本，在解释响应文件时以中文翻译文本为主。</w:t>
      </w:r>
    </w:p>
    <w:p w14:paraId="2214C3DE">
      <w:pPr>
        <w:spacing w:line="360" w:lineRule="auto"/>
        <w:ind w:firstLine="420"/>
        <w:rPr>
          <w:rFonts w:ascii="宋体" w:cs="宋体"/>
          <w:color w:val="auto"/>
          <w:szCs w:val="21"/>
          <w:highlight w:val="none"/>
        </w:rPr>
      </w:pPr>
      <w:r>
        <w:rPr>
          <w:rFonts w:ascii="宋体" w:hAnsi="宋体" w:cs="宋体"/>
          <w:color w:val="auto"/>
          <w:szCs w:val="21"/>
          <w:highlight w:val="none"/>
        </w:rPr>
        <w:t xml:space="preserve">12.2 </w:t>
      </w:r>
      <w:r>
        <w:rPr>
          <w:rFonts w:hint="eastAsia" w:ascii="宋体" w:hAnsi="宋体" w:cs="宋体"/>
          <w:color w:val="auto"/>
          <w:szCs w:val="21"/>
          <w:highlight w:val="none"/>
        </w:rPr>
        <w:t>谈判计量单位，谈判文件已有明确规定的，使用谈判文件规定的计量单位；谈判文件没有规定的，应采用中华人民共和国法定计量单位（货币单位：人民币元），否则视同未响应。</w:t>
      </w:r>
    </w:p>
    <w:p w14:paraId="37F8AAB2">
      <w:pPr>
        <w:pStyle w:val="4"/>
        <w:spacing w:before="0" w:after="0" w:line="360" w:lineRule="auto"/>
        <w:ind w:firstLine="420"/>
        <w:rPr>
          <w:rFonts w:hint="eastAsia" w:ascii="宋体" w:hAnsi="宋体" w:cs="宋体"/>
          <w:color w:val="auto"/>
          <w:sz w:val="21"/>
          <w:szCs w:val="21"/>
          <w:highlight w:val="none"/>
        </w:rPr>
      </w:pPr>
      <w:bookmarkStart w:id="258" w:name="_Toc7923"/>
      <w:bookmarkStart w:id="259" w:name="_Toc2551"/>
      <w:bookmarkStart w:id="260" w:name="_Toc6844"/>
      <w:bookmarkStart w:id="261" w:name="_Toc5298"/>
      <w:bookmarkStart w:id="262" w:name="_Toc31711"/>
      <w:bookmarkStart w:id="263" w:name="_Toc11449"/>
      <w:bookmarkStart w:id="264" w:name="_Toc22589"/>
      <w:bookmarkStart w:id="265" w:name="_Toc30585"/>
      <w:bookmarkStart w:id="266" w:name="_Toc26350"/>
      <w:bookmarkStart w:id="267" w:name="_Toc15813"/>
      <w:bookmarkStart w:id="268" w:name="_Toc13772"/>
      <w:bookmarkStart w:id="269" w:name="_Toc25252"/>
      <w:r>
        <w:rPr>
          <w:rFonts w:hint="eastAsia" w:ascii="宋体" w:hAnsi="宋体" w:cs="宋体"/>
          <w:color w:val="auto"/>
          <w:sz w:val="21"/>
          <w:szCs w:val="21"/>
          <w:highlight w:val="none"/>
        </w:rPr>
        <w:t>13. 谈判报价及采购预算金额</w:t>
      </w:r>
      <w:bookmarkEnd w:id="258"/>
      <w:bookmarkEnd w:id="259"/>
      <w:bookmarkEnd w:id="260"/>
      <w:bookmarkEnd w:id="261"/>
      <w:bookmarkEnd w:id="262"/>
      <w:bookmarkEnd w:id="263"/>
      <w:bookmarkEnd w:id="264"/>
      <w:bookmarkEnd w:id="265"/>
      <w:bookmarkEnd w:id="266"/>
      <w:bookmarkEnd w:id="267"/>
      <w:bookmarkEnd w:id="268"/>
      <w:bookmarkEnd w:id="269"/>
    </w:p>
    <w:p w14:paraId="773A411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13.1 谈判报价应按谈判文件中相关附表格式填写。采购预算金额：</w:t>
      </w:r>
      <w:r>
        <w:rPr>
          <w:rFonts w:hint="eastAsia" w:ascii="宋体" w:hAnsi="宋体" w:cs="宋体"/>
          <w:color w:val="auto"/>
          <w:szCs w:val="21"/>
          <w:highlight w:val="none"/>
          <w:lang w:eastAsia="zh-CN"/>
        </w:rPr>
        <w:t>人民币壹佰叁拾陆万玖仟元整（¥1369000.00元）</w:t>
      </w:r>
      <w:r>
        <w:rPr>
          <w:rFonts w:hint="eastAsia" w:ascii="宋体" w:hAnsi="宋体" w:cs="宋体"/>
          <w:color w:val="auto"/>
          <w:szCs w:val="21"/>
          <w:highlight w:val="none"/>
        </w:rPr>
        <w:t>。响应报价不得超出预算金额，否则，作响应无效处理。</w:t>
      </w:r>
    </w:p>
    <w:p w14:paraId="0189ED2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13.2供应商必须就“采购需求”中所竞所有货物内容作完整唯一报价，否则，其响应文件无效。响应文件只允许有一个报价，有选择的或有条件的报价将不予接受。</w:t>
      </w:r>
    </w:p>
    <w:p w14:paraId="3CFA5F0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13.3 谈判报价应包括本次采购范围内货物价款、货物随配标准附件、包装、运输、装卸、保险、税金、货到位以及安装、调试、检验、售后服务、培训、保修及项目施工等人员的人身意外保险等其他所有成本费用的总和；供应商综合考虑在报价中。</w:t>
      </w:r>
    </w:p>
    <w:p w14:paraId="0B09E42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13.4供应商应在规定时间内在广西政府采购云系统上提交最后报价，超出评委设定的最后报价时限或其最后报价超出采购预算导致已通过评审的响应文件无效的，按供应商在提交响应文件截止时间后撤回响应文件处理。</w:t>
      </w:r>
    </w:p>
    <w:p w14:paraId="0F2B2AE3">
      <w:pPr>
        <w:pStyle w:val="4"/>
        <w:spacing w:before="0" w:after="0" w:line="360" w:lineRule="auto"/>
        <w:ind w:firstLine="420"/>
        <w:rPr>
          <w:rFonts w:hint="eastAsia" w:ascii="宋体" w:hAnsi="宋体" w:cs="宋体"/>
          <w:color w:val="auto"/>
          <w:sz w:val="21"/>
          <w:szCs w:val="21"/>
          <w:highlight w:val="none"/>
        </w:rPr>
      </w:pPr>
      <w:bookmarkStart w:id="270" w:name="_Toc12715"/>
      <w:bookmarkStart w:id="271" w:name="_Toc12494"/>
      <w:bookmarkStart w:id="272" w:name="_Toc22087"/>
      <w:bookmarkStart w:id="273" w:name="_Toc27235"/>
      <w:bookmarkStart w:id="274" w:name="_Toc27036"/>
      <w:bookmarkStart w:id="275" w:name="_Toc19408"/>
      <w:bookmarkStart w:id="276" w:name="_Toc9416"/>
      <w:bookmarkStart w:id="277" w:name="_Toc19802"/>
      <w:bookmarkStart w:id="278" w:name="_Toc3573"/>
      <w:bookmarkStart w:id="279" w:name="_Toc26807"/>
      <w:bookmarkStart w:id="280" w:name="_Toc18553"/>
      <w:bookmarkStart w:id="281" w:name="_Toc20551"/>
      <w:r>
        <w:rPr>
          <w:rFonts w:hint="eastAsia" w:ascii="宋体" w:hAnsi="宋体" w:cs="宋体"/>
          <w:color w:val="auto"/>
          <w:sz w:val="21"/>
          <w:szCs w:val="21"/>
          <w:highlight w:val="none"/>
        </w:rPr>
        <w:t>14. 响应文件有效期</w:t>
      </w:r>
      <w:bookmarkEnd w:id="270"/>
      <w:bookmarkEnd w:id="271"/>
      <w:bookmarkEnd w:id="272"/>
      <w:bookmarkEnd w:id="273"/>
      <w:bookmarkEnd w:id="274"/>
      <w:bookmarkEnd w:id="275"/>
      <w:bookmarkEnd w:id="276"/>
      <w:bookmarkEnd w:id="277"/>
      <w:bookmarkEnd w:id="278"/>
      <w:bookmarkEnd w:id="279"/>
      <w:bookmarkEnd w:id="280"/>
      <w:bookmarkEnd w:id="281"/>
    </w:p>
    <w:p w14:paraId="55ED03A5">
      <w:pPr>
        <w:spacing w:line="360" w:lineRule="auto"/>
        <w:ind w:firstLine="420"/>
        <w:rPr>
          <w:rFonts w:ascii="宋体" w:cs="宋体"/>
          <w:color w:val="auto"/>
          <w:szCs w:val="21"/>
          <w:highlight w:val="none"/>
        </w:rPr>
      </w:pPr>
      <w:r>
        <w:rPr>
          <w:rFonts w:ascii="宋体" w:hAnsi="宋体" w:cs="宋体"/>
          <w:color w:val="auto"/>
          <w:szCs w:val="21"/>
          <w:highlight w:val="none"/>
        </w:rPr>
        <w:t xml:space="preserve">14.1 </w:t>
      </w:r>
      <w:r>
        <w:rPr>
          <w:rFonts w:hint="eastAsia" w:ascii="宋体" w:hAnsi="宋体" w:cs="宋体"/>
          <w:color w:val="auto"/>
          <w:szCs w:val="21"/>
          <w:highlight w:val="none"/>
        </w:rPr>
        <w:t>响应文件有效期：响应文件递交截止时间之日起</w:t>
      </w:r>
      <w:r>
        <w:rPr>
          <w:rFonts w:ascii="宋体" w:hAnsi="宋体" w:cs="宋体"/>
          <w:color w:val="auto"/>
          <w:szCs w:val="21"/>
          <w:highlight w:val="none"/>
        </w:rPr>
        <w:t>90</w:t>
      </w:r>
      <w:r>
        <w:rPr>
          <w:rFonts w:hint="eastAsia" w:ascii="宋体" w:hAnsi="宋体" w:cs="宋体"/>
          <w:color w:val="auto"/>
          <w:szCs w:val="21"/>
          <w:highlight w:val="none"/>
        </w:rPr>
        <w:t>天，有效期不足的响应文件将被拒绝。</w:t>
      </w:r>
    </w:p>
    <w:p w14:paraId="44F2181C">
      <w:pPr>
        <w:spacing w:line="360" w:lineRule="auto"/>
        <w:ind w:firstLine="420"/>
        <w:rPr>
          <w:rFonts w:ascii="宋体" w:cs="宋体"/>
          <w:color w:val="auto"/>
          <w:szCs w:val="21"/>
          <w:highlight w:val="none"/>
        </w:rPr>
      </w:pPr>
      <w:r>
        <w:rPr>
          <w:rFonts w:ascii="宋体" w:hAnsi="宋体" w:cs="宋体"/>
          <w:color w:val="auto"/>
          <w:szCs w:val="21"/>
          <w:highlight w:val="none"/>
        </w:rPr>
        <w:t xml:space="preserve">14.2 </w:t>
      </w:r>
      <w:r>
        <w:rPr>
          <w:rFonts w:hint="eastAsia" w:ascii="宋体" w:hAnsi="宋体" w:cs="宋体"/>
          <w:color w:val="auto"/>
          <w:szCs w:val="21"/>
          <w:highlight w:val="none"/>
        </w:rPr>
        <w:t>出现特殊情况下，需要延长响应文件有效期的，采购代理机构以书面形式通知供应商延长响应文件有效期。供应商同意延长的，原响应文件继续有效。供应商拒绝延长的，其响应文件无效。</w:t>
      </w:r>
    </w:p>
    <w:p w14:paraId="39195844">
      <w:pPr>
        <w:pStyle w:val="4"/>
        <w:spacing w:before="0" w:after="0" w:line="360" w:lineRule="auto"/>
        <w:ind w:firstLine="420"/>
        <w:rPr>
          <w:rFonts w:hint="eastAsia" w:ascii="宋体" w:hAnsi="宋体" w:cs="宋体"/>
          <w:color w:val="auto"/>
          <w:sz w:val="21"/>
          <w:szCs w:val="21"/>
          <w:highlight w:val="none"/>
        </w:rPr>
      </w:pPr>
      <w:bookmarkStart w:id="282" w:name="_Toc4321"/>
      <w:bookmarkStart w:id="283" w:name="_Toc24385"/>
      <w:bookmarkStart w:id="284" w:name="_Toc4746"/>
      <w:bookmarkStart w:id="285" w:name="_Toc27237"/>
      <w:bookmarkStart w:id="286" w:name="_Toc24545"/>
      <w:bookmarkStart w:id="287" w:name="_Toc12930"/>
      <w:bookmarkStart w:id="288" w:name="_Toc9729"/>
      <w:bookmarkStart w:id="289" w:name="_Toc7082"/>
      <w:bookmarkStart w:id="290" w:name="_Toc8248"/>
      <w:bookmarkStart w:id="291" w:name="_Toc1509"/>
      <w:bookmarkStart w:id="292" w:name="_Toc13607"/>
      <w:bookmarkStart w:id="293" w:name="_Toc24860"/>
      <w:r>
        <w:rPr>
          <w:rFonts w:hint="eastAsia" w:ascii="宋体" w:hAnsi="宋体" w:cs="宋体"/>
          <w:color w:val="auto"/>
          <w:sz w:val="21"/>
          <w:szCs w:val="21"/>
          <w:highlight w:val="none"/>
        </w:rPr>
        <w:t>15. 保证金</w:t>
      </w:r>
      <w:bookmarkEnd w:id="282"/>
      <w:bookmarkEnd w:id="283"/>
      <w:bookmarkEnd w:id="284"/>
      <w:bookmarkEnd w:id="285"/>
      <w:bookmarkEnd w:id="286"/>
      <w:bookmarkEnd w:id="287"/>
      <w:bookmarkEnd w:id="288"/>
      <w:bookmarkEnd w:id="289"/>
      <w:bookmarkEnd w:id="290"/>
      <w:bookmarkEnd w:id="291"/>
      <w:bookmarkEnd w:id="292"/>
      <w:bookmarkEnd w:id="293"/>
    </w:p>
    <w:p w14:paraId="4AB5E9C9">
      <w:pPr>
        <w:spacing w:line="360" w:lineRule="auto"/>
        <w:ind w:firstLine="420"/>
        <w:rPr>
          <w:rFonts w:ascii="宋体" w:hAnsi="宋体" w:cs="宋体"/>
          <w:b/>
          <w:bCs/>
          <w:color w:val="auto"/>
          <w:szCs w:val="21"/>
          <w:highlight w:val="none"/>
        </w:rPr>
      </w:pPr>
      <w:r>
        <w:rPr>
          <w:rFonts w:hint="eastAsia" w:ascii="宋体" w:hAnsi="宋体" w:cs="宋体"/>
          <w:color w:val="auto"/>
          <w:szCs w:val="21"/>
          <w:highlight w:val="none"/>
        </w:rPr>
        <w:t>本项目无需缴纳谈判保证金。</w:t>
      </w:r>
    </w:p>
    <w:p w14:paraId="4E7878A9">
      <w:pPr>
        <w:pStyle w:val="4"/>
        <w:spacing w:before="0" w:after="0" w:line="360" w:lineRule="auto"/>
        <w:ind w:firstLine="420"/>
        <w:rPr>
          <w:rFonts w:ascii="宋体" w:hAnsi="宋体" w:cs="宋体"/>
          <w:color w:val="auto"/>
          <w:sz w:val="21"/>
          <w:szCs w:val="21"/>
          <w:highlight w:val="none"/>
        </w:rPr>
      </w:pPr>
      <w:bookmarkStart w:id="294" w:name="_Toc828"/>
      <w:bookmarkStart w:id="295" w:name="_Toc5531"/>
      <w:bookmarkStart w:id="296" w:name="_Toc19939"/>
      <w:bookmarkStart w:id="297" w:name="_Toc1279"/>
      <w:bookmarkStart w:id="298" w:name="_Toc18396"/>
      <w:bookmarkStart w:id="299" w:name="_Toc15292"/>
      <w:bookmarkStart w:id="300" w:name="_Toc6601"/>
      <w:bookmarkStart w:id="301" w:name="_Toc12262"/>
      <w:bookmarkStart w:id="302" w:name="_Toc13330"/>
      <w:bookmarkStart w:id="303" w:name="_Toc20987"/>
      <w:bookmarkStart w:id="304" w:name="_Toc17472"/>
      <w:bookmarkStart w:id="305" w:name="_Toc27057"/>
      <w:r>
        <w:rPr>
          <w:rFonts w:hint="eastAsia" w:ascii="宋体" w:hAnsi="宋体" w:cs="宋体"/>
          <w:color w:val="auto"/>
          <w:sz w:val="21"/>
          <w:szCs w:val="21"/>
          <w:highlight w:val="none"/>
        </w:rPr>
        <w:t>16. 响应文件的制作</w:t>
      </w:r>
      <w:bookmarkEnd w:id="294"/>
      <w:bookmarkEnd w:id="295"/>
      <w:bookmarkEnd w:id="296"/>
      <w:bookmarkEnd w:id="297"/>
      <w:bookmarkEnd w:id="298"/>
      <w:bookmarkEnd w:id="299"/>
      <w:bookmarkEnd w:id="300"/>
      <w:bookmarkEnd w:id="301"/>
      <w:bookmarkEnd w:id="302"/>
      <w:bookmarkEnd w:id="303"/>
      <w:bookmarkEnd w:id="304"/>
      <w:bookmarkEnd w:id="305"/>
    </w:p>
    <w:p w14:paraId="46C5DA4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16.1电子响应文件中须加盖供应商公章部分均采用 CA 签章，并根据“政府采购项目电子交易管理操作指南-供应商” 及本谈判文件规定的格式和顺序编制电子响应文件并进行关联定位，以便谈判小组在评审时，点击即可直接定位到该内容。如对谈判文件的某项要求，供应商的电子响应文件未能关联定位提供相应的内容与其对应，则谈判小组在评审时如做出对供应商不利的评审由供应商自行承担。电子响应文件如内容不完整、编排混乱导致响应文件被误读、 漏读，或者在按响应文件规定的部位查找不到相关内容的，由供应商自行承担。</w:t>
      </w:r>
    </w:p>
    <w:p w14:paraId="0D7EC11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16.2 供应商法人（负责人）或授权代表持有政采云个人CA签章的，应在响应文件中涉及到签字的位置使用个人CA签章，没有办理政采云个人CA签章的可在响应文件中涉及到签字的位置手写签字后扫描或者拍照做成 PDF 的格式上传即可。 </w:t>
      </w:r>
    </w:p>
    <w:p w14:paraId="764EE9D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16.3 响应文件不得涂改，若有修改错漏处，须法定代表人（负责人）或授权委托人签字（或个人CA签章）。响应文件因字迹潦草或表达不清所引起的后果由供应商负责。</w:t>
      </w:r>
    </w:p>
    <w:p w14:paraId="456A4EA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16.4评审前准备 </w:t>
      </w:r>
    </w:p>
    <w:p w14:paraId="36B7C51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16.4.1本项目实行网上评审，采用电子响应文件；若供应商参与谈判，自行承担谈判一切费用。 </w:t>
      </w:r>
    </w:p>
    <w:p w14:paraId="555EB22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16.4.2各供应商在截标前应确保成为广西政府采购云平台正式注册入库供应商，并完成 CA 数字证书申领。因未注册入库、未办理 CA 数字证书等原因造成无法响应或响应失败等后果由供应商自行承担。 </w:t>
      </w:r>
    </w:p>
    <w:p w14:paraId="675E879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16.4.3供应商将广西政府采购云平台客户端下载、安装完成后，可通过账号密码或 CA 登录客户端进行响应文件制作。客户端请至网站下载专区查看，如有问题可拨打广西政府采购云客户服务热线 95763 进行咨询。</w:t>
      </w:r>
    </w:p>
    <w:p w14:paraId="101E62EB">
      <w:pPr>
        <w:pStyle w:val="4"/>
        <w:spacing w:before="0" w:after="0" w:line="360" w:lineRule="auto"/>
        <w:ind w:firstLine="420"/>
        <w:rPr>
          <w:rFonts w:ascii="宋体" w:hAnsi="宋体" w:cs="宋体"/>
          <w:color w:val="auto"/>
          <w:sz w:val="21"/>
          <w:szCs w:val="21"/>
          <w:highlight w:val="none"/>
        </w:rPr>
      </w:pPr>
      <w:bookmarkStart w:id="306" w:name="_Toc17516"/>
      <w:bookmarkStart w:id="307" w:name="_Toc24605"/>
      <w:bookmarkStart w:id="308" w:name="_Toc31290"/>
      <w:bookmarkStart w:id="309" w:name="_Toc20184"/>
      <w:bookmarkStart w:id="310" w:name="_Toc23586"/>
      <w:bookmarkStart w:id="311" w:name="_Toc23217"/>
      <w:bookmarkStart w:id="312" w:name="_Toc23469"/>
      <w:bookmarkStart w:id="313" w:name="_Toc9153"/>
      <w:bookmarkStart w:id="314" w:name="_Toc16916"/>
      <w:bookmarkStart w:id="315" w:name="_Toc22831"/>
      <w:bookmarkStart w:id="316" w:name="_Toc30896"/>
      <w:bookmarkStart w:id="317" w:name="_Toc383"/>
      <w:r>
        <w:rPr>
          <w:rFonts w:hint="eastAsia" w:ascii="宋体" w:hAnsi="宋体" w:cs="宋体"/>
          <w:color w:val="auto"/>
          <w:sz w:val="21"/>
          <w:szCs w:val="21"/>
          <w:highlight w:val="none"/>
        </w:rPr>
        <w:t>17. 响应文件的补充、修改和撤回</w:t>
      </w:r>
      <w:bookmarkEnd w:id="306"/>
      <w:bookmarkEnd w:id="307"/>
      <w:bookmarkEnd w:id="308"/>
      <w:bookmarkEnd w:id="309"/>
      <w:bookmarkEnd w:id="310"/>
      <w:bookmarkEnd w:id="311"/>
      <w:bookmarkEnd w:id="312"/>
      <w:bookmarkEnd w:id="313"/>
      <w:bookmarkEnd w:id="314"/>
      <w:bookmarkEnd w:id="315"/>
      <w:bookmarkEnd w:id="316"/>
      <w:bookmarkEnd w:id="317"/>
    </w:p>
    <w:p w14:paraId="09AC4D4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17.1 响应文件递交截止时间前可以撤回电子响应文件。补充或者修改电子响应文件的，应当先行撤回原文件，补充、修改后重新传输递交，响应文件递交截止时间前未完成传输的，视为撤回响应文件。</w:t>
      </w:r>
    </w:p>
    <w:p w14:paraId="79FBF4CC">
      <w:pPr>
        <w:spacing w:line="360" w:lineRule="auto"/>
        <w:ind w:firstLine="420"/>
        <w:rPr>
          <w:rFonts w:ascii="宋体" w:cs="宋体"/>
          <w:color w:val="auto"/>
          <w:szCs w:val="21"/>
          <w:highlight w:val="none"/>
        </w:rPr>
      </w:pPr>
      <w:r>
        <w:rPr>
          <w:rFonts w:ascii="宋体" w:hAnsi="宋体" w:cs="宋体"/>
          <w:color w:val="auto"/>
          <w:szCs w:val="21"/>
          <w:highlight w:val="none"/>
        </w:rPr>
        <w:t xml:space="preserve">17.2 </w:t>
      </w:r>
      <w:r>
        <w:rPr>
          <w:rFonts w:hint="eastAsia" w:ascii="宋体" w:hAnsi="宋体" w:cs="宋体"/>
          <w:color w:val="auto"/>
          <w:szCs w:val="21"/>
          <w:highlight w:val="none"/>
        </w:rPr>
        <w:t>在响应文件递交截止时间后的响应文件有效期内，供应商不得撤回其响应文件。</w:t>
      </w:r>
    </w:p>
    <w:p w14:paraId="67B69B2C">
      <w:pPr>
        <w:pStyle w:val="4"/>
        <w:spacing w:before="0" w:after="0" w:line="360" w:lineRule="auto"/>
        <w:ind w:firstLine="420"/>
        <w:rPr>
          <w:rFonts w:ascii="宋体" w:hAnsi="宋体" w:cs="宋体"/>
          <w:color w:val="auto"/>
          <w:sz w:val="21"/>
          <w:szCs w:val="21"/>
          <w:highlight w:val="none"/>
        </w:rPr>
      </w:pPr>
      <w:bookmarkStart w:id="318" w:name="_Toc20179"/>
      <w:bookmarkStart w:id="319" w:name="_Toc16460"/>
      <w:bookmarkStart w:id="320" w:name="_Toc16516"/>
      <w:bookmarkStart w:id="321" w:name="_Toc24152"/>
      <w:bookmarkStart w:id="322" w:name="_Toc17044"/>
      <w:bookmarkStart w:id="323" w:name="_Toc689"/>
      <w:bookmarkStart w:id="324" w:name="_Toc23854"/>
      <w:bookmarkStart w:id="325" w:name="_Toc6510"/>
      <w:bookmarkStart w:id="326" w:name="_Toc30803"/>
      <w:bookmarkStart w:id="327" w:name="_Toc7348"/>
      <w:bookmarkStart w:id="328" w:name="_Toc27699"/>
      <w:bookmarkStart w:id="329" w:name="_Toc8614"/>
      <w:r>
        <w:rPr>
          <w:rFonts w:hint="eastAsia" w:ascii="宋体" w:hAnsi="宋体" w:cs="宋体"/>
          <w:color w:val="auto"/>
          <w:sz w:val="21"/>
          <w:szCs w:val="21"/>
          <w:highlight w:val="none"/>
        </w:rPr>
        <w:t>18. 响应文件的递交和解密</w:t>
      </w:r>
      <w:bookmarkEnd w:id="318"/>
      <w:bookmarkEnd w:id="319"/>
      <w:bookmarkEnd w:id="320"/>
      <w:bookmarkEnd w:id="321"/>
      <w:bookmarkEnd w:id="322"/>
      <w:bookmarkEnd w:id="323"/>
      <w:bookmarkEnd w:id="324"/>
      <w:bookmarkEnd w:id="325"/>
      <w:bookmarkEnd w:id="326"/>
      <w:bookmarkEnd w:id="327"/>
      <w:bookmarkEnd w:id="328"/>
      <w:bookmarkEnd w:id="329"/>
    </w:p>
    <w:p w14:paraId="64C8E3D5">
      <w:pPr>
        <w:spacing w:line="360" w:lineRule="auto"/>
        <w:ind w:firstLine="420"/>
        <w:rPr>
          <w:rFonts w:hint="eastAsia" w:ascii="宋体" w:hAnsi="宋体" w:cs="宋体"/>
          <w:color w:val="auto"/>
          <w:szCs w:val="21"/>
          <w:highlight w:val="none"/>
        </w:rPr>
      </w:pPr>
      <w:r>
        <w:rPr>
          <w:rFonts w:hint="eastAsia" w:ascii="宋体" w:hAnsi="宋体"/>
          <w:color w:val="auto"/>
          <w:szCs w:val="21"/>
          <w:highlight w:val="none"/>
        </w:rPr>
        <w:t>18.1响应文件递交截止时间：于</w:t>
      </w:r>
      <w:r>
        <w:rPr>
          <w:rFonts w:hint="eastAsia" w:ascii="宋体" w:hAnsi="宋体" w:cs="宋体"/>
          <w:color w:val="auto"/>
          <w:szCs w:val="21"/>
          <w:highlight w:val="none"/>
          <w:u w:val="single"/>
          <w:lang w:eastAsia="zh-CN"/>
        </w:rPr>
        <w:t>2026年8月17日</w:t>
      </w:r>
      <w:r>
        <w:rPr>
          <w:rFonts w:hint="eastAsia" w:ascii="宋体" w:hAnsi="宋体" w:cs="宋体"/>
          <w:color w:val="auto"/>
          <w:szCs w:val="21"/>
          <w:highlight w:val="none"/>
          <w:u w:val="single"/>
        </w:rPr>
        <w:t>上午9时30分</w:t>
      </w:r>
      <w:r>
        <w:rPr>
          <w:rFonts w:hint="eastAsia" w:ascii="宋体" w:hAnsi="宋体" w:cs="宋体"/>
          <w:color w:val="auto"/>
          <w:szCs w:val="21"/>
          <w:highlight w:val="none"/>
        </w:rPr>
        <w:t>之前将电子</w:t>
      </w:r>
      <w:r>
        <w:rPr>
          <w:rFonts w:hint="eastAsia" w:ascii="宋体" w:hAnsi="宋体"/>
          <w:color w:val="auto"/>
          <w:szCs w:val="21"/>
          <w:highlight w:val="none"/>
        </w:rPr>
        <w:t>响应</w:t>
      </w:r>
      <w:r>
        <w:rPr>
          <w:rFonts w:hint="eastAsia" w:ascii="宋体" w:hAnsi="宋体" w:cs="宋体"/>
          <w:color w:val="auto"/>
          <w:szCs w:val="21"/>
          <w:highlight w:val="none"/>
        </w:rPr>
        <w:t>文件上传到广西政府采购云平台。应按照本项目谈判文件和广西政府采购云平台的要求编制、加密传输</w:t>
      </w:r>
      <w:r>
        <w:rPr>
          <w:rFonts w:hint="eastAsia" w:ascii="宋体" w:hAnsi="宋体"/>
          <w:color w:val="auto"/>
          <w:szCs w:val="21"/>
          <w:highlight w:val="none"/>
        </w:rPr>
        <w:t>响应</w:t>
      </w:r>
      <w:r>
        <w:rPr>
          <w:rFonts w:hint="eastAsia" w:ascii="宋体" w:hAnsi="宋体" w:cs="宋体"/>
          <w:color w:val="auto"/>
          <w:szCs w:val="21"/>
          <w:highlight w:val="none"/>
        </w:rPr>
        <w:t>文件。供应商在使用系统进行投标响应的过程中遇到涉及平台使用的任何问题，可致电广西政府采购云平台技术支持热线咨询，联系方式：95763。</w:t>
      </w:r>
    </w:p>
    <w:p w14:paraId="6A4804C6">
      <w:pPr>
        <w:pStyle w:val="18"/>
        <w:ind w:firstLine="420"/>
        <w:rPr>
          <w:rFonts w:hint="eastAsia" w:ascii="宋体" w:hAnsi="宋体" w:cs="宋体"/>
          <w:b/>
          <w:bCs/>
          <w:color w:val="auto"/>
          <w:sz w:val="24"/>
          <w:highlight w:val="none"/>
        </w:rPr>
      </w:pPr>
      <w:r>
        <w:rPr>
          <w:rFonts w:hint="eastAsia" w:ascii="宋体" w:hAnsi="宋体" w:cs="宋体"/>
          <w:color w:val="auto"/>
          <w:szCs w:val="21"/>
          <w:highlight w:val="none"/>
        </w:rPr>
        <w:t>18.2</w:t>
      </w:r>
      <w:r>
        <w:rPr>
          <w:rFonts w:hint="eastAsia" w:ascii="宋体" w:hAnsi="宋体" w:cs="宋体"/>
          <w:color w:val="auto"/>
          <w:highlight w:val="none"/>
        </w:rPr>
        <w:t>响应文件解密时间：截标时间后</w:t>
      </w:r>
      <w:r>
        <w:rPr>
          <w:rFonts w:hint="eastAsia" w:ascii="宋体" w:hAnsi="宋体" w:cs="宋体"/>
          <w:color w:val="auto"/>
          <w:highlight w:val="none"/>
          <w:u w:val="single"/>
        </w:rPr>
        <w:t>30</w:t>
      </w:r>
      <w:r>
        <w:rPr>
          <w:rFonts w:hint="eastAsia" w:ascii="宋体" w:hAnsi="宋体" w:cs="宋体"/>
          <w:color w:val="auto"/>
          <w:highlight w:val="none"/>
        </w:rPr>
        <w:t>分钟内（</w:t>
      </w:r>
      <w:r>
        <w:rPr>
          <w:rFonts w:hint="eastAsia" w:ascii="宋体" w:hAnsi="宋体" w:cs="宋体"/>
          <w:color w:val="auto"/>
          <w:highlight w:val="none"/>
          <w:u w:val="single"/>
          <w:lang w:eastAsia="zh-CN"/>
        </w:rPr>
        <w:t>2026年8月17日</w:t>
      </w:r>
      <w:r>
        <w:rPr>
          <w:rFonts w:hint="eastAsia" w:ascii="宋体" w:hAnsi="宋体" w:cs="宋体"/>
          <w:color w:val="auto"/>
          <w:highlight w:val="none"/>
          <w:u w:val="single"/>
        </w:rPr>
        <w:t>上午9时30分至10时00分</w:t>
      </w:r>
      <w:r>
        <w:rPr>
          <w:rFonts w:hint="eastAsia" w:ascii="宋体" w:hAnsi="宋体" w:cs="宋体"/>
          <w:color w:val="auto"/>
          <w:highlight w:val="none"/>
        </w:rPr>
        <w:t>)供应商可以登录广西政府采购云平台，用“项目采购-开标评标”功能进行解密响应文件。</w:t>
      </w:r>
      <w:r>
        <w:rPr>
          <w:rFonts w:hint="eastAsia" w:ascii="宋体" w:hAnsi="宋体" w:cs="宋体"/>
          <w:b/>
          <w:bCs/>
          <w:color w:val="auto"/>
          <w:sz w:val="24"/>
          <w:highlight w:val="none"/>
        </w:rPr>
        <w:t xml:space="preserve"> </w:t>
      </w:r>
    </w:p>
    <w:p w14:paraId="72662524">
      <w:pPr>
        <w:pStyle w:val="18"/>
        <w:ind w:firstLine="420"/>
        <w:rPr>
          <w:rFonts w:ascii="宋体" w:hAnsi="宋体" w:cs="宋体"/>
          <w:color w:val="auto"/>
          <w:highlight w:val="none"/>
        </w:rPr>
      </w:pPr>
      <w:r>
        <w:rPr>
          <w:rFonts w:hint="eastAsia" w:ascii="宋体" w:hAnsi="宋体" w:cs="宋体"/>
          <w:b/>
          <w:bCs/>
          <w:color w:val="auto"/>
          <w:highlight w:val="none"/>
        </w:rPr>
        <w:t>注：响应文件网上递交截止时间后，各供应商须在解密时限内对上传</w:t>
      </w:r>
      <w:r>
        <w:rPr>
          <w:rFonts w:hint="eastAsia" w:ascii="宋体" w:hAnsi="宋体" w:cs="宋体"/>
          <w:b/>
          <w:bCs/>
          <w:color w:val="auto"/>
          <w:szCs w:val="21"/>
          <w:highlight w:val="none"/>
        </w:rPr>
        <w:t>广西政府采购云平台</w:t>
      </w:r>
      <w:r>
        <w:rPr>
          <w:rFonts w:hint="eastAsia" w:ascii="宋体" w:hAnsi="宋体" w:cs="宋体"/>
          <w:b/>
          <w:bCs/>
          <w:color w:val="auto"/>
          <w:highlight w:val="none"/>
        </w:rPr>
        <w:t>的响应文件进行解密，所有供应商在规定的解密时限内解密完成或解密时限结束后，我中心开启已解密的响应文件。供应商超过解密时限未解密的，系统默认自动放弃，造成响应无效的后果由供应商自行承担。解密响应文件后，30分钟内在线签字确认，超过时间没有在线签字确认的系统将自动视为供应商认可。</w:t>
      </w:r>
      <w:r>
        <w:rPr>
          <w:rFonts w:hint="eastAsia" w:ascii="宋体" w:hAnsi="宋体" w:cs="宋体"/>
          <w:color w:val="auto"/>
          <w:highlight w:val="none"/>
        </w:rPr>
        <w:t> </w:t>
      </w:r>
    </w:p>
    <w:p w14:paraId="5C829F9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18.3 除响应文件另有规定外，供应商所递交的响应文件不予退还。</w:t>
      </w:r>
    </w:p>
    <w:p w14:paraId="2586F54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18.4 电子响应文件的相关说明</w:t>
      </w:r>
    </w:p>
    <w:p w14:paraId="1AAF938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1）供应商进行电子投标应安装客户端软件，并按照谈判文件和电子交易平台的要求编制并加密响应文件。供应商未按规定加密的响应文件，电子交易平台将拒收。供应商应当在响应文件递交截止时间前完成响应文件的传输递交，并可以补充、修改或者撤回响应文件。补充或者修改响应文件的，应当先行撤回原文件，补充、修改后重新传输递交。响应文件递交截止时间前未完成传输的，视为撤回响应文件。响应文件递交截止时间后递交的响应文件，电子交易平台将拒收。 </w:t>
      </w:r>
    </w:p>
    <w:p w14:paraId="2AA4B0D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（2）如有特殊情况，采购代理机构延长响应文件递交截止时间和谈判时间，采购代理机构和供应商的权利和义务将受到新的截止时间和开标时间的约束。</w:t>
      </w:r>
    </w:p>
    <w:p w14:paraId="4E32BB61">
      <w:pPr>
        <w:pStyle w:val="3"/>
        <w:jc w:val="center"/>
        <w:rPr>
          <w:rFonts w:hint="eastAsia"/>
          <w:b/>
          <w:bCs w:val="0"/>
          <w:color w:val="auto"/>
          <w:szCs w:val="28"/>
          <w:highlight w:val="none"/>
        </w:rPr>
      </w:pPr>
      <w:bookmarkStart w:id="330" w:name="_Toc26917"/>
      <w:bookmarkStart w:id="331" w:name="_Toc16370"/>
      <w:bookmarkStart w:id="332" w:name="_Toc22747"/>
      <w:bookmarkStart w:id="333" w:name="_Toc20673"/>
      <w:bookmarkStart w:id="334" w:name="_Toc13131"/>
      <w:bookmarkStart w:id="335" w:name="_Toc1602"/>
      <w:bookmarkStart w:id="336" w:name="_Toc21771"/>
      <w:bookmarkStart w:id="337" w:name="_Toc18730"/>
      <w:bookmarkStart w:id="338" w:name="_Toc21272"/>
      <w:bookmarkStart w:id="339" w:name="_Toc29487"/>
      <w:bookmarkStart w:id="340" w:name="_Toc13867"/>
      <w:bookmarkStart w:id="341" w:name="_Toc10288"/>
      <w:r>
        <w:rPr>
          <w:rFonts w:hint="eastAsia"/>
          <w:b/>
          <w:bCs w:val="0"/>
          <w:color w:val="auto"/>
          <w:szCs w:val="28"/>
          <w:highlight w:val="none"/>
        </w:rPr>
        <w:t>四、竞争性谈判（简称谈判）与评审</w:t>
      </w:r>
      <w:bookmarkEnd w:id="330"/>
      <w:bookmarkEnd w:id="331"/>
      <w:bookmarkEnd w:id="332"/>
      <w:bookmarkEnd w:id="333"/>
      <w:bookmarkEnd w:id="334"/>
      <w:bookmarkEnd w:id="335"/>
      <w:bookmarkEnd w:id="336"/>
      <w:bookmarkEnd w:id="337"/>
      <w:bookmarkEnd w:id="338"/>
      <w:bookmarkEnd w:id="339"/>
      <w:bookmarkEnd w:id="340"/>
      <w:bookmarkEnd w:id="341"/>
    </w:p>
    <w:p w14:paraId="4740D5F0">
      <w:pPr>
        <w:pStyle w:val="4"/>
        <w:spacing w:before="0" w:after="0" w:line="360" w:lineRule="auto"/>
        <w:ind w:firstLine="420"/>
        <w:rPr>
          <w:rFonts w:hint="eastAsia" w:ascii="宋体" w:hAnsi="宋体" w:cs="宋体"/>
          <w:color w:val="auto"/>
          <w:sz w:val="21"/>
          <w:szCs w:val="21"/>
          <w:highlight w:val="none"/>
        </w:rPr>
      </w:pPr>
      <w:bookmarkStart w:id="342" w:name="_Toc23202"/>
      <w:bookmarkStart w:id="343" w:name="_Toc26009"/>
      <w:bookmarkStart w:id="344" w:name="_Toc20471"/>
      <w:bookmarkStart w:id="345" w:name="_Toc28739"/>
      <w:bookmarkStart w:id="346" w:name="_Toc28716"/>
      <w:bookmarkStart w:id="347" w:name="_Toc1043"/>
      <w:bookmarkStart w:id="348" w:name="_Toc21940"/>
      <w:bookmarkStart w:id="349" w:name="_Toc18481"/>
      <w:bookmarkStart w:id="350" w:name="_Toc32162"/>
      <w:bookmarkStart w:id="351" w:name="_Toc580"/>
      <w:bookmarkStart w:id="352" w:name="_Toc13780"/>
      <w:bookmarkStart w:id="353" w:name="_Toc22662"/>
      <w:r>
        <w:rPr>
          <w:rFonts w:hint="eastAsia" w:ascii="宋体" w:hAnsi="宋体" w:cs="宋体"/>
          <w:color w:val="auto"/>
          <w:sz w:val="21"/>
          <w:szCs w:val="21"/>
          <w:highlight w:val="none"/>
        </w:rPr>
        <w:t>19. 谈判小组组成及谈判时间、地点、人员</w:t>
      </w:r>
      <w:bookmarkEnd w:id="342"/>
      <w:bookmarkEnd w:id="343"/>
      <w:bookmarkEnd w:id="344"/>
      <w:bookmarkEnd w:id="345"/>
      <w:bookmarkEnd w:id="346"/>
      <w:bookmarkEnd w:id="347"/>
      <w:bookmarkEnd w:id="348"/>
      <w:bookmarkEnd w:id="349"/>
      <w:bookmarkEnd w:id="350"/>
      <w:bookmarkEnd w:id="351"/>
      <w:bookmarkEnd w:id="352"/>
      <w:bookmarkEnd w:id="353"/>
    </w:p>
    <w:p w14:paraId="72D0F98E">
      <w:pPr>
        <w:ind w:firstLine="420"/>
        <w:rPr>
          <w:rFonts w:hint="eastAsia" w:ascii="宋体" w:hAnsi="宋体" w:cs="宋体"/>
          <w:b/>
          <w:bCs/>
          <w:color w:val="auto"/>
          <w:highlight w:val="none"/>
        </w:rPr>
      </w:pPr>
      <w:r>
        <w:rPr>
          <w:rFonts w:hint="eastAsia" w:ascii="宋体" w:hAnsi="宋体" w:cs="宋体"/>
          <w:b/>
          <w:bCs/>
          <w:color w:val="auto"/>
          <w:highlight w:val="none"/>
        </w:rPr>
        <w:t>19.1 谈判小组组成：</w:t>
      </w:r>
    </w:p>
    <w:p w14:paraId="23200229">
      <w:pPr>
        <w:spacing w:line="360" w:lineRule="auto"/>
        <w:ind w:firstLine="420"/>
        <w:rPr>
          <w:rFonts w:ascii="宋体" w:cs="宋体"/>
          <w:color w:val="auto"/>
          <w:szCs w:val="21"/>
          <w:highlight w:val="none"/>
        </w:rPr>
      </w:pPr>
      <w:r>
        <w:rPr>
          <w:rFonts w:hint="eastAsia" w:ascii="宋体" w:hAnsi="宋体" w:cs="宋体"/>
          <w:color w:val="auto"/>
          <w:szCs w:val="21"/>
          <w:highlight w:val="none"/>
        </w:rPr>
        <w:t>谈判及评审工作由采购代理机构负责组织，具体谈判、评审工作由依法组建的谈判小组负责，谈判小组由采购人代表和有关方面的专家组成。谈判小组的构成：</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3 </w:t>
      </w:r>
      <w:r>
        <w:rPr>
          <w:rFonts w:hint="eastAsia" w:ascii="宋体" w:hAnsi="宋体" w:cs="宋体"/>
          <w:color w:val="auto"/>
          <w:szCs w:val="21"/>
          <w:highlight w:val="none"/>
        </w:rPr>
        <w:t>人，其中采购人代表</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1 </w:t>
      </w:r>
      <w:r>
        <w:rPr>
          <w:rFonts w:hint="eastAsia" w:ascii="宋体" w:hAnsi="宋体" w:cs="宋体"/>
          <w:color w:val="auto"/>
          <w:szCs w:val="21"/>
          <w:highlight w:val="none"/>
        </w:rPr>
        <w:t>人，</w:t>
      </w:r>
      <w:r>
        <w:rPr>
          <w:rFonts w:ascii="宋体" w:hAnsi="宋体" w:cs="宋体"/>
          <w:color w:val="auto"/>
          <w:szCs w:val="21"/>
          <w:highlight w:val="none"/>
        </w:rPr>
        <w:t xml:space="preserve"> </w:t>
      </w:r>
      <w:r>
        <w:rPr>
          <w:rFonts w:hint="eastAsia" w:ascii="宋体" w:hAnsi="宋体" w:cs="宋体"/>
          <w:color w:val="auto"/>
          <w:szCs w:val="21"/>
          <w:highlight w:val="none"/>
        </w:rPr>
        <w:t>专家</w:t>
      </w:r>
      <w:r>
        <w:rPr>
          <w:rFonts w:ascii="宋体" w:hAnsi="宋体" w:cs="宋体"/>
          <w:color w:val="auto"/>
          <w:szCs w:val="21"/>
          <w:highlight w:val="none"/>
          <w:u w:val="single"/>
        </w:rPr>
        <w:t xml:space="preserve"> 2 </w:t>
      </w:r>
      <w:r>
        <w:rPr>
          <w:rFonts w:hint="eastAsia" w:ascii="宋体" w:hAnsi="宋体" w:cs="宋体"/>
          <w:color w:val="auto"/>
          <w:szCs w:val="21"/>
          <w:highlight w:val="none"/>
        </w:rPr>
        <w:t>人。</w:t>
      </w:r>
    </w:p>
    <w:p w14:paraId="475F5B75">
      <w:pPr>
        <w:ind w:firstLine="420"/>
        <w:rPr>
          <w:rFonts w:hint="eastAsia" w:ascii="宋体" w:hAnsi="宋体" w:cs="宋体"/>
          <w:b/>
          <w:bCs/>
          <w:color w:val="auto"/>
          <w:highlight w:val="none"/>
        </w:rPr>
      </w:pPr>
      <w:r>
        <w:rPr>
          <w:rFonts w:hint="eastAsia" w:ascii="宋体" w:hAnsi="宋体" w:cs="宋体"/>
          <w:b/>
          <w:bCs/>
          <w:color w:val="auto"/>
          <w:highlight w:val="none"/>
        </w:rPr>
        <w:t>19.2 谈判时间、地点、人员：</w:t>
      </w:r>
    </w:p>
    <w:p w14:paraId="6D722933">
      <w:pPr>
        <w:spacing w:line="360" w:lineRule="auto"/>
        <w:ind w:firstLine="420"/>
        <w:rPr>
          <w:rFonts w:ascii="宋体" w:cs="宋体"/>
          <w:color w:val="auto"/>
          <w:szCs w:val="21"/>
          <w:highlight w:val="none"/>
        </w:rPr>
      </w:pPr>
      <w:r>
        <w:rPr>
          <w:rFonts w:hint="eastAsia" w:ascii="宋体" w:hAnsi="宋体" w:cs="宋体"/>
          <w:color w:val="auto"/>
          <w:szCs w:val="21"/>
          <w:highlight w:val="none"/>
        </w:rPr>
        <w:t>19</w:t>
      </w:r>
      <w:r>
        <w:rPr>
          <w:rFonts w:ascii="宋体" w:hAnsi="宋体" w:cs="宋体"/>
          <w:color w:val="auto"/>
          <w:szCs w:val="21"/>
          <w:highlight w:val="none"/>
        </w:rPr>
        <w:t xml:space="preserve">.2.1 </w:t>
      </w:r>
      <w:r>
        <w:rPr>
          <w:rFonts w:hint="eastAsia" w:ascii="宋体" w:hAnsi="宋体" w:cs="宋体"/>
          <w:color w:val="auto"/>
          <w:szCs w:val="21"/>
          <w:highlight w:val="none"/>
        </w:rPr>
        <w:t>谈判时间：响应文件递交截止时间后。</w:t>
      </w:r>
    </w:p>
    <w:p w14:paraId="461366EA">
      <w:pPr>
        <w:spacing w:line="360" w:lineRule="auto"/>
        <w:ind w:firstLine="420"/>
        <w:rPr>
          <w:rFonts w:hint="eastAsia" w:ascii="宋体" w:hAnsi="宋体" w:cs="宋体"/>
          <w:b/>
          <w:bCs/>
          <w:color w:val="auto"/>
          <w:szCs w:val="21"/>
          <w:highlight w:val="none"/>
        </w:rPr>
      </w:pPr>
      <w:r>
        <w:rPr>
          <w:rFonts w:hint="eastAsia" w:ascii="宋体" w:hAnsi="宋体" w:cs="宋体"/>
          <w:color w:val="auto"/>
          <w:szCs w:val="21"/>
          <w:highlight w:val="none"/>
        </w:rPr>
        <w:t>19</w:t>
      </w:r>
      <w:r>
        <w:rPr>
          <w:rFonts w:ascii="宋体" w:hAnsi="宋体" w:cs="宋体"/>
          <w:color w:val="auto"/>
          <w:szCs w:val="21"/>
          <w:highlight w:val="none"/>
        </w:rPr>
        <w:t xml:space="preserve">.2.2 </w:t>
      </w:r>
      <w:r>
        <w:rPr>
          <w:rFonts w:hint="eastAsia" w:ascii="宋体" w:hAnsi="宋体" w:cs="宋体"/>
          <w:color w:val="auto"/>
          <w:szCs w:val="21"/>
          <w:highlight w:val="none"/>
        </w:rPr>
        <w:t>谈判地点：</w:t>
      </w:r>
      <w:r>
        <w:rPr>
          <w:rFonts w:hint="eastAsia" w:ascii="宋体" w:hAnsi="宋体" w:cs="宋体"/>
          <w:b/>
          <w:bCs/>
          <w:color w:val="auto"/>
          <w:szCs w:val="21"/>
          <w:highlight w:val="none"/>
        </w:rPr>
        <w:t>通过广西政府采购云平台在线谈判。</w:t>
      </w:r>
    </w:p>
    <w:p w14:paraId="72FD4725">
      <w:pPr>
        <w:spacing w:line="360" w:lineRule="auto"/>
        <w:ind w:firstLine="420"/>
        <w:rPr>
          <w:rFonts w:ascii="宋体" w:cs="宋体"/>
          <w:color w:val="auto"/>
          <w:szCs w:val="21"/>
          <w:highlight w:val="none"/>
        </w:rPr>
      </w:pPr>
      <w:r>
        <w:rPr>
          <w:rFonts w:hint="eastAsia" w:ascii="宋体" w:hAnsi="宋体" w:cs="宋体"/>
          <w:color w:val="auto"/>
          <w:szCs w:val="21"/>
          <w:highlight w:val="none"/>
        </w:rPr>
        <w:t>19</w:t>
      </w:r>
      <w:r>
        <w:rPr>
          <w:rFonts w:ascii="宋体" w:hAnsi="宋体" w:cs="宋体"/>
          <w:color w:val="auto"/>
          <w:szCs w:val="21"/>
          <w:highlight w:val="none"/>
        </w:rPr>
        <w:t xml:space="preserve">.2.3 </w:t>
      </w:r>
      <w:r>
        <w:rPr>
          <w:rFonts w:hint="eastAsia" w:ascii="宋体" w:hAnsi="宋体" w:cs="宋体"/>
          <w:color w:val="auto"/>
          <w:szCs w:val="21"/>
          <w:highlight w:val="none"/>
        </w:rPr>
        <w:t>谈判参加人员：</w:t>
      </w:r>
      <w:r>
        <w:rPr>
          <w:rFonts w:hint="eastAsia" w:ascii="宋体" w:hAnsi="宋体"/>
          <w:color w:val="auto"/>
          <w:szCs w:val="21"/>
          <w:highlight w:val="none"/>
        </w:rPr>
        <w:t>供应商法定代表人、负责人、自然人或相应的委托代理人持</w:t>
      </w:r>
      <w:r>
        <w:rPr>
          <w:rFonts w:hint="eastAsia" w:ascii="宋体" w:hAnsi="宋体"/>
          <w:color w:val="auto"/>
          <w:szCs w:val="21"/>
          <w:highlight w:val="none"/>
          <w:u w:val="single"/>
        </w:rPr>
        <w:t>有效身份证原</w:t>
      </w:r>
      <w:r>
        <w:rPr>
          <w:rFonts w:hint="eastAsia" w:ascii="宋体" w:hAnsi="宋体"/>
          <w:color w:val="auto"/>
          <w:szCs w:val="21"/>
          <w:highlight w:val="none"/>
        </w:rPr>
        <w:t>件和</w:t>
      </w:r>
      <w:r>
        <w:rPr>
          <w:rFonts w:hint="eastAsia" w:ascii="宋体" w:hAnsi="宋体"/>
          <w:color w:val="auto"/>
          <w:szCs w:val="21"/>
          <w:highlight w:val="none"/>
          <w:u w:val="single"/>
        </w:rPr>
        <w:t>供应商广西政府采购云平台CA数字证书</w:t>
      </w:r>
      <w:r>
        <w:rPr>
          <w:rFonts w:hint="eastAsia" w:ascii="宋体" w:hAnsi="宋体"/>
          <w:color w:val="auto"/>
          <w:szCs w:val="21"/>
          <w:highlight w:val="none"/>
        </w:rPr>
        <w:t>参加谈判。请供应商及时</w:t>
      </w:r>
      <w:r>
        <w:rPr>
          <w:rFonts w:hint="eastAsia" w:ascii="宋体" w:hAnsi="宋体"/>
          <w:color w:val="auto"/>
          <w:szCs w:val="21"/>
          <w:highlight w:val="none"/>
          <w:lang w:eastAsia="zh-CN"/>
        </w:rPr>
        <w:t>登录</w:t>
      </w:r>
      <w:r>
        <w:rPr>
          <w:rFonts w:hint="eastAsia" w:ascii="宋体" w:hAnsi="宋体"/>
          <w:color w:val="auto"/>
          <w:szCs w:val="21"/>
          <w:highlight w:val="none"/>
        </w:rPr>
        <w:t>广西政府采购云平台等候谈判</w:t>
      </w:r>
      <w:r>
        <w:rPr>
          <w:rFonts w:hint="eastAsia" w:ascii="宋体" w:hAnsi="宋体" w:cs="宋体"/>
          <w:color w:val="auto"/>
          <w:szCs w:val="21"/>
          <w:highlight w:val="none"/>
        </w:rPr>
        <w:t>。</w:t>
      </w:r>
    </w:p>
    <w:p w14:paraId="722599F5">
      <w:pPr>
        <w:spacing w:line="360" w:lineRule="auto"/>
        <w:ind w:firstLine="420"/>
        <w:rPr>
          <w:rFonts w:ascii="宋体" w:cs="宋体"/>
          <w:color w:val="auto"/>
          <w:szCs w:val="21"/>
          <w:highlight w:val="none"/>
        </w:rPr>
      </w:pPr>
      <w:r>
        <w:rPr>
          <w:rFonts w:hint="eastAsia" w:ascii="宋体" w:hAnsi="宋体" w:cs="宋体"/>
          <w:color w:val="auto"/>
          <w:szCs w:val="21"/>
          <w:highlight w:val="none"/>
        </w:rPr>
        <w:t>19</w:t>
      </w:r>
      <w:r>
        <w:rPr>
          <w:rFonts w:ascii="宋体" w:hAnsi="宋体" w:cs="宋体"/>
          <w:color w:val="auto"/>
          <w:szCs w:val="21"/>
          <w:highlight w:val="none"/>
        </w:rPr>
        <w:t xml:space="preserve">.2.4 </w:t>
      </w:r>
      <w:r>
        <w:rPr>
          <w:rFonts w:hint="eastAsia" w:ascii="宋体" w:hAnsi="宋体" w:cs="宋体"/>
          <w:color w:val="auto"/>
          <w:szCs w:val="21"/>
          <w:highlight w:val="none"/>
        </w:rPr>
        <w:t>响应文件递交截止时间后，由谈判小组在评标室内开启响应文件。</w:t>
      </w:r>
      <w:r>
        <w:rPr>
          <w:rFonts w:ascii="宋体" w:hAnsi="宋体" w:cs="宋体"/>
          <w:color w:val="auto"/>
          <w:szCs w:val="21"/>
          <w:highlight w:val="none"/>
        </w:rPr>
        <w:t xml:space="preserve">  </w:t>
      </w:r>
    </w:p>
    <w:p w14:paraId="1B907A82">
      <w:pPr>
        <w:pStyle w:val="4"/>
        <w:spacing w:before="0" w:after="0" w:line="360" w:lineRule="auto"/>
        <w:ind w:firstLine="420"/>
        <w:rPr>
          <w:rFonts w:hint="eastAsia" w:ascii="宋体" w:hAnsi="宋体" w:cs="宋体"/>
          <w:color w:val="auto"/>
          <w:sz w:val="21"/>
          <w:szCs w:val="21"/>
          <w:highlight w:val="none"/>
        </w:rPr>
      </w:pPr>
      <w:bookmarkStart w:id="354" w:name="_Toc10604"/>
      <w:bookmarkStart w:id="355" w:name="_Toc2224"/>
      <w:bookmarkStart w:id="356" w:name="_Toc3727"/>
      <w:bookmarkStart w:id="357" w:name="_Toc30892"/>
      <w:bookmarkStart w:id="358" w:name="_Toc21001"/>
      <w:bookmarkStart w:id="359" w:name="_Toc23784"/>
      <w:bookmarkStart w:id="360" w:name="_Toc21172"/>
      <w:bookmarkStart w:id="361" w:name="_Toc20293"/>
      <w:bookmarkStart w:id="362" w:name="_Toc5902"/>
      <w:bookmarkStart w:id="363" w:name="_Toc22686"/>
      <w:bookmarkStart w:id="364" w:name="_Toc27806"/>
      <w:bookmarkStart w:id="365" w:name="_Toc3666"/>
      <w:r>
        <w:rPr>
          <w:rFonts w:hint="eastAsia" w:ascii="宋体" w:hAnsi="宋体" w:cs="宋体"/>
          <w:color w:val="auto"/>
          <w:sz w:val="21"/>
          <w:szCs w:val="21"/>
          <w:highlight w:val="none"/>
        </w:rPr>
        <w:t>20. 评审原则</w:t>
      </w:r>
      <w:bookmarkEnd w:id="354"/>
      <w:bookmarkEnd w:id="355"/>
      <w:bookmarkEnd w:id="356"/>
      <w:bookmarkEnd w:id="357"/>
      <w:bookmarkEnd w:id="358"/>
      <w:bookmarkEnd w:id="359"/>
      <w:bookmarkEnd w:id="360"/>
      <w:bookmarkEnd w:id="361"/>
      <w:bookmarkEnd w:id="362"/>
      <w:bookmarkEnd w:id="363"/>
      <w:bookmarkEnd w:id="364"/>
      <w:bookmarkEnd w:id="365"/>
    </w:p>
    <w:p w14:paraId="14C3A741">
      <w:pPr>
        <w:spacing w:line="360" w:lineRule="auto"/>
        <w:ind w:firstLine="420"/>
        <w:rPr>
          <w:rFonts w:asci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0</w:t>
      </w:r>
      <w:r>
        <w:rPr>
          <w:rFonts w:ascii="宋体" w:hAnsi="宋体" w:cs="宋体"/>
          <w:color w:val="auto"/>
          <w:szCs w:val="21"/>
          <w:highlight w:val="none"/>
        </w:rPr>
        <w:t xml:space="preserve">.1 </w:t>
      </w:r>
      <w:r>
        <w:rPr>
          <w:rFonts w:hint="eastAsia" w:ascii="宋体" w:hAnsi="宋体" w:cs="宋体"/>
          <w:color w:val="auto"/>
          <w:szCs w:val="21"/>
          <w:highlight w:val="none"/>
        </w:rPr>
        <w:t>谈判小组必须坚持公平、公正、科学和择优的原则。</w:t>
      </w:r>
    </w:p>
    <w:p w14:paraId="3E8770F8">
      <w:pPr>
        <w:spacing w:line="360" w:lineRule="auto"/>
        <w:ind w:firstLine="420"/>
        <w:rPr>
          <w:rFonts w:asci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0</w:t>
      </w:r>
      <w:r>
        <w:rPr>
          <w:rFonts w:ascii="宋体" w:hAnsi="宋体" w:cs="宋体"/>
          <w:color w:val="auto"/>
          <w:szCs w:val="21"/>
          <w:highlight w:val="none"/>
        </w:rPr>
        <w:t xml:space="preserve">.2 </w:t>
      </w:r>
      <w:r>
        <w:rPr>
          <w:rFonts w:hint="eastAsia" w:ascii="宋体" w:hAnsi="宋体" w:cs="宋体"/>
          <w:color w:val="auto"/>
          <w:szCs w:val="21"/>
          <w:highlight w:val="none"/>
        </w:rPr>
        <w:t>评审办法：具体详见第四章评审办法。</w:t>
      </w:r>
    </w:p>
    <w:p w14:paraId="310C1B6D">
      <w:pPr>
        <w:spacing w:line="360" w:lineRule="auto"/>
        <w:ind w:firstLine="420"/>
        <w:rPr>
          <w:rFonts w:asci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0</w:t>
      </w:r>
      <w:r>
        <w:rPr>
          <w:rFonts w:ascii="宋体" w:hAnsi="宋体" w:cs="宋体"/>
          <w:color w:val="auto"/>
          <w:szCs w:val="21"/>
          <w:highlight w:val="none"/>
        </w:rPr>
        <w:t xml:space="preserve">.3 </w:t>
      </w:r>
      <w:r>
        <w:rPr>
          <w:rFonts w:hint="eastAsia" w:ascii="宋体" w:hAnsi="宋体" w:cs="宋体"/>
          <w:color w:val="auto"/>
          <w:szCs w:val="21"/>
          <w:highlight w:val="none"/>
        </w:rPr>
        <w:t>谈判小组应按谈判文件进行评审，不得擅自更改评审办法。</w:t>
      </w:r>
    </w:p>
    <w:p w14:paraId="160E2880">
      <w:pPr>
        <w:spacing w:line="360" w:lineRule="auto"/>
        <w:ind w:firstLine="420"/>
        <w:rPr>
          <w:rFonts w:asci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0</w:t>
      </w:r>
      <w:r>
        <w:rPr>
          <w:rFonts w:ascii="宋体" w:hAnsi="宋体" w:cs="宋体"/>
          <w:color w:val="auto"/>
          <w:szCs w:val="21"/>
          <w:highlight w:val="none"/>
        </w:rPr>
        <w:t xml:space="preserve">.4 </w:t>
      </w:r>
      <w:r>
        <w:rPr>
          <w:rFonts w:hint="eastAsia" w:ascii="宋体" w:hAnsi="宋体" w:cs="宋体"/>
          <w:color w:val="auto"/>
          <w:szCs w:val="21"/>
          <w:highlight w:val="none"/>
        </w:rPr>
        <w:t>在评审过程中，谈判小组任何人不得对某个供应商发表任何倾向性意见，不得向其他谈判小组成员明示或者暗示自己的评审意见。</w:t>
      </w:r>
    </w:p>
    <w:p w14:paraId="5A2B4C64">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0</w:t>
      </w:r>
      <w:r>
        <w:rPr>
          <w:rFonts w:ascii="宋体" w:hAnsi="宋体" w:cs="宋体"/>
          <w:color w:val="auto"/>
          <w:szCs w:val="21"/>
          <w:highlight w:val="none"/>
        </w:rPr>
        <w:t xml:space="preserve">.5 </w:t>
      </w:r>
      <w:r>
        <w:rPr>
          <w:rFonts w:hint="eastAsia" w:ascii="宋体" w:hAnsi="宋体" w:cs="宋体"/>
          <w:color w:val="auto"/>
          <w:szCs w:val="21"/>
          <w:highlight w:val="none"/>
        </w:rPr>
        <w:t>谈判小组成员对需要共同认定的事项存在争议的，按照少数服从多数的原则作出结论。持不　　　　　　　　　　　　　　　　　　　　　　　　　　　　　　　　　　　　　　　　　　　　　　　　　　　　　　　　　　　　　　　　　同意见的谈判小组成员应当在评审报告上签署不同意见并说明理由，否则视为同意。</w:t>
      </w:r>
    </w:p>
    <w:p w14:paraId="4215CDA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20.6 响应文件最后报价出现前后不一致的，除竞争性谈判文件另有规定外，按照下列规定修正：</w:t>
      </w:r>
    </w:p>
    <w:p w14:paraId="6E71E38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 响应文件中谈判报价表内容与响应文件中相应内容不一致的，以最后谈判报价表为准；</w:t>
      </w:r>
    </w:p>
    <w:p w14:paraId="6FC1F90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 大写金额和小写金额不一致的，以大写金额为准；</w:t>
      </w:r>
    </w:p>
    <w:p w14:paraId="1E8B387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 单价金额小数点或者百分比有明显错位的，以报价表的总价为准，并修改单价；</w:t>
      </w:r>
    </w:p>
    <w:p w14:paraId="6913AB6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 总价金额与按单价汇总金额不一致的，以单价金额计算结果为准。</w:t>
      </w:r>
    </w:p>
    <w:p w14:paraId="2AE48C1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同时出现两种以上不一致的，按照前款规定的顺序修正。修正后的报价（不得超出响应文件的范围或者改变响应文件的实质性内容）经供应商确认后产生约束力，供应商不确认的，作无效响应处理。</w:t>
      </w:r>
    </w:p>
    <w:p w14:paraId="1E0B354D">
      <w:pPr>
        <w:pStyle w:val="4"/>
        <w:spacing w:before="0" w:after="0" w:line="360" w:lineRule="auto"/>
        <w:ind w:firstLine="420"/>
        <w:rPr>
          <w:rFonts w:hint="eastAsia" w:ascii="宋体" w:hAnsi="宋体" w:cs="宋体"/>
          <w:color w:val="auto"/>
          <w:sz w:val="21"/>
          <w:szCs w:val="21"/>
          <w:highlight w:val="none"/>
        </w:rPr>
      </w:pPr>
      <w:bookmarkStart w:id="366" w:name="_Toc17711"/>
      <w:bookmarkStart w:id="367" w:name="_Toc467"/>
      <w:bookmarkStart w:id="368" w:name="_Toc28877"/>
      <w:bookmarkStart w:id="369" w:name="_Toc26302"/>
      <w:bookmarkStart w:id="370" w:name="_Toc32552"/>
      <w:bookmarkStart w:id="371" w:name="_Toc21440"/>
      <w:bookmarkStart w:id="372" w:name="_Toc8174"/>
      <w:bookmarkStart w:id="373" w:name="_Toc6023"/>
      <w:bookmarkStart w:id="374" w:name="_Toc26391"/>
      <w:bookmarkStart w:id="375" w:name="_Toc9027"/>
      <w:bookmarkStart w:id="376" w:name="_Toc2476"/>
      <w:bookmarkStart w:id="377" w:name="_Toc9409"/>
      <w:r>
        <w:rPr>
          <w:rFonts w:hint="eastAsia" w:ascii="宋体" w:hAnsi="宋体" w:cs="宋体"/>
          <w:color w:val="auto"/>
          <w:sz w:val="21"/>
          <w:szCs w:val="21"/>
          <w:highlight w:val="none"/>
        </w:rPr>
        <w:t>21. 评审程序及谈判要求</w:t>
      </w:r>
      <w:bookmarkEnd w:id="366"/>
      <w:bookmarkEnd w:id="367"/>
      <w:bookmarkEnd w:id="368"/>
      <w:bookmarkEnd w:id="369"/>
      <w:bookmarkEnd w:id="370"/>
      <w:bookmarkEnd w:id="371"/>
      <w:bookmarkEnd w:id="372"/>
      <w:bookmarkEnd w:id="373"/>
      <w:bookmarkEnd w:id="374"/>
      <w:bookmarkEnd w:id="375"/>
      <w:bookmarkEnd w:id="376"/>
      <w:bookmarkEnd w:id="377"/>
    </w:p>
    <w:p w14:paraId="0FAB7291">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1</w:t>
      </w:r>
      <w:r>
        <w:rPr>
          <w:rFonts w:ascii="宋体" w:hAnsi="宋体" w:cs="宋体"/>
          <w:color w:val="auto"/>
          <w:szCs w:val="21"/>
          <w:highlight w:val="none"/>
        </w:rPr>
        <w:t>.1</w:t>
      </w:r>
      <w:r>
        <w:rPr>
          <w:rFonts w:hint="eastAsia" w:ascii="宋体" w:hAnsi="宋体" w:cs="宋体"/>
          <w:color w:val="auto"/>
          <w:szCs w:val="21"/>
          <w:highlight w:val="none"/>
        </w:rPr>
        <w:t xml:space="preserve">谈判小组成员的通讯工具或相关电子设备交由桂林市公共资源交易中心统一保管后到达评标室，采购 </w:t>
      </w:r>
    </w:p>
    <w:p w14:paraId="2DCE6B0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代理机构核实谈判小组成员身份，告知回避要求，宣布评审工作纪律和程序，推选谈判小组组长。</w:t>
      </w:r>
    </w:p>
    <w:p w14:paraId="0A618E0E">
      <w:pPr>
        <w:spacing w:line="360" w:lineRule="auto"/>
        <w:ind w:firstLine="420"/>
        <w:rPr>
          <w:rFonts w:asci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1</w:t>
      </w:r>
      <w:r>
        <w:rPr>
          <w:rFonts w:ascii="宋体" w:hAnsi="宋体" w:cs="宋体"/>
          <w:color w:val="auto"/>
          <w:szCs w:val="21"/>
          <w:highlight w:val="none"/>
        </w:rPr>
        <w:t>.2</w:t>
      </w:r>
      <w:r>
        <w:rPr>
          <w:rFonts w:hint="eastAsia" w:ascii="宋体" w:hAnsi="宋体" w:cs="宋体"/>
          <w:color w:val="auto"/>
          <w:szCs w:val="21"/>
          <w:highlight w:val="none"/>
        </w:rPr>
        <w:t>谈判小组应当对发布公告的竞争性谈判文件（简称谈判文件）进行确认，审查供应商的响应文件并作出评价；要求供应商解释或者澄清其响应文件；编写评审报告；告知采购人、采购代理机构在评审过程中发现的供应商的违法违规行为。</w:t>
      </w:r>
    </w:p>
    <w:p w14:paraId="6220B77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21.3 谈判小组依据竞争性谈判文件的规定，首先对响应文件进行资格性审查，以确定供应商是否具备本项 </w:t>
      </w:r>
    </w:p>
    <w:p w14:paraId="6719EDA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目供应商资格；再对通过资格性审查的供应商响应文件的有效性、完整性和对谈判文件的响应程度进行符合性 </w:t>
      </w:r>
    </w:p>
    <w:p w14:paraId="4820ACD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审查，以确定是否对谈判文件的实质性要求做出响应。 </w:t>
      </w:r>
    </w:p>
    <w:p w14:paraId="62ADCD60">
      <w:pPr>
        <w:spacing w:line="360" w:lineRule="auto"/>
        <w:ind w:firstLine="420"/>
        <w:rPr>
          <w:rFonts w:hint="eastAsia" w:ascii="宋体" w:hAnsi="宋体" w:cs="宋体"/>
          <w:b/>
          <w:bCs/>
          <w:color w:val="auto"/>
          <w:szCs w:val="21"/>
          <w:highlight w:val="none"/>
        </w:rPr>
      </w:pPr>
      <w:r>
        <w:rPr>
          <w:rFonts w:hint="eastAsia" w:ascii="宋体" w:hAnsi="宋体" w:cs="宋体"/>
          <w:b/>
          <w:bCs/>
          <w:color w:val="auto"/>
          <w:szCs w:val="21"/>
          <w:highlight w:val="none"/>
        </w:rPr>
        <w:t>21.4 谈判小组在对供应商进行资格性审查时，将对供应商企业股东及出资等信息进行查询。根据《中华人民共和国政府采购法实施条例》第十八条第一款规定，审查中如发现供应商存在单位负责人为同一人或者存在直接控股、管理关系的不同供应商参加同一合同项下的政府采购活动的，按响应文件无效处理 。</w:t>
      </w:r>
    </w:p>
    <w:p w14:paraId="05A3E2D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21.4.1 查询渠道：《国家企业信用信息公示系统》（网址：www.gsxt.gov.cn/index.html）</w:t>
      </w:r>
    </w:p>
    <w:p w14:paraId="04FFF9C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21.4.2 审查流程：</w:t>
      </w:r>
    </w:p>
    <w:p w14:paraId="4744987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（1）进入《国家企业信用信息公示系统》（网址：www.gsxt.gov.cn/index.html），输入企业名称，进入企业信息主页面；</w:t>
      </w:r>
    </w:p>
    <w:p w14:paraId="56D0915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（2）查看主页“股东及出资信息”栏，或年报中的“股东及出资信息”栏信息；</w:t>
      </w:r>
    </w:p>
    <w:p w14:paraId="237A079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（3）将各供应商的股东及出资信息进行比对，得出审查结论；</w:t>
      </w:r>
    </w:p>
    <w:p w14:paraId="34C03A1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（4）将相关资料作为评审资料打印存档。</w:t>
      </w:r>
    </w:p>
    <w:p w14:paraId="2013841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21.5 谈判小组如发现供应商提供的证明文件不齐全或不符合规定格式的，应一次性告知供应商，供应商应在规定的时间内当场补正或更正。</w:t>
      </w:r>
    </w:p>
    <w:p w14:paraId="50BF95B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21.6 谈判小组在对响应文件的有效性、完整性和响应程度进行审查时，可以要求供应商对响应文件中含义 </w:t>
      </w:r>
    </w:p>
    <w:p w14:paraId="4B1D0AE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不明确、同类问题表述不一致或者有明显文字和计算错误的内容等作出必要的澄清、说明或者更正。供应商的 </w:t>
      </w:r>
    </w:p>
    <w:p w14:paraId="19E8CFE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澄清、说明或者更正不得超出响应文件的范围或者改变响应文件的实质性内容。澄清、说明或者更正应由其法 </w:t>
      </w:r>
    </w:p>
    <w:p w14:paraId="5E1AFD9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定代表人或相应的授权委托代表签字或者加盖供应商CA签章。由授权委托代表签字的，应当附授权委托书。 </w:t>
      </w:r>
    </w:p>
    <w:p w14:paraId="4A422BE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根据谈判文件规定的程序、评定成交的标准等事项与实质性响应竞争性谈判文件要求的供应商进行谈判。 </w:t>
      </w:r>
    </w:p>
    <w:p w14:paraId="2044244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未实质性响应谈判文件的响应文件按无效处理，谈判小组应当告知有关供应商。 </w:t>
      </w:r>
    </w:p>
    <w:p w14:paraId="4AD5544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谈判小组所有成员应当按已确定的谈判顺序集中与单一供应商分别进行谈判，并给予所有实质性响应竞争 </w:t>
      </w:r>
    </w:p>
    <w:p w14:paraId="5AD9359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性谈判文件要求的供应商平等的谈判机会。 </w:t>
      </w:r>
    </w:p>
    <w:p w14:paraId="6BA4951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谈判中，谈判小组不得透露与谈判有关的其他供应商的技术资料、价格和其他信息。 </w:t>
      </w:r>
    </w:p>
    <w:p w14:paraId="171495E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谈判小组对谈判过程和重要谈判内容进行记录，谈判双方在记录上签字确认。 </w:t>
      </w:r>
    </w:p>
    <w:p w14:paraId="13AECF28">
      <w:pPr>
        <w:spacing w:line="360" w:lineRule="auto"/>
        <w:ind w:firstLine="420"/>
        <w:rPr>
          <w:rFonts w:hint="eastAsia"/>
          <w:color w:val="auto"/>
          <w:highlight w:val="none"/>
        </w:rPr>
      </w:pPr>
      <w:r>
        <w:rPr>
          <w:rFonts w:hint="eastAsia" w:ascii="宋体" w:hAnsi="宋体" w:cs="宋体"/>
          <w:color w:val="auto"/>
          <w:szCs w:val="21"/>
          <w:highlight w:val="none"/>
        </w:rPr>
        <w:t>21.7当谈判小组一致确定供应商的竞争性谈判响应文件符合竞争性谈判文件要求，无需再谈判的，谈判小组按竞争性谈判文件设定的21.11、21.16程序和评</w:t>
      </w:r>
      <w:r>
        <w:rPr>
          <w:rFonts w:hint="eastAsia" w:ascii="宋体" w:hAnsi="宋体" w:cs="宋体"/>
          <w:color w:val="auto"/>
          <w:szCs w:val="21"/>
          <w:highlight w:val="none"/>
          <w:lang w:eastAsia="zh-CN"/>
        </w:rPr>
        <w:t>审</w:t>
      </w:r>
      <w:r>
        <w:rPr>
          <w:rFonts w:hint="eastAsia" w:ascii="宋体" w:hAnsi="宋体" w:cs="宋体"/>
          <w:color w:val="auto"/>
          <w:szCs w:val="21"/>
          <w:highlight w:val="none"/>
        </w:rPr>
        <w:t>方法确定成交候选人。第一轮谈判后竞争性谈判文件有实质性变动或仍需谈判的，谈判小组对竞争性谈判文件变动或提出谈判意见后进行第二轮谈判。</w:t>
      </w:r>
    </w:p>
    <w:p w14:paraId="167901E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21.8 在谈判过程中，谈判小组可以根据谈判文件和谈判情况实质性变动项目需求中的技术、服务要求以及 </w:t>
      </w:r>
    </w:p>
    <w:p w14:paraId="2227322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合同草案条款，但不得变动谈判文件中的其他内容。实质性变动的内容，须经采购人代表确认。 </w:t>
      </w:r>
    </w:p>
    <w:p w14:paraId="7DBF774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对谈判文件作出的实质性变动是谈判文件的有效组成部分，谈判小组应当及时同时通知所有参加谈判的供应商。 </w:t>
      </w:r>
    </w:p>
    <w:p w14:paraId="70A78C1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供应商应当按照谈判文件的变动情况和谈判小组的要求重新提交响应文件，并由其法定代表人或相应的授 </w:t>
      </w:r>
    </w:p>
    <w:p w14:paraId="5402F4A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权委托代表签字或者加盖供应商CA签章。逾期不交的，视同放弃谈判。 </w:t>
      </w:r>
    </w:p>
    <w:p w14:paraId="6450A6D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21.9 第二轮谈判</w:t>
      </w:r>
    </w:p>
    <w:p w14:paraId="0A8C30A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谈判小组集中就重新提交的响应文件或谈判小组提出的谈判意见与单一响应供应商分别进行谈判。谈判小组对谈判过程和重要谈判内容进行记录，谈判双方在记录上签字确认。</w:t>
      </w:r>
    </w:p>
    <w:p w14:paraId="599A3E5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谈判后，供应商根据谈判小组统一整理的书面谈判记录要求做出书面承诺，并由其法定代表人(负责人)或授权代表签字或者加盖CA签章后按时在线递交。</w:t>
      </w:r>
    </w:p>
    <w:p w14:paraId="5FCC1356">
      <w:pPr>
        <w:spacing w:line="360" w:lineRule="auto"/>
        <w:ind w:firstLine="420"/>
        <w:rPr>
          <w:rFonts w:hint="eastAsia"/>
          <w:color w:val="auto"/>
          <w:highlight w:val="none"/>
        </w:rPr>
      </w:pPr>
      <w:r>
        <w:rPr>
          <w:rFonts w:hint="eastAsia" w:ascii="宋体" w:hAnsi="宋体" w:cs="宋体"/>
          <w:color w:val="auto"/>
          <w:szCs w:val="21"/>
          <w:highlight w:val="none"/>
        </w:rPr>
        <w:t>当谈判小组一致确定供应商的竞争性谈判响应文件符合竞争性谈判文件要求，无需再谈判的，谈判小组按竞争性谈判文件设定的21.11、21.16程序和评标方法确定成交候选人。第二轮谈判后竞争性谈判文件仍有实质性变动的或仍需谈判的，谈判小组对竞争性谈判文件变动或提出谈判意见后进行第三轮谈判。以此类推。</w:t>
      </w:r>
    </w:p>
    <w:p w14:paraId="66AFD11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21.10 在采购过程中符合竞争要求的供应商或者报价未超过采购预算的供应商不足 3 家的，采购人或者采购代理机构应当终止竞争性谈判采购活动。 </w:t>
      </w:r>
    </w:p>
    <w:p w14:paraId="0E99B6A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21.11 最后报价 </w:t>
      </w:r>
    </w:p>
    <w:p w14:paraId="3B3C56F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21.11.1 谈判文件能够详细列明采购标的的技术、服务要求的，谈判结束后，谈判小组应当要求所有继续参加谈判的供应商在规定时间内在线提交最后报价，提交最后报价的供应商不得少于 3 家。 </w:t>
      </w:r>
    </w:p>
    <w:p w14:paraId="4E7CB7D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21.11.2 谈判文件不能详细列明采购标的的技术、服务要求的，需由谈判供应商提供最终设计方案或解决方案的，谈判结束后，谈判小组应当按照少数服从多数的原则投票推荐 3 家以上（含 3 家）供应商的设计方案或者解决方案，并要求其在规定时间内在线提交最后报价。 </w:t>
      </w:r>
    </w:p>
    <w:p w14:paraId="0AE0939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21.11.3 最后报价是供应商响应文件的有效组成部分。 </w:t>
      </w:r>
    </w:p>
    <w:p w14:paraId="7949879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21.12 已提交响应文件的供应商，在提交最后报价之前，可以根据谈判情况退出谈判。 </w:t>
      </w:r>
    </w:p>
    <w:p w14:paraId="4F9A3CB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未退出谈判的供应商应在规定时间内在广西政府采购云平台系统上提交最后报价，超出评委设定的最后报价时限或其最后报价超出采购预算导致已通过评审的响应文件无效的，按供应商在提交响应文件截止时间后撤回响应文件处理。</w:t>
      </w:r>
    </w:p>
    <w:p w14:paraId="75DEEBB9">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auto"/>
        <w:ind w:left="0" w:right="0" w:firstLine="420"/>
        <w:jc w:val="both"/>
        <w:rPr>
          <w:rFonts w:hint="eastAsia" w:ascii="宋体" w:hAnsi="宋体" w:eastAsia="宋体" w:cs="宋体"/>
          <w:b/>
          <w:bCs w:val="0"/>
          <w:i w:val="0"/>
          <w:iCs w:val="0"/>
          <w:caps w:val="0"/>
          <w:color w:val="auto"/>
          <w:spacing w:val="0"/>
          <w:sz w:val="21"/>
          <w:szCs w:val="21"/>
          <w:highlight w:val="none"/>
        </w:rPr>
      </w:pPr>
      <w:r>
        <w:rPr>
          <w:rFonts w:hint="eastAsia" w:ascii="宋体" w:hAnsi="宋体" w:cs="宋体"/>
          <w:b/>
          <w:bCs/>
          <w:color w:val="auto"/>
          <w:sz w:val="21"/>
          <w:szCs w:val="21"/>
          <w:highlight w:val="none"/>
          <w:lang w:val="en-US" w:eastAsia="zh-CN"/>
        </w:rPr>
        <w:t>21.13</w:t>
      </w:r>
      <w:r>
        <w:rPr>
          <w:rFonts w:hint="eastAsia" w:ascii="宋体" w:hAnsi="宋体" w:cs="宋体"/>
          <w:b/>
          <w:color w:val="auto"/>
          <w:sz w:val="21"/>
          <w:szCs w:val="21"/>
          <w:highlight w:val="none"/>
          <w:shd w:val="clear" w:color="auto" w:fill="FFFFFF"/>
        </w:rPr>
        <w:t>根据</w:t>
      </w:r>
      <w:r>
        <w:rPr>
          <w:rFonts w:ascii="宋体" w:hAnsi="宋体"/>
          <w:b/>
          <w:bCs/>
          <w:color w:val="auto"/>
          <w:sz w:val="21"/>
          <w:szCs w:val="21"/>
          <w:highlight w:val="none"/>
          <w:shd w:val="clear" w:color="auto" w:fill="FFFFFF"/>
        </w:rPr>
        <w:t>《</w:t>
      </w:r>
      <w:r>
        <w:rPr>
          <w:rFonts w:hint="eastAsia" w:ascii="宋体" w:hAnsi="宋体" w:cs="宋体"/>
          <w:b/>
          <w:color w:val="auto"/>
          <w:sz w:val="21"/>
          <w:szCs w:val="21"/>
          <w:highlight w:val="none"/>
          <w:shd w:val="clear" w:color="auto" w:fill="FFFFFF"/>
        </w:rPr>
        <w:t>关于推动解决政府采购异常低价问题的通知</w:t>
      </w:r>
      <w:r>
        <w:rPr>
          <w:rFonts w:ascii="宋体" w:hAnsi="宋体"/>
          <w:b/>
          <w:bCs/>
          <w:color w:val="auto"/>
          <w:sz w:val="21"/>
          <w:szCs w:val="21"/>
          <w:highlight w:val="none"/>
          <w:shd w:val="clear" w:color="auto" w:fill="FFFFFF"/>
        </w:rPr>
        <w:t>》</w:t>
      </w:r>
      <w:r>
        <w:rPr>
          <w:rFonts w:hint="eastAsia" w:ascii="宋体" w:hAnsi="宋体"/>
          <w:b/>
          <w:bCs/>
          <w:color w:val="auto"/>
          <w:sz w:val="21"/>
          <w:szCs w:val="21"/>
          <w:highlight w:val="none"/>
          <w:shd w:val="clear" w:color="auto" w:fill="FFFFFF"/>
          <w:lang w:eastAsia="zh-CN"/>
        </w:rPr>
        <w:t>（</w:t>
      </w:r>
      <w:r>
        <w:rPr>
          <w:rFonts w:ascii="宋体" w:hAnsi="宋体"/>
          <w:b/>
          <w:bCs/>
          <w:color w:val="auto"/>
          <w:sz w:val="21"/>
          <w:szCs w:val="21"/>
          <w:highlight w:val="none"/>
          <w:shd w:val="clear" w:color="auto" w:fill="FFFFFF"/>
        </w:rPr>
        <w:t>财库〔2026〕2号</w:t>
      </w:r>
      <w:r>
        <w:rPr>
          <w:rFonts w:hint="eastAsia" w:ascii="宋体" w:hAnsi="宋体"/>
          <w:b/>
          <w:bCs/>
          <w:color w:val="auto"/>
          <w:sz w:val="21"/>
          <w:szCs w:val="21"/>
          <w:highlight w:val="none"/>
          <w:shd w:val="clear" w:color="auto" w:fill="FFFFFF"/>
          <w:lang w:eastAsia="zh-CN"/>
        </w:rPr>
        <w:t>）规定</w:t>
      </w:r>
      <w:r>
        <w:rPr>
          <w:rFonts w:hint="eastAsia" w:ascii="宋体" w:hAnsi="宋体" w:cs="Calibri"/>
          <w:b/>
          <w:bCs w:val="0"/>
          <w:color w:val="auto"/>
          <w:sz w:val="21"/>
          <w:szCs w:val="21"/>
          <w:highlight w:val="none"/>
        </w:rPr>
        <w:t>，</w:t>
      </w:r>
      <w:r>
        <w:rPr>
          <w:rFonts w:hint="eastAsia" w:ascii="宋体" w:hAnsi="宋体" w:eastAsia="宋体" w:cs="宋体"/>
          <w:b/>
          <w:bCs w:val="0"/>
          <w:i w:val="0"/>
          <w:iCs w:val="0"/>
          <w:caps w:val="0"/>
          <w:color w:val="auto"/>
          <w:spacing w:val="0"/>
          <w:sz w:val="21"/>
          <w:szCs w:val="21"/>
          <w:highlight w:val="none"/>
          <w:shd w:val="clear" w:color="auto" w:fill="FFFFFF"/>
        </w:rPr>
        <w:t>政府采购评审中出现下列情形之一的，评审委员会应当启动异常低价投标（响应）审查程序： </w:t>
      </w:r>
    </w:p>
    <w:p w14:paraId="576FF14A">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auto"/>
        <w:ind w:left="0" w:right="0" w:firstLine="0"/>
        <w:jc w:val="both"/>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　</w:t>
      </w:r>
      <w:r>
        <w:rPr>
          <w:rFonts w:hint="eastAsia" w:eastAsia="宋体" w:cs="宋体"/>
          <w:i w:val="0"/>
          <w:iCs w:val="0"/>
          <w:caps w:val="0"/>
          <w:color w:val="auto"/>
          <w:spacing w:val="0"/>
          <w:sz w:val="21"/>
          <w:szCs w:val="21"/>
          <w:highlight w:val="none"/>
          <w:shd w:val="clear" w:color="auto" w:fill="FFFFFF"/>
          <w:lang w:val="en-US" w:eastAsia="zh-CN"/>
        </w:rPr>
        <w:t xml:space="preserve"> </w:t>
      </w:r>
      <w:r>
        <w:rPr>
          <w:rFonts w:hint="eastAsia" w:eastAsia="宋体" w:cs="宋体"/>
          <w:i w:val="0"/>
          <w:iCs w:val="0"/>
          <w:caps w:val="0"/>
          <w:color w:val="auto"/>
          <w:spacing w:val="0"/>
          <w:sz w:val="21"/>
          <w:szCs w:val="21"/>
          <w:highlight w:val="none"/>
          <w:shd w:val="clear" w:color="auto" w:fill="FFFFFF"/>
          <w:lang w:eastAsia="zh-CN"/>
        </w:rPr>
        <w:t>（</w:t>
      </w:r>
      <w:r>
        <w:rPr>
          <w:rFonts w:hint="eastAsia" w:eastAsia="宋体" w:cs="宋体"/>
          <w:i w:val="0"/>
          <w:iCs w:val="0"/>
          <w:caps w:val="0"/>
          <w:color w:val="auto"/>
          <w:spacing w:val="0"/>
          <w:sz w:val="21"/>
          <w:szCs w:val="21"/>
          <w:highlight w:val="none"/>
          <w:shd w:val="clear" w:color="auto" w:fill="FFFFFF"/>
          <w:lang w:val="en-US" w:eastAsia="zh-CN"/>
        </w:rPr>
        <w:t>1</w:t>
      </w:r>
      <w:r>
        <w:rPr>
          <w:rFonts w:hint="eastAsia" w:eastAsia="宋体" w:cs="宋体"/>
          <w:i w:val="0"/>
          <w:iCs w:val="0"/>
          <w:caps w:val="0"/>
          <w:color w:val="auto"/>
          <w:spacing w:val="0"/>
          <w:sz w:val="21"/>
          <w:szCs w:val="21"/>
          <w:highlight w:val="none"/>
          <w:shd w:val="clear" w:color="auto" w:fill="FFFFFF"/>
          <w:lang w:eastAsia="zh-CN"/>
        </w:rPr>
        <w:t>）</w:t>
      </w:r>
      <w:r>
        <w:rPr>
          <w:rFonts w:hint="eastAsia" w:ascii="宋体" w:hAnsi="宋体" w:eastAsia="宋体" w:cs="宋体"/>
          <w:i w:val="0"/>
          <w:iCs w:val="0"/>
          <w:caps w:val="0"/>
          <w:color w:val="auto"/>
          <w:spacing w:val="0"/>
          <w:sz w:val="21"/>
          <w:szCs w:val="21"/>
          <w:highlight w:val="none"/>
          <w:shd w:val="clear" w:color="auto" w:fill="FFFFFF"/>
        </w:rPr>
        <w:t>投标（响应）报价低于全部通过符合性审查供应商投标（响应）报价平均值50%的，即投标（响应）报价&lt;全部通过符合性审查供应商投标（响应）报价平均值</w:t>
      </w:r>
      <w:r>
        <w:rPr>
          <w:rFonts w:hint="eastAsia" w:ascii="宋体" w:hAnsi="宋体" w:eastAsia="宋体" w:cs="宋体"/>
          <w:i w:val="0"/>
          <w:iCs w:val="0"/>
          <w:caps w:val="0"/>
          <w:color w:val="auto"/>
          <w:spacing w:val="0"/>
          <w:sz w:val="21"/>
          <w:szCs w:val="21"/>
          <w:highlight w:val="none"/>
          <w:shd w:val="clear" w:color="auto" w:fill="FFFFFF"/>
          <w:lang w:eastAsia="zh-CN"/>
        </w:rPr>
        <w:t>×</w:t>
      </w:r>
      <w:r>
        <w:rPr>
          <w:rFonts w:hint="eastAsia" w:ascii="宋体" w:hAnsi="宋体" w:eastAsia="宋体" w:cs="宋体"/>
          <w:i w:val="0"/>
          <w:iCs w:val="0"/>
          <w:caps w:val="0"/>
          <w:color w:val="auto"/>
          <w:spacing w:val="0"/>
          <w:sz w:val="21"/>
          <w:szCs w:val="21"/>
          <w:highlight w:val="none"/>
          <w:shd w:val="clear" w:color="auto" w:fill="FFFFFF"/>
        </w:rPr>
        <w:t>50%； </w:t>
      </w:r>
    </w:p>
    <w:p w14:paraId="6370EFB5">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auto"/>
        <w:ind w:left="0" w:right="0" w:firstLine="0"/>
        <w:jc w:val="both"/>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　</w:t>
      </w:r>
      <w:r>
        <w:rPr>
          <w:rFonts w:hint="eastAsia" w:eastAsia="宋体" w:cs="宋体"/>
          <w:i w:val="0"/>
          <w:iCs w:val="0"/>
          <w:caps w:val="0"/>
          <w:color w:val="auto"/>
          <w:spacing w:val="0"/>
          <w:sz w:val="21"/>
          <w:szCs w:val="21"/>
          <w:highlight w:val="none"/>
          <w:shd w:val="clear" w:color="auto" w:fill="FFFFFF"/>
          <w:lang w:val="en-US" w:eastAsia="zh-CN"/>
        </w:rPr>
        <w:t xml:space="preserve"> </w:t>
      </w:r>
      <w:r>
        <w:rPr>
          <w:rFonts w:hint="eastAsia" w:eastAsia="宋体" w:cs="宋体"/>
          <w:i w:val="0"/>
          <w:iCs w:val="0"/>
          <w:caps w:val="0"/>
          <w:color w:val="auto"/>
          <w:spacing w:val="0"/>
          <w:sz w:val="21"/>
          <w:szCs w:val="21"/>
          <w:highlight w:val="none"/>
          <w:shd w:val="clear" w:color="auto" w:fill="FFFFFF"/>
          <w:lang w:eastAsia="zh-CN"/>
        </w:rPr>
        <w:t>（</w:t>
      </w:r>
      <w:r>
        <w:rPr>
          <w:rFonts w:hint="eastAsia" w:eastAsia="宋体" w:cs="宋体"/>
          <w:i w:val="0"/>
          <w:iCs w:val="0"/>
          <w:caps w:val="0"/>
          <w:color w:val="auto"/>
          <w:spacing w:val="0"/>
          <w:sz w:val="21"/>
          <w:szCs w:val="21"/>
          <w:highlight w:val="none"/>
          <w:shd w:val="clear" w:color="auto" w:fill="FFFFFF"/>
          <w:lang w:val="en-US" w:eastAsia="zh-CN"/>
        </w:rPr>
        <w:t>2</w:t>
      </w:r>
      <w:r>
        <w:rPr>
          <w:rFonts w:hint="eastAsia" w:eastAsia="宋体" w:cs="宋体"/>
          <w:i w:val="0"/>
          <w:iCs w:val="0"/>
          <w:caps w:val="0"/>
          <w:color w:val="auto"/>
          <w:spacing w:val="0"/>
          <w:sz w:val="21"/>
          <w:szCs w:val="21"/>
          <w:highlight w:val="none"/>
          <w:shd w:val="clear" w:color="auto" w:fill="FFFFFF"/>
          <w:lang w:eastAsia="zh-CN"/>
        </w:rPr>
        <w:t>）</w:t>
      </w:r>
      <w:r>
        <w:rPr>
          <w:rFonts w:hint="eastAsia" w:ascii="宋体" w:hAnsi="宋体" w:eastAsia="宋体" w:cs="宋体"/>
          <w:i w:val="0"/>
          <w:iCs w:val="0"/>
          <w:caps w:val="0"/>
          <w:color w:val="auto"/>
          <w:spacing w:val="0"/>
          <w:sz w:val="21"/>
          <w:szCs w:val="21"/>
          <w:highlight w:val="none"/>
          <w:shd w:val="clear" w:color="auto" w:fill="FFFFFF"/>
        </w:rPr>
        <w:t>投标（响应）报价低于通过符合性审查的次低报价供应商投标（响应）报价50%的，即投标（响应）报价&lt;通过符合性审查的次低报价供应商投标（响应）报价</w:t>
      </w:r>
      <w:r>
        <w:rPr>
          <w:rFonts w:hint="eastAsia" w:ascii="宋体" w:hAnsi="宋体" w:eastAsia="宋体" w:cs="宋体"/>
          <w:i w:val="0"/>
          <w:iCs w:val="0"/>
          <w:caps w:val="0"/>
          <w:color w:val="auto"/>
          <w:spacing w:val="0"/>
          <w:sz w:val="21"/>
          <w:szCs w:val="21"/>
          <w:highlight w:val="none"/>
          <w:shd w:val="clear" w:color="auto" w:fill="FFFFFF"/>
          <w:lang w:eastAsia="zh-CN"/>
        </w:rPr>
        <w:t>×</w:t>
      </w:r>
      <w:r>
        <w:rPr>
          <w:rFonts w:hint="eastAsia" w:ascii="宋体" w:hAnsi="宋体" w:eastAsia="宋体" w:cs="宋体"/>
          <w:i w:val="0"/>
          <w:iCs w:val="0"/>
          <w:caps w:val="0"/>
          <w:color w:val="auto"/>
          <w:spacing w:val="0"/>
          <w:sz w:val="21"/>
          <w:szCs w:val="21"/>
          <w:highlight w:val="none"/>
          <w:shd w:val="clear" w:color="auto" w:fill="FFFFFF"/>
        </w:rPr>
        <w:t>50%； </w:t>
      </w:r>
    </w:p>
    <w:p w14:paraId="518B3066">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auto"/>
        <w:ind w:left="0" w:right="0" w:firstLine="0"/>
        <w:jc w:val="both"/>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　</w:t>
      </w:r>
      <w:r>
        <w:rPr>
          <w:rFonts w:hint="eastAsia" w:eastAsia="宋体" w:cs="宋体"/>
          <w:i w:val="0"/>
          <w:iCs w:val="0"/>
          <w:caps w:val="0"/>
          <w:color w:val="auto"/>
          <w:spacing w:val="0"/>
          <w:sz w:val="21"/>
          <w:szCs w:val="21"/>
          <w:highlight w:val="none"/>
          <w:shd w:val="clear" w:color="auto" w:fill="FFFFFF"/>
          <w:lang w:val="en-US" w:eastAsia="zh-CN"/>
        </w:rPr>
        <w:t xml:space="preserve"> </w:t>
      </w:r>
      <w:r>
        <w:rPr>
          <w:rFonts w:hint="eastAsia" w:eastAsia="宋体" w:cs="宋体"/>
          <w:i w:val="0"/>
          <w:iCs w:val="0"/>
          <w:caps w:val="0"/>
          <w:color w:val="auto"/>
          <w:spacing w:val="0"/>
          <w:sz w:val="21"/>
          <w:szCs w:val="21"/>
          <w:highlight w:val="none"/>
          <w:shd w:val="clear" w:color="auto" w:fill="FFFFFF"/>
          <w:lang w:eastAsia="zh-CN"/>
        </w:rPr>
        <w:t>（</w:t>
      </w:r>
      <w:r>
        <w:rPr>
          <w:rFonts w:hint="eastAsia" w:eastAsia="宋体" w:cs="宋体"/>
          <w:i w:val="0"/>
          <w:iCs w:val="0"/>
          <w:caps w:val="0"/>
          <w:color w:val="auto"/>
          <w:spacing w:val="0"/>
          <w:sz w:val="21"/>
          <w:szCs w:val="21"/>
          <w:highlight w:val="none"/>
          <w:shd w:val="clear" w:color="auto" w:fill="FFFFFF"/>
          <w:lang w:val="en-US" w:eastAsia="zh-CN"/>
        </w:rPr>
        <w:t>3</w:t>
      </w:r>
      <w:r>
        <w:rPr>
          <w:rFonts w:hint="eastAsia" w:eastAsia="宋体" w:cs="宋体"/>
          <w:i w:val="0"/>
          <w:iCs w:val="0"/>
          <w:caps w:val="0"/>
          <w:color w:val="auto"/>
          <w:spacing w:val="0"/>
          <w:sz w:val="21"/>
          <w:szCs w:val="21"/>
          <w:highlight w:val="none"/>
          <w:shd w:val="clear" w:color="auto" w:fill="FFFFFF"/>
          <w:lang w:eastAsia="zh-CN"/>
        </w:rPr>
        <w:t>）</w:t>
      </w:r>
      <w:r>
        <w:rPr>
          <w:rFonts w:hint="eastAsia" w:ascii="宋体" w:hAnsi="宋体" w:eastAsia="宋体" w:cs="宋体"/>
          <w:i w:val="0"/>
          <w:iCs w:val="0"/>
          <w:caps w:val="0"/>
          <w:color w:val="auto"/>
          <w:spacing w:val="0"/>
          <w:sz w:val="21"/>
          <w:szCs w:val="21"/>
          <w:highlight w:val="none"/>
          <w:shd w:val="clear" w:color="auto" w:fill="FFFFFF"/>
        </w:rPr>
        <w:t>投标（响应）报价低于采购项目最高限价45%的，即投标（响应）报价&lt;采购项目最高限价</w:t>
      </w:r>
      <w:r>
        <w:rPr>
          <w:rFonts w:hint="eastAsia" w:ascii="宋体" w:hAnsi="宋体" w:eastAsia="宋体" w:cs="宋体"/>
          <w:i w:val="0"/>
          <w:iCs w:val="0"/>
          <w:caps w:val="0"/>
          <w:color w:val="auto"/>
          <w:spacing w:val="0"/>
          <w:sz w:val="21"/>
          <w:szCs w:val="21"/>
          <w:highlight w:val="none"/>
          <w:shd w:val="clear" w:color="auto" w:fill="FFFFFF"/>
          <w:lang w:eastAsia="zh-CN"/>
        </w:rPr>
        <w:t>×</w:t>
      </w:r>
      <w:r>
        <w:rPr>
          <w:rFonts w:hint="eastAsia" w:ascii="宋体" w:hAnsi="宋体" w:eastAsia="宋体" w:cs="宋体"/>
          <w:i w:val="0"/>
          <w:iCs w:val="0"/>
          <w:caps w:val="0"/>
          <w:color w:val="auto"/>
          <w:spacing w:val="0"/>
          <w:sz w:val="21"/>
          <w:szCs w:val="21"/>
          <w:highlight w:val="none"/>
          <w:shd w:val="clear" w:color="auto" w:fill="FFFFFF"/>
        </w:rPr>
        <w:t>45%； </w:t>
      </w:r>
    </w:p>
    <w:p w14:paraId="63AB4CE0">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auto"/>
        <w:ind w:left="0" w:right="0" w:firstLine="0"/>
        <w:jc w:val="both"/>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　　</w:t>
      </w:r>
      <w:r>
        <w:rPr>
          <w:rFonts w:hint="eastAsia" w:eastAsia="宋体" w:cs="宋体"/>
          <w:i w:val="0"/>
          <w:iCs w:val="0"/>
          <w:caps w:val="0"/>
          <w:color w:val="auto"/>
          <w:spacing w:val="0"/>
          <w:sz w:val="21"/>
          <w:szCs w:val="21"/>
          <w:highlight w:val="none"/>
          <w:shd w:val="clear" w:color="auto" w:fill="FFFFFF"/>
          <w:lang w:eastAsia="zh-CN"/>
        </w:rPr>
        <w:t>（</w:t>
      </w:r>
      <w:r>
        <w:rPr>
          <w:rFonts w:hint="eastAsia" w:eastAsia="宋体" w:cs="宋体"/>
          <w:i w:val="0"/>
          <w:iCs w:val="0"/>
          <w:caps w:val="0"/>
          <w:color w:val="auto"/>
          <w:spacing w:val="0"/>
          <w:sz w:val="21"/>
          <w:szCs w:val="21"/>
          <w:highlight w:val="none"/>
          <w:shd w:val="clear" w:color="auto" w:fill="FFFFFF"/>
          <w:lang w:val="en-US" w:eastAsia="zh-CN"/>
        </w:rPr>
        <w:t>4</w:t>
      </w:r>
      <w:r>
        <w:rPr>
          <w:rFonts w:hint="eastAsia" w:eastAsia="宋体" w:cs="宋体"/>
          <w:i w:val="0"/>
          <w:iCs w:val="0"/>
          <w:caps w:val="0"/>
          <w:color w:val="auto"/>
          <w:spacing w:val="0"/>
          <w:sz w:val="21"/>
          <w:szCs w:val="21"/>
          <w:highlight w:val="none"/>
          <w:shd w:val="clear" w:color="auto" w:fill="FFFFFF"/>
          <w:lang w:eastAsia="zh-CN"/>
        </w:rPr>
        <w:t>）</w:t>
      </w:r>
      <w:r>
        <w:rPr>
          <w:rFonts w:hint="eastAsia" w:ascii="宋体" w:hAnsi="宋体" w:eastAsia="宋体" w:cs="宋体"/>
          <w:i w:val="0"/>
          <w:iCs w:val="0"/>
          <w:caps w:val="0"/>
          <w:color w:val="auto"/>
          <w:spacing w:val="0"/>
          <w:sz w:val="21"/>
          <w:szCs w:val="21"/>
          <w:highlight w:val="none"/>
          <w:shd w:val="clear" w:color="auto" w:fill="FFFFFF"/>
        </w:rPr>
        <w:t>评审委员会基于专业判断，认为供应商报价过低，有可能影响产品质量或者不能诚信履约的其他情形。 </w:t>
      </w:r>
    </w:p>
    <w:p w14:paraId="6BB20F68">
      <w:pPr>
        <w:spacing w:line="360" w:lineRule="auto"/>
        <w:ind w:firstLine="420"/>
        <w:jc w:val="left"/>
        <w:rPr>
          <w:rFonts w:hint="eastAsia"/>
          <w:color w:val="auto"/>
          <w:highlight w:val="none"/>
        </w:rPr>
      </w:pPr>
      <w:bookmarkStart w:id="378" w:name="_Toc13532"/>
      <w:r>
        <w:rPr>
          <w:rFonts w:hint="eastAsia"/>
          <w:color w:val="auto"/>
          <w:highlight w:val="none"/>
        </w:rPr>
        <w:t>评审委员会启动异常低价投标（响应）审查后，属于前述第</w:t>
      </w:r>
      <w:r>
        <w:rPr>
          <w:rFonts w:hint="eastAsia" w:ascii="宋体" w:hAnsi="宋体" w:eastAsia="宋体" w:cs="宋体"/>
          <w:color w:val="auto"/>
          <w:highlight w:val="none"/>
        </w:rPr>
        <w:t>1项至第4项情形的，应当要求相关供应商在评审委员会要求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投标（响应）供应商不能提供书面说明、证明材料，或者提供的书面说明、证明材料不能证明其报价合理性的，评审委员会应当将其作为无效</w:t>
      </w:r>
      <w:r>
        <w:rPr>
          <w:rFonts w:hint="eastAsia"/>
          <w:color w:val="auto"/>
          <w:highlight w:val="none"/>
        </w:rPr>
        <w:t>投标（响应）处理。 异常低价投标（响应）审查的启动原因、审查意见和审查结果应当在评审报告中记录</w:t>
      </w:r>
      <w:r>
        <w:rPr>
          <w:rFonts w:hint="eastAsia"/>
          <w:color w:val="auto"/>
          <w:highlight w:val="none"/>
          <w:lang w:eastAsia="zh-CN"/>
        </w:rPr>
        <w:t>。</w:t>
      </w:r>
      <w:bookmarkEnd w:id="378"/>
    </w:p>
    <w:p w14:paraId="01A5007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21.1</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 xml:space="preserve"> 评审报告 </w:t>
      </w:r>
    </w:p>
    <w:p w14:paraId="7110E6C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谈判小组应当从质量和服务均能满足谈判文件全部实质性响应要求的供应商中，按照最后报价由低到高的 </w:t>
      </w:r>
    </w:p>
    <w:p w14:paraId="78ADA80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顺序提出 3 名以上（含 3 名）成交候选人，并编写评审报告。 </w:t>
      </w:r>
    </w:p>
    <w:p w14:paraId="2D148E5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21.1</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 xml:space="preserve"> 在评审过程中出现法律法规和谈判文件均没有明确规定的情形时，由谈判小组现场协商解决，协商 </w:t>
      </w:r>
    </w:p>
    <w:p w14:paraId="5CA4706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不一致的，由全体谈判小组投票表决，以得票率二分之一以上专家的意见为准。 </w:t>
      </w:r>
    </w:p>
    <w:p w14:paraId="4F0C57D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21.1</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 xml:space="preserve">采购代理机构发现谈判小组有明显的违规倾向或歧视现象，或不按评审办法进行，或其他不正常行 </w:t>
      </w:r>
    </w:p>
    <w:p w14:paraId="1B8D960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为的，应当及时制止。如制止无效，应及时向本级财政部门报告。</w:t>
      </w:r>
    </w:p>
    <w:p w14:paraId="39AE9929">
      <w:pPr>
        <w:spacing w:line="360" w:lineRule="auto"/>
        <w:ind w:firstLine="420"/>
        <w:rPr>
          <w:color w:val="auto"/>
          <w:highlight w:val="none"/>
        </w:rPr>
      </w:pPr>
      <w:r>
        <w:rPr>
          <w:rFonts w:hint="eastAsia" w:ascii="宋体" w:hAnsi="宋体" w:cs="宋体"/>
          <w:color w:val="auto"/>
          <w:szCs w:val="21"/>
          <w:highlight w:val="none"/>
        </w:rPr>
        <w:t>21.1</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本采购项目的评审依据为竞争性谈判文件和竞争性谈判响应文件，采用的评</w:t>
      </w:r>
      <w:r>
        <w:rPr>
          <w:rFonts w:hint="eastAsia" w:ascii="宋体" w:hAnsi="宋体" w:cs="宋体"/>
          <w:color w:val="auto"/>
          <w:szCs w:val="21"/>
          <w:highlight w:val="none"/>
          <w:lang w:eastAsia="zh-CN"/>
        </w:rPr>
        <w:t>审</w:t>
      </w:r>
      <w:r>
        <w:rPr>
          <w:rFonts w:hint="eastAsia" w:ascii="宋体" w:hAnsi="宋体" w:cs="宋体"/>
          <w:color w:val="auto"/>
          <w:szCs w:val="21"/>
          <w:highlight w:val="none"/>
        </w:rPr>
        <w:t>方法为</w:t>
      </w:r>
      <w:r>
        <w:rPr>
          <w:rFonts w:hint="eastAsia" w:ascii="宋体" w:hAnsi="宋体" w:cs="宋体"/>
          <w:b/>
          <w:bCs/>
          <w:color w:val="auto"/>
          <w:szCs w:val="21"/>
          <w:highlight w:val="none"/>
        </w:rPr>
        <w:t>最低评标价法。</w:t>
      </w:r>
    </w:p>
    <w:p w14:paraId="25A3B12A">
      <w:pPr>
        <w:pStyle w:val="4"/>
        <w:spacing w:before="0" w:after="0" w:line="360" w:lineRule="auto"/>
        <w:ind w:firstLine="420"/>
        <w:rPr>
          <w:rFonts w:hint="eastAsia" w:ascii="宋体" w:hAnsi="宋体" w:cs="宋体"/>
          <w:color w:val="auto"/>
          <w:sz w:val="21"/>
          <w:szCs w:val="21"/>
          <w:highlight w:val="none"/>
        </w:rPr>
      </w:pPr>
      <w:bookmarkStart w:id="379" w:name="_Toc12665"/>
      <w:bookmarkStart w:id="380" w:name="_Toc8304"/>
      <w:bookmarkStart w:id="381" w:name="_Toc16483"/>
      <w:bookmarkStart w:id="382" w:name="_Toc9410"/>
      <w:bookmarkStart w:id="383" w:name="_Toc6849"/>
      <w:bookmarkStart w:id="384" w:name="_Toc27294"/>
      <w:bookmarkStart w:id="385" w:name="_Toc11133"/>
      <w:bookmarkStart w:id="386" w:name="_Toc21103"/>
      <w:bookmarkStart w:id="387" w:name="_Toc24971"/>
      <w:bookmarkStart w:id="388" w:name="_Toc12391"/>
      <w:bookmarkStart w:id="389" w:name="_Toc15861"/>
      <w:bookmarkStart w:id="390" w:name="_Toc23879"/>
      <w:r>
        <w:rPr>
          <w:rFonts w:hint="eastAsia" w:ascii="宋体" w:hAnsi="宋体" w:cs="宋体"/>
          <w:color w:val="auto"/>
          <w:sz w:val="21"/>
          <w:szCs w:val="21"/>
          <w:highlight w:val="none"/>
        </w:rPr>
        <w:t>22. 确定成交供应商</w:t>
      </w:r>
      <w:bookmarkEnd w:id="379"/>
      <w:bookmarkEnd w:id="380"/>
      <w:bookmarkEnd w:id="381"/>
      <w:bookmarkEnd w:id="382"/>
      <w:bookmarkEnd w:id="383"/>
      <w:bookmarkEnd w:id="384"/>
      <w:bookmarkEnd w:id="385"/>
      <w:bookmarkEnd w:id="386"/>
      <w:bookmarkEnd w:id="387"/>
      <w:bookmarkEnd w:id="388"/>
      <w:bookmarkEnd w:id="389"/>
      <w:bookmarkEnd w:id="390"/>
    </w:p>
    <w:p w14:paraId="4F73EC6B">
      <w:pPr>
        <w:spacing w:line="360" w:lineRule="auto"/>
        <w:ind w:firstLine="420"/>
        <w:rPr>
          <w:rFonts w:asci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2</w:t>
      </w:r>
      <w:r>
        <w:rPr>
          <w:rFonts w:ascii="宋体" w:hAnsi="宋体" w:cs="宋体"/>
          <w:color w:val="auto"/>
          <w:szCs w:val="21"/>
          <w:highlight w:val="none"/>
        </w:rPr>
        <w:t>.1</w:t>
      </w:r>
      <w:r>
        <w:rPr>
          <w:rFonts w:hint="eastAsia" w:ascii="宋体" w:hAnsi="宋体" w:cs="宋体"/>
          <w:color w:val="auto"/>
          <w:szCs w:val="21"/>
          <w:highlight w:val="none"/>
        </w:rPr>
        <w:t>采购单位应当确定谈判小组推荐排名第一的成交候选人为成交供应商。</w:t>
      </w:r>
    </w:p>
    <w:p w14:paraId="684C0603">
      <w:pPr>
        <w:spacing w:line="360" w:lineRule="auto"/>
        <w:ind w:firstLine="420"/>
        <w:rPr>
          <w:rFonts w:asci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2</w:t>
      </w:r>
      <w:r>
        <w:rPr>
          <w:rFonts w:ascii="宋体" w:hAnsi="宋体" w:cs="宋体"/>
          <w:color w:val="auto"/>
          <w:szCs w:val="21"/>
          <w:highlight w:val="none"/>
        </w:rPr>
        <w:t>.2</w:t>
      </w:r>
      <w:r>
        <w:rPr>
          <w:rFonts w:hint="eastAsia" w:ascii="宋体" w:hAnsi="宋体" w:cs="宋体"/>
          <w:color w:val="auto"/>
          <w:szCs w:val="21"/>
          <w:highlight w:val="none"/>
        </w:rPr>
        <w:t>排名第一的成交候选人放弃成交、因不可抗力提出不能履行合同，或信用信息记录不符合相关规定的，或者谈判文件规定应当提交履约保证金而在规定的期限内未能提交的，采购单位可以确定排名第二的成交候选人为成交供应商。</w:t>
      </w:r>
    </w:p>
    <w:p w14:paraId="10FFDB53">
      <w:pPr>
        <w:spacing w:line="360" w:lineRule="auto"/>
        <w:ind w:firstLine="420"/>
        <w:rPr>
          <w:rFonts w:asci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2</w:t>
      </w:r>
      <w:r>
        <w:rPr>
          <w:rFonts w:ascii="宋体" w:hAnsi="宋体" w:cs="宋体"/>
          <w:color w:val="auto"/>
          <w:szCs w:val="21"/>
          <w:highlight w:val="none"/>
        </w:rPr>
        <w:t>.3</w:t>
      </w:r>
      <w:r>
        <w:rPr>
          <w:rFonts w:hint="eastAsia" w:ascii="宋体" w:hAnsi="宋体" w:cs="宋体"/>
          <w:color w:val="auto"/>
          <w:szCs w:val="21"/>
          <w:highlight w:val="none"/>
        </w:rPr>
        <w:t>排名第二的成交候选人因前款规定的同样原因不能签订合同的，采购单位可以确定排名第三的成交候选人为成交供应商。</w:t>
      </w:r>
    </w:p>
    <w:p w14:paraId="1A0312CE">
      <w:pPr>
        <w:pStyle w:val="4"/>
        <w:spacing w:before="0" w:after="0" w:line="360" w:lineRule="auto"/>
        <w:ind w:firstLine="420"/>
        <w:rPr>
          <w:rFonts w:hint="eastAsia" w:ascii="宋体" w:hAnsi="宋体" w:cs="宋体"/>
          <w:color w:val="auto"/>
          <w:sz w:val="21"/>
          <w:szCs w:val="21"/>
          <w:highlight w:val="none"/>
        </w:rPr>
      </w:pPr>
      <w:bookmarkStart w:id="391" w:name="_Toc15473"/>
      <w:bookmarkStart w:id="392" w:name="_Toc12951"/>
      <w:bookmarkStart w:id="393" w:name="_Toc25743"/>
      <w:bookmarkStart w:id="394" w:name="_Toc7358"/>
      <w:bookmarkStart w:id="395" w:name="_Toc23777"/>
      <w:bookmarkStart w:id="396" w:name="_Toc12495"/>
      <w:bookmarkStart w:id="397" w:name="_Toc22278"/>
      <w:bookmarkStart w:id="398" w:name="_Toc12126"/>
      <w:bookmarkStart w:id="399" w:name="_Toc2063"/>
      <w:bookmarkStart w:id="400" w:name="_Toc24946"/>
      <w:bookmarkStart w:id="401" w:name="_Toc21736"/>
      <w:bookmarkStart w:id="402" w:name="_Toc18158"/>
      <w:r>
        <w:rPr>
          <w:rFonts w:hint="eastAsia" w:ascii="宋体" w:hAnsi="宋体" w:cs="宋体"/>
          <w:color w:val="auto"/>
          <w:sz w:val="21"/>
          <w:szCs w:val="21"/>
          <w:highlight w:val="none"/>
        </w:rPr>
        <w:t>23. 属于下列情况之一者，响应文件无效：</w:t>
      </w:r>
      <w:bookmarkEnd w:id="391"/>
      <w:bookmarkEnd w:id="392"/>
      <w:bookmarkEnd w:id="393"/>
      <w:bookmarkEnd w:id="394"/>
      <w:bookmarkEnd w:id="395"/>
      <w:bookmarkEnd w:id="396"/>
      <w:bookmarkEnd w:id="397"/>
      <w:bookmarkEnd w:id="398"/>
      <w:bookmarkEnd w:id="399"/>
      <w:bookmarkEnd w:id="400"/>
      <w:bookmarkEnd w:id="401"/>
      <w:bookmarkEnd w:id="402"/>
    </w:p>
    <w:p w14:paraId="7E25D049">
      <w:pPr>
        <w:spacing w:line="360" w:lineRule="auto"/>
        <w:ind w:firstLine="420"/>
        <w:rPr>
          <w:rFonts w:ascii="宋体" w:cs="宋体"/>
          <w:color w:val="auto"/>
          <w:szCs w:val="21"/>
          <w:highlight w:val="none"/>
        </w:rPr>
      </w:pPr>
      <w:r>
        <w:rPr>
          <w:rFonts w:hint="eastAsia" w:ascii="宋体" w:hAnsi="宋体" w:cs="宋体"/>
          <w:color w:val="auto"/>
          <w:szCs w:val="21"/>
          <w:highlight w:val="none"/>
        </w:rPr>
        <w:t>（1）未按谈判文件规定完整提交响应文件或未按规定要求在线提交、加盖供应商CA签章的；</w:t>
      </w:r>
    </w:p>
    <w:p w14:paraId="243C995B">
      <w:pPr>
        <w:spacing w:line="360" w:lineRule="auto"/>
        <w:ind w:firstLine="420"/>
        <w:rPr>
          <w:rFonts w:ascii="宋体" w:cs="宋体"/>
          <w:color w:val="auto"/>
          <w:szCs w:val="21"/>
          <w:highlight w:val="none"/>
        </w:rPr>
      </w:pPr>
      <w:r>
        <w:rPr>
          <w:rFonts w:hint="eastAsia" w:ascii="宋体" w:hAnsi="宋体" w:cs="宋体"/>
          <w:color w:val="auto"/>
          <w:szCs w:val="21"/>
          <w:highlight w:val="none"/>
        </w:rPr>
        <w:t>（2）不具备谈判文件规定的资格要求的；</w:t>
      </w:r>
    </w:p>
    <w:p w14:paraId="2FCBCB3C">
      <w:pPr>
        <w:spacing w:line="360" w:lineRule="auto"/>
        <w:ind w:firstLine="420"/>
        <w:rPr>
          <w:rFonts w:ascii="宋体" w:cs="宋体"/>
          <w:color w:val="auto"/>
          <w:szCs w:val="21"/>
          <w:highlight w:val="none"/>
        </w:rPr>
      </w:pPr>
      <w:r>
        <w:rPr>
          <w:rFonts w:hint="eastAsia" w:ascii="宋体" w:hAnsi="宋体" w:cs="宋体"/>
          <w:color w:val="auto"/>
          <w:szCs w:val="21"/>
          <w:highlight w:val="none"/>
        </w:rPr>
        <w:t>（3）响应文件未按谈判文件的内容和要求编制，或提供虚假材料的；</w:t>
      </w:r>
    </w:p>
    <w:p w14:paraId="73CA0678">
      <w:pPr>
        <w:spacing w:line="360" w:lineRule="auto"/>
        <w:ind w:firstLine="420"/>
        <w:rPr>
          <w:rFonts w:ascii="宋体" w:cs="宋体"/>
          <w:color w:val="auto"/>
          <w:szCs w:val="21"/>
          <w:highlight w:val="none"/>
        </w:rPr>
      </w:pPr>
      <w:r>
        <w:rPr>
          <w:rFonts w:hint="eastAsia" w:ascii="宋体" w:hAnsi="宋体" w:cs="宋体"/>
          <w:color w:val="auto"/>
          <w:szCs w:val="21"/>
          <w:highlight w:val="none"/>
        </w:rPr>
        <w:t>（4）响应文件有效期、交货时间、免费保修期（升级、维护）期/维护期、售后服务不能满足谈判文件要求的；</w:t>
      </w:r>
    </w:p>
    <w:p w14:paraId="67FACBF8">
      <w:pPr>
        <w:spacing w:line="360" w:lineRule="auto"/>
        <w:ind w:firstLine="420"/>
        <w:rPr>
          <w:rFonts w:ascii="宋体" w:cs="宋体"/>
          <w:color w:val="auto"/>
          <w:szCs w:val="21"/>
          <w:highlight w:val="none"/>
        </w:rPr>
      </w:pPr>
      <w:r>
        <w:rPr>
          <w:rFonts w:hint="eastAsia" w:ascii="宋体" w:hAnsi="宋体" w:cs="宋体"/>
          <w:color w:val="auto"/>
          <w:szCs w:val="21"/>
          <w:highlight w:val="none"/>
        </w:rPr>
        <w:t>（5）供应商未就“采购需求”中的所有内容作完整唯一报价的，或报价超出采购预算总金额的；</w:t>
      </w:r>
    </w:p>
    <w:p w14:paraId="59E8AB69">
      <w:pPr>
        <w:spacing w:line="360" w:lineRule="auto"/>
        <w:ind w:firstLine="420"/>
        <w:rPr>
          <w:rFonts w:ascii="宋体" w:cs="宋体"/>
          <w:color w:val="auto"/>
          <w:szCs w:val="21"/>
          <w:highlight w:val="none"/>
        </w:rPr>
      </w:pPr>
      <w:r>
        <w:rPr>
          <w:rFonts w:hint="eastAsia" w:ascii="宋体" w:hAnsi="宋体" w:cs="宋体"/>
          <w:color w:val="auto"/>
          <w:szCs w:val="21"/>
          <w:highlight w:val="none"/>
        </w:rPr>
        <w:t>（6）未在谈判小组规定的时间内重新提交响应文件的；</w:t>
      </w:r>
    </w:p>
    <w:p w14:paraId="637A305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（7）超越了按照法律法规规定必须获得行政许可或者行政审批的经营范围的；</w:t>
      </w:r>
    </w:p>
    <w:p w14:paraId="13D36E23">
      <w:pPr>
        <w:spacing w:line="360" w:lineRule="auto"/>
        <w:ind w:firstLine="420"/>
        <w:rPr>
          <w:rFonts w:ascii="宋体" w:cs="宋体"/>
          <w:color w:val="auto"/>
          <w:szCs w:val="21"/>
          <w:highlight w:val="none"/>
        </w:rPr>
      </w:pPr>
      <w:r>
        <w:rPr>
          <w:rFonts w:hint="eastAsia" w:ascii="宋体" w:hAnsi="宋体" w:cs="宋体"/>
          <w:color w:val="auto"/>
          <w:szCs w:val="21"/>
          <w:highlight w:val="none"/>
        </w:rPr>
        <w:t>（8）未满足谈判文件全部实质性要求的或者响应文件有采购人不能接受的附加条件的；</w:t>
      </w:r>
    </w:p>
    <w:p w14:paraId="68C4F94F">
      <w:pPr>
        <w:spacing w:line="360" w:lineRule="auto"/>
        <w:ind w:firstLine="420"/>
        <w:rPr>
          <w:rFonts w:hint="eastAsia"/>
          <w:color w:val="auto"/>
          <w:highlight w:val="none"/>
        </w:rPr>
      </w:pPr>
      <w:r>
        <w:rPr>
          <w:rFonts w:hint="eastAsia" w:ascii="宋体" w:hAnsi="宋体" w:cs="宋体"/>
          <w:color w:val="auto"/>
          <w:szCs w:val="21"/>
          <w:highlight w:val="none"/>
        </w:rPr>
        <w:t>（9）响应文件实质性要求未做变动，供应商最后报价高于第一次报价的；</w:t>
      </w:r>
    </w:p>
    <w:p w14:paraId="395BFED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（10）不符合法律、法规和谈判文件规定的其他实质性要求和条件的。</w:t>
      </w:r>
    </w:p>
    <w:p w14:paraId="31EFCFC3">
      <w:pPr>
        <w:spacing w:line="360" w:lineRule="auto"/>
        <w:ind w:firstLine="420"/>
        <w:rPr>
          <w:rFonts w:ascii="宋体" w:cs="宋体"/>
          <w:b/>
          <w:bCs/>
          <w:color w:val="auto"/>
          <w:szCs w:val="21"/>
          <w:highlight w:val="none"/>
        </w:rPr>
      </w:pPr>
      <w:r>
        <w:rPr>
          <w:rFonts w:hint="eastAsia" w:ascii="宋体" w:hAnsi="宋体" w:cs="宋体"/>
          <w:b/>
          <w:bCs/>
          <w:color w:val="auto"/>
          <w:szCs w:val="21"/>
          <w:highlight w:val="none"/>
        </w:rPr>
        <w:t>供应商有下列情形之一的视为供应商相互串通谈判，响应文件将被视为无效：</w:t>
      </w:r>
    </w:p>
    <w:p w14:paraId="3CA72AE4">
      <w:pPr>
        <w:spacing w:line="360" w:lineRule="auto"/>
        <w:ind w:firstLine="420"/>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）不同供应商的响应文件由同一单位或者个人编制；或不同供应商报名的</w:t>
      </w:r>
      <w:r>
        <w:rPr>
          <w:rFonts w:ascii="宋体" w:hAnsi="宋体" w:cs="宋体"/>
          <w:color w:val="auto"/>
          <w:szCs w:val="21"/>
          <w:highlight w:val="none"/>
        </w:rPr>
        <w:t>IP</w:t>
      </w:r>
      <w:r>
        <w:rPr>
          <w:rFonts w:hint="eastAsia" w:ascii="宋体" w:hAnsi="宋体" w:cs="宋体"/>
          <w:color w:val="auto"/>
          <w:szCs w:val="21"/>
          <w:highlight w:val="none"/>
        </w:rPr>
        <w:t>地址一致的；</w:t>
      </w:r>
    </w:p>
    <w:p w14:paraId="6AA5F672">
      <w:pPr>
        <w:spacing w:line="360" w:lineRule="auto"/>
        <w:ind w:firstLine="420"/>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）不同供应商委托同一单位或者个人办理谈判事宜；</w:t>
      </w:r>
    </w:p>
    <w:p w14:paraId="5C29AA4E">
      <w:pPr>
        <w:spacing w:line="360" w:lineRule="auto"/>
        <w:ind w:firstLine="420"/>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）不同的供应商的响应文件载明的项目管理员为同一个人；</w:t>
      </w:r>
    </w:p>
    <w:p w14:paraId="3A0EE092">
      <w:pPr>
        <w:spacing w:line="360" w:lineRule="auto"/>
        <w:ind w:firstLine="420"/>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）不同供应商的响应文件异常一致或竞标报价呈规律性差异；</w:t>
      </w:r>
    </w:p>
    <w:p w14:paraId="28E32DE9">
      <w:pPr>
        <w:spacing w:line="360" w:lineRule="auto"/>
        <w:ind w:firstLine="420"/>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）不同供应商的响应文件相互</w:t>
      </w:r>
      <w:r>
        <w:rPr>
          <w:rFonts w:hint="eastAsia"/>
          <w:color w:val="auto"/>
          <w:highlight w:val="none"/>
        </w:rPr>
        <w:t>混编</w:t>
      </w:r>
      <w:r>
        <w:rPr>
          <w:rFonts w:hint="eastAsia" w:ascii="宋体" w:hAnsi="宋体" w:cs="宋体"/>
          <w:color w:val="auto"/>
          <w:szCs w:val="21"/>
          <w:highlight w:val="none"/>
        </w:rPr>
        <w:t>；</w:t>
      </w:r>
    </w:p>
    <w:p w14:paraId="10775EBD">
      <w:pPr>
        <w:spacing w:line="360" w:lineRule="auto"/>
        <w:ind w:firstLine="420"/>
        <w:rPr>
          <w:rFonts w:hint="eastAsia"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6</w:t>
      </w:r>
      <w:r>
        <w:rPr>
          <w:rFonts w:hint="eastAsia" w:ascii="宋体" w:hAnsi="宋体" w:cs="宋体"/>
          <w:color w:val="auto"/>
          <w:szCs w:val="21"/>
          <w:highlight w:val="none"/>
        </w:rPr>
        <w:t>）不同供应商的谈判保证金从同一单位或者个人账户转出。</w:t>
      </w:r>
    </w:p>
    <w:p w14:paraId="271897DD">
      <w:pPr>
        <w:pStyle w:val="4"/>
        <w:spacing w:before="0" w:after="0" w:line="360" w:lineRule="auto"/>
        <w:ind w:firstLine="420"/>
        <w:rPr>
          <w:rFonts w:hint="eastAsia" w:ascii="宋体" w:hAnsi="宋体" w:cs="宋体"/>
          <w:color w:val="auto"/>
          <w:sz w:val="21"/>
          <w:szCs w:val="21"/>
          <w:highlight w:val="none"/>
        </w:rPr>
      </w:pPr>
      <w:bookmarkStart w:id="403" w:name="_Toc3253"/>
      <w:bookmarkStart w:id="404" w:name="_Toc28105"/>
      <w:bookmarkStart w:id="405" w:name="_Toc26708"/>
      <w:bookmarkStart w:id="406" w:name="_Toc3170"/>
      <w:bookmarkStart w:id="407" w:name="_Toc31795"/>
      <w:bookmarkStart w:id="408" w:name="_Toc18308"/>
      <w:bookmarkStart w:id="409" w:name="_Toc25805"/>
      <w:bookmarkStart w:id="410" w:name="_Toc20517"/>
      <w:bookmarkStart w:id="411" w:name="_Toc17677"/>
      <w:bookmarkStart w:id="412" w:name="_Toc15404"/>
      <w:bookmarkStart w:id="413" w:name="_Toc3389"/>
      <w:bookmarkStart w:id="414" w:name="_Toc25889"/>
      <w:r>
        <w:rPr>
          <w:rFonts w:hint="eastAsia" w:ascii="宋体" w:hAnsi="宋体" w:cs="宋体"/>
          <w:color w:val="auto"/>
          <w:sz w:val="21"/>
          <w:szCs w:val="21"/>
          <w:highlight w:val="none"/>
        </w:rPr>
        <w:t>24. 出现下列情形之一的，采购人或者采购代理机构应当终止竞争性谈判采购活动，发布项目终止公告并说明原因，重新开展采购活动：</w:t>
      </w:r>
      <w:bookmarkEnd w:id="403"/>
      <w:bookmarkEnd w:id="404"/>
      <w:bookmarkEnd w:id="405"/>
      <w:bookmarkEnd w:id="406"/>
      <w:bookmarkEnd w:id="407"/>
      <w:bookmarkEnd w:id="408"/>
      <w:bookmarkEnd w:id="409"/>
      <w:bookmarkEnd w:id="410"/>
      <w:bookmarkEnd w:id="411"/>
      <w:bookmarkEnd w:id="412"/>
      <w:bookmarkEnd w:id="413"/>
      <w:bookmarkEnd w:id="414"/>
    </w:p>
    <w:p w14:paraId="11F1477B">
      <w:pPr>
        <w:spacing w:line="360" w:lineRule="auto"/>
        <w:ind w:firstLine="420"/>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）因情况变化，不再符合规定的竞争性谈判采购方式适用情形的；</w:t>
      </w:r>
    </w:p>
    <w:p w14:paraId="7964CD20">
      <w:pPr>
        <w:spacing w:line="360" w:lineRule="auto"/>
        <w:ind w:firstLine="420"/>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）出现影响采购公正的违法、违规行为的；</w:t>
      </w:r>
      <w:r>
        <w:rPr>
          <w:rFonts w:ascii="宋体" w:hAnsi="宋体" w:cs="宋体"/>
          <w:color w:val="auto"/>
          <w:szCs w:val="21"/>
          <w:highlight w:val="none"/>
        </w:rPr>
        <w:t xml:space="preserve"> </w:t>
      </w:r>
    </w:p>
    <w:p w14:paraId="62BC971C">
      <w:pPr>
        <w:spacing w:line="360" w:lineRule="auto"/>
        <w:ind w:firstLine="420"/>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）在采购过程中符合竞争要求的供应商或者报价未超过采购预算的供应商不足</w:t>
      </w:r>
      <w:r>
        <w:rPr>
          <w:rFonts w:ascii="宋体" w:hAnsi="宋体" w:cs="宋体"/>
          <w:color w:val="auto"/>
          <w:szCs w:val="21"/>
          <w:highlight w:val="none"/>
        </w:rPr>
        <w:t>3</w:t>
      </w:r>
      <w:r>
        <w:rPr>
          <w:rFonts w:hint="eastAsia" w:ascii="宋体" w:hAnsi="宋体" w:cs="宋体"/>
          <w:color w:val="auto"/>
          <w:szCs w:val="21"/>
          <w:highlight w:val="none"/>
        </w:rPr>
        <w:t>家的。</w:t>
      </w:r>
      <w:r>
        <w:rPr>
          <w:rFonts w:ascii="宋体" w:hAnsi="宋体" w:cs="宋体"/>
          <w:color w:val="auto"/>
          <w:szCs w:val="21"/>
          <w:highlight w:val="none"/>
        </w:rPr>
        <w:t xml:space="preserve"> </w:t>
      </w:r>
    </w:p>
    <w:p w14:paraId="686A1C11">
      <w:pPr>
        <w:pStyle w:val="4"/>
        <w:spacing w:before="0" w:after="0" w:line="360" w:lineRule="auto"/>
        <w:ind w:firstLine="420"/>
        <w:rPr>
          <w:rFonts w:hint="eastAsia" w:ascii="宋体" w:hAnsi="宋体" w:cs="宋体"/>
          <w:color w:val="auto"/>
          <w:sz w:val="21"/>
          <w:szCs w:val="21"/>
          <w:highlight w:val="none"/>
        </w:rPr>
      </w:pPr>
      <w:bookmarkStart w:id="415" w:name="_Toc18884"/>
      <w:bookmarkStart w:id="416" w:name="_Toc912"/>
      <w:bookmarkStart w:id="417" w:name="_Toc22915"/>
      <w:bookmarkStart w:id="418" w:name="_Toc26271"/>
      <w:bookmarkStart w:id="419" w:name="_Toc7356"/>
      <w:bookmarkStart w:id="420" w:name="_Toc9923"/>
      <w:bookmarkStart w:id="421" w:name="_Toc2380"/>
      <w:bookmarkStart w:id="422" w:name="_Toc18350"/>
      <w:bookmarkStart w:id="423" w:name="_Toc3112"/>
      <w:bookmarkStart w:id="424" w:name="_Toc8657"/>
      <w:bookmarkStart w:id="425" w:name="_Toc14054"/>
      <w:bookmarkStart w:id="426" w:name="_Toc22852"/>
      <w:r>
        <w:rPr>
          <w:rFonts w:hint="eastAsia" w:ascii="宋体" w:hAnsi="宋体" w:cs="宋体"/>
          <w:color w:val="auto"/>
          <w:sz w:val="21"/>
          <w:szCs w:val="21"/>
          <w:highlight w:val="none"/>
        </w:rPr>
        <w:t>25. 谈判过程的监控</w:t>
      </w:r>
      <w:bookmarkEnd w:id="415"/>
      <w:bookmarkEnd w:id="416"/>
      <w:bookmarkEnd w:id="417"/>
      <w:bookmarkEnd w:id="418"/>
      <w:bookmarkEnd w:id="419"/>
      <w:bookmarkEnd w:id="420"/>
      <w:bookmarkEnd w:id="421"/>
      <w:bookmarkEnd w:id="422"/>
      <w:bookmarkEnd w:id="423"/>
      <w:bookmarkEnd w:id="424"/>
      <w:bookmarkEnd w:id="425"/>
      <w:bookmarkEnd w:id="426"/>
    </w:p>
    <w:p w14:paraId="1F676BE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本项目谈判过程实行全程录音、录像监控，供应商在谈判过程中所进行的试图影响谈判结果的不公正活动，可能导致其谈判被拒绝。</w:t>
      </w:r>
    </w:p>
    <w:p w14:paraId="2FE9F788">
      <w:pPr>
        <w:pStyle w:val="4"/>
        <w:spacing w:before="0" w:after="0" w:line="360" w:lineRule="auto"/>
        <w:ind w:firstLine="420"/>
        <w:rPr>
          <w:rFonts w:hint="eastAsia" w:ascii="宋体" w:hAnsi="宋体" w:cs="宋体"/>
          <w:color w:val="auto"/>
          <w:sz w:val="21"/>
          <w:szCs w:val="21"/>
          <w:highlight w:val="none"/>
        </w:rPr>
      </w:pPr>
      <w:bookmarkStart w:id="427" w:name="_Toc21905"/>
      <w:bookmarkStart w:id="428" w:name="_Toc1119"/>
      <w:bookmarkStart w:id="429" w:name="_Toc16553"/>
      <w:bookmarkStart w:id="430" w:name="_Toc13878"/>
      <w:bookmarkStart w:id="431" w:name="_Toc6718"/>
      <w:bookmarkStart w:id="432" w:name="_Toc17871"/>
      <w:bookmarkStart w:id="433" w:name="_Toc19116"/>
      <w:bookmarkStart w:id="434" w:name="_Toc26818"/>
      <w:bookmarkStart w:id="435" w:name="_Toc15563"/>
      <w:bookmarkStart w:id="436" w:name="_Toc3959"/>
      <w:bookmarkStart w:id="437" w:name="_Toc22332"/>
      <w:bookmarkStart w:id="438" w:name="_Toc9148"/>
      <w:r>
        <w:rPr>
          <w:rFonts w:hint="eastAsia" w:ascii="宋体" w:hAnsi="宋体" w:cs="宋体"/>
          <w:color w:val="auto"/>
          <w:sz w:val="21"/>
          <w:szCs w:val="21"/>
          <w:highlight w:val="none"/>
        </w:rPr>
        <w:t>26.信用查询：</w:t>
      </w:r>
      <w:bookmarkEnd w:id="427"/>
      <w:bookmarkEnd w:id="428"/>
      <w:bookmarkEnd w:id="429"/>
      <w:bookmarkEnd w:id="430"/>
      <w:bookmarkEnd w:id="431"/>
      <w:bookmarkEnd w:id="432"/>
      <w:bookmarkEnd w:id="433"/>
      <w:bookmarkEnd w:id="434"/>
      <w:bookmarkEnd w:id="435"/>
      <w:bookmarkEnd w:id="436"/>
      <w:bookmarkEnd w:id="437"/>
      <w:bookmarkEnd w:id="438"/>
    </w:p>
    <w:p w14:paraId="18485EDC">
      <w:pPr>
        <w:spacing w:line="360" w:lineRule="auto"/>
        <w:ind w:firstLine="420"/>
        <w:rPr>
          <w:rFonts w:ascii="宋体" w:cs="宋体"/>
          <w:color w:val="auto"/>
          <w:szCs w:val="21"/>
          <w:highlight w:val="none"/>
        </w:rPr>
      </w:pPr>
      <w:r>
        <w:rPr>
          <w:rFonts w:hint="eastAsia" w:ascii="宋体" w:hAnsi="宋体" w:cs="宋体"/>
          <w:color w:val="auto"/>
          <w:szCs w:val="21"/>
          <w:highlight w:val="none"/>
        </w:rPr>
        <w:t>根据《关于做好政府采购有关信用主体标识码登记及在政府采购活动中查询使用信用记录有关问题的通知》（桂财采〔</w:t>
      </w:r>
      <w:r>
        <w:rPr>
          <w:rFonts w:ascii="宋体" w:hAnsi="宋体" w:cs="宋体"/>
          <w:color w:val="auto"/>
          <w:szCs w:val="21"/>
          <w:highlight w:val="none"/>
        </w:rPr>
        <w:t>2016</w:t>
      </w:r>
      <w:r>
        <w:rPr>
          <w:rFonts w:hint="eastAsia" w:ascii="宋体" w:hAnsi="宋体" w:cs="宋体"/>
          <w:color w:val="auto"/>
          <w:szCs w:val="21"/>
          <w:highlight w:val="none"/>
        </w:rPr>
        <w:t>〕</w:t>
      </w:r>
      <w:r>
        <w:rPr>
          <w:rFonts w:ascii="宋体" w:hAnsi="宋体" w:cs="宋体"/>
          <w:color w:val="auto"/>
          <w:szCs w:val="21"/>
          <w:highlight w:val="none"/>
        </w:rPr>
        <w:t>37</w:t>
      </w:r>
      <w:r>
        <w:rPr>
          <w:rFonts w:hint="eastAsia" w:ascii="宋体" w:hAnsi="宋体" w:cs="宋体"/>
          <w:color w:val="auto"/>
          <w:szCs w:val="21"/>
          <w:highlight w:val="none"/>
        </w:rPr>
        <w:t>号）的通知，采购代理机构对成交人的成交资格进行信用查询：</w:t>
      </w:r>
    </w:p>
    <w:p w14:paraId="1E5398F7">
      <w:pPr>
        <w:spacing w:line="360" w:lineRule="auto"/>
        <w:ind w:firstLine="210"/>
        <w:rPr>
          <w:rFonts w:ascii="宋体" w:cs="宋体"/>
          <w:color w:val="auto"/>
          <w:szCs w:val="21"/>
          <w:highlight w:val="none"/>
        </w:rPr>
      </w:pPr>
      <w:r>
        <w:rPr>
          <w:rFonts w:hint="eastAsia" w:ascii="宋体" w:hAnsi="宋体" w:cs="宋体"/>
          <w:color w:val="auto"/>
          <w:szCs w:val="21"/>
          <w:highlight w:val="none"/>
        </w:rPr>
        <w:t>（1）查询渠道：“信用中国”网站</w:t>
      </w:r>
      <w:r>
        <w:rPr>
          <w:rFonts w:ascii="宋体" w:hAnsi="宋体" w:cs="宋体"/>
          <w:color w:val="auto"/>
          <w:szCs w:val="21"/>
          <w:highlight w:val="none"/>
        </w:rPr>
        <w:t>(www.creditchina.gov.cn)</w:t>
      </w:r>
      <w:r>
        <w:rPr>
          <w:rFonts w:hint="eastAsia" w:ascii="宋体" w:hAnsi="宋体" w:cs="宋体"/>
          <w:color w:val="auto"/>
          <w:szCs w:val="21"/>
          <w:highlight w:val="none"/>
        </w:rPr>
        <w:t>、中国政府采购网</w:t>
      </w:r>
      <w:r>
        <w:rPr>
          <w:rFonts w:ascii="宋体" w:hAnsi="宋体" w:cs="宋体"/>
          <w:color w:val="auto"/>
          <w:szCs w:val="21"/>
          <w:highlight w:val="none"/>
        </w:rPr>
        <w:t>(www.ccgp.gov.cn)</w:t>
      </w:r>
      <w:r>
        <w:rPr>
          <w:rFonts w:hint="eastAsia" w:ascii="宋体" w:hAnsi="宋体" w:cs="宋体"/>
          <w:color w:val="auto"/>
          <w:szCs w:val="21"/>
          <w:highlight w:val="none"/>
        </w:rPr>
        <w:t>等；</w:t>
      </w:r>
    </w:p>
    <w:p w14:paraId="19D87D62">
      <w:pPr>
        <w:spacing w:line="360" w:lineRule="auto"/>
        <w:ind w:firstLine="210"/>
        <w:rPr>
          <w:rFonts w:ascii="宋体" w:cs="宋体"/>
          <w:color w:val="auto"/>
          <w:szCs w:val="21"/>
          <w:highlight w:val="none"/>
        </w:rPr>
      </w:pPr>
      <w:r>
        <w:rPr>
          <w:rFonts w:hint="eastAsia" w:ascii="宋体" w:hAnsi="宋体" w:cs="宋体"/>
          <w:color w:val="auto"/>
          <w:szCs w:val="21"/>
          <w:highlight w:val="none"/>
        </w:rPr>
        <w:t>（2）查询时间：成交通知书发出前；</w:t>
      </w:r>
    </w:p>
    <w:p w14:paraId="7638ECF8">
      <w:pPr>
        <w:spacing w:line="360" w:lineRule="auto"/>
        <w:ind w:firstLine="210"/>
        <w:rPr>
          <w:rFonts w:ascii="宋体" w:cs="宋体"/>
          <w:color w:val="auto"/>
          <w:szCs w:val="21"/>
          <w:highlight w:val="none"/>
        </w:rPr>
      </w:pPr>
      <w:r>
        <w:rPr>
          <w:rFonts w:hint="eastAsia" w:ascii="宋体" w:hAnsi="宋体" w:cs="宋体"/>
          <w:color w:val="auto"/>
          <w:szCs w:val="21"/>
          <w:highlight w:val="none"/>
        </w:rPr>
        <w:t>（3）信用信息查询记录和证据留存方式：在查询网站中直接打印查询记录，打印材料作为采购活动资料保存。</w:t>
      </w:r>
    </w:p>
    <w:p w14:paraId="077B747B">
      <w:pPr>
        <w:spacing w:line="360" w:lineRule="auto"/>
        <w:ind w:firstLine="210"/>
        <w:rPr>
          <w:rFonts w:ascii="宋体" w:cs="宋体"/>
          <w:color w:val="auto"/>
          <w:szCs w:val="21"/>
          <w:highlight w:val="none"/>
        </w:rPr>
      </w:pPr>
      <w:r>
        <w:rPr>
          <w:rFonts w:hint="eastAsia" w:ascii="宋体" w:hAnsi="宋体" w:cs="宋体"/>
          <w:color w:val="auto"/>
          <w:szCs w:val="21"/>
          <w:highlight w:val="none"/>
        </w:rPr>
        <w:t>（4）信用信息使用规则：对在“信用中国”网站</w:t>
      </w:r>
      <w:r>
        <w:rPr>
          <w:rFonts w:ascii="宋体" w:hAnsi="宋体" w:cs="宋体"/>
          <w:color w:val="auto"/>
          <w:szCs w:val="21"/>
          <w:highlight w:val="none"/>
        </w:rPr>
        <w:t>(www.creditchina.gov.cn)</w:t>
      </w:r>
      <w:r>
        <w:rPr>
          <w:rFonts w:hint="eastAsia" w:ascii="宋体" w:hAnsi="宋体" w:cs="宋体"/>
          <w:color w:val="auto"/>
          <w:szCs w:val="21"/>
          <w:highlight w:val="none"/>
        </w:rPr>
        <w:t>、中国政府采购网</w:t>
      </w:r>
      <w:r>
        <w:rPr>
          <w:rFonts w:ascii="宋体" w:hAnsi="宋体" w:cs="宋体"/>
          <w:color w:val="auto"/>
          <w:szCs w:val="21"/>
          <w:highlight w:val="none"/>
        </w:rPr>
        <w:t>(www.ccgp.gov.cn)</w:t>
      </w:r>
      <w:r>
        <w:rPr>
          <w:rFonts w:hint="eastAsia" w:ascii="宋体" w:hAnsi="宋体" w:cs="宋体"/>
          <w:color w:val="auto"/>
          <w:szCs w:val="21"/>
          <w:highlight w:val="none"/>
        </w:rPr>
        <w:t>等渠道列入失信被执行人、</w:t>
      </w:r>
      <w:r>
        <w:rPr>
          <w:rFonts w:hint="eastAsia" w:ascii="宋体" w:hAnsi="宋体" w:cs="宋体"/>
          <w:color w:val="auto"/>
          <w:szCs w:val="21"/>
          <w:highlight w:val="none"/>
          <w:lang w:eastAsia="zh-CN"/>
        </w:rPr>
        <w:t>重大税收违法失信主体名单</w:t>
      </w:r>
      <w:r>
        <w:rPr>
          <w:rFonts w:hint="eastAsia" w:ascii="宋体" w:hAnsi="宋体" w:cs="宋体"/>
          <w:color w:val="auto"/>
          <w:szCs w:val="21"/>
          <w:highlight w:val="none"/>
        </w:rPr>
        <w:t>、政府采购严重违法失信行为记录名单及其他不符合《中华人民共和国政府采购法》第二十二条规定条件的供应商，不得参与政府采购活动，取消其成交候选人资格。采购人依法按照评审报告中谈判小组推荐成交候选人排序表确定排名第二的成交候选人为成交供应商或者重新组织采购。</w:t>
      </w:r>
    </w:p>
    <w:p w14:paraId="0FB2E12B">
      <w:pPr>
        <w:spacing w:line="360" w:lineRule="auto"/>
        <w:ind w:firstLine="420"/>
        <w:rPr>
          <w:color w:val="auto"/>
          <w:highlight w:val="none"/>
        </w:rPr>
      </w:pPr>
      <w:r>
        <w:rPr>
          <w:rFonts w:hint="eastAsia" w:ascii="宋体" w:hAnsi="宋体" w:cs="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7530BA6A">
      <w:pPr>
        <w:pStyle w:val="4"/>
        <w:spacing w:before="0" w:after="0" w:line="360" w:lineRule="auto"/>
        <w:ind w:firstLine="420"/>
        <w:rPr>
          <w:rFonts w:hint="eastAsia" w:ascii="宋体" w:hAnsi="宋体" w:cs="宋体"/>
          <w:color w:val="auto"/>
          <w:sz w:val="21"/>
          <w:szCs w:val="21"/>
          <w:highlight w:val="none"/>
        </w:rPr>
      </w:pPr>
      <w:bookmarkStart w:id="439" w:name="_Toc4373"/>
      <w:bookmarkStart w:id="440" w:name="_Toc31767"/>
      <w:bookmarkStart w:id="441" w:name="_Toc10078"/>
      <w:bookmarkStart w:id="442" w:name="_Toc23139"/>
      <w:bookmarkStart w:id="443" w:name="_Toc22807"/>
      <w:bookmarkStart w:id="444" w:name="_Toc16667"/>
      <w:bookmarkStart w:id="445" w:name="_Toc26290"/>
      <w:bookmarkStart w:id="446" w:name="_Toc6181"/>
      <w:bookmarkStart w:id="447" w:name="_Toc19716"/>
      <w:bookmarkStart w:id="448" w:name="_Toc32175"/>
      <w:bookmarkStart w:id="449" w:name="_Toc27559"/>
      <w:bookmarkStart w:id="450" w:name="_Toc7749"/>
      <w:r>
        <w:rPr>
          <w:rFonts w:hint="eastAsia" w:ascii="宋体" w:hAnsi="宋体" w:cs="宋体"/>
          <w:color w:val="auto"/>
          <w:sz w:val="21"/>
          <w:szCs w:val="21"/>
          <w:highlight w:val="none"/>
        </w:rPr>
        <w:t>27. 成交结果公告及成交通知书</w:t>
      </w:r>
      <w:bookmarkEnd w:id="439"/>
      <w:bookmarkEnd w:id="440"/>
      <w:bookmarkEnd w:id="441"/>
      <w:bookmarkEnd w:id="442"/>
      <w:bookmarkEnd w:id="443"/>
      <w:bookmarkEnd w:id="444"/>
      <w:bookmarkEnd w:id="445"/>
      <w:bookmarkEnd w:id="446"/>
      <w:bookmarkEnd w:id="447"/>
      <w:bookmarkEnd w:id="448"/>
      <w:bookmarkEnd w:id="449"/>
      <w:bookmarkEnd w:id="450"/>
    </w:p>
    <w:p w14:paraId="6DDE989A">
      <w:pPr>
        <w:spacing w:line="360" w:lineRule="auto"/>
        <w:ind w:firstLine="420"/>
        <w:rPr>
          <w:rFonts w:asci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7</w:t>
      </w:r>
      <w:r>
        <w:rPr>
          <w:rFonts w:ascii="宋体" w:hAnsi="宋体" w:cs="宋体"/>
          <w:color w:val="auto"/>
          <w:szCs w:val="21"/>
          <w:highlight w:val="none"/>
        </w:rPr>
        <w:t xml:space="preserve">.1 </w:t>
      </w:r>
      <w:r>
        <w:rPr>
          <w:rFonts w:hint="eastAsia" w:ascii="宋体" w:hAnsi="宋体" w:cs="宋体"/>
          <w:color w:val="auto"/>
          <w:szCs w:val="21"/>
          <w:highlight w:val="none"/>
        </w:rPr>
        <w:t>采购代理机构于谈判结束后两个工作日内将评审报告送交采购人，采购人应当自收到评审报告五个工作日内在评审报告推荐的成交候选人中按顺序确定成交供应商，采购代理机构在成交供应商确定之日起两个工作日内发出成交通知书，并在指定媒体上公告成交信息。</w:t>
      </w:r>
    </w:p>
    <w:p w14:paraId="326CB504">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7</w:t>
      </w:r>
      <w:r>
        <w:rPr>
          <w:rFonts w:ascii="宋体" w:hAnsi="宋体" w:cs="宋体"/>
          <w:color w:val="auto"/>
          <w:szCs w:val="21"/>
          <w:highlight w:val="none"/>
        </w:rPr>
        <w:t xml:space="preserve">.2 </w:t>
      </w:r>
      <w:r>
        <w:rPr>
          <w:rFonts w:hint="eastAsia" w:ascii="宋体" w:hAnsi="宋体" w:cs="宋体"/>
          <w:color w:val="auto"/>
          <w:szCs w:val="21"/>
          <w:highlight w:val="none"/>
        </w:rPr>
        <w:t>成交公告发布的同时，采购代理机构在线向成交供应商发出电子成交通知书。</w:t>
      </w:r>
    </w:p>
    <w:p w14:paraId="100B3DCE">
      <w:pPr>
        <w:spacing w:line="360" w:lineRule="auto"/>
        <w:ind w:firstLine="420"/>
        <w:rPr>
          <w:rFonts w:asci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7</w:t>
      </w:r>
      <w:r>
        <w:rPr>
          <w:rFonts w:ascii="宋体" w:hAnsi="宋体" w:cs="宋体"/>
          <w:color w:val="auto"/>
          <w:szCs w:val="21"/>
          <w:highlight w:val="none"/>
        </w:rPr>
        <w:t xml:space="preserve">.3 </w:t>
      </w:r>
      <w:r>
        <w:rPr>
          <w:rFonts w:hint="eastAsia" w:ascii="宋体" w:hAnsi="宋体" w:cs="宋体"/>
          <w:color w:val="auto"/>
          <w:szCs w:val="21"/>
          <w:highlight w:val="none"/>
        </w:rPr>
        <w:t>采购代理机构无义务向未成交的供应商解释未成交原因和退还响应文件。</w:t>
      </w:r>
    </w:p>
    <w:p w14:paraId="624EDB33">
      <w:pPr>
        <w:pStyle w:val="3"/>
        <w:jc w:val="center"/>
        <w:rPr>
          <w:rFonts w:hint="eastAsia"/>
          <w:b/>
          <w:bCs w:val="0"/>
          <w:color w:val="auto"/>
          <w:szCs w:val="28"/>
          <w:highlight w:val="none"/>
        </w:rPr>
      </w:pPr>
      <w:bookmarkStart w:id="451" w:name="_Toc18670"/>
      <w:bookmarkStart w:id="452" w:name="_Toc28551"/>
      <w:bookmarkStart w:id="453" w:name="_Toc19711"/>
      <w:bookmarkStart w:id="454" w:name="_Toc9587"/>
      <w:bookmarkStart w:id="455" w:name="_Toc19781"/>
      <w:bookmarkStart w:id="456" w:name="_Toc2496"/>
      <w:bookmarkStart w:id="457" w:name="_Toc26948"/>
      <w:bookmarkStart w:id="458" w:name="_Toc7532"/>
      <w:bookmarkStart w:id="459" w:name="_Toc5548"/>
      <w:bookmarkStart w:id="460" w:name="_Toc27632"/>
      <w:bookmarkStart w:id="461" w:name="_Toc24627"/>
      <w:bookmarkStart w:id="462" w:name="_Toc18170"/>
      <w:r>
        <w:rPr>
          <w:rFonts w:hint="eastAsia"/>
          <w:b/>
          <w:bCs w:val="0"/>
          <w:color w:val="auto"/>
          <w:szCs w:val="28"/>
          <w:highlight w:val="none"/>
        </w:rPr>
        <w:t>五、</w:t>
      </w:r>
      <w:r>
        <w:rPr>
          <w:rFonts w:hint="eastAsia"/>
          <w:b/>
          <w:color w:val="auto"/>
          <w:szCs w:val="28"/>
          <w:highlight w:val="none"/>
        </w:rPr>
        <w:t>签订合同</w:t>
      </w:r>
      <w:bookmarkEnd w:id="451"/>
      <w:bookmarkEnd w:id="452"/>
      <w:bookmarkEnd w:id="453"/>
      <w:bookmarkEnd w:id="454"/>
      <w:bookmarkEnd w:id="455"/>
      <w:bookmarkEnd w:id="456"/>
      <w:bookmarkEnd w:id="457"/>
      <w:bookmarkEnd w:id="458"/>
      <w:bookmarkEnd w:id="459"/>
      <w:bookmarkEnd w:id="460"/>
      <w:bookmarkEnd w:id="461"/>
      <w:bookmarkEnd w:id="462"/>
    </w:p>
    <w:p w14:paraId="6568AE71">
      <w:pPr>
        <w:spacing w:line="360" w:lineRule="exact"/>
        <w:ind w:firstLine="411"/>
        <w:outlineLvl w:val="2"/>
        <w:rPr>
          <w:rFonts w:ascii="宋体" w:hAnsi="宋体" w:cs="宋体"/>
          <w:b/>
          <w:color w:val="auto"/>
          <w:szCs w:val="21"/>
          <w:highlight w:val="none"/>
        </w:rPr>
      </w:pPr>
      <w:bookmarkStart w:id="463" w:name="_Toc8751"/>
      <w:bookmarkStart w:id="464" w:name="_Toc17650"/>
      <w:bookmarkStart w:id="465" w:name="_Toc9151"/>
      <w:bookmarkStart w:id="466" w:name="_Toc6350"/>
      <w:bookmarkStart w:id="467" w:name="_Toc17433"/>
      <w:bookmarkStart w:id="468" w:name="_Toc19386"/>
      <w:bookmarkStart w:id="469" w:name="_Toc19840"/>
      <w:bookmarkStart w:id="470" w:name="_Toc10047"/>
      <w:bookmarkStart w:id="471" w:name="_Toc3109"/>
      <w:bookmarkStart w:id="472" w:name="_Toc6994"/>
      <w:bookmarkStart w:id="473" w:name="_Toc11500"/>
      <w:bookmarkStart w:id="474" w:name="_Toc32035"/>
      <w:bookmarkStart w:id="475" w:name="_Toc137"/>
      <w:bookmarkStart w:id="476" w:name="_Toc11357"/>
      <w:bookmarkStart w:id="477" w:name="_Toc9839"/>
      <w:r>
        <w:rPr>
          <w:rFonts w:hint="eastAsia" w:ascii="宋体" w:hAnsi="宋体" w:cs="宋体"/>
          <w:b/>
          <w:color w:val="auto"/>
          <w:szCs w:val="21"/>
          <w:highlight w:val="none"/>
        </w:rPr>
        <w:t>28. 履约保证金</w:t>
      </w:r>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p>
    <w:p w14:paraId="5AD47E0B">
      <w:pPr>
        <w:keepNext w:val="0"/>
        <w:keepLines w:val="0"/>
        <w:widowControl/>
        <w:suppressLineNumbers w:val="0"/>
        <w:ind w:left="0" w:leftChars="0" w:firstLine="420" w:firstLineChars="200"/>
        <w:jc w:val="left"/>
        <w:rPr>
          <w:rFonts w:hint="eastAsia" w:ascii="宋体" w:hAnsi="宋体" w:cs="宋体"/>
          <w:color w:val="auto"/>
          <w:highlight w:val="none"/>
          <w:lang w:val="en-US" w:eastAsia="zh-CN"/>
        </w:rPr>
      </w:pPr>
      <w:bookmarkStart w:id="478" w:name="_Toc339"/>
      <w:bookmarkStart w:id="479" w:name="_Toc29711"/>
      <w:bookmarkStart w:id="480" w:name="_Toc25471"/>
      <w:bookmarkStart w:id="481" w:name="_Toc10973"/>
      <w:bookmarkStart w:id="482" w:name="_Toc13533"/>
      <w:bookmarkStart w:id="483" w:name="_Toc18160"/>
      <w:bookmarkStart w:id="484" w:name="_Toc22092"/>
      <w:bookmarkStart w:id="485" w:name="_Toc14679"/>
      <w:r>
        <w:rPr>
          <w:rFonts w:hint="eastAsia" w:ascii="宋体" w:hAnsi="宋体" w:cs="宋体"/>
          <w:color w:val="auto"/>
          <w:highlight w:val="none"/>
          <w:lang w:val="en-US" w:eastAsia="zh-CN"/>
        </w:rPr>
        <w:t>本项目收取履约保证金。</w:t>
      </w:r>
    </w:p>
    <w:p w14:paraId="3EF4B5D1">
      <w:pPr>
        <w:keepNext w:val="0"/>
        <w:keepLines w:val="0"/>
        <w:widowControl/>
        <w:suppressLineNumbers w:val="0"/>
        <w:ind w:left="0" w:leftChars="0" w:firstLine="420" w:firstLineChars="200"/>
        <w:jc w:val="left"/>
        <w:rPr>
          <w:rFonts w:hint="eastAsia" w:ascii="宋体" w:hAnsi="宋体" w:cs="宋体"/>
          <w:color w:val="auto"/>
          <w:highlight w:val="none"/>
          <w:lang w:val="en-US" w:eastAsia="zh-CN"/>
        </w:rPr>
      </w:pPr>
      <w:r>
        <w:rPr>
          <w:rFonts w:hint="eastAsia" w:ascii="宋体" w:hAnsi="宋体" w:cs="宋体"/>
          <w:color w:val="auto"/>
          <w:highlight w:val="none"/>
          <w:lang w:val="en-US" w:eastAsia="zh-CN"/>
        </w:rPr>
        <w:t>（一）缴纳标准：中标（成交）供应商为中小企业的，按项目中标（成交）金额的2%收取；其他企业按项目中标（成交）金额的5%收取。（备注：中小企业认定严格按照《政府采购促进中小企业发展管理办法》（财库〔2020〕46号）及《中小企业划型标准规定》（工信部联企业〔2011〕300号）相关规定执行，项目以中标（成交）供应商自行出具的《中小企业声明函》作为认定依据。中标（成交）供应商须对自身企业类型声明的真实性、合法性、有效性承担全部责任，存在虚假声明的，视同违约，采购人将依规追究其相应责任）。</w:t>
      </w:r>
    </w:p>
    <w:p w14:paraId="19FD1875">
      <w:pPr>
        <w:keepNext w:val="0"/>
        <w:keepLines w:val="0"/>
        <w:widowControl/>
        <w:suppressLineNumbers w:val="0"/>
        <w:ind w:left="0" w:leftChars="0" w:firstLine="420" w:firstLineChars="200"/>
        <w:jc w:val="left"/>
        <w:rPr>
          <w:rFonts w:hint="eastAsia" w:ascii="宋体" w:hAnsi="宋体" w:cs="宋体"/>
          <w:color w:val="auto"/>
          <w:highlight w:val="none"/>
          <w:lang w:val="en-US" w:eastAsia="zh-CN"/>
        </w:rPr>
      </w:pPr>
      <w:r>
        <w:rPr>
          <w:rFonts w:hint="eastAsia" w:ascii="宋体" w:hAnsi="宋体" w:cs="宋体"/>
          <w:color w:val="auto"/>
          <w:highlight w:val="none"/>
          <w:lang w:val="en-US" w:eastAsia="zh-CN"/>
        </w:rPr>
        <w:t>（二）缴纳方式：须通过银行转账、支票、汇票、本票或金融机构、担保机构出具的保函等非现金方式缴纳。采用银行转账等方式的，须转入采购人指定账户。</w:t>
      </w:r>
    </w:p>
    <w:p w14:paraId="3A2DEDF6">
      <w:pPr>
        <w:keepNext w:val="0"/>
        <w:keepLines w:val="0"/>
        <w:widowControl/>
        <w:suppressLineNumbers w:val="0"/>
        <w:ind w:left="0" w:leftChars="0" w:firstLine="420" w:firstLineChars="200"/>
        <w:jc w:val="left"/>
        <w:rPr>
          <w:rFonts w:hint="eastAsia" w:ascii="宋体" w:hAnsi="宋体" w:cs="宋体"/>
          <w:color w:val="auto"/>
          <w:highlight w:val="none"/>
          <w:lang w:val="en-US" w:eastAsia="zh-CN"/>
        </w:rPr>
      </w:pPr>
      <w:r>
        <w:rPr>
          <w:rFonts w:hint="eastAsia" w:ascii="宋体" w:hAnsi="宋体" w:cs="宋体"/>
          <w:color w:val="auto"/>
          <w:highlight w:val="none"/>
          <w:lang w:val="en-US" w:eastAsia="zh-CN"/>
        </w:rPr>
        <w:t>指定账户信息：</w:t>
      </w:r>
    </w:p>
    <w:p w14:paraId="16A97760">
      <w:pPr>
        <w:keepNext w:val="0"/>
        <w:keepLines w:val="0"/>
        <w:widowControl/>
        <w:suppressLineNumbers w:val="0"/>
        <w:ind w:left="0" w:leftChars="0" w:firstLine="420" w:firstLineChars="200"/>
        <w:jc w:val="left"/>
        <w:rPr>
          <w:rFonts w:hint="eastAsia" w:ascii="宋体" w:hAnsi="宋体" w:cs="宋体"/>
          <w:color w:val="auto"/>
          <w:highlight w:val="none"/>
          <w:lang w:val="en-US" w:eastAsia="zh-CN"/>
        </w:rPr>
      </w:pPr>
      <w:r>
        <w:rPr>
          <w:rFonts w:hint="eastAsia" w:ascii="宋体" w:hAnsi="宋体" w:cs="宋体"/>
          <w:color w:val="auto"/>
          <w:highlight w:val="none"/>
          <w:lang w:val="en-US" w:eastAsia="zh-CN"/>
        </w:rPr>
        <w:t>户名：桂林师范学院；</w:t>
      </w:r>
    </w:p>
    <w:p w14:paraId="27796F03">
      <w:pPr>
        <w:keepNext w:val="0"/>
        <w:keepLines w:val="0"/>
        <w:widowControl/>
        <w:suppressLineNumbers w:val="0"/>
        <w:ind w:left="0" w:leftChars="0" w:firstLine="420" w:firstLineChars="200"/>
        <w:jc w:val="left"/>
        <w:rPr>
          <w:rFonts w:hint="eastAsia" w:ascii="宋体" w:hAnsi="宋体" w:cs="宋体"/>
          <w:color w:val="auto"/>
          <w:highlight w:val="none"/>
          <w:lang w:val="en-US" w:eastAsia="zh-CN"/>
        </w:rPr>
      </w:pPr>
      <w:r>
        <w:rPr>
          <w:rFonts w:hint="eastAsia" w:ascii="宋体" w:hAnsi="宋体" w:cs="宋体"/>
          <w:color w:val="auto"/>
          <w:highlight w:val="none"/>
          <w:lang w:val="en-US" w:eastAsia="zh-CN"/>
        </w:rPr>
        <w:t>账号：20205101040000787；</w:t>
      </w:r>
    </w:p>
    <w:p w14:paraId="59DCF456">
      <w:pPr>
        <w:keepNext w:val="0"/>
        <w:keepLines w:val="0"/>
        <w:widowControl/>
        <w:suppressLineNumbers w:val="0"/>
        <w:ind w:left="0" w:leftChars="0" w:firstLine="420" w:firstLineChars="200"/>
        <w:jc w:val="left"/>
        <w:rPr>
          <w:rFonts w:hint="eastAsia" w:ascii="宋体" w:hAnsi="宋体" w:cs="宋体"/>
          <w:color w:val="auto"/>
          <w:highlight w:val="none"/>
          <w:lang w:val="en-US" w:eastAsia="zh-CN"/>
        </w:rPr>
      </w:pPr>
      <w:r>
        <w:rPr>
          <w:rFonts w:hint="eastAsia" w:ascii="宋体" w:hAnsi="宋体" w:cs="宋体"/>
          <w:color w:val="auto"/>
          <w:highlight w:val="none"/>
          <w:lang w:val="en-US" w:eastAsia="zh-CN"/>
        </w:rPr>
        <w:t>开户行：中国农业银行桂林分行营业部；</w:t>
      </w:r>
    </w:p>
    <w:p w14:paraId="42EF4D2C">
      <w:pPr>
        <w:keepNext w:val="0"/>
        <w:keepLines w:val="0"/>
        <w:widowControl/>
        <w:suppressLineNumbers w:val="0"/>
        <w:ind w:left="0" w:leftChars="0" w:firstLine="420" w:firstLineChars="200"/>
        <w:jc w:val="left"/>
        <w:rPr>
          <w:rFonts w:hint="eastAsia" w:ascii="宋体" w:hAnsi="宋体" w:cs="宋体"/>
          <w:color w:val="auto"/>
          <w:highlight w:val="none"/>
          <w:lang w:val="en-US" w:eastAsia="zh-CN"/>
        </w:rPr>
      </w:pPr>
      <w:r>
        <w:rPr>
          <w:rFonts w:hint="eastAsia" w:ascii="宋体" w:hAnsi="宋体" w:cs="宋体"/>
          <w:color w:val="auto"/>
          <w:highlight w:val="none"/>
          <w:lang w:val="en-US" w:eastAsia="zh-CN"/>
        </w:rPr>
        <w:t>转账时备注“项目名称（项目编号）+履约保证金”。</w:t>
      </w:r>
    </w:p>
    <w:p w14:paraId="2FDE4555">
      <w:pPr>
        <w:keepNext w:val="0"/>
        <w:keepLines w:val="0"/>
        <w:widowControl/>
        <w:suppressLineNumbers w:val="0"/>
        <w:ind w:left="0" w:leftChars="0" w:firstLine="420" w:firstLineChars="200"/>
        <w:jc w:val="left"/>
        <w:rPr>
          <w:rFonts w:hint="eastAsia" w:ascii="宋体" w:hAnsi="宋体" w:cs="宋体"/>
          <w:color w:val="auto"/>
          <w:highlight w:val="none"/>
          <w:lang w:val="en-US" w:eastAsia="zh-CN"/>
        </w:rPr>
      </w:pPr>
      <w:r>
        <w:rPr>
          <w:rFonts w:hint="eastAsia" w:ascii="宋体" w:hAnsi="宋体" w:cs="宋体"/>
          <w:color w:val="auto"/>
          <w:highlight w:val="none"/>
          <w:lang w:val="en-US" w:eastAsia="zh-CN"/>
        </w:rPr>
        <w:t>（三）退付规定：</w:t>
      </w:r>
    </w:p>
    <w:p w14:paraId="29D6A4ED">
      <w:pPr>
        <w:keepNext w:val="0"/>
        <w:keepLines w:val="0"/>
        <w:widowControl/>
        <w:suppressLineNumbers w:val="0"/>
        <w:ind w:left="0" w:leftChars="0" w:firstLine="420" w:firstLineChars="200"/>
        <w:jc w:val="left"/>
        <w:rPr>
          <w:rFonts w:hint="eastAsia" w:ascii="宋体" w:hAnsi="宋体" w:cs="宋体"/>
          <w:color w:val="auto"/>
          <w:highlight w:val="none"/>
          <w:lang w:val="en-US" w:eastAsia="zh-CN"/>
        </w:rPr>
      </w:pPr>
      <w:r>
        <w:rPr>
          <w:rFonts w:hint="eastAsia" w:ascii="宋体" w:hAnsi="宋体" w:cs="宋体"/>
          <w:color w:val="auto"/>
          <w:highlight w:val="none"/>
          <w:lang w:val="en-US" w:eastAsia="zh-CN"/>
        </w:rPr>
        <w:t>（1）不予退付情形。</w:t>
      </w:r>
    </w:p>
    <w:p w14:paraId="73EC1A0A">
      <w:pPr>
        <w:keepNext w:val="0"/>
        <w:keepLines w:val="0"/>
        <w:widowControl/>
        <w:suppressLineNumbers w:val="0"/>
        <w:ind w:left="0" w:leftChars="0" w:firstLine="420" w:firstLineChars="200"/>
        <w:jc w:val="left"/>
        <w:rPr>
          <w:rFonts w:hint="eastAsia" w:ascii="宋体" w:hAnsi="宋体" w:cs="宋体"/>
          <w:color w:val="auto"/>
          <w:highlight w:val="none"/>
          <w:lang w:val="en-US" w:eastAsia="zh-CN"/>
        </w:rPr>
      </w:pPr>
      <w:r>
        <w:rPr>
          <w:rFonts w:hint="eastAsia" w:ascii="宋体" w:hAnsi="宋体" w:cs="宋体"/>
          <w:color w:val="auto"/>
          <w:highlight w:val="none"/>
          <w:lang w:val="en-US" w:eastAsia="zh-CN"/>
        </w:rPr>
        <w:t>中标（成交）供应商未按合同约定全面履行履约义务、存在违约行为，或项目存在未整改完毕的质量问题的，履约保证金不予退还。</w:t>
      </w:r>
    </w:p>
    <w:p w14:paraId="5CEC902F">
      <w:pPr>
        <w:keepNext w:val="0"/>
        <w:keepLines w:val="0"/>
        <w:widowControl/>
        <w:suppressLineNumbers w:val="0"/>
        <w:ind w:left="0" w:leftChars="0" w:firstLine="420" w:firstLineChars="200"/>
        <w:jc w:val="left"/>
        <w:rPr>
          <w:rFonts w:hint="eastAsia" w:ascii="宋体" w:hAnsi="宋体" w:cs="宋体"/>
          <w:color w:val="auto"/>
          <w:highlight w:val="none"/>
          <w:lang w:val="en-US" w:eastAsia="zh-CN"/>
        </w:rPr>
      </w:pPr>
      <w:r>
        <w:rPr>
          <w:rFonts w:hint="eastAsia" w:ascii="宋体" w:hAnsi="宋体" w:cs="宋体"/>
          <w:color w:val="auto"/>
          <w:highlight w:val="none"/>
          <w:lang w:val="en-US" w:eastAsia="zh-CN"/>
        </w:rPr>
        <w:t>（2）无息退付情形。</w:t>
      </w:r>
    </w:p>
    <w:p w14:paraId="15859555">
      <w:pPr>
        <w:keepNext w:val="0"/>
        <w:keepLines w:val="0"/>
        <w:widowControl/>
        <w:suppressLineNumbers w:val="0"/>
        <w:ind w:left="0" w:leftChars="0" w:firstLine="420" w:firstLineChars="200"/>
        <w:jc w:val="left"/>
        <w:rPr>
          <w:rFonts w:hint="eastAsia" w:ascii="宋体" w:hAnsi="宋体" w:cs="宋体"/>
          <w:color w:val="auto"/>
          <w:highlight w:val="none"/>
          <w:lang w:val="en-US" w:eastAsia="zh-CN"/>
        </w:rPr>
      </w:pPr>
      <w:r>
        <w:rPr>
          <w:rFonts w:hint="eastAsia" w:ascii="宋体" w:hAnsi="宋体" w:cs="宋体"/>
          <w:color w:val="auto"/>
          <w:highlight w:val="none"/>
          <w:lang w:val="en-US" w:eastAsia="zh-CN"/>
        </w:rPr>
        <w:t>待中标供应商履行完合同约定的权利义务事项后(中标供应商承诺免费保修满)不存在争议的，中标（成交）供应商可凭验收合格资料、履约保证金退付申请书、履约保证金缴费凭证（转账回执等），向采购人申请办理退费手续。采购人收到中标（成交）供应商完整、合规的书面退费资料完成审核后，采购人在5个工作日内办理履约保证金退还手续。</w:t>
      </w:r>
    </w:p>
    <w:p w14:paraId="2C49F55E">
      <w:pPr>
        <w:keepNext w:val="0"/>
        <w:keepLines w:val="0"/>
        <w:widowControl/>
        <w:suppressLineNumbers w:val="0"/>
        <w:ind w:left="0" w:leftChars="0" w:firstLine="420" w:firstLineChars="200"/>
        <w:jc w:val="left"/>
        <w:rPr>
          <w:rFonts w:hint="eastAsia" w:ascii="宋体" w:hAnsi="宋体" w:cs="宋体"/>
          <w:color w:val="auto"/>
          <w:highlight w:val="none"/>
          <w:lang w:val="en-US" w:eastAsia="zh-CN"/>
        </w:rPr>
      </w:pPr>
      <w:r>
        <w:rPr>
          <w:rFonts w:hint="eastAsia" w:ascii="宋体" w:hAnsi="宋体" w:cs="宋体"/>
          <w:color w:val="auto"/>
          <w:highlight w:val="none"/>
          <w:lang w:val="en-US" w:eastAsia="zh-CN"/>
        </w:rPr>
        <w:t>（3）责任界定。</w:t>
      </w:r>
    </w:p>
    <w:p w14:paraId="7A7CFAB2">
      <w:pPr>
        <w:keepNext w:val="0"/>
        <w:keepLines w:val="0"/>
        <w:widowControl/>
        <w:suppressLineNumbers w:val="0"/>
        <w:ind w:left="0" w:leftChars="0" w:firstLine="420" w:firstLineChars="200"/>
        <w:jc w:val="left"/>
        <w:rPr>
          <w:rFonts w:hint="eastAsia" w:ascii="宋体" w:hAnsi="宋体" w:eastAsia="宋体" w:cs="宋体"/>
          <w:color w:val="auto"/>
          <w:sz w:val="21"/>
          <w:szCs w:val="21"/>
          <w:highlight w:val="none"/>
          <w:u w:val="none"/>
          <w:vertAlign w:val="baseline"/>
          <w:lang w:eastAsia="zh-CN"/>
        </w:rPr>
      </w:pPr>
      <w:r>
        <w:rPr>
          <w:rFonts w:hint="eastAsia" w:ascii="宋体" w:hAnsi="宋体" w:cs="宋体"/>
          <w:color w:val="auto"/>
          <w:highlight w:val="none"/>
          <w:lang w:val="en-US" w:eastAsia="zh-CN"/>
        </w:rPr>
        <w:t xml:space="preserve">因中标（成交）供应商自身原因，未按时提交退费申请、提交的退费资料不完整、不合规等，导致保证金无法按期退还的，所有逾期责任及相关风险由中标（成交）供应商自行承担，采购人不承担任何责任。  </w:t>
      </w:r>
    </w:p>
    <w:bookmarkEnd w:id="478"/>
    <w:bookmarkEnd w:id="479"/>
    <w:bookmarkEnd w:id="480"/>
    <w:bookmarkEnd w:id="481"/>
    <w:bookmarkEnd w:id="482"/>
    <w:p w14:paraId="3309D421">
      <w:pPr>
        <w:spacing w:line="360" w:lineRule="exact"/>
        <w:ind w:firstLine="411"/>
        <w:outlineLvl w:val="2"/>
        <w:rPr>
          <w:rFonts w:hint="eastAsia" w:ascii="宋体" w:hAnsi="宋体" w:cs="宋体"/>
          <w:b/>
          <w:color w:val="auto"/>
          <w:szCs w:val="21"/>
          <w:highlight w:val="none"/>
        </w:rPr>
      </w:pPr>
      <w:bookmarkStart w:id="486" w:name="_Toc31424"/>
      <w:bookmarkStart w:id="487" w:name="_Toc27021"/>
      <w:bookmarkStart w:id="488" w:name="_Toc6080"/>
      <w:bookmarkStart w:id="489" w:name="_Toc3732"/>
      <w:bookmarkStart w:id="490" w:name="_Toc18599"/>
      <w:bookmarkStart w:id="491" w:name="_Toc7113"/>
      <w:bookmarkStart w:id="492" w:name="_Toc13567"/>
      <w:bookmarkStart w:id="493" w:name="_Toc22752"/>
      <w:bookmarkStart w:id="494" w:name="_Toc19380"/>
      <w:bookmarkStart w:id="495" w:name="_Toc7259"/>
      <w:bookmarkStart w:id="496" w:name="_Toc14391"/>
      <w:bookmarkStart w:id="497" w:name="_Toc30382"/>
      <w:r>
        <w:rPr>
          <w:rFonts w:hint="eastAsia" w:ascii="宋体" w:hAnsi="宋体" w:cs="宋体"/>
          <w:b/>
          <w:color w:val="auto"/>
          <w:szCs w:val="21"/>
          <w:highlight w:val="none"/>
        </w:rPr>
        <w:t>29. 签订合同</w:t>
      </w:r>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p>
    <w:p w14:paraId="0B081715">
      <w:pPr>
        <w:spacing w:line="360" w:lineRule="exact"/>
        <w:ind w:left="2" w:firstLine="420"/>
        <w:rPr>
          <w:rFonts w:hint="eastAsia" w:ascii="宋体" w:hAnsi="宋体" w:cs="宋体"/>
          <w:color w:val="auto"/>
          <w:highlight w:val="none"/>
        </w:rPr>
      </w:pPr>
      <w:r>
        <w:rPr>
          <w:rFonts w:hint="eastAsia" w:ascii="宋体" w:hAnsi="宋体" w:cs="宋体"/>
          <w:color w:val="auto"/>
          <w:szCs w:val="21"/>
          <w:highlight w:val="none"/>
        </w:rPr>
        <w:t>29.1签订合同时间：成交通知书发出之日起</w:t>
      </w:r>
      <w:r>
        <w:rPr>
          <w:rFonts w:hint="eastAsia" w:ascii="宋体" w:hAnsi="宋体" w:cs="宋体"/>
          <w:color w:val="auto"/>
          <w:szCs w:val="21"/>
          <w:highlight w:val="none"/>
          <w:lang w:eastAsia="zh-CN"/>
        </w:rPr>
        <w:t>二十五日</w:t>
      </w:r>
      <w:r>
        <w:rPr>
          <w:rFonts w:hint="eastAsia" w:ascii="宋体" w:hAnsi="宋体"/>
          <w:color w:val="auto"/>
          <w:highlight w:val="none"/>
        </w:rPr>
        <w:t>内</w:t>
      </w:r>
      <w:r>
        <w:rPr>
          <w:rFonts w:hint="eastAsia" w:ascii="宋体" w:hAnsi="宋体" w:cs="宋体"/>
          <w:color w:val="auto"/>
          <w:szCs w:val="21"/>
          <w:highlight w:val="none"/>
        </w:rPr>
        <w:t>。</w:t>
      </w:r>
      <w:r>
        <w:rPr>
          <w:rFonts w:hint="eastAsia"/>
          <w:color w:val="auto"/>
          <w:highlight w:val="none"/>
        </w:rPr>
        <w:t>成交供应商收到成交通知书后</w:t>
      </w:r>
      <w:r>
        <w:rPr>
          <w:rFonts w:hint="eastAsia" w:ascii="宋体" w:hAnsi="宋体" w:cs="宋体"/>
          <w:color w:val="auto"/>
          <w:szCs w:val="21"/>
          <w:highlight w:val="none"/>
        </w:rPr>
        <w:t>，应按规定与采购人在广西政府采购云平台上在线签订电子合同。</w:t>
      </w:r>
    </w:p>
    <w:p w14:paraId="104A2BE6">
      <w:pPr>
        <w:spacing w:line="360" w:lineRule="exact"/>
        <w:ind w:left="2" w:firstLine="420"/>
        <w:rPr>
          <w:rFonts w:hint="eastAsia" w:ascii="宋体" w:hAnsi="宋体" w:cs="宋体"/>
          <w:color w:val="auto"/>
          <w:highlight w:val="none"/>
        </w:rPr>
      </w:pPr>
      <w:r>
        <w:rPr>
          <w:rFonts w:hint="eastAsia" w:ascii="宋体" w:hAnsi="宋体" w:cs="宋体"/>
          <w:color w:val="auto"/>
          <w:highlight w:val="none"/>
        </w:rPr>
        <w:t>29.2成交供应商为联合体的，联合体各方均应与采购人签订合同，并承担连带责任。（本项目不接受联合体投标）</w:t>
      </w:r>
    </w:p>
    <w:p w14:paraId="600D5491">
      <w:pPr>
        <w:spacing w:line="360" w:lineRule="exact"/>
        <w:ind w:left="2" w:firstLine="420"/>
        <w:rPr>
          <w:rFonts w:ascii="宋体" w:hAnsi="宋体" w:cs="宋体"/>
          <w:color w:val="auto"/>
          <w:szCs w:val="21"/>
          <w:highlight w:val="none"/>
        </w:rPr>
      </w:pPr>
      <w:r>
        <w:rPr>
          <w:rFonts w:hint="eastAsia" w:ascii="宋体" w:hAnsi="宋体" w:cs="宋体"/>
          <w:color w:val="auto"/>
          <w:szCs w:val="21"/>
          <w:highlight w:val="none"/>
        </w:rPr>
        <w:t>29.3如成交供应商有下列情形之一的，情节严重的，由财政部门将其列入不良行为记录名单，在一至三年内禁止参加政府采购活动，并予以通报。采购人或者采购代理机构可从评标委员会推荐的成交候选供应商中按顺序重新确定成交供应商或重新组织招标。</w:t>
      </w:r>
    </w:p>
    <w:p w14:paraId="0A4E8102">
      <w:pPr>
        <w:spacing w:line="360" w:lineRule="exact"/>
        <w:ind w:firstLine="315"/>
        <w:rPr>
          <w:rFonts w:ascii="宋体" w:hAnsi="宋体" w:cs="宋体"/>
          <w:color w:val="auto"/>
          <w:szCs w:val="21"/>
          <w:highlight w:val="none"/>
        </w:rPr>
      </w:pPr>
      <w:r>
        <w:rPr>
          <w:rFonts w:hint="eastAsia" w:ascii="宋体" w:hAnsi="宋体" w:cs="宋体"/>
          <w:color w:val="auto"/>
          <w:szCs w:val="21"/>
          <w:highlight w:val="none"/>
        </w:rPr>
        <w:t>（1）中标后不与采购人签订合同的（不可抗力除外）；</w:t>
      </w:r>
    </w:p>
    <w:p w14:paraId="3FB509AA">
      <w:pPr>
        <w:spacing w:line="360" w:lineRule="exact"/>
        <w:ind w:left="2" w:firstLine="315"/>
        <w:rPr>
          <w:rFonts w:ascii="宋体" w:hAnsi="宋体" w:cs="宋体"/>
          <w:color w:val="auto"/>
          <w:szCs w:val="21"/>
          <w:highlight w:val="none"/>
        </w:rPr>
      </w:pPr>
      <w:r>
        <w:rPr>
          <w:rFonts w:hint="eastAsia" w:ascii="宋体" w:hAnsi="宋体" w:cs="宋体"/>
          <w:color w:val="auto"/>
          <w:szCs w:val="21"/>
          <w:highlight w:val="none"/>
        </w:rPr>
        <w:t>（2）将中标项目转让给他人，或者在投标文件中未说明，且未经采购人同意，将中标项目分包给他人的；</w:t>
      </w:r>
    </w:p>
    <w:p w14:paraId="0F959B12">
      <w:pPr>
        <w:spacing w:line="360" w:lineRule="exact"/>
        <w:ind w:firstLine="315"/>
        <w:rPr>
          <w:rFonts w:ascii="宋体" w:hAnsi="宋体" w:cs="宋体"/>
          <w:color w:val="auto"/>
          <w:szCs w:val="21"/>
          <w:highlight w:val="none"/>
        </w:rPr>
      </w:pPr>
      <w:r>
        <w:rPr>
          <w:rFonts w:hint="eastAsia" w:ascii="宋体" w:hAnsi="宋体" w:cs="宋体"/>
          <w:color w:val="auto"/>
          <w:szCs w:val="21"/>
          <w:highlight w:val="none"/>
        </w:rPr>
        <w:t>（3）拒绝履行合同义务的。</w:t>
      </w:r>
    </w:p>
    <w:p w14:paraId="06402EEC">
      <w:pPr>
        <w:spacing w:line="360" w:lineRule="exact"/>
        <w:ind w:left="2" w:firstLine="420"/>
        <w:rPr>
          <w:rFonts w:hint="eastAsia" w:ascii="宋体" w:hAnsi="宋体" w:cs="宋体"/>
          <w:color w:val="auto"/>
          <w:szCs w:val="21"/>
          <w:highlight w:val="none"/>
        </w:rPr>
      </w:pPr>
      <w:r>
        <w:rPr>
          <w:rFonts w:hint="eastAsia" w:ascii="宋体" w:hAnsi="宋体" w:cs="宋体"/>
          <w:color w:val="auto"/>
          <w:szCs w:val="21"/>
          <w:highlight w:val="none"/>
        </w:rPr>
        <w:t>29.4合同备案存档：政府采购合同双方自签订之日起将自动存档于广西政府采购云平台上。</w:t>
      </w:r>
    </w:p>
    <w:p w14:paraId="278EC0AA">
      <w:pPr>
        <w:pStyle w:val="18"/>
        <w:rPr>
          <w:rFonts w:hint="eastAsia"/>
          <w:color w:val="auto"/>
          <w:highlight w:val="none"/>
        </w:rPr>
      </w:pPr>
    </w:p>
    <w:p w14:paraId="15E9822D">
      <w:pPr>
        <w:rPr>
          <w:rFonts w:hint="eastAsia"/>
          <w:color w:val="auto"/>
          <w:highlight w:val="none"/>
        </w:rPr>
      </w:pPr>
    </w:p>
    <w:p w14:paraId="6F97F39E">
      <w:pPr>
        <w:rPr>
          <w:rFonts w:hint="eastAsia"/>
          <w:color w:val="auto"/>
          <w:highlight w:val="none"/>
        </w:rPr>
      </w:pPr>
    </w:p>
    <w:p w14:paraId="59189774">
      <w:pPr>
        <w:pStyle w:val="3"/>
        <w:jc w:val="center"/>
        <w:rPr>
          <w:rFonts w:hint="eastAsia"/>
          <w:b/>
          <w:bCs w:val="0"/>
          <w:color w:val="auto"/>
          <w:szCs w:val="28"/>
          <w:highlight w:val="none"/>
        </w:rPr>
      </w:pPr>
      <w:bookmarkStart w:id="498" w:name="_Toc3231"/>
      <w:bookmarkStart w:id="499" w:name="_Toc7521"/>
      <w:bookmarkStart w:id="500" w:name="_Toc655"/>
      <w:bookmarkStart w:id="501" w:name="_Toc15898"/>
      <w:bookmarkStart w:id="502" w:name="_Toc19628"/>
      <w:bookmarkStart w:id="503" w:name="_Toc19422"/>
      <w:bookmarkStart w:id="504" w:name="_Toc17499"/>
      <w:bookmarkStart w:id="505" w:name="_Toc2401"/>
      <w:bookmarkStart w:id="506" w:name="_Toc24168"/>
      <w:bookmarkStart w:id="507" w:name="_Toc23949"/>
      <w:bookmarkStart w:id="508" w:name="_Toc24198"/>
      <w:bookmarkStart w:id="509" w:name="_Toc16154"/>
      <w:r>
        <w:rPr>
          <w:rFonts w:hint="eastAsia"/>
          <w:b/>
          <w:bCs w:val="0"/>
          <w:color w:val="auto"/>
          <w:szCs w:val="28"/>
          <w:highlight w:val="none"/>
        </w:rPr>
        <w:t>六、其他事项</w:t>
      </w:r>
      <w:bookmarkEnd w:id="498"/>
      <w:bookmarkEnd w:id="499"/>
      <w:bookmarkEnd w:id="500"/>
      <w:bookmarkEnd w:id="501"/>
      <w:bookmarkEnd w:id="502"/>
      <w:bookmarkEnd w:id="503"/>
      <w:bookmarkEnd w:id="504"/>
      <w:bookmarkEnd w:id="505"/>
      <w:bookmarkEnd w:id="506"/>
      <w:bookmarkEnd w:id="507"/>
      <w:bookmarkEnd w:id="508"/>
      <w:bookmarkEnd w:id="509"/>
    </w:p>
    <w:p w14:paraId="61F54059">
      <w:pPr>
        <w:pStyle w:val="4"/>
        <w:spacing w:before="0" w:after="0" w:line="360" w:lineRule="auto"/>
        <w:ind w:firstLine="420"/>
        <w:rPr>
          <w:rFonts w:hint="eastAsia" w:ascii="宋体" w:hAnsi="宋体" w:cs="宋体"/>
          <w:color w:val="auto"/>
          <w:sz w:val="21"/>
          <w:szCs w:val="21"/>
          <w:highlight w:val="none"/>
        </w:rPr>
      </w:pPr>
      <w:bookmarkStart w:id="510" w:name="_Toc9971"/>
      <w:bookmarkStart w:id="511" w:name="_Toc17200"/>
      <w:bookmarkStart w:id="512" w:name="_Toc18028"/>
      <w:bookmarkStart w:id="513" w:name="_Toc22356"/>
      <w:bookmarkStart w:id="514" w:name="_Toc22779"/>
      <w:bookmarkStart w:id="515" w:name="_Toc10892"/>
      <w:bookmarkStart w:id="516" w:name="_Toc8229"/>
      <w:bookmarkStart w:id="517" w:name="_Toc20464"/>
      <w:bookmarkStart w:id="518" w:name="_Toc23031"/>
      <w:bookmarkStart w:id="519" w:name="_Toc32532"/>
      <w:bookmarkStart w:id="520" w:name="_Toc14380"/>
      <w:bookmarkStart w:id="521" w:name="_Toc5581"/>
      <w:r>
        <w:rPr>
          <w:rFonts w:hint="eastAsia" w:ascii="宋体" w:hAnsi="宋体" w:cs="宋体"/>
          <w:color w:val="auto"/>
          <w:sz w:val="21"/>
          <w:szCs w:val="21"/>
          <w:highlight w:val="none"/>
        </w:rPr>
        <w:t>30. 采购代理服务费</w:t>
      </w:r>
      <w:bookmarkEnd w:id="510"/>
      <w:bookmarkEnd w:id="511"/>
      <w:bookmarkEnd w:id="512"/>
      <w:bookmarkEnd w:id="513"/>
      <w:bookmarkEnd w:id="514"/>
      <w:bookmarkEnd w:id="515"/>
      <w:bookmarkEnd w:id="516"/>
      <w:bookmarkEnd w:id="517"/>
      <w:bookmarkEnd w:id="518"/>
      <w:bookmarkEnd w:id="519"/>
      <w:bookmarkEnd w:id="520"/>
      <w:bookmarkEnd w:id="521"/>
    </w:p>
    <w:p w14:paraId="05CD817D">
      <w:pPr>
        <w:pStyle w:val="41"/>
        <w:ind w:left="0" w:firstLine="840"/>
        <w:rPr>
          <w:color w:val="auto"/>
          <w:highlight w:val="none"/>
        </w:rPr>
      </w:pPr>
      <w:r>
        <w:rPr>
          <w:rFonts w:hint="eastAsia" w:ascii="宋体" w:hAnsi="宋体" w:cs="宋体"/>
          <w:b/>
          <w:bCs/>
          <w:color w:val="auto"/>
          <w:szCs w:val="21"/>
          <w:highlight w:val="none"/>
        </w:rPr>
        <w:t>本项目不收取代理服务费。</w:t>
      </w:r>
    </w:p>
    <w:p w14:paraId="3A1D456E">
      <w:pPr>
        <w:pStyle w:val="4"/>
        <w:spacing w:before="0" w:after="0" w:line="360" w:lineRule="exact"/>
        <w:ind w:firstLine="420"/>
        <w:rPr>
          <w:rFonts w:hint="eastAsia" w:ascii="宋体" w:hAnsi="宋体" w:eastAsia="宋体" w:cs="宋体"/>
          <w:b/>
          <w:bCs w:val="0"/>
          <w:color w:val="auto"/>
          <w:sz w:val="21"/>
          <w:szCs w:val="21"/>
          <w:highlight w:val="none"/>
          <w:lang w:val="en-US" w:eastAsia="zh-CN"/>
        </w:rPr>
      </w:pPr>
      <w:bookmarkStart w:id="522" w:name="_Toc12162"/>
      <w:bookmarkStart w:id="523" w:name="_Toc6373"/>
      <w:bookmarkStart w:id="524" w:name="_Toc5947"/>
      <w:bookmarkStart w:id="525" w:name="_Toc11529"/>
      <w:bookmarkStart w:id="526" w:name="_Toc14535"/>
      <w:bookmarkStart w:id="527" w:name="_Toc2054"/>
      <w:bookmarkStart w:id="528" w:name="_Toc10577"/>
      <w:bookmarkStart w:id="529" w:name="_Toc11455"/>
      <w:bookmarkStart w:id="530" w:name="_Toc102"/>
      <w:bookmarkStart w:id="531" w:name="_Toc23905"/>
      <w:bookmarkStart w:id="532" w:name="_Toc8409"/>
      <w:bookmarkStart w:id="533" w:name="_Toc26051"/>
      <w:bookmarkStart w:id="534" w:name="_Toc8467"/>
      <w:bookmarkStart w:id="535" w:name="_Toc6949"/>
      <w:bookmarkStart w:id="536" w:name="_Toc31204"/>
      <w:r>
        <w:rPr>
          <w:rFonts w:hint="eastAsia" w:ascii="宋体" w:hAnsi="宋体" w:eastAsia="宋体" w:cs="宋体"/>
          <w:b/>
          <w:bCs w:val="0"/>
          <w:color w:val="auto"/>
          <w:sz w:val="21"/>
          <w:szCs w:val="21"/>
          <w:highlight w:val="none"/>
          <w:lang w:val="en-US" w:eastAsia="zh-CN" w:bidi="ar-SA"/>
        </w:rPr>
        <w:t>31.</w:t>
      </w:r>
      <w:r>
        <w:rPr>
          <w:rFonts w:hint="eastAsia" w:ascii="宋体" w:hAnsi="宋体" w:eastAsia="宋体" w:cs="宋体"/>
          <w:b/>
          <w:bCs w:val="0"/>
          <w:color w:val="auto"/>
          <w:sz w:val="21"/>
          <w:szCs w:val="21"/>
          <w:highlight w:val="none"/>
          <w:lang w:val="en-US" w:eastAsia="zh-CN"/>
        </w:rPr>
        <w:t>本国产品标准及相关政策</w:t>
      </w:r>
      <w:bookmarkEnd w:id="522"/>
      <w:bookmarkEnd w:id="523"/>
      <w:bookmarkEnd w:id="524"/>
    </w:p>
    <w:p w14:paraId="2A2E532B">
      <w:pPr>
        <w:numPr>
          <w:ilvl w:val="0"/>
          <w:numId w:val="0"/>
        </w:numPr>
        <w:spacing w:line="360" w:lineRule="exact"/>
        <w:ind w:left="0" w:firstLine="420"/>
        <w:jc w:val="left"/>
        <w:rPr>
          <w:rFonts w:hint="eastAsia" w:ascii="宋体" w:hAnsi="宋体" w:eastAsia="宋体" w:cs="宋体"/>
          <w:b w:val="0"/>
          <w:bCs w:val="0"/>
          <w:color w:val="auto"/>
          <w:sz w:val="21"/>
          <w:szCs w:val="21"/>
          <w:highlight w:val="none"/>
          <w:lang w:val="en-US" w:eastAsia="zh-CN"/>
        </w:rPr>
      </w:pPr>
      <w:r>
        <w:rPr>
          <w:rFonts w:hint="eastAsia" w:ascii="宋体" w:hAnsi="宋体" w:cs="宋体"/>
          <w:b/>
          <w:bCs/>
          <w:color w:val="auto"/>
          <w:szCs w:val="21"/>
          <w:highlight w:val="none"/>
          <w:lang w:val="en-US" w:eastAsia="zh-CN"/>
        </w:rPr>
        <w:t xml:space="preserve"> </w:t>
      </w:r>
      <w:r>
        <w:rPr>
          <w:rFonts w:hint="eastAsia" w:ascii="宋体" w:hAnsi="宋体" w:eastAsia="宋体" w:cs="宋体"/>
          <w:b w:val="0"/>
          <w:bCs w:val="0"/>
          <w:color w:val="auto"/>
          <w:sz w:val="21"/>
          <w:szCs w:val="21"/>
          <w:highlight w:val="none"/>
          <w:lang w:val="en-US" w:eastAsia="zh-CN"/>
        </w:rPr>
        <w:t>根据《</w:t>
      </w:r>
      <w:r>
        <w:rPr>
          <w:rFonts w:hint="eastAsia" w:ascii="宋体" w:hAnsi="宋体" w:eastAsia="宋体" w:cs="宋体"/>
          <w:b w:val="0"/>
          <w:bCs w:val="0"/>
          <w:i w:val="0"/>
          <w:iCs w:val="0"/>
          <w:caps w:val="0"/>
          <w:color w:val="auto"/>
          <w:spacing w:val="0"/>
          <w:sz w:val="21"/>
          <w:szCs w:val="21"/>
          <w:highlight w:val="none"/>
          <w:shd w:val="clear" w:color="auto" w:fill="auto"/>
        </w:rPr>
        <w:t>国务院办公厅关于在政府采购中实施本国产品标准及相关政策的通知</w:t>
      </w:r>
      <w:r>
        <w:rPr>
          <w:rFonts w:hint="eastAsia" w:ascii="宋体" w:hAnsi="宋体" w:eastAsia="宋体" w:cs="宋体"/>
          <w:b w:val="0"/>
          <w:bCs w:val="0"/>
          <w:color w:val="auto"/>
          <w:sz w:val="21"/>
          <w:szCs w:val="21"/>
          <w:highlight w:val="none"/>
          <w:lang w:val="en-US" w:eastAsia="zh-CN"/>
        </w:rPr>
        <w:t>》（国办发〔2025〕34号）的规定，本国产品</w:t>
      </w:r>
      <w:r>
        <w:rPr>
          <w:rFonts w:hint="eastAsia" w:ascii="宋体" w:hAnsi="宋体" w:eastAsia="宋体" w:cs="宋体"/>
          <w:b w:val="0"/>
          <w:bCs w:val="0"/>
          <w:color w:val="auto"/>
          <w:szCs w:val="21"/>
          <w:highlight w:val="none"/>
          <w:lang w:val="en-US" w:eastAsia="zh-CN"/>
        </w:rPr>
        <w:t>标准及相关政策如下</w:t>
      </w:r>
      <w:r>
        <w:rPr>
          <w:rFonts w:hint="eastAsia" w:ascii="宋体" w:hAnsi="宋体" w:eastAsia="宋体" w:cs="宋体"/>
          <w:b w:val="0"/>
          <w:bCs w:val="0"/>
          <w:color w:val="auto"/>
          <w:sz w:val="21"/>
          <w:szCs w:val="21"/>
          <w:highlight w:val="none"/>
          <w:lang w:val="en-US" w:eastAsia="zh-CN"/>
        </w:rPr>
        <w:t>：</w:t>
      </w:r>
    </w:p>
    <w:p w14:paraId="39AE5DAD">
      <w:pPr>
        <w:numPr>
          <w:ilvl w:val="0"/>
          <w:numId w:val="0"/>
        </w:numPr>
        <w:spacing w:line="360" w:lineRule="exact"/>
        <w:ind w:left="0" w:firstLine="420"/>
        <w:jc w:val="left"/>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31.1 本国产品标准</w:t>
      </w:r>
    </w:p>
    <w:p w14:paraId="5642E459">
      <w:pPr>
        <w:numPr>
          <w:ilvl w:val="0"/>
          <w:numId w:val="0"/>
        </w:numPr>
        <w:spacing w:line="360" w:lineRule="exact"/>
        <w:ind w:left="0" w:firstLine="420"/>
        <w:jc w:val="lef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（一）在中国境内生产</w:t>
      </w:r>
    </w:p>
    <w:p w14:paraId="02CDF522">
      <w:pPr>
        <w:numPr>
          <w:ilvl w:val="0"/>
          <w:numId w:val="0"/>
        </w:numPr>
        <w:spacing w:line="360" w:lineRule="exact"/>
        <w:ind w:left="0" w:firstLine="420"/>
        <w:jc w:val="lef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产品应当在中国境内生产，即在中华人民共和国关境内实现从原材料、组件到产品的属性改变。</w:t>
      </w:r>
    </w:p>
    <w:p w14:paraId="5FD14A4C">
      <w:pPr>
        <w:numPr>
          <w:ilvl w:val="0"/>
          <w:numId w:val="0"/>
        </w:numPr>
        <w:spacing w:line="360" w:lineRule="exact"/>
        <w:ind w:left="0" w:firstLine="420"/>
        <w:jc w:val="lef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属性改变是指经过制造、加工或者组装等工序，产生完全不同于原材料、组件的新产品，并具有新的名称和特征（用途）。属性改变不包括以下细微操作：</w:t>
      </w:r>
    </w:p>
    <w:p w14:paraId="28324E2F">
      <w:pPr>
        <w:numPr>
          <w:ilvl w:val="0"/>
          <w:numId w:val="0"/>
        </w:numPr>
        <w:spacing w:line="360" w:lineRule="exact"/>
        <w:ind w:left="0" w:firstLine="420"/>
        <w:jc w:val="lef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1.为确保产品在运输或者储存期间保持某种状态而进行的操作；</w:t>
      </w:r>
    </w:p>
    <w:p w14:paraId="7F62250D">
      <w:pPr>
        <w:numPr>
          <w:ilvl w:val="0"/>
          <w:numId w:val="0"/>
        </w:numPr>
        <w:spacing w:line="360" w:lineRule="exact"/>
        <w:ind w:left="0" w:firstLine="420"/>
        <w:jc w:val="lef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2.为产品运输或者销售进行的包装或者展示；</w:t>
      </w:r>
    </w:p>
    <w:p w14:paraId="5A34EC40">
      <w:pPr>
        <w:numPr>
          <w:ilvl w:val="0"/>
          <w:numId w:val="0"/>
        </w:numPr>
        <w:spacing w:line="360" w:lineRule="exact"/>
        <w:ind w:left="0" w:firstLine="420"/>
        <w:jc w:val="lef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3.在产品或者其包装上粘贴或者印刷品牌、标志、标识以及其他用于区别的标记；</w:t>
      </w:r>
    </w:p>
    <w:p w14:paraId="1F4E58ED">
      <w:pPr>
        <w:numPr>
          <w:ilvl w:val="0"/>
          <w:numId w:val="0"/>
        </w:numPr>
        <w:spacing w:line="360" w:lineRule="exact"/>
        <w:ind w:left="0" w:firstLine="420"/>
        <w:jc w:val="lef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4.简单的上漆、磨光和分装；</w:t>
      </w:r>
    </w:p>
    <w:p w14:paraId="583CCCA0">
      <w:pPr>
        <w:numPr>
          <w:ilvl w:val="0"/>
          <w:numId w:val="0"/>
        </w:numPr>
        <w:spacing w:line="360" w:lineRule="exact"/>
        <w:ind w:left="0" w:firstLine="420"/>
        <w:jc w:val="lef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5.其他不属于属性改变的情形。</w:t>
      </w:r>
    </w:p>
    <w:p w14:paraId="0EA450F8">
      <w:pPr>
        <w:numPr>
          <w:ilvl w:val="0"/>
          <w:numId w:val="0"/>
        </w:numPr>
        <w:spacing w:line="360" w:lineRule="exact"/>
        <w:ind w:left="0" w:firstLine="420"/>
        <w:jc w:val="left"/>
        <w:rPr>
          <w:rFonts w:hint="default" w:ascii="宋体" w:hAnsi="宋体" w:cs="宋体"/>
          <w:b w:val="0"/>
          <w:bCs w:val="0"/>
          <w:color w:val="auto"/>
          <w:szCs w:val="21"/>
          <w:highlight w:val="none"/>
          <w:lang w:val="en-US" w:eastAsia="zh-CN"/>
        </w:rPr>
      </w:pPr>
      <w:r>
        <w:rPr>
          <w:rFonts w:hint="default" w:ascii="宋体" w:hAnsi="宋体" w:cs="宋体"/>
          <w:b w:val="0"/>
          <w:bCs w:val="0"/>
          <w:color w:val="auto"/>
          <w:szCs w:val="21"/>
          <w:highlight w:val="none"/>
          <w:lang w:val="en-US" w:eastAsia="zh-CN"/>
        </w:rPr>
        <w:t>（二）在中国境内生产的组件成本占比达到规定比例</w:t>
      </w:r>
    </w:p>
    <w:p w14:paraId="5F62925F">
      <w:pPr>
        <w:numPr>
          <w:ilvl w:val="0"/>
          <w:numId w:val="0"/>
        </w:numPr>
        <w:spacing w:line="360" w:lineRule="exact"/>
        <w:ind w:left="0" w:firstLine="420"/>
        <w:jc w:val="left"/>
        <w:rPr>
          <w:rFonts w:hint="default" w:ascii="宋体" w:hAnsi="宋体" w:cs="宋体"/>
          <w:b w:val="0"/>
          <w:bCs w:val="0"/>
          <w:color w:val="auto"/>
          <w:szCs w:val="21"/>
          <w:highlight w:val="none"/>
          <w:lang w:val="en-US" w:eastAsia="zh-CN"/>
        </w:rPr>
      </w:pPr>
      <w:r>
        <w:rPr>
          <w:rFonts w:hint="default" w:ascii="宋体" w:hAnsi="宋体" w:cs="宋体"/>
          <w:b/>
          <w:bCs/>
          <w:color w:val="auto"/>
          <w:szCs w:val="21"/>
          <w:highlight w:val="none"/>
          <w:lang w:val="en-US" w:eastAsia="zh-CN"/>
        </w:rPr>
        <w:drawing>
          <wp:anchor distT="0" distB="0" distL="114300" distR="114300" simplePos="0" relativeHeight="251659264" behindDoc="0" locked="0" layoutInCell="1" allowOverlap="1">
            <wp:simplePos x="0" y="0"/>
            <wp:positionH relativeFrom="column">
              <wp:posOffset>160020</wp:posOffset>
            </wp:positionH>
            <wp:positionV relativeFrom="paragraph">
              <wp:posOffset>518160</wp:posOffset>
            </wp:positionV>
            <wp:extent cx="4829175" cy="762000"/>
            <wp:effectExtent l="0" t="0" r="1905" b="0"/>
            <wp:wrapTopAndBottom/>
            <wp:docPr id="4"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IMG_256"/>
                    <pic:cNvPicPr>
                      <a:picLocks noChangeAspect="1"/>
                    </pic:cNvPicPr>
                  </pic:nvPicPr>
                  <pic:blipFill>
                    <a:blip r:embed="rId14"/>
                    <a:stretch>
                      <a:fillRect/>
                    </a:stretch>
                  </pic:blipFill>
                  <pic:spPr>
                    <a:xfrm>
                      <a:off x="0" y="0"/>
                      <a:ext cx="4829175" cy="762000"/>
                    </a:xfrm>
                    <a:prstGeom prst="rect">
                      <a:avLst/>
                    </a:prstGeom>
                    <a:noFill/>
                    <a:ln>
                      <a:noFill/>
                    </a:ln>
                  </pic:spPr>
                </pic:pic>
              </a:graphicData>
            </a:graphic>
          </wp:anchor>
        </w:drawing>
      </w:r>
      <w:r>
        <w:rPr>
          <w:rFonts w:hint="default" w:ascii="宋体" w:hAnsi="宋体" w:cs="宋体"/>
          <w:b w:val="0"/>
          <w:bCs w:val="0"/>
          <w:color w:val="auto"/>
          <w:szCs w:val="21"/>
          <w:highlight w:val="none"/>
          <w:lang w:val="en-US" w:eastAsia="zh-CN"/>
        </w:rPr>
        <w:t>产品在中国境内生产的组件成本占比应当达到规定比例，计算公式为：</w:t>
      </w:r>
    </w:p>
    <w:p w14:paraId="1B80BC26">
      <w:pPr>
        <w:numPr>
          <w:ilvl w:val="0"/>
          <w:numId w:val="0"/>
        </w:numPr>
        <w:spacing w:line="360" w:lineRule="exact"/>
        <w:ind w:left="0" w:firstLine="420"/>
        <w:jc w:val="left"/>
        <w:rPr>
          <w:rFonts w:hint="default" w:ascii="宋体" w:hAnsi="宋体" w:cs="宋体"/>
          <w:b/>
          <w:bCs/>
          <w:color w:val="auto"/>
          <w:szCs w:val="21"/>
          <w:highlight w:val="none"/>
          <w:lang w:val="en-US" w:eastAsia="zh-CN"/>
        </w:rPr>
      </w:pPr>
    </w:p>
    <w:p w14:paraId="0B70CE6B">
      <w:pPr>
        <w:numPr>
          <w:ilvl w:val="0"/>
          <w:numId w:val="0"/>
        </w:numPr>
        <w:spacing w:line="360" w:lineRule="exact"/>
        <w:ind w:left="0" w:firstLine="420"/>
        <w:jc w:val="left"/>
        <w:rPr>
          <w:rFonts w:hint="default" w:ascii="宋体" w:hAnsi="宋体" w:cs="宋体"/>
          <w:b w:val="0"/>
          <w:bCs w:val="0"/>
          <w:color w:val="auto"/>
          <w:szCs w:val="21"/>
          <w:highlight w:val="none"/>
          <w:lang w:val="en-US" w:eastAsia="zh-CN"/>
        </w:rPr>
      </w:pPr>
      <w:r>
        <w:rPr>
          <w:rFonts w:hint="default" w:ascii="宋体" w:hAnsi="宋体" w:cs="宋体"/>
          <w:b w:val="0"/>
          <w:bCs w:val="0"/>
          <w:color w:val="auto"/>
          <w:szCs w:val="21"/>
          <w:highlight w:val="none"/>
          <w:lang w:val="en-US" w:eastAsia="zh-CN"/>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7DDAAC41">
      <w:pPr>
        <w:numPr>
          <w:ilvl w:val="0"/>
          <w:numId w:val="0"/>
        </w:numPr>
        <w:spacing w:line="360" w:lineRule="exact"/>
        <w:ind w:left="0" w:firstLine="420"/>
        <w:jc w:val="left"/>
        <w:rPr>
          <w:rFonts w:hint="default" w:ascii="宋体" w:hAnsi="宋体" w:cs="宋体"/>
          <w:b w:val="0"/>
          <w:bCs w:val="0"/>
          <w:color w:val="auto"/>
          <w:szCs w:val="21"/>
          <w:highlight w:val="none"/>
          <w:lang w:val="en-US" w:eastAsia="zh-CN"/>
        </w:rPr>
      </w:pPr>
      <w:r>
        <w:rPr>
          <w:rFonts w:hint="default" w:ascii="宋体" w:hAnsi="宋体" w:cs="宋体"/>
          <w:b w:val="0"/>
          <w:bCs w:val="0"/>
          <w:color w:val="auto"/>
          <w:szCs w:val="21"/>
          <w:highlight w:val="none"/>
          <w:lang w:val="en-US" w:eastAsia="zh-CN"/>
        </w:rPr>
        <w:t>（三）特定产品的关键组件、关键工序符合相关要求</w:t>
      </w:r>
    </w:p>
    <w:p w14:paraId="1EBF643D">
      <w:pPr>
        <w:numPr>
          <w:ilvl w:val="0"/>
          <w:numId w:val="0"/>
        </w:numPr>
        <w:spacing w:line="360" w:lineRule="exact"/>
        <w:ind w:left="0" w:firstLine="420"/>
        <w:jc w:val="left"/>
        <w:rPr>
          <w:rFonts w:hint="default" w:ascii="宋体" w:hAnsi="宋体" w:cs="宋体"/>
          <w:b w:val="0"/>
          <w:bCs w:val="0"/>
          <w:color w:val="auto"/>
          <w:szCs w:val="21"/>
          <w:highlight w:val="none"/>
          <w:lang w:val="en-US" w:eastAsia="zh-CN"/>
        </w:rPr>
      </w:pPr>
      <w:r>
        <w:rPr>
          <w:rFonts w:hint="default" w:ascii="宋体" w:hAnsi="宋体" w:cs="宋体"/>
          <w:b w:val="0"/>
          <w:bCs w:val="0"/>
          <w:color w:val="auto"/>
          <w:szCs w:val="21"/>
          <w:highlight w:val="none"/>
          <w:lang w:val="en-US" w:eastAsia="zh-CN"/>
        </w:rPr>
        <w:t>对特定产品，在符合本通知第一条第（一）项和第（二）项条件的基础上，应当符合财政部会同有关行业主管部门确定的其关键组件、关键工序在中国境内生产、完成等要求。</w:t>
      </w:r>
    </w:p>
    <w:p w14:paraId="3F3AFA1B">
      <w:pPr>
        <w:numPr>
          <w:ilvl w:val="0"/>
          <w:numId w:val="0"/>
        </w:numPr>
        <w:spacing w:line="360" w:lineRule="exact"/>
        <w:ind w:left="0" w:firstLine="420"/>
        <w:jc w:val="left"/>
        <w:rPr>
          <w:rFonts w:hint="default" w:ascii="宋体" w:hAnsi="宋体" w:cs="宋体"/>
          <w:b w:val="0"/>
          <w:bCs w:val="0"/>
          <w:color w:val="auto"/>
          <w:szCs w:val="21"/>
          <w:highlight w:val="none"/>
          <w:lang w:val="en-US" w:eastAsia="zh-CN"/>
        </w:rPr>
      </w:pPr>
      <w:r>
        <w:rPr>
          <w:rFonts w:hint="default" w:ascii="宋体" w:hAnsi="宋体" w:cs="宋体"/>
          <w:b w:val="0"/>
          <w:bCs w:val="0"/>
          <w:color w:val="auto"/>
          <w:szCs w:val="21"/>
          <w:highlight w:val="none"/>
          <w:lang w:val="en-US" w:eastAsia="zh-CN"/>
        </w:rPr>
        <w:t>财政部会同有关行业主管部门自本通知施行之日起5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3—5年过渡期，逐步建立政府采购中本国产品标准体系和动态调整机制。</w:t>
      </w:r>
    </w:p>
    <w:p w14:paraId="188ED671">
      <w:pPr>
        <w:numPr>
          <w:ilvl w:val="0"/>
          <w:numId w:val="0"/>
        </w:numPr>
        <w:spacing w:line="360" w:lineRule="exact"/>
        <w:ind w:left="0" w:firstLine="420"/>
        <w:jc w:val="left"/>
        <w:rPr>
          <w:rFonts w:hint="eastAsia" w:ascii="宋体" w:hAnsi="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31.2本国产品标准的适用范围</w:t>
      </w:r>
    </w:p>
    <w:p w14:paraId="61320EF2">
      <w:pPr>
        <w:numPr>
          <w:ilvl w:val="0"/>
          <w:numId w:val="0"/>
        </w:numPr>
        <w:spacing w:line="360" w:lineRule="exact"/>
        <w:ind w:left="0" w:firstLine="420"/>
        <w:jc w:val="left"/>
        <w:rPr>
          <w:rFonts w:hint="eastAsia" w:ascii="宋体" w:hAnsi="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C2E9D16">
      <w:pPr>
        <w:numPr>
          <w:ilvl w:val="0"/>
          <w:numId w:val="0"/>
        </w:numPr>
        <w:spacing w:line="360" w:lineRule="exact"/>
        <w:ind w:left="0" w:firstLine="420"/>
        <w:jc w:val="left"/>
        <w:rPr>
          <w:rFonts w:hint="eastAsia" w:ascii="宋体" w:hAnsi="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31.3对本国产品的支持政策</w:t>
      </w:r>
    </w:p>
    <w:p w14:paraId="4270A1BC">
      <w:pPr>
        <w:numPr>
          <w:ilvl w:val="0"/>
          <w:numId w:val="0"/>
        </w:numPr>
        <w:spacing w:line="360" w:lineRule="exact"/>
        <w:ind w:left="0" w:firstLine="420"/>
        <w:jc w:val="left"/>
        <w:rPr>
          <w:rFonts w:hint="eastAsia" w:ascii="宋体" w:hAnsi="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政府采购活动中既有本国产品又有非本国产品参与竞争的，依法对本国产品给予价格评审优惠，对本国产品的报价给予20%的价格扣除，用扣除后的价格参与评审。</w:t>
      </w:r>
    </w:p>
    <w:p w14:paraId="2E3F7013">
      <w:pPr>
        <w:numPr>
          <w:ilvl w:val="0"/>
          <w:numId w:val="0"/>
        </w:numPr>
        <w:spacing w:line="360" w:lineRule="exact"/>
        <w:ind w:left="0" w:firstLine="420"/>
        <w:jc w:val="left"/>
        <w:rPr>
          <w:rFonts w:hint="default" w:ascii="宋体" w:hAnsi="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4C221B7">
      <w:pPr>
        <w:pStyle w:val="4"/>
        <w:spacing w:before="0" w:after="0" w:line="360" w:lineRule="exact"/>
        <w:ind w:firstLine="420"/>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lang w:val="en-US" w:eastAsia="zh-CN" w:bidi="ar-SA"/>
        </w:rPr>
        <w:t>32.</w:t>
      </w:r>
      <w:r>
        <w:rPr>
          <w:rFonts w:hint="eastAsia" w:ascii="宋体" w:hAnsi="宋体" w:eastAsia="宋体" w:cs="宋体"/>
          <w:b/>
          <w:bCs w:val="0"/>
          <w:color w:val="auto"/>
          <w:sz w:val="21"/>
          <w:szCs w:val="21"/>
          <w:highlight w:val="none"/>
          <w:lang w:eastAsia="zh-CN"/>
        </w:rPr>
        <w:t>编制依据</w:t>
      </w:r>
    </w:p>
    <w:p w14:paraId="7AA35A49">
      <w:pPr>
        <w:numPr>
          <w:ilvl w:val="0"/>
          <w:numId w:val="0"/>
        </w:numPr>
        <w:spacing w:line="360" w:lineRule="exact"/>
        <w:ind w:firstLine="42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本竞争性谈判文件是根据《中华人民共和国政府采购法》《中华人民共和国政府采购法实施条例》《政府采购非招标采购方式管理办法》和政府采购管理有关规定编制。</w:t>
      </w:r>
      <w:bookmarkEnd w:id="525"/>
      <w:bookmarkEnd w:id="526"/>
      <w:bookmarkEnd w:id="527"/>
      <w:bookmarkEnd w:id="528"/>
      <w:bookmarkEnd w:id="529"/>
      <w:bookmarkEnd w:id="530"/>
      <w:bookmarkEnd w:id="531"/>
      <w:bookmarkEnd w:id="532"/>
      <w:bookmarkEnd w:id="533"/>
      <w:bookmarkEnd w:id="534"/>
      <w:bookmarkEnd w:id="535"/>
      <w:bookmarkEnd w:id="536"/>
    </w:p>
    <w:p w14:paraId="407D1FDD">
      <w:pPr>
        <w:pStyle w:val="4"/>
        <w:spacing w:before="0" w:after="0" w:line="360" w:lineRule="exact"/>
        <w:ind w:firstLine="420"/>
        <w:rPr>
          <w:rFonts w:hint="eastAsia" w:ascii="宋体" w:hAnsi="宋体" w:eastAsia="宋体" w:cs="宋体"/>
          <w:b/>
          <w:bCs w:val="0"/>
          <w:color w:val="auto"/>
          <w:sz w:val="21"/>
          <w:szCs w:val="21"/>
          <w:highlight w:val="none"/>
        </w:rPr>
      </w:pPr>
      <w:bookmarkStart w:id="537" w:name="_Toc30022"/>
      <w:bookmarkStart w:id="538" w:name="_Toc10995"/>
      <w:bookmarkStart w:id="539" w:name="_Toc18121"/>
      <w:bookmarkStart w:id="540" w:name="_Toc11535"/>
      <w:bookmarkStart w:id="541" w:name="_Toc2598"/>
      <w:bookmarkStart w:id="542" w:name="_Toc27822"/>
      <w:bookmarkStart w:id="543" w:name="_Toc13981"/>
      <w:bookmarkStart w:id="544" w:name="_Toc10125"/>
      <w:bookmarkStart w:id="545" w:name="_Toc23832"/>
      <w:bookmarkStart w:id="546" w:name="_Toc7638"/>
      <w:bookmarkStart w:id="547" w:name="_Toc7388"/>
      <w:bookmarkStart w:id="548" w:name="_Toc20007"/>
      <w:r>
        <w:rPr>
          <w:rFonts w:hint="eastAsia" w:ascii="宋体" w:hAnsi="宋体" w:eastAsia="宋体" w:cs="宋体"/>
          <w:b/>
          <w:bCs w:val="0"/>
          <w:color w:val="auto"/>
          <w:sz w:val="21"/>
          <w:szCs w:val="21"/>
          <w:highlight w:val="none"/>
          <w:lang w:val="en-US" w:eastAsia="zh-CN" w:bidi="ar-SA"/>
        </w:rPr>
        <w:t>33.</w:t>
      </w:r>
      <w:r>
        <w:rPr>
          <w:rFonts w:hint="eastAsia" w:ascii="宋体" w:hAnsi="宋体" w:eastAsia="宋体" w:cs="宋体"/>
          <w:b/>
          <w:bCs w:val="0"/>
          <w:color w:val="auto"/>
          <w:sz w:val="21"/>
          <w:szCs w:val="21"/>
          <w:highlight w:val="none"/>
          <w:lang w:eastAsia="zh-CN"/>
        </w:rPr>
        <w:t>监督管理机构</w:t>
      </w:r>
    </w:p>
    <w:p w14:paraId="0C155C3E">
      <w:pPr>
        <w:spacing w:line="360" w:lineRule="exact"/>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广西壮族自治区财政厅</w:t>
      </w:r>
      <w:r>
        <w:rPr>
          <w:rFonts w:hint="eastAsia" w:ascii="宋体" w:hAnsi="宋体" w:cs="宋体"/>
          <w:color w:val="auto"/>
          <w:szCs w:val="21"/>
          <w:highlight w:val="none"/>
        </w:rPr>
        <w:t>，联系方式：</w:t>
      </w:r>
      <w:bookmarkEnd w:id="537"/>
      <w:bookmarkEnd w:id="538"/>
      <w:bookmarkEnd w:id="539"/>
      <w:bookmarkEnd w:id="540"/>
      <w:bookmarkEnd w:id="541"/>
      <w:bookmarkEnd w:id="542"/>
      <w:bookmarkEnd w:id="543"/>
      <w:bookmarkEnd w:id="544"/>
      <w:bookmarkEnd w:id="545"/>
      <w:bookmarkEnd w:id="546"/>
      <w:bookmarkEnd w:id="547"/>
      <w:bookmarkEnd w:id="548"/>
      <w:r>
        <w:rPr>
          <w:rFonts w:hint="eastAsia" w:ascii="宋体" w:hAnsi="宋体" w:cs="宋体"/>
          <w:color w:val="auto"/>
          <w:szCs w:val="21"/>
          <w:highlight w:val="none"/>
          <w:lang w:eastAsia="zh-CN"/>
        </w:rPr>
        <w:t>0771-5331544</w:t>
      </w:r>
    </w:p>
    <w:p w14:paraId="6EC984AD">
      <w:pPr>
        <w:spacing w:line="360" w:lineRule="exact"/>
        <w:ind w:firstLine="420"/>
        <w:rPr>
          <w:rFonts w:ascii="宋体" w:hAnsi="宋体" w:cs="宋体"/>
          <w:color w:val="auto"/>
          <w:szCs w:val="21"/>
          <w:highlight w:val="none"/>
        </w:rPr>
      </w:pPr>
    </w:p>
    <w:p w14:paraId="3F4833E2">
      <w:pPr>
        <w:pStyle w:val="13"/>
        <w:rPr>
          <w:rFonts w:hint="eastAsia"/>
          <w:color w:val="auto"/>
          <w:highlight w:val="none"/>
        </w:rPr>
      </w:pPr>
    </w:p>
    <w:p w14:paraId="68CA9AA5">
      <w:pPr>
        <w:pStyle w:val="13"/>
        <w:rPr>
          <w:rFonts w:hint="eastAsia"/>
          <w:color w:val="auto"/>
          <w:highlight w:val="none"/>
        </w:rPr>
      </w:pPr>
    </w:p>
    <w:p w14:paraId="77E222AA">
      <w:pPr>
        <w:pStyle w:val="13"/>
        <w:rPr>
          <w:rFonts w:hint="eastAsia"/>
          <w:color w:val="auto"/>
          <w:highlight w:val="none"/>
        </w:rPr>
      </w:pPr>
    </w:p>
    <w:p w14:paraId="1F84E05C">
      <w:pPr>
        <w:pStyle w:val="14"/>
        <w:rPr>
          <w:rFonts w:hint="eastAsia"/>
          <w:color w:val="auto"/>
          <w:highlight w:val="none"/>
        </w:rPr>
      </w:pPr>
    </w:p>
    <w:p w14:paraId="3AD0A2C0">
      <w:pPr>
        <w:pStyle w:val="2"/>
        <w:keepNext/>
        <w:keepLines/>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color w:val="auto"/>
          <w:sz w:val="32"/>
          <w:szCs w:val="32"/>
          <w:highlight w:val="none"/>
        </w:rPr>
      </w:pPr>
      <w:bookmarkStart w:id="549" w:name="_Toc22005"/>
      <w:bookmarkStart w:id="550" w:name="_Toc5383"/>
      <w:bookmarkStart w:id="551" w:name="_Toc10854"/>
      <w:bookmarkStart w:id="552" w:name="_Toc18847"/>
      <w:bookmarkStart w:id="553" w:name="_Toc15558"/>
      <w:bookmarkStart w:id="554" w:name="_Toc20982"/>
      <w:bookmarkStart w:id="555" w:name="_Toc5642"/>
      <w:bookmarkStart w:id="556" w:name="_Toc819"/>
      <w:bookmarkStart w:id="557" w:name="_Toc7382"/>
      <w:bookmarkStart w:id="558" w:name="_Toc2844"/>
      <w:bookmarkStart w:id="559" w:name="_Toc11914"/>
      <w:bookmarkStart w:id="560" w:name="_Toc9674"/>
      <w:bookmarkStart w:id="561" w:name="_Toc2351"/>
      <w:bookmarkStart w:id="562" w:name="_Toc6208"/>
      <w:bookmarkStart w:id="563" w:name="_Toc22045"/>
      <w:bookmarkStart w:id="564" w:name="_Toc7875"/>
      <w:bookmarkStart w:id="565" w:name="_Toc23082"/>
      <w:bookmarkStart w:id="566" w:name="_Toc31989"/>
      <w:bookmarkStart w:id="567" w:name="_Toc2583"/>
      <w:bookmarkStart w:id="568" w:name="_Toc6061"/>
      <w:bookmarkStart w:id="569" w:name="_Toc11549"/>
      <w:bookmarkStart w:id="570" w:name="_Toc10703"/>
      <w:r>
        <w:rPr>
          <w:rFonts w:hint="eastAsia"/>
          <w:color w:val="auto"/>
          <w:sz w:val="32"/>
          <w:szCs w:val="32"/>
          <w:highlight w:val="none"/>
        </w:rPr>
        <w:t>第三章　采购需求</w:t>
      </w:r>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p>
    <w:p w14:paraId="66534F3C">
      <w:pPr>
        <w:spacing w:line="400" w:lineRule="exact"/>
        <w:rPr>
          <w:rFonts w:ascii="宋体" w:hAnsi="宋体" w:cs="宋体"/>
          <w:b/>
          <w:color w:val="auto"/>
          <w:szCs w:val="21"/>
          <w:highlight w:val="none"/>
        </w:rPr>
      </w:pPr>
      <w:r>
        <w:rPr>
          <w:rFonts w:hint="eastAsia" w:ascii="宋体" w:hAnsi="宋体" w:cs="宋体"/>
          <w:b/>
          <w:color w:val="auto"/>
          <w:szCs w:val="21"/>
          <w:highlight w:val="none"/>
        </w:rPr>
        <w:t>说明：</w:t>
      </w:r>
    </w:p>
    <w:p w14:paraId="2D092C19">
      <w:pPr>
        <w:ind w:firstLine="431"/>
        <w:rPr>
          <w:rFonts w:hint="eastAsia" w:ascii="宋体" w:hAnsi="宋体" w:cs="宋体"/>
          <w:b/>
          <w:color w:val="auto"/>
          <w:szCs w:val="21"/>
          <w:highlight w:val="none"/>
        </w:rPr>
      </w:pPr>
      <w:r>
        <w:rPr>
          <w:rFonts w:hint="eastAsia" w:ascii="宋体" w:hAnsi="宋体" w:cs="宋体"/>
          <w:b/>
          <w:color w:val="auto"/>
          <w:szCs w:val="21"/>
          <w:highlight w:val="none"/>
        </w:rPr>
        <w:t>1、根据《关于调整优化节能产品、环境标志产品政府采购执行机制的通知》（财库〔2019〕9号）的规定，政府采购节能产品、环境标志产品实施品目清单管理，依据品目清单和认证证书实施政府优先采购。采购人拟采购的产品属于品目清单范围的，采购人及其委托的采购代理机构应当依据国家确定的认证机构出具的、处于有效期之内的节能产品、环境标志产品认证证书，对获得证书的产品实施政府优先采购。报价人响应时须提供响应产品的相关证明材料。</w:t>
      </w:r>
    </w:p>
    <w:p w14:paraId="78FD79C1">
      <w:pPr>
        <w:ind w:firstLine="431"/>
        <w:rPr>
          <w:rFonts w:hint="eastAsia" w:ascii="宋体" w:hAnsi="宋体" w:cs="宋体"/>
          <w:b/>
          <w:color w:val="auto"/>
          <w:szCs w:val="21"/>
          <w:highlight w:val="none"/>
        </w:rPr>
      </w:pPr>
      <w:r>
        <w:rPr>
          <w:rFonts w:hint="eastAsia" w:ascii="宋体" w:hAnsi="宋体" w:cs="宋体"/>
          <w:b/>
          <w:color w:val="auto"/>
          <w:szCs w:val="21"/>
          <w:highlight w:val="none"/>
        </w:rPr>
        <w:t>《节能产品政府采购品目清单》中：</w:t>
      </w:r>
    </w:p>
    <w:p w14:paraId="17C85B2E">
      <w:pPr>
        <w:numPr>
          <w:ilvl w:val="0"/>
          <w:numId w:val="4"/>
        </w:numPr>
        <w:ind w:left="845"/>
        <w:rPr>
          <w:rFonts w:hint="eastAsia" w:ascii="宋体" w:hAnsi="宋体" w:cs="宋体"/>
          <w:b/>
          <w:color w:val="auto"/>
          <w:szCs w:val="21"/>
          <w:highlight w:val="none"/>
        </w:rPr>
      </w:pPr>
      <w:r>
        <w:rPr>
          <w:rFonts w:hint="eastAsia" w:ascii="宋体" w:hAnsi="宋体" w:cs="宋体"/>
          <w:b/>
          <w:color w:val="auto"/>
          <w:szCs w:val="21"/>
          <w:highlight w:val="none"/>
        </w:rPr>
        <w:t>计算机设备（台式计算机、便携式计算机、平板式微型计算机）；</w:t>
      </w:r>
    </w:p>
    <w:p w14:paraId="768F0C97">
      <w:pPr>
        <w:numPr>
          <w:ilvl w:val="0"/>
          <w:numId w:val="4"/>
        </w:numPr>
        <w:ind w:left="845"/>
        <w:rPr>
          <w:rFonts w:hint="eastAsia" w:ascii="宋体" w:hAnsi="宋体" w:cs="宋体"/>
          <w:b/>
          <w:color w:val="auto"/>
          <w:szCs w:val="21"/>
          <w:highlight w:val="none"/>
        </w:rPr>
      </w:pPr>
      <w:r>
        <w:rPr>
          <w:rFonts w:hint="eastAsia" w:ascii="宋体" w:hAnsi="宋体" w:cs="宋体"/>
          <w:b/>
          <w:color w:val="auto"/>
          <w:szCs w:val="21"/>
          <w:highlight w:val="none"/>
        </w:rPr>
        <w:t>输入输出设备【打印设备（激光打印机、针式打印机）、显示设备（液晶显示器）】；</w:t>
      </w:r>
    </w:p>
    <w:p w14:paraId="3BF00735">
      <w:pPr>
        <w:numPr>
          <w:ilvl w:val="0"/>
          <w:numId w:val="4"/>
        </w:numPr>
        <w:ind w:left="845"/>
        <w:rPr>
          <w:rFonts w:hint="eastAsia" w:ascii="宋体" w:hAnsi="宋体" w:cs="宋体"/>
          <w:b/>
          <w:color w:val="auto"/>
          <w:szCs w:val="21"/>
          <w:highlight w:val="none"/>
        </w:rPr>
      </w:pPr>
      <w:r>
        <w:rPr>
          <w:rFonts w:hint="eastAsia" w:ascii="宋体" w:hAnsi="宋体" w:cs="宋体"/>
          <w:b/>
          <w:color w:val="auto"/>
          <w:szCs w:val="21"/>
          <w:highlight w:val="none"/>
        </w:rPr>
        <w:t>制冷空调设备【制冷压缩机（冷水机组、水源热泵机组、溴化锂吸收式冷水机组）、空调机组（多联式空调（热泵）机组（制冷量＞14000W）、单元式空气调节机（制冷量＞14000W）、专用制冷、空调设备（机房空调）】；</w:t>
      </w:r>
    </w:p>
    <w:p w14:paraId="5DD6A6BF">
      <w:pPr>
        <w:numPr>
          <w:ilvl w:val="0"/>
          <w:numId w:val="4"/>
        </w:numPr>
        <w:ind w:left="845"/>
        <w:rPr>
          <w:rFonts w:hint="eastAsia" w:ascii="宋体" w:hAnsi="宋体" w:cs="宋体"/>
          <w:b/>
          <w:color w:val="auto"/>
          <w:szCs w:val="21"/>
          <w:highlight w:val="none"/>
        </w:rPr>
      </w:pPr>
      <w:r>
        <w:rPr>
          <w:rFonts w:hint="eastAsia" w:ascii="宋体" w:hAnsi="宋体" w:cs="宋体"/>
          <w:b/>
          <w:color w:val="auto"/>
          <w:szCs w:val="21"/>
          <w:highlight w:val="none"/>
        </w:rPr>
        <w:t>镇流器（管型荧光灯镇流器）；</w:t>
      </w:r>
    </w:p>
    <w:p w14:paraId="08505B1E">
      <w:pPr>
        <w:numPr>
          <w:ilvl w:val="0"/>
          <w:numId w:val="4"/>
        </w:numPr>
        <w:ind w:left="845"/>
        <w:rPr>
          <w:rFonts w:hint="eastAsia" w:ascii="宋体" w:hAnsi="宋体" w:cs="宋体"/>
          <w:b/>
          <w:color w:val="auto"/>
          <w:szCs w:val="21"/>
          <w:highlight w:val="none"/>
        </w:rPr>
      </w:pPr>
      <w:r>
        <w:rPr>
          <w:rFonts w:hint="eastAsia" w:ascii="宋体" w:hAnsi="宋体" w:cs="宋体"/>
          <w:b/>
          <w:color w:val="auto"/>
          <w:szCs w:val="21"/>
          <w:highlight w:val="none"/>
        </w:rPr>
        <w:t>生活用电器｛空调机【房间空气调节器、多联式空调（热泵）机组（制冷量≤14000W）、单元式空气调节机（制冷量≤14000W）】、热水器（电热水器）｝；</w:t>
      </w:r>
    </w:p>
    <w:p w14:paraId="364C0C2A">
      <w:pPr>
        <w:numPr>
          <w:ilvl w:val="0"/>
          <w:numId w:val="4"/>
        </w:numPr>
        <w:ind w:left="845"/>
        <w:rPr>
          <w:rFonts w:hint="eastAsia" w:ascii="宋体" w:hAnsi="宋体" w:cs="宋体"/>
          <w:b/>
          <w:color w:val="auto"/>
          <w:szCs w:val="21"/>
          <w:highlight w:val="none"/>
        </w:rPr>
      </w:pPr>
      <w:r>
        <w:rPr>
          <w:rFonts w:hint="eastAsia" w:ascii="宋体" w:hAnsi="宋体" w:cs="宋体"/>
          <w:b/>
          <w:color w:val="auto"/>
          <w:szCs w:val="21"/>
          <w:highlight w:val="none"/>
        </w:rPr>
        <w:t>照明设备（普通照明用双端荧光灯）；</w:t>
      </w:r>
    </w:p>
    <w:p w14:paraId="5B840622">
      <w:pPr>
        <w:numPr>
          <w:ilvl w:val="0"/>
          <w:numId w:val="4"/>
        </w:numPr>
        <w:ind w:left="845"/>
        <w:rPr>
          <w:rFonts w:hint="eastAsia" w:ascii="宋体" w:hAnsi="宋体" w:cs="宋体"/>
          <w:b/>
          <w:color w:val="auto"/>
          <w:szCs w:val="21"/>
          <w:highlight w:val="none"/>
        </w:rPr>
      </w:pPr>
      <w:r>
        <w:rPr>
          <w:rFonts w:hint="eastAsia" w:ascii="宋体" w:hAnsi="宋体" w:cs="宋体"/>
          <w:b/>
          <w:color w:val="auto"/>
          <w:szCs w:val="21"/>
          <w:highlight w:val="none"/>
        </w:rPr>
        <w:t>电视设备【普通电视设备（电视机）】；</w:t>
      </w:r>
    </w:p>
    <w:p w14:paraId="3452A68C">
      <w:pPr>
        <w:numPr>
          <w:ilvl w:val="0"/>
          <w:numId w:val="4"/>
        </w:numPr>
        <w:ind w:left="845"/>
        <w:rPr>
          <w:rFonts w:hint="eastAsia" w:ascii="宋体" w:hAnsi="宋体" w:cs="宋体"/>
          <w:b/>
          <w:color w:val="auto"/>
          <w:szCs w:val="21"/>
          <w:highlight w:val="none"/>
        </w:rPr>
      </w:pPr>
      <w:r>
        <w:rPr>
          <w:rFonts w:hint="eastAsia" w:ascii="宋体" w:hAnsi="宋体" w:cs="宋体"/>
          <w:b/>
          <w:color w:val="auto"/>
          <w:szCs w:val="21"/>
          <w:highlight w:val="none"/>
        </w:rPr>
        <w:t>视频设备【视频监控设备（监视器）】；</w:t>
      </w:r>
    </w:p>
    <w:p w14:paraId="3FE9B99D">
      <w:pPr>
        <w:numPr>
          <w:ilvl w:val="0"/>
          <w:numId w:val="4"/>
        </w:numPr>
        <w:ind w:left="845"/>
        <w:rPr>
          <w:rFonts w:hint="eastAsia" w:ascii="宋体" w:hAnsi="宋体" w:cs="宋体"/>
          <w:b/>
          <w:color w:val="auto"/>
          <w:szCs w:val="21"/>
          <w:highlight w:val="none"/>
        </w:rPr>
      </w:pPr>
      <w:r>
        <w:rPr>
          <w:rFonts w:hint="eastAsia" w:ascii="宋体" w:hAnsi="宋体" w:cs="宋体"/>
          <w:b/>
          <w:color w:val="auto"/>
          <w:szCs w:val="21"/>
          <w:highlight w:val="none"/>
        </w:rPr>
        <w:t>便器（坐便器、蹲便器、小便器）；</w:t>
      </w:r>
    </w:p>
    <w:p w14:paraId="68DA43C7">
      <w:pPr>
        <w:numPr>
          <w:ilvl w:val="0"/>
          <w:numId w:val="4"/>
        </w:numPr>
        <w:ind w:left="845"/>
        <w:rPr>
          <w:rFonts w:hint="eastAsia" w:ascii="宋体" w:hAnsi="宋体" w:cs="宋体"/>
          <w:b/>
          <w:color w:val="auto"/>
          <w:szCs w:val="21"/>
          <w:highlight w:val="none"/>
        </w:rPr>
      </w:pPr>
      <w:r>
        <w:rPr>
          <w:rFonts w:hint="eastAsia" w:ascii="宋体" w:hAnsi="宋体" w:cs="宋体"/>
          <w:b/>
          <w:color w:val="auto"/>
          <w:szCs w:val="21"/>
          <w:highlight w:val="none"/>
        </w:rPr>
        <w:t>水嘴。</w:t>
      </w:r>
    </w:p>
    <w:p w14:paraId="1EE11EA1">
      <w:pPr>
        <w:ind w:firstLine="431"/>
        <w:rPr>
          <w:rFonts w:hint="eastAsia" w:ascii="宋体" w:hAnsi="宋体" w:cs="宋体"/>
          <w:b/>
          <w:color w:val="auto"/>
          <w:szCs w:val="21"/>
          <w:highlight w:val="none"/>
        </w:rPr>
      </w:pPr>
      <w:r>
        <w:rPr>
          <w:rFonts w:hint="eastAsia" w:ascii="宋体" w:hAnsi="宋体" w:cs="宋体"/>
          <w:b/>
          <w:color w:val="auto"/>
          <w:szCs w:val="21"/>
          <w:highlight w:val="none"/>
        </w:rPr>
        <w:t>以上所罗列的设备为《节能产品政府采购品目清单》中政府强制采购节能产品，采购人拟采购的产品属于政府强制采购产品的，报价人响应时必须针对该产品出具依据国家确定的认证机构出具的、处于有效期之内的节能产品认证证书扫描件，并加盖报价人CA签章，否则响应无效。</w:t>
      </w:r>
    </w:p>
    <w:p w14:paraId="4A9CA2DE">
      <w:pPr>
        <w:ind w:firstLine="431"/>
        <w:rPr>
          <w:rFonts w:hint="eastAsia" w:ascii="宋体" w:hAnsi="宋体" w:cs="宋体"/>
          <w:b/>
          <w:color w:val="auto"/>
          <w:szCs w:val="21"/>
          <w:highlight w:val="none"/>
        </w:rPr>
      </w:pPr>
      <w:r>
        <w:rPr>
          <w:rFonts w:hint="eastAsia" w:ascii="宋体" w:hAnsi="宋体" w:cs="宋体"/>
          <w:b/>
          <w:color w:val="auto"/>
          <w:szCs w:val="21"/>
          <w:highlight w:val="none"/>
        </w:rPr>
        <w:t>2、报价人应对响应内容所涉及的专利承担法律责任，并负责保护业主的利益不受任何损害。一切由于文字、商标、技术和软件专利授权引起的法律裁决、诉讼和赔偿费用均由成交供应商负责。同时，具有产品专利的报价人应在其响应文件中提供与其自有产品专利相关的有效证明材料，否则，不能就其产品的专利在本项目投标过程中被侵权问题而提出异议。</w:t>
      </w:r>
    </w:p>
    <w:p w14:paraId="6A5D1A6E">
      <w:pPr>
        <w:keepNext w:val="0"/>
        <w:keepLines w:val="0"/>
        <w:pageBreakBefore w:val="0"/>
        <w:widowControl w:val="0"/>
        <w:kinsoku/>
        <w:wordWrap/>
        <w:overflowPunct/>
        <w:topLinePunct w:val="0"/>
        <w:autoSpaceDE/>
        <w:autoSpaceDN/>
        <w:bidi w:val="0"/>
        <w:adjustRightInd/>
        <w:snapToGrid/>
        <w:spacing w:line="240" w:lineRule="auto"/>
        <w:ind w:firstLine="431"/>
        <w:textAlignment w:val="auto"/>
        <w:rPr>
          <w:rFonts w:hint="eastAsia" w:ascii="宋体" w:hAnsi="宋体" w:cs="宋体"/>
          <w:b/>
          <w:bCs/>
          <w:color w:val="auto"/>
          <w:highlight w:val="none"/>
        </w:rPr>
      </w:pPr>
      <w:r>
        <w:rPr>
          <w:rFonts w:hint="eastAsia" w:ascii="宋体" w:hAnsi="宋体" w:cs="宋体"/>
          <w:b/>
          <w:color w:val="auto"/>
          <w:szCs w:val="21"/>
          <w:highlight w:val="none"/>
        </w:rPr>
        <w:t>3、</w:t>
      </w:r>
      <w:r>
        <w:rPr>
          <w:rFonts w:hint="eastAsia" w:ascii="宋体" w:hAnsi="宋体" w:cs="宋体"/>
          <w:b/>
          <w:bCs/>
          <w:color w:val="auto"/>
          <w:highlight w:val="none"/>
        </w:rPr>
        <w:t>根据《关于调整网络安全专用产品安全管理有关事项的公告》(2023年1号)规定，列入《网络关键设备和网络安全专用产品目录》的网络安全专用产品应当按照《信息安全技术 网络安全专用产品安全技术要求》等相关国家标准的强制性要求，由具备资格的机构安全认证合格或者安全检测符合要求后，方可销售或者提供。本项目采购需求中的产品如果包括《网络关键设备和网络安全专用产品目录》的网络安全专用产品，供应商应在响应文件中提供国家互联网信息办公室会同工业和信息化部、公安部、国家认证认可监督管理委员会统一公布和更新符合要求的网络关键设备和网络安全专用产品清单的网页截图（同时提供该网页的详细网址），加盖CA签章。</w:t>
      </w:r>
    </w:p>
    <w:p w14:paraId="62380201">
      <w:pPr>
        <w:keepNext w:val="0"/>
        <w:keepLines w:val="0"/>
        <w:pageBreakBefore w:val="0"/>
        <w:widowControl w:val="0"/>
        <w:kinsoku/>
        <w:wordWrap/>
        <w:overflowPunct/>
        <w:topLinePunct w:val="0"/>
        <w:autoSpaceDE/>
        <w:autoSpaceDN/>
        <w:bidi w:val="0"/>
        <w:adjustRightInd/>
        <w:snapToGrid/>
        <w:spacing w:line="240" w:lineRule="auto"/>
        <w:ind w:firstLine="431"/>
        <w:textAlignment w:val="auto"/>
        <w:rPr>
          <w:rFonts w:hint="eastAsia" w:ascii="宋体" w:hAnsi="宋体" w:cs="宋体"/>
          <w:b/>
          <w:bCs/>
          <w:color w:val="auto"/>
          <w:highlight w:val="none"/>
        </w:rPr>
      </w:pPr>
      <w:r>
        <w:rPr>
          <w:rFonts w:hint="eastAsia" w:ascii="宋体" w:hAnsi="宋体" w:eastAsia="宋体" w:cs="宋体"/>
          <w:b/>
          <w:bCs/>
          <w:color w:val="auto"/>
          <w:highlight w:val="none"/>
          <w:lang w:val="en-US" w:eastAsia="zh-CN"/>
        </w:rPr>
        <w:t>4、</w:t>
      </w:r>
      <w:r>
        <w:rPr>
          <w:rFonts w:hint="eastAsia" w:ascii="宋体" w:hAnsi="宋体" w:eastAsia="宋体" w:cs="宋体"/>
          <w:b/>
          <w:bCs/>
          <w:color w:val="auto"/>
          <w:sz w:val="21"/>
          <w:szCs w:val="21"/>
          <w:highlight w:val="none"/>
          <w:shd w:val="clear" w:color="auto" w:fill="auto"/>
          <w:lang w:val="en-US" w:eastAsia="zh-CN" w:bidi="ar-SA"/>
        </w:rPr>
        <w:t>根据《国务院办公厅关于在政府采购中实施本国产品标准及相关政策的通知》（国办发〔2025〕34号），在政府采购活动中既有本国产品又有非本国产品参与竞争的情况下，依法对本国产品给予价格评审优惠。本项目对本国产品给予价格扣除，扣除比例详见评标方法。供应商如申请享受此项价格扣除，必须按本文件“响应文件（格式）”要求，填写并提交《关于符合本国产品标准的声明函》。未提交或提交不符合要求的，不享受扣除，按其原报价计算价格分。</w:t>
      </w:r>
    </w:p>
    <w:p w14:paraId="13EFB637">
      <w:pPr>
        <w:keepNext w:val="0"/>
        <w:keepLines w:val="0"/>
        <w:pageBreakBefore w:val="0"/>
        <w:widowControl w:val="0"/>
        <w:kinsoku/>
        <w:wordWrap/>
        <w:overflowPunct/>
        <w:topLinePunct w:val="0"/>
        <w:autoSpaceDE/>
        <w:autoSpaceDN/>
        <w:bidi w:val="0"/>
        <w:adjustRightInd/>
        <w:snapToGrid/>
        <w:spacing w:line="240" w:lineRule="auto"/>
        <w:ind w:firstLine="431"/>
        <w:textAlignment w:val="auto"/>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5</w:t>
      </w:r>
      <w:r>
        <w:rPr>
          <w:rFonts w:hint="eastAsia" w:ascii="宋体" w:hAnsi="宋体" w:cs="宋体"/>
          <w:b/>
          <w:color w:val="auto"/>
          <w:szCs w:val="21"/>
          <w:highlight w:val="none"/>
        </w:rPr>
        <w:t>、报价人应注意下列内容：</w:t>
      </w:r>
    </w:p>
    <w:p w14:paraId="4EE6BE99">
      <w:pPr>
        <w:keepNext w:val="0"/>
        <w:keepLines w:val="0"/>
        <w:pageBreakBefore w:val="0"/>
        <w:widowControl w:val="0"/>
        <w:kinsoku/>
        <w:wordWrap/>
        <w:overflowPunct/>
        <w:topLinePunct w:val="0"/>
        <w:autoSpaceDE/>
        <w:autoSpaceDN/>
        <w:bidi w:val="0"/>
        <w:adjustRightInd/>
        <w:snapToGrid/>
        <w:spacing w:line="240" w:lineRule="auto"/>
        <w:ind w:firstLine="431"/>
        <w:textAlignment w:val="auto"/>
        <w:rPr>
          <w:rFonts w:hint="eastAsia" w:ascii="宋体" w:hAnsi="宋体" w:cs="宋体"/>
          <w:b/>
          <w:color w:val="auto"/>
          <w:szCs w:val="21"/>
          <w:highlight w:val="none"/>
        </w:rPr>
      </w:pPr>
      <w:r>
        <w:rPr>
          <w:rFonts w:hint="eastAsia" w:ascii="宋体" w:hAnsi="宋体" w:cs="宋体"/>
          <w:b/>
          <w:color w:val="auto"/>
          <w:szCs w:val="21"/>
          <w:highlight w:val="none"/>
        </w:rPr>
        <w:t>1）本</w:t>
      </w:r>
      <w:r>
        <w:rPr>
          <w:rFonts w:hint="eastAsia" w:ascii="宋体" w:hAnsi="宋体" w:cs="宋体"/>
          <w:b/>
          <w:bCs/>
          <w:color w:val="auto"/>
          <w:szCs w:val="21"/>
          <w:highlight w:val="none"/>
        </w:rPr>
        <w:t>“采购需求”</w:t>
      </w:r>
      <w:r>
        <w:rPr>
          <w:rFonts w:hint="eastAsia" w:ascii="宋体" w:hAnsi="宋体" w:cs="宋体"/>
          <w:b/>
          <w:color w:val="auto"/>
          <w:szCs w:val="21"/>
          <w:highlight w:val="none"/>
        </w:rPr>
        <w:t>中</w:t>
      </w:r>
      <w:r>
        <w:rPr>
          <w:rFonts w:hint="eastAsia" w:ascii="宋体" w:hAnsi="宋体" w:cs="宋体"/>
          <w:b/>
          <w:bCs/>
          <w:color w:val="auto"/>
          <w:szCs w:val="21"/>
          <w:highlight w:val="none"/>
        </w:rPr>
        <w:t>所有要求均为实质性要求</w:t>
      </w:r>
      <w:r>
        <w:rPr>
          <w:rFonts w:hint="eastAsia" w:ascii="宋体" w:hAnsi="宋体" w:cs="宋体"/>
          <w:b/>
          <w:color w:val="auto"/>
          <w:szCs w:val="21"/>
          <w:highlight w:val="none"/>
        </w:rPr>
        <w:t>，不允许负偏离，否则响应无效。报价人须满足或响应，若无法完全满足，将会被认定为无效报价。</w:t>
      </w:r>
    </w:p>
    <w:p w14:paraId="74193E66">
      <w:pPr>
        <w:spacing w:line="240" w:lineRule="auto"/>
        <w:ind w:firstLine="420"/>
        <w:jc w:val="left"/>
        <w:rPr>
          <w:rFonts w:hint="eastAsia" w:ascii="宋体" w:hAnsi="宋体" w:cs="宋体"/>
          <w:b/>
          <w:bCs/>
          <w:color w:val="auto"/>
          <w:sz w:val="32"/>
          <w:szCs w:val="32"/>
          <w:highlight w:val="none"/>
        </w:rPr>
      </w:pPr>
      <w:r>
        <w:rPr>
          <w:rFonts w:hint="eastAsia" w:ascii="宋体" w:hAnsi="宋体" w:cs="宋体"/>
          <w:b/>
          <w:color w:val="auto"/>
          <w:szCs w:val="21"/>
          <w:highlight w:val="none"/>
        </w:rPr>
        <w:t>2）报价人须在响应文件中填写/应答技术规格参数，当响应文件中技术参数与竞争性谈判文件中技术参数有偏离时，须在“偏离”栏内如实注明是“正偏离”或“负偏离”，“正偏离”指响应设备的技术参数优于竞争性谈判文件中要求，“负偏离”指</w:t>
      </w:r>
      <w:r>
        <w:rPr>
          <w:rFonts w:hint="eastAsia" w:ascii="宋体" w:hAnsi="宋体" w:cs="宋体"/>
          <w:b/>
          <w:color w:val="auto"/>
          <w:szCs w:val="21"/>
          <w:highlight w:val="none"/>
          <w:lang w:eastAsia="zh-CN"/>
        </w:rPr>
        <w:t>响应</w:t>
      </w:r>
      <w:r>
        <w:rPr>
          <w:rFonts w:hint="eastAsia" w:ascii="宋体" w:hAnsi="宋体" w:cs="宋体"/>
          <w:b/>
          <w:color w:val="auto"/>
          <w:szCs w:val="21"/>
          <w:highlight w:val="none"/>
        </w:rPr>
        <w:t>设备的技术参数低于竞争性谈判文件中要求。响应文件中的技术参数、功能或其它内容有“正偏离”的，报价人须对“正偏离”的情况单独作出说明。</w:t>
      </w:r>
    </w:p>
    <w:p w14:paraId="0C898584">
      <w:pPr>
        <w:jc w:val="both"/>
        <w:outlineLvl w:val="9"/>
        <w:rPr>
          <w:rStyle w:val="254"/>
          <w:rFonts w:hint="default" w:ascii="宋体" w:hAnsi="宋体" w:cs="宋体"/>
          <w:color w:val="auto"/>
          <w:sz w:val="32"/>
          <w:szCs w:val="32"/>
          <w:highlight w:val="none"/>
          <w:lang w:val="en-US" w:eastAsia="zh-CN"/>
        </w:rPr>
      </w:pPr>
      <w:bookmarkStart w:id="571" w:name="_Toc25576"/>
      <w:bookmarkStart w:id="572" w:name="_Toc26443"/>
      <w:bookmarkStart w:id="573" w:name="_Toc32593"/>
      <w:bookmarkStart w:id="574" w:name="_Toc29717"/>
      <w:bookmarkStart w:id="575" w:name="_Toc6632"/>
      <w:bookmarkStart w:id="576" w:name="_Toc2465"/>
      <w:bookmarkStart w:id="577" w:name="_Toc14654"/>
      <w:bookmarkStart w:id="578" w:name="_Toc13874"/>
      <w:bookmarkStart w:id="579" w:name="_Toc7819"/>
      <w:bookmarkStart w:id="580" w:name="_Toc7414"/>
      <w:bookmarkStart w:id="581" w:name="_Toc21572"/>
      <w:bookmarkStart w:id="582" w:name="bookmark1"/>
      <w:bookmarkStart w:id="583" w:name="_Toc3679_WPSOffice_Level1"/>
    </w:p>
    <w:p w14:paraId="144AA52B">
      <w:pPr>
        <w:jc w:val="both"/>
        <w:outlineLvl w:val="9"/>
        <w:rPr>
          <w:rStyle w:val="254"/>
          <w:rFonts w:hint="eastAsia" w:ascii="宋体" w:hAnsi="宋体" w:cs="宋体"/>
          <w:color w:val="auto"/>
          <w:sz w:val="32"/>
          <w:szCs w:val="32"/>
          <w:highlight w:val="none"/>
          <w:lang w:val="en-US" w:eastAsia="zh-CN"/>
        </w:rPr>
      </w:pPr>
    </w:p>
    <w:p w14:paraId="2B0F61FB">
      <w:pPr>
        <w:jc w:val="both"/>
        <w:outlineLvl w:val="0"/>
        <w:rPr>
          <w:rStyle w:val="254"/>
          <w:rFonts w:hint="default" w:ascii="宋体" w:hAnsi="宋体" w:cs="宋体"/>
          <w:color w:val="auto"/>
          <w:sz w:val="32"/>
          <w:szCs w:val="32"/>
          <w:highlight w:val="none"/>
          <w:lang w:val="en-US" w:eastAsia="zh-CN"/>
        </w:rPr>
      </w:pPr>
      <w:r>
        <w:rPr>
          <w:rStyle w:val="254"/>
          <w:rFonts w:hint="eastAsia" w:ascii="宋体" w:hAnsi="宋体" w:cs="宋体"/>
          <w:color w:val="auto"/>
          <w:sz w:val="32"/>
          <w:szCs w:val="32"/>
          <w:highlight w:val="none"/>
          <w:lang w:val="en-US" w:eastAsia="zh-CN"/>
        </w:rPr>
        <w:t>一、技术规格需求</w:t>
      </w:r>
    </w:p>
    <w:tbl>
      <w:tblPr>
        <w:tblStyle w:val="42"/>
        <w:tblW w:w="10680" w:type="dxa"/>
        <w:tblInd w:w="5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2"/>
        <w:gridCol w:w="852"/>
        <w:gridCol w:w="6084"/>
        <w:gridCol w:w="480"/>
        <w:gridCol w:w="492"/>
        <w:gridCol w:w="924"/>
        <w:gridCol w:w="984"/>
        <w:gridCol w:w="372"/>
      </w:tblGrid>
      <w:tr w14:paraId="7DD21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blHeader/>
        </w:trPr>
        <w:tc>
          <w:tcPr>
            <w:tcW w:w="492" w:type="dxa"/>
            <w:tcBorders>
              <w:top w:val="single" w:color="000000" w:sz="4" w:space="0"/>
              <w:left w:val="single" w:color="000000" w:sz="4" w:space="0"/>
              <w:bottom w:val="single" w:color="000000" w:sz="4" w:space="0"/>
              <w:right w:val="single" w:color="000000" w:sz="4" w:space="0"/>
            </w:tcBorders>
            <w:noWrap/>
            <w:vAlign w:val="center"/>
          </w:tcPr>
          <w:p w14:paraId="45B0D601">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852" w:type="dxa"/>
            <w:tcBorders>
              <w:top w:val="single" w:color="000000" w:sz="4" w:space="0"/>
              <w:left w:val="single" w:color="000000" w:sz="4" w:space="0"/>
              <w:bottom w:val="single" w:color="000000" w:sz="4" w:space="0"/>
              <w:right w:val="single" w:color="000000" w:sz="4" w:space="0"/>
            </w:tcBorders>
            <w:noWrap w:val="0"/>
            <w:vAlign w:val="center"/>
          </w:tcPr>
          <w:p w14:paraId="4BDF5BF0">
            <w:pPr>
              <w:keepNext w:val="0"/>
              <w:keepLines w:val="0"/>
              <w:widowControl/>
              <w:suppressLineNumbers w:val="0"/>
              <w:jc w:val="center"/>
              <w:textAlignment w:val="center"/>
              <w:rPr>
                <w:rFonts w:hint="default" w:ascii="宋体" w:hAnsi="宋体" w:eastAsia="宋体" w:cs="宋体"/>
                <w:b/>
                <w:bCs/>
                <w:i w:val="0"/>
                <w:iCs w:val="0"/>
                <w:color w:val="auto"/>
                <w:sz w:val="22"/>
                <w:szCs w:val="22"/>
                <w:highlight w:val="none"/>
                <w:u w:val="none"/>
                <w:lang w:val="en-US"/>
              </w:rPr>
            </w:pPr>
            <w:r>
              <w:rPr>
                <w:rFonts w:hint="eastAsia" w:ascii="宋体" w:hAnsi="宋体" w:cs="宋体"/>
                <w:b/>
                <w:bCs/>
                <w:i w:val="0"/>
                <w:iCs w:val="0"/>
                <w:color w:val="auto"/>
                <w:kern w:val="0"/>
                <w:sz w:val="22"/>
                <w:szCs w:val="22"/>
                <w:highlight w:val="none"/>
                <w:u w:val="none"/>
                <w:lang w:val="en-US" w:eastAsia="zh-CN" w:bidi="ar"/>
              </w:rPr>
              <w:t>标的名称</w:t>
            </w:r>
          </w:p>
        </w:tc>
        <w:tc>
          <w:tcPr>
            <w:tcW w:w="6084" w:type="dxa"/>
            <w:tcBorders>
              <w:top w:val="single" w:color="000000" w:sz="4" w:space="0"/>
              <w:left w:val="single" w:color="000000" w:sz="4" w:space="0"/>
              <w:bottom w:val="single" w:color="000000" w:sz="4" w:space="0"/>
              <w:right w:val="single" w:color="000000" w:sz="4" w:space="0"/>
            </w:tcBorders>
            <w:noWrap w:val="0"/>
            <w:vAlign w:val="center"/>
          </w:tcPr>
          <w:p w14:paraId="49F5A93D">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hAnsi="宋体"/>
                <w:b/>
                <w:bCs/>
                <w:color w:val="auto"/>
                <w:sz w:val="21"/>
                <w:highlight w:val="none"/>
              </w:rPr>
              <w:t>项目要求及技术需求</w:t>
            </w:r>
          </w:p>
        </w:tc>
        <w:tc>
          <w:tcPr>
            <w:tcW w:w="480" w:type="dxa"/>
            <w:tcBorders>
              <w:top w:val="single" w:color="000000" w:sz="4" w:space="0"/>
              <w:left w:val="single" w:color="000000" w:sz="4" w:space="0"/>
              <w:bottom w:val="single" w:color="000000" w:sz="4" w:space="0"/>
              <w:right w:val="single" w:color="000000" w:sz="4" w:space="0"/>
            </w:tcBorders>
            <w:noWrap w:val="0"/>
            <w:vAlign w:val="center"/>
          </w:tcPr>
          <w:p w14:paraId="55A92785">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数量</w:t>
            </w:r>
          </w:p>
        </w:tc>
        <w:tc>
          <w:tcPr>
            <w:tcW w:w="492" w:type="dxa"/>
            <w:tcBorders>
              <w:top w:val="single" w:color="000000" w:sz="4" w:space="0"/>
              <w:left w:val="single" w:color="000000" w:sz="4" w:space="0"/>
              <w:bottom w:val="single" w:color="000000" w:sz="4" w:space="0"/>
              <w:right w:val="single" w:color="000000" w:sz="4" w:space="0"/>
            </w:tcBorders>
            <w:noWrap w:val="0"/>
            <w:vAlign w:val="center"/>
          </w:tcPr>
          <w:p w14:paraId="56997D42">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单位</w:t>
            </w:r>
          </w:p>
        </w:tc>
        <w:tc>
          <w:tcPr>
            <w:tcW w:w="924" w:type="dxa"/>
            <w:tcBorders>
              <w:top w:val="single" w:color="000000" w:sz="4" w:space="0"/>
              <w:left w:val="single" w:color="000000" w:sz="4" w:space="0"/>
              <w:bottom w:val="single" w:color="000000" w:sz="4" w:space="0"/>
              <w:right w:val="single" w:color="000000" w:sz="4" w:space="0"/>
            </w:tcBorders>
            <w:noWrap w:val="0"/>
            <w:vAlign w:val="center"/>
          </w:tcPr>
          <w:p w14:paraId="112B43B8">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参考单价（万元）</w:t>
            </w:r>
          </w:p>
        </w:tc>
        <w:tc>
          <w:tcPr>
            <w:tcW w:w="984" w:type="dxa"/>
            <w:tcBorders>
              <w:top w:val="single" w:color="000000" w:sz="4" w:space="0"/>
              <w:left w:val="single" w:color="000000" w:sz="4" w:space="0"/>
              <w:bottom w:val="single" w:color="000000" w:sz="4" w:space="0"/>
              <w:right w:val="single" w:color="000000" w:sz="4" w:space="0"/>
            </w:tcBorders>
            <w:noWrap w:val="0"/>
            <w:vAlign w:val="center"/>
          </w:tcPr>
          <w:p w14:paraId="44EB91B1">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cs="宋体"/>
                <w:b/>
                <w:bCs/>
                <w:i w:val="0"/>
                <w:iCs w:val="0"/>
                <w:color w:val="auto"/>
                <w:kern w:val="0"/>
                <w:sz w:val="22"/>
                <w:szCs w:val="22"/>
                <w:highlight w:val="none"/>
                <w:u w:val="none"/>
                <w:lang w:val="en-US" w:eastAsia="zh-CN" w:bidi="ar"/>
              </w:rPr>
              <w:t>参考总价</w:t>
            </w:r>
            <w:r>
              <w:rPr>
                <w:rFonts w:hint="eastAsia" w:ascii="宋体" w:hAnsi="宋体" w:eastAsia="宋体" w:cs="宋体"/>
                <w:b/>
                <w:bCs/>
                <w:i w:val="0"/>
                <w:iCs w:val="0"/>
                <w:color w:val="auto"/>
                <w:kern w:val="0"/>
                <w:sz w:val="22"/>
                <w:szCs w:val="22"/>
                <w:highlight w:val="none"/>
                <w:u w:val="none"/>
                <w:lang w:val="en-US" w:eastAsia="zh-CN" w:bidi="ar"/>
              </w:rPr>
              <w:t>（万元）</w:t>
            </w:r>
          </w:p>
        </w:tc>
        <w:tc>
          <w:tcPr>
            <w:tcW w:w="372" w:type="dxa"/>
            <w:tcBorders>
              <w:top w:val="single" w:color="000000" w:sz="4" w:space="0"/>
              <w:left w:val="single" w:color="000000" w:sz="4" w:space="0"/>
              <w:bottom w:val="single" w:color="000000" w:sz="4" w:space="0"/>
              <w:right w:val="single" w:color="000000" w:sz="4" w:space="0"/>
            </w:tcBorders>
            <w:noWrap w:val="0"/>
            <w:vAlign w:val="center"/>
          </w:tcPr>
          <w:p w14:paraId="068987D6">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备注</w:t>
            </w:r>
          </w:p>
        </w:tc>
      </w:tr>
      <w:tr w14:paraId="68B14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92" w:type="dxa"/>
            <w:tcBorders>
              <w:top w:val="single" w:color="000000" w:sz="4" w:space="0"/>
              <w:left w:val="single" w:color="000000" w:sz="4" w:space="0"/>
              <w:bottom w:val="single" w:color="000000" w:sz="4" w:space="0"/>
              <w:right w:val="single" w:color="000000" w:sz="4" w:space="0"/>
            </w:tcBorders>
            <w:noWrap/>
            <w:vAlign w:val="center"/>
          </w:tcPr>
          <w:p w14:paraId="1B9B1D0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852" w:type="dxa"/>
            <w:tcBorders>
              <w:top w:val="single" w:color="000000" w:sz="4" w:space="0"/>
              <w:left w:val="single" w:color="000000" w:sz="4" w:space="0"/>
              <w:bottom w:val="single" w:color="000000" w:sz="4" w:space="0"/>
              <w:right w:val="single" w:color="000000" w:sz="4" w:space="0"/>
            </w:tcBorders>
            <w:noWrap/>
            <w:vAlign w:val="center"/>
          </w:tcPr>
          <w:p w14:paraId="389A886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全数字语言教学系统</w:t>
            </w:r>
          </w:p>
        </w:tc>
        <w:tc>
          <w:tcPr>
            <w:tcW w:w="6084" w:type="dxa"/>
            <w:tcBorders>
              <w:top w:val="single" w:color="000000" w:sz="4" w:space="0"/>
              <w:left w:val="single" w:color="000000" w:sz="4" w:space="0"/>
              <w:bottom w:val="single" w:color="000000" w:sz="4" w:space="0"/>
              <w:right w:val="single" w:color="000000" w:sz="4" w:space="0"/>
            </w:tcBorders>
            <w:noWrap w:val="0"/>
            <w:vAlign w:val="center"/>
          </w:tcPr>
          <w:p w14:paraId="4E1B4532">
            <w:pPr>
              <w:widowControl/>
              <w:jc w:val="left"/>
              <w:textAlignment w:val="center"/>
              <w:rPr>
                <w:rFonts w:ascii="宋体" w:hAnsi="宋体" w:cs="宋体"/>
                <w:color w:val="auto"/>
                <w:sz w:val="22"/>
                <w:szCs w:val="22"/>
                <w:highlight w:val="none"/>
                <w:lang w:bidi="ar"/>
              </w:rPr>
            </w:pPr>
            <w:r>
              <w:rPr>
                <w:rFonts w:hint="eastAsia" w:ascii="宋体" w:hAnsi="宋体" w:cs="宋体"/>
                <w:color w:val="auto"/>
                <w:sz w:val="22"/>
                <w:szCs w:val="22"/>
                <w:highlight w:val="none"/>
                <w:lang w:bidi="ar"/>
              </w:rPr>
              <w:t>①基础平台模块</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1.具有口语训练和各种口语考试等功能。</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2.支持Windows、安卓和iOS等操作系统，可以使用专用设备、电脑、笔记本电脑、安卓平板、安卓手机、iPhone设备混合使用，实现本采购文件中所有语言教学软件的功能</w:t>
            </w:r>
            <w:r>
              <w:rPr>
                <w:rFonts w:hint="eastAsia" w:ascii="宋体" w:hAnsi="宋体" w:cs="宋体"/>
                <w:b/>
                <w:bCs/>
                <w:color w:val="auto"/>
                <w:sz w:val="22"/>
                <w:szCs w:val="22"/>
                <w:highlight w:val="none"/>
                <w:lang w:bidi="ar"/>
              </w:rPr>
              <w:t>（须在响应文件中提供</w:t>
            </w:r>
            <w:r>
              <w:rPr>
                <w:rFonts w:hint="eastAsia" w:ascii="宋体" w:hAnsi="宋体" w:cs="宋体"/>
                <w:b/>
                <w:bCs/>
                <w:color w:val="auto"/>
                <w:sz w:val="22"/>
                <w:szCs w:val="22"/>
                <w:highlight w:val="none"/>
                <w:lang w:val="en-US" w:eastAsia="zh-CN" w:bidi="ar"/>
              </w:rPr>
              <w:t>包括但不限于</w:t>
            </w:r>
            <w:r>
              <w:rPr>
                <w:rFonts w:hint="eastAsia" w:ascii="宋体" w:hAnsi="宋体" w:cs="宋体"/>
                <w:b/>
                <w:bCs/>
                <w:color w:val="auto"/>
                <w:sz w:val="22"/>
                <w:szCs w:val="22"/>
                <w:highlight w:val="none"/>
                <w:lang w:bidi="ar"/>
              </w:rPr>
              <w:t>软件在上述设备中的实物照片</w:t>
            </w:r>
            <w:r>
              <w:rPr>
                <w:rFonts w:hint="eastAsia" w:ascii="宋体" w:hAnsi="宋体" w:cs="宋体"/>
                <w:b/>
                <w:bCs/>
                <w:color w:val="auto"/>
                <w:sz w:val="22"/>
                <w:szCs w:val="22"/>
                <w:highlight w:val="none"/>
                <w:lang w:val="en-US" w:eastAsia="zh-CN" w:bidi="ar"/>
              </w:rPr>
              <w:t>或</w:t>
            </w:r>
            <w:r>
              <w:rPr>
                <w:rFonts w:hint="eastAsia" w:ascii="宋体" w:hAnsi="宋体" w:cs="宋体"/>
                <w:b/>
                <w:bCs/>
                <w:color w:val="auto"/>
                <w:sz w:val="22"/>
                <w:szCs w:val="22"/>
                <w:highlight w:val="none"/>
                <w:lang w:eastAsia="zh-CN" w:bidi="ar"/>
              </w:rPr>
              <w:t>截图或说明书</w:t>
            </w:r>
            <w:r>
              <w:rPr>
                <w:rFonts w:hint="eastAsia" w:ascii="宋体" w:hAnsi="宋体" w:cs="宋体"/>
                <w:b/>
                <w:bCs/>
                <w:color w:val="auto"/>
                <w:sz w:val="22"/>
                <w:szCs w:val="22"/>
                <w:highlight w:val="none"/>
                <w:lang w:val="en-US" w:eastAsia="zh-CN" w:bidi="ar"/>
              </w:rPr>
              <w:t>等</w:t>
            </w:r>
            <w:r>
              <w:rPr>
                <w:rFonts w:hint="eastAsia" w:ascii="宋体" w:hAnsi="宋体" w:cs="宋体"/>
                <w:b/>
                <w:bCs/>
                <w:color w:val="auto"/>
                <w:sz w:val="22"/>
                <w:szCs w:val="22"/>
                <w:highlight w:val="none"/>
                <w:lang w:bidi="ar"/>
              </w:rPr>
              <w:t>，提供的</w:t>
            </w:r>
            <w:r>
              <w:rPr>
                <w:rFonts w:hint="eastAsia" w:ascii="宋体" w:hAnsi="宋体" w:cs="宋体"/>
                <w:b/>
                <w:bCs/>
                <w:color w:val="auto"/>
                <w:sz w:val="22"/>
                <w:szCs w:val="22"/>
                <w:highlight w:val="none"/>
                <w:lang w:val="en-US" w:eastAsia="zh-CN" w:bidi="ar"/>
              </w:rPr>
              <w:t>证明材料</w:t>
            </w:r>
            <w:r>
              <w:rPr>
                <w:rFonts w:hint="eastAsia" w:ascii="宋体" w:hAnsi="宋体" w:cs="宋体"/>
                <w:b/>
                <w:bCs/>
                <w:color w:val="auto"/>
                <w:sz w:val="22"/>
                <w:szCs w:val="22"/>
                <w:highlight w:val="none"/>
                <w:lang w:bidi="ar"/>
              </w:rPr>
              <w:t>必须与日后提供的产品功能界面一致）</w:t>
            </w:r>
            <w:r>
              <w:rPr>
                <w:rFonts w:hint="eastAsia" w:ascii="宋体" w:hAnsi="宋体" w:cs="宋体"/>
                <w:color w:val="auto"/>
                <w:sz w:val="22"/>
                <w:szCs w:val="22"/>
                <w:highlight w:val="none"/>
                <w:lang w:bidi="ar"/>
              </w:rPr>
              <w:t>。</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3.录音AI智能评分：在录音视图中，支持一键对学生录音进行智能评分，评分维度包括发音、流利度、完整性、韵律、语速等，具有AI智能评分、文本比较和标准音频对比评分3种评分方式，其中AI智能评分时无需导入参考文本或标准音频文件，支持批量导出批改成绩。</w:t>
            </w:r>
            <w:r>
              <w:rPr>
                <w:rFonts w:hint="eastAsia" w:ascii="宋体" w:hAnsi="宋体" w:cs="宋体"/>
                <w:b/>
                <w:bCs/>
                <w:color w:val="auto"/>
                <w:sz w:val="22"/>
                <w:szCs w:val="22"/>
                <w:highlight w:val="none"/>
                <w:lang w:bidi="ar"/>
              </w:rPr>
              <w:t>（</w:t>
            </w:r>
            <w:r>
              <w:rPr>
                <w:rFonts w:hint="eastAsia" w:ascii="宋体" w:hAnsi="宋体" w:cs="宋体"/>
                <w:b/>
                <w:bCs/>
                <w:color w:val="auto"/>
                <w:sz w:val="22"/>
                <w:szCs w:val="22"/>
                <w:highlight w:val="none"/>
                <w:lang w:eastAsia="zh-CN" w:bidi="ar"/>
              </w:rPr>
              <w:t>须在响应文件中提供证明材料，包括但不限于产品说明书相关功能页面及封面扫描件，或者官网相关功能页面截图（提供完整网页网址），或者产品功能截图等，提供的证明材料必须与日后提供的产品功能界面一致</w:t>
            </w:r>
            <w:r>
              <w:rPr>
                <w:rFonts w:hint="eastAsia" w:ascii="宋体" w:hAnsi="宋体" w:cs="宋体"/>
                <w:b/>
                <w:bCs/>
                <w:color w:val="auto"/>
                <w:sz w:val="22"/>
                <w:szCs w:val="22"/>
                <w:highlight w:val="none"/>
                <w:lang w:bidi="ar"/>
              </w:rPr>
              <w:t>）</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4.电脑领读：系统朗读文本段落或篇章，并广播给所有学生，可一键生成MP3音频文件，用于教学训练或考试，支持AI自然语音，具有不少于80种发音人，支持中文、英文、俄语、日语、韩语、法语、德语、西班牙语、菲律宾语、越南语、泰语、印尼语、马来语等10余个发音语种，还可支持粤语、四川话、中国台湾话、天津话等特色方言发音人，具有男声、女声、童声、多情感、标准、温柔、甜美、严厉、知性、沉稳、活力、亲切、激昂等10余种发音音色，且支持自由调节发音音量、语速、语调。</w:t>
            </w:r>
            <w:r>
              <w:rPr>
                <w:rFonts w:hint="eastAsia" w:ascii="宋体" w:hAnsi="宋体" w:cs="宋体"/>
                <w:b/>
                <w:bCs/>
                <w:color w:val="auto"/>
                <w:sz w:val="22"/>
                <w:szCs w:val="22"/>
                <w:highlight w:val="none"/>
                <w:lang w:bidi="ar"/>
              </w:rPr>
              <w:t>（</w:t>
            </w:r>
            <w:r>
              <w:rPr>
                <w:rFonts w:hint="eastAsia" w:ascii="宋体" w:hAnsi="宋体" w:cs="宋体"/>
                <w:b/>
                <w:bCs/>
                <w:color w:val="auto"/>
                <w:sz w:val="22"/>
                <w:szCs w:val="22"/>
                <w:highlight w:val="none"/>
                <w:lang w:eastAsia="zh-CN" w:bidi="ar"/>
              </w:rPr>
              <w:t>须在响应文件中提供证明材料，包括但不限于产品说明书相关功能页面及封面扫描件，或者官网相关功能页面截图（提供完整网页网址），或者产品功能截图</w:t>
            </w:r>
            <w:r>
              <w:rPr>
                <w:rFonts w:hint="eastAsia" w:ascii="宋体" w:hAnsi="宋体" w:cs="宋体"/>
                <w:b/>
                <w:bCs/>
                <w:color w:val="auto"/>
                <w:sz w:val="22"/>
                <w:szCs w:val="22"/>
                <w:highlight w:val="none"/>
                <w:lang w:val="en-US" w:eastAsia="zh-CN" w:bidi="ar"/>
              </w:rPr>
              <w:t>等</w:t>
            </w:r>
            <w:r>
              <w:rPr>
                <w:rFonts w:hint="eastAsia" w:ascii="宋体" w:hAnsi="宋体" w:cs="宋体"/>
                <w:b/>
                <w:bCs/>
                <w:color w:val="auto"/>
                <w:sz w:val="22"/>
                <w:szCs w:val="22"/>
                <w:highlight w:val="none"/>
                <w:lang w:eastAsia="zh-CN" w:bidi="ar"/>
              </w:rPr>
              <w:t>，提供的证明材料必须与日后提供的产品功能界面一致</w:t>
            </w:r>
            <w:r>
              <w:rPr>
                <w:rFonts w:hint="eastAsia" w:ascii="宋体" w:hAnsi="宋体" w:cs="宋体"/>
                <w:b/>
                <w:bCs/>
                <w:color w:val="auto"/>
                <w:sz w:val="22"/>
                <w:szCs w:val="22"/>
                <w:highlight w:val="none"/>
                <w:lang w:bidi="ar"/>
              </w:rPr>
              <w:t>）</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5.AI语音控制:系统支持语音控制使用，对于教学常用功能可通过语音控制启动和结束，教师只需说出相关指令，系统可自动执行，支持免唤醒词，启动语音控制功能后，直接说出控制指令即可。</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6.软件界面支持25种语言，且不关闭软件即可切换各种语言界面，满足外教上课的需求。</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7.在进行屏幕广播带音视频的课件时，可以同时进行语音对讲，并可以把教师电脑课件的声音和教师麦克风的声音同时广播给所有学生端，学生端可以针对自己的需要分别调节教师课件的音量和教师麦克风的音量，即可以把教师课件的声音在左声道听，教师麦克风的声音在右声道听，同时学生端还可以对左右声道音量分别调节，系统支持笔记本电脑作业教师主控计算机时，也可实现此功能。</w:t>
            </w:r>
            <w:r>
              <w:rPr>
                <w:rFonts w:hint="eastAsia" w:ascii="宋体" w:hAnsi="宋体" w:cs="宋体"/>
                <w:b/>
                <w:bCs/>
                <w:color w:val="auto"/>
                <w:sz w:val="22"/>
                <w:szCs w:val="22"/>
                <w:highlight w:val="none"/>
                <w:lang w:bidi="ar"/>
              </w:rPr>
              <w:t>（</w:t>
            </w:r>
            <w:r>
              <w:rPr>
                <w:rFonts w:hint="eastAsia" w:ascii="宋体" w:hAnsi="宋体" w:cs="宋体"/>
                <w:b/>
                <w:bCs/>
                <w:color w:val="auto"/>
                <w:sz w:val="22"/>
                <w:szCs w:val="22"/>
                <w:highlight w:val="none"/>
                <w:lang w:eastAsia="zh-CN" w:bidi="ar"/>
              </w:rPr>
              <w:t>须在响应文件中提供证明材料，包括但不限于产品说明书相关功能页面及封面扫描件，或者官网相关功能页面截图（提供完整网页网址），或者产品功能截图等，提供的证明材料必须与日后提供的产品功能界面一致</w:t>
            </w:r>
            <w:r>
              <w:rPr>
                <w:rFonts w:hint="eastAsia" w:ascii="宋体" w:hAnsi="宋体" w:cs="宋体"/>
                <w:b/>
                <w:bCs/>
                <w:color w:val="auto"/>
                <w:sz w:val="22"/>
                <w:szCs w:val="22"/>
                <w:highlight w:val="none"/>
                <w:lang w:bidi="ar"/>
              </w:rPr>
              <w:t>）</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8.系统具有录音视图，教师可以一键开始/暂停/停止所有学生进行全程双轨录音，教师可以一键回放录音，让每个学生自己听自己的录音；也可以把某个学生的录音回放给所有的学生，双轨录音功能：要求系统须提供双轨录音功能，即可将两名同学的对话声或是将原语和译语分别录制在同一文件中的不同轨道上，且采样率≥48KHz、延时≤3ms，以方便教师点评及打分。须要求录音文件直接生成MP3录音格式，在同一个界面上列出所有的历史录音。</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9.自由发言功能：教师选择自由发言功能时，学生可以通过点击导航栏上的发言键实现自由发言。</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10.具有屏幕广播功能，且可以使用画笔对课件做相关标识，画笔支持10块画板，支持录制成MP4视频文件。</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11.教师可以将全体学生分为若干小组进行会话练习，同时学生可将语音讨论过程以mp3文件录制下来。</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12.可视授课：学生可以通过学生端显示屏清</w:t>
            </w:r>
            <w:r>
              <w:rPr>
                <w:rFonts w:hint="eastAsia" w:ascii="宋体" w:hAnsi="宋体" w:cs="宋体"/>
                <w:color w:val="auto"/>
                <w:sz w:val="22"/>
                <w:szCs w:val="22"/>
                <w:highlight w:val="none"/>
                <w:lang w:eastAsia="zh-CN" w:bidi="ar"/>
              </w:rPr>
              <w:t>晰地</w:t>
            </w:r>
            <w:r>
              <w:rPr>
                <w:rFonts w:hint="eastAsia" w:ascii="宋体" w:hAnsi="宋体" w:cs="宋体"/>
                <w:color w:val="auto"/>
                <w:sz w:val="22"/>
                <w:szCs w:val="22"/>
                <w:highlight w:val="none"/>
                <w:lang w:bidi="ar"/>
              </w:rPr>
              <w:t>看到教师的板书、面部表情以及口型等，并能够实现唇音同步，支持录制成MP4视频文件。</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13.监听监视点评：老师在监听学生朗读或口语表达时，可以随时对学生的发音情况进行标记提醒，比如：声音太小、声音过慢、声音过快、自定义等，并实时提醒学生，同时监视学生发音的口型。</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14.录音回放标记：在教学学生图标视图中，曾经被教学标记过的学生图标会被打星号，这些学生的录音在被回放时，也会在回放进度条显示声音太小、声音过慢、声音过快、自定义等标记，方便教师进行讲解。</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15.统一录像功能:支持在授课过程中，一键录制所有终端摄像头画面，录制内容同步保存到教师端，方便回放和归档；支持录像广播功能，将所选学生的录像广播到所有学生终端，方便教师进行录像点评；支持录像全体回放，所有终端各自回放自己的视频录像。</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16.支持人脸识别签到功能，通过学生单元摄像头，系统可进行人脸识别，采集在座所有学生的头像照片，控制程序将学生的头像对应座位号和学生名称形成座位布局图。</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17.支持音箱编解码教学机，教师端软件在不影响教师耳麦正常使用的情况下，可以一键开启/停止教室音箱的声音，音箱编解码教学机与教师端之间用网线连接。</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18.备课功能：教师可对写作训练、听写训练、口语训练等功能，提前预设需要使用的训练和音视频素材，上课时一键启动教学训练，系统自动播放预设的音视频教学素材，自动开始训练，训练结束自动收集训练结果。</w:t>
            </w:r>
            <w:r>
              <w:rPr>
                <w:rFonts w:hint="eastAsia" w:ascii="宋体" w:hAnsi="宋体" w:cs="宋体"/>
                <w:b/>
                <w:bCs/>
                <w:color w:val="auto"/>
                <w:sz w:val="22"/>
                <w:szCs w:val="22"/>
                <w:highlight w:val="none"/>
                <w:lang w:bidi="ar"/>
              </w:rPr>
              <w:t>（</w:t>
            </w:r>
            <w:r>
              <w:rPr>
                <w:rFonts w:hint="eastAsia" w:ascii="宋体" w:hAnsi="宋体" w:cs="宋体"/>
                <w:b/>
                <w:bCs/>
                <w:color w:val="auto"/>
                <w:sz w:val="22"/>
                <w:szCs w:val="22"/>
                <w:highlight w:val="none"/>
                <w:lang w:eastAsia="zh-CN" w:bidi="ar"/>
              </w:rPr>
              <w:t>须在响应文件中提供证明材料，包括但不限于产品说明书相关功能页面及封面扫描件，或者官网相关功能页面截图（提供完整网页网址），或者产品功能截图等，提供的证明材料必须与日后提供的产品功能界面一致</w:t>
            </w:r>
            <w:r>
              <w:rPr>
                <w:rFonts w:hint="eastAsia" w:ascii="宋体" w:hAnsi="宋体" w:cs="宋体"/>
                <w:b/>
                <w:bCs/>
                <w:color w:val="auto"/>
                <w:sz w:val="22"/>
                <w:szCs w:val="22"/>
                <w:highlight w:val="none"/>
                <w:lang w:bidi="ar"/>
              </w:rPr>
              <w:t>）</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19.互联网资源，内置互联网音视频资源入口，支持自定义资源地址和操作说明，内容覆盖科技、教育、社会、心理等多个领域，可一键下载视频文件和双语字幕，用于教学训练功能，且支持双语字幕切换。</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②云班课模块</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【基础平台】</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1.为保证系统通用性与易用性，应采用业界流行的B/S架构+C/S混合架构，移动教师端及学生移动端需同时兼容Windows、Android、iOS等主流系统平台。</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2.教师无需任何下载，通过手机网络，在微信小程序轻松完成云班课的创建。</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3.实现云课堂管理、课件资源分发、课前资料预习、班课公告发布、课后作业发布与评分、学情统计等功能（须在响应文件中提供手机端功能界面截图，提供的截图必须与日后提供的产品功能界面一致）</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4.具有教学班专属讨论区，支持师生以图文形式发帖互动，并可按分类管理。教师享有置顶、删除等管理权限，并可通过主题或分类快速检索内容。</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5.AI文本语料功能：集成多维度文本处理能力，支持音视频转文字，可高效提取课堂录音、听力素材中的文本信息；图文识别功能，能快速识别图片、扫描件中的文字内容，助力教学素材的数字化转化；支持根据教学需求调整文本难度与语言风格，难度支持初中、高中、四级、六级等，风格支持口语、学术、专业、文学、中性、正式、演讲等，适配不同年级、不同能力层级学生的学习需求；配备多语种语音合成功能，可将处理后的文本转化为标准语音，辅助开展口语模仿、听力训练等教学活动，丰富语言教学的训练形式。</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6.词典翻译功能，支持英汉、日汉、韩汉、法汉、德汉、俄汉等双解词典，具有音标、词性、例句、词族扩展、词源解析等，翻译可导出原文、译文及平行语料。</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【课前管理】</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1.支持教师提前将各种课前准备的课件资料上传至云班课平台中（包括但不限于视音频、图片、Word、Excel、PPT、PDF等课件以及网页链接等）。</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2.支持章节文件夹合并功能，可将多个授课章节内容合并到1个章节文件夹，可自定义章节文件夹顺序，支持手动调整顺序，支持按名称、时间和自定义顺序等多种排序显示方式，轻松实现课程章节管理。</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3.学生同样可使用手机4G/5G网络，通过微信小程序或安装APP实现一键加入云班课，并可使用移动网络在世界各地任何地方参与云班课，如通过手机实现课前资料预习、参与在线互动答题，学生也可以远程查看教师在线布置的作业任务，并远程在线提交完成的作业。</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4.支持统计查看课件资源的预览人数，并统计学生学习情况，生成资源学习统计图表以</w:t>
            </w:r>
            <w:r>
              <w:rPr>
                <w:rFonts w:hint="eastAsia" w:ascii="宋体" w:hAnsi="宋体" w:cs="宋体"/>
                <w:color w:val="auto"/>
                <w:sz w:val="22"/>
                <w:szCs w:val="22"/>
                <w:highlight w:val="none"/>
                <w:lang w:eastAsia="zh-CN" w:bidi="ar"/>
              </w:rPr>
              <w:t>作</w:t>
            </w:r>
            <w:r>
              <w:rPr>
                <w:rFonts w:hint="eastAsia" w:ascii="宋体" w:hAnsi="宋体" w:cs="宋体"/>
                <w:color w:val="auto"/>
                <w:sz w:val="22"/>
                <w:szCs w:val="22"/>
                <w:highlight w:val="none"/>
                <w:lang w:bidi="ar"/>
              </w:rPr>
              <w:t>分析总结。</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5.云班课资源学习情况自动计入学生个人得分，教师可自定义资源得分的权重。</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【课中录音管理和回放】</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1.系统免费提供校园录音服务器端软件，安装在学校的服务器上。</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2.学生在语言实验室学生端软件上，通过学生手机微信扫一扫功能即可登录校园录音服务器</w:t>
            </w:r>
            <w:r>
              <w:rPr>
                <w:rFonts w:hint="eastAsia"/>
                <w:color w:val="auto"/>
                <w:highlight w:val="none"/>
              </w:rPr>
              <w:t>账</w:t>
            </w:r>
            <w:r>
              <w:rPr>
                <w:rFonts w:hint="eastAsia" w:ascii="宋体" w:hAnsi="宋体" w:cs="宋体"/>
                <w:color w:val="auto"/>
                <w:sz w:val="22"/>
                <w:szCs w:val="22"/>
                <w:highlight w:val="none"/>
                <w:lang w:bidi="ar"/>
              </w:rPr>
              <w:t>号。</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3.学生可以把课中的各种录音文件，一键上传到校园录音服务器上。</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4.学生可以使用手机APP回放自己的录音文件。</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【课程体系管理】</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1.教师创建某个班级后，支持上传发布课程资源，比如“课前预习资料、课件、课后学习、作业资源到云班课平台中。</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2.支持课程资源的按章节目录管理，可按名称或时间排序，方便检索历史记录。</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3.在教师更换新的班级授课后，无需重复上传已发布的所有资源，可直接共享已有课程资源、课前预习资料、课后作业等到新的班级中。</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【课后作业管理】</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1.教师可发布作业、评分、评价、作业超时控制，设置参考答案等，且支持教师评价和学生互评两种模式，学生作业数据自动云端存储和统计分析，学生可在任何时间地点通过互联网提交作业，并支持通过手机拍照、上传附件、输入文字等多种方式提交作业，学生作业得分情况自动计入学生个人得分，可设置作业得分的权重。</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2.支持显示进行中作业、已结束作业、作业剩余天数和作业递交情况；</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3.支持教师对作业进行全流程管理，可设置基本信息、附件、截止时间及补交权限，系统将依据截止时间自动控制提交状态，并对补交作业进行自动标记。</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4.支持个人作业与小组作业两种模式。小组作业支持对预设小组统一布置，每组仅需提交一份答案。</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【收藏功能】</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教师和学生可将云班课中的重点知识点、作业、资源等，加入到自己的收藏夹，方便记录重点题目和知识点，作为日常复习和考前巩固的重要参考。</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【学情统计分析】</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1.支持查看云班课成员个人得分数据和得分曲线图，学生也可以通过云课堂平台在线查看自己学习情况。</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2.系统自动实时生成云班课学情分析报告，分析报告包括首页数据总览，资源报告、活动报告及学情分析，从资源学习、课堂活动和数据曲线等多个维度展现学生学习状态。</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3.支持课程数据总览、教学班数据总览、花名册、班级报告、个人报告、课堂记录、知识图谱等全维度的数据统计。</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③互联网课堂模块</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一、互联网课堂</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1.支持线上线下混合教学，支持学生在校外使用互联网加入课堂，与在教室上课的学生享受同样的功能和软件界面。</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2.远端学生使用电脑、安卓手机、安卓平板、iPhone手机</w:t>
            </w:r>
            <w:r>
              <w:rPr>
                <w:rFonts w:hint="eastAsia" w:ascii="宋体" w:hAnsi="宋体" w:cs="宋体"/>
                <w:b/>
                <w:bCs/>
                <w:color w:val="auto"/>
                <w:sz w:val="22"/>
                <w:szCs w:val="22"/>
                <w:highlight w:val="none"/>
                <w:lang w:bidi="ar"/>
              </w:rPr>
              <w:t>（须在在响应文件中提供所投产品在apple appstore应用市场的截图）</w:t>
            </w:r>
            <w:r>
              <w:rPr>
                <w:rFonts w:hint="eastAsia" w:ascii="宋体" w:hAnsi="宋体" w:cs="宋体"/>
                <w:color w:val="auto"/>
                <w:sz w:val="22"/>
                <w:szCs w:val="22"/>
                <w:highlight w:val="none"/>
                <w:lang w:bidi="ar"/>
              </w:rPr>
              <w:t>、麒麟国产化操作系统</w:t>
            </w:r>
            <w:r>
              <w:rPr>
                <w:rFonts w:hint="eastAsia" w:ascii="宋体" w:hAnsi="宋体" w:cs="宋体"/>
                <w:b/>
                <w:bCs/>
                <w:color w:val="auto"/>
                <w:sz w:val="22"/>
                <w:szCs w:val="22"/>
                <w:highlight w:val="none"/>
                <w:lang w:bidi="ar"/>
              </w:rPr>
              <w:t>（须在响应文件中提供所投产品在麒麟应用市场的截图）</w:t>
            </w:r>
            <w:r>
              <w:rPr>
                <w:rFonts w:hint="eastAsia" w:ascii="宋体" w:hAnsi="宋体" w:cs="宋体"/>
                <w:color w:val="auto"/>
                <w:sz w:val="22"/>
                <w:szCs w:val="22"/>
                <w:highlight w:val="none"/>
                <w:lang w:bidi="ar"/>
              </w:rPr>
              <w:t>和统信国产化操作系统的电脑等通过输入教室码加入，连接之后教师端实时显示远程学生头像图标。远端学生界面和功能与教室内的学生界面和功能一致。教师和学生无需改变使用习惯。</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3.远端学生可与本地学生同步参与全功能语言教学训练，同步观看教师视频课件，训练过</w:t>
            </w:r>
            <w:r>
              <w:rPr>
                <w:rFonts w:hint="eastAsia" w:ascii="宋体" w:hAnsi="宋体" w:cs="宋体"/>
                <w:color w:val="auto"/>
                <w:sz w:val="22"/>
                <w:szCs w:val="22"/>
                <w:highlight w:val="none"/>
                <w:lang w:eastAsia="zh-CN" w:bidi="ar"/>
              </w:rPr>
              <w:t>程中</w:t>
            </w:r>
            <w:r>
              <w:rPr>
                <w:rFonts w:hint="eastAsia" w:ascii="宋体" w:hAnsi="宋体" w:cs="宋体"/>
                <w:color w:val="auto"/>
                <w:sz w:val="22"/>
                <w:szCs w:val="22"/>
                <w:highlight w:val="none"/>
                <w:lang w:bidi="ar"/>
              </w:rPr>
              <w:t>一键开启双轨录音，训练结束教师可对本地和远端学生同步回放点评。</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4.远程学生可以接收教师的屏幕广播画面，同本地学生一样能够清晰</w:t>
            </w:r>
            <w:r>
              <w:rPr>
                <w:rFonts w:hint="eastAsia" w:ascii="宋体" w:hAnsi="宋体" w:cs="宋体"/>
                <w:color w:val="auto"/>
                <w:sz w:val="22"/>
                <w:szCs w:val="22"/>
                <w:highlight w:val="none"/>
                <w:lang w:eastAsia="zh-CN" w:bidi="ar"/>
              </w:rPr>
              <w:t>地</w:t>
            </w:r>
            <w:r>
              <w:rPr>
                <w:rFonts w:hint="eastAsia" w:ascii="宋体" w:hAnsi="宋体" w:cs="宋体"/>
                <w:color w:val="auto"/>
                <w:sz w:val="22"/>
                <w:szCs w:val="22"/>
                <w:highlight w:val="none"/>
                <w:lang w:bidi="ar"/>
              </w:rPr>
              <w:t>看到教师课件及摄像头画面，清楚</w:t>
            </w:r>
            <w:r>
              <w:rPr>
                <w:rFonts w:hint="eastAsia" w:ascii="宋体" w:hAnsi="宋体" w:cs="宋体"/>
                <w:color w:val="auto"/>
                <w:sz w:val="22"/>
                <w:szCs w:val="22"/>
                <w:highlight w:val="none"/>
                <w:lang w:eastAsia="zh-CN" w:bidi="ar"/>
              </w:rPr>
              <w:t>地</w:t>
            </w:r>
            <w:r>
              <w:rPr>
                <w:rFonts w:hint="eastAsia" w:ascii="宋体" w:hAnsi="宋体" w:cs="宋体"/>
                <w:color w:val="auto"/>
                <w:sz w:val="22"/>
                <w:szCs w:val="22"/>
                <w:highlight w:val="none"/>
                <w:lang w:bidi="ar"/>
              </w:rPr>
              <w:t>听到教师上课说话的声音及音视频课件的声音。</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5.支持将参与发言讨论的学生声音传输至全体学生，通过远程方式参与课堂教学活动的学生同样可以参与发言讨论。</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6.教师可以一键对远程学生进行全程双轨录音，可以回放录音，让每个学生自己听自己的录音；也可以把某个学生的录音回放给其他的学生，回放支持选择原音、麦音、原音麦音混合等不同方式。</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7.学生可远程参与课堂互动及评测，可以看到远程学生的评测结果。</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8.监听监视点评：支持老师监听远程学生说话，并支持对学生的发音情况进行标记提醒，如果学生机安装了摄像头还可以同时监视学生发音的口型，还支持监看远程学生的屏幕画面。</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9.支持将教室内教师的授课音频、教师的摄像头实时画面传输至所有学生端（远程端、教室内）屏幕、收音设备，让所有学生看到、听到教师的授课影像及声音。</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10.远端学生可自主进行远程课件点播，方便学生自主学习，远端学生可利用教师端资源库中的资源开展自主学习。</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11.远端学生屏幕分享、摄像头分享，在教师权限允许的情况下，远程学生可分享自己的屏幕或摄像头画面，用于展示作业、发音口型等，教师可向</w:t>
            </w:r>
            <w:r>
              <w:rPr>
                <w:rFonts w:hint="eastAsia"/>
                <w:color w:val="auto"/>
                <w:highlight w:val="none"/>
                <w:lang w:bidi="ar"/>
              </w:rPr>
              <w:t>教室</w:t>
            </w:r>
            <w:r>
              <w:rPr>
                <w:rFonts w:hint="eastAsia" w:ascii="宋体" w:hAnsi="宋体" w:cs="宋体"/>
                <w:color w:val="auto"/>
                <w:sz w:val="22"/>
                <w:szCs w:val="22"/>
                <w:highlight w:val="none"/>
                <w:lang w:bidi="ar"/>
              </w:rPr>
              <w:t>内学生和其他线上学生同步广播讲评。</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12.系统支持互联网和校园网部署。</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二、教师云端授课</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1.教师连接到教室的教师端后，教师端的所有功能和权限由远程教师端接管。</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2.全功能远程教师端，支持听、说、读、写、译及所有课堂管理功能，界面和本地教师端软件一模一样。</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3.支持远程教室预约功能，教师可预先创建远程教室并提前将连接码发送给学生，学生可提前连接等待教师开课。</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三、支持双师课堂和多间异地教室合班上课</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1.支持多间教室的教师端接入，由主讲老师统一授课。</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2.按教学的需要，系统支持由任一教室的教师一键申请为主讲教师。</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3.双师课堂和合班上课支持预约功能，辅导老师可提前创建好远程教室，远端主讲教师、其他教室和远端学生都可提前连接，等待开课，支持组织大规模远程授课。</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④口语训练模块</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1.自动对音视频文件进行智能分句处理，支持所有主流格式的视音频文件。</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2.支持AI字幕功能，当教师所选的音视频文件缺少字幕时，系统通过AI模型自动生成字幕并自动断句，学校多年沉淀的音视频资源可以得到充分利用，无需人工编辑字幕等繁琐操作。</w:t>
            </w:r>
            <w:r>
              <w:rPr>
                <w:rFonts w:hint="eastAsia" w:ascii="宋体" w:hAnsi="宋体" w:cs="宋体"/>
                <w:b/>
                <w:bCs/>
                <w:color w:val="auto"/>
                <w:sz w:val="22"/>
                <w:szCs w:val="22"/>
                <w:highlight w:val="none"/>
                <w:lang w:bidi="ar"/>
              </w:rPr>
              <w:t>（</w:t>
            </w:r>
            <w:r>
              <w:rPr>
                <w:rFonts w:hint="eastAsia" w:ascii="宋体" w:hAnsi="宋体" w:cs="宋体"/>
                <w:b/>
                <w:bCs/>
                <w:color w:val="auto"/>
                <w:sz w:val="22"/>
                <w:szCs w:val="22"/>
                <w:highlight w:val="none"/>
                <w:lang w:eastAsia="zh-CN" w:bidi="ar"/>
              </w:rPr>
              <w:t>须在响应文件中提供证明材料，包括但不限于产品说明书相关功能页面及封面扫描件，或者官网相关功能页面截图（提供完整网页网址），或者产品功能截图等，提供的证明材料必须与日后提供的产品功能界面一致</w:t>
            </w:r>
            <w:r>
              <w:rPr>
                <w:rFonts w:hint="eastAsia" w:ascii="宋体" w:hAnsi="宋体" w:cs="宋体"/>
                <w:b/>
                <w:bCs/>
                <w:color w:val="auto"/>
                <w:sz w:val="22"/>
                <w:szCs w:val="22"/>
                <w:highlight w:val="none"/>
                <w:lang w:bidi="ar"/>
              </w:rPr>
              <w:t>）</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3.具有影子训练、复读训练，系统全自动进行逐句训练。</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4.系统可以针对当前学生的水平和教学内容的难易度，任意调整视频从0.5-2倍的播放速度，且可以设置</w:t>
            </w:r>
            <w:r>
              <w:rPr>
                <w:rFonts w:hint="eastAsia" w:ascii="宋体" w:hAnsi="宋体" w:cs="宋体"/>
                <w:color w:val="auto"/>
                <w:sz w:val="22"/>
                <w:szCs w:val="22"/>
                <w:highlight w:val="none"/>
                <w:lang w:val="en-US" w:eastAsia="zh-CN" w:bidi="ar"/>
              </w:rPr>
              <w:t>不少于14</w:t>
            </w:r>
            <w:r>
              <w:rPr>
                <w:rFonts w:hint="eastAsia" w:ascii="宋体" w:hAnsi="宋体" w:cs="宋体"/>
                <w:color w:val="auto"/>
                <w:sz w:val="22"/>
                <w:szCs w:val="22"/>
                <w:highlight w:val="none"/>
                <w:lang w:bidi="ar"/>
              </w:rPr>
              <w:t>种干扰音。并可调节干扰音的强度。</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5.可以把学生的训练录音保存为MP3文件。</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6.训练开始后，可一键开启双轨录音，训练结束后，可一键进行全体回放。学生可通过左右声道的回放来了解自己的训练情况。</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⑤电影配音</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原音播放：自动对视音频进行分句，对初学者可以以0.5-1.0倍速进行慢速播放，对熟练的学生可以用1.0-1.5倍速播放来强化，支持大部分主流格式的视音频文件。</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配音：播放视频但不播放视频的声音，同时录制麦克风的声音，且可以按学生的水平和素材的难易度，选择是否显示字幕，录音时具有倒计时进度条。</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配音回放：回放配音时同时播放视频和录音但不播放视频的原声音。</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⑥自学模块和课件点播</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1.只需要通过电脑的资源管理器把需要共享给学生的文件拷贝到指定目录中，无需其他任何操作，学生就可以访问到共享的文件，并进行自主复读训练、自主测验、自主口语训练等。</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2.学生可自行打开媒体文件进行复读，复读训练支持播放原音时同时录制声音、先播放原音然后再录制声音以及根据自己设定的方式进行复读。复读完成后，学生可对原音及自己的复读音进行对比。</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3.视频文件可以进行点播，点播过程可以改变播放速度0.5x-2.0x，以满足学生自主学习的要求。</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⑦评测模块</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1.评测功能：系统能按当前授课内容为评测题目，自动把当前授课内容发给学生作答，学生答题方式支持选择题、判断题、主观题、抢答题和写作题、语音题、视频多道选择题和多道填空题题型。主观题支持各种画笔功能；学生答题过程中，教师可以实际看到学生提交的情况并可发起弹幕；学生提交结束后，教师可以看到每个选项有哪些学生选择，对主观题可以放大某个学生的答案，支持电脑随机选取学生进行讲解，支持选择</w:t>
            </w:r>
            <w:r>
              <w:rPr>
                <w:rFonts w:hint="eastAsia" w:ascii="宋体" w:hAnsi="宋体" w:cs="宋体"/>
                <w:color w:val="auto"/>
                <w:sz w:val="22"/>
                <w:szCs w:val="22"/>
                <w:highlight w:val="none"/>
                <w:lang w:val="en-US" w:eastAsia="zh-CN" w:bidi="ar"/>
              </w:rPr>
              <w:t>不少于</w:t>
            </w:r>
            <w:r>
              <w:rPr>
                <w:rFonts w:hint="eastAsia" w:ascii="宋体" w:hAnsi="宋体" w:cs="宋体"/>
                <w:color w:val="auto"/>
                <w:sz w:val="22"/>
                <w:szCs w:val="22"/>
                <w:highlight w:val="none"/>
                <w:lang w:bidi="ar"/>
              </w:rPr>
              <w:t>9个学生由全体学生来进行投票；语音题支持学生进行录音，教师可以随时选择某个学生的录音进行讲解；视频多道选择题和多道填空题可以一次截取多达20道题目，学生界面的左侧显示题目右侧显示答题卡，教师大屏同时播放相应的教学视频，学生边听边作答。</w:t>
            </w:r>
            <w:r>
              <w:rPr>
                <w:rFonts w:hint="eastAsia" w:ascii="宋体" w:hAnsi="宋体" w:cs="宋体"/>
                <w:b/>
                <w:bCs/>
                <w:color w:val="auto"/>
                <w:sz w:val="22"/>
                <w:szCs w:val="22"/>
                <w:highlight w:val="none"/>
                <w:lang w:bidi="ar"/>
              </w:rPr>
              <w:t>（</w:t>
            </w:r>
            <w:r>
              <w:rPr>
                <w:rFonts w:hint="eastAsia" w:ascii="宋体" w:hAnsi="宋体" w:cs="宋体"/>
                <w:b/>
                <w:bCs/>
                <w:color w:val="auto"/>
                <w:sz w:val="22"/>
                <w:szCs w:val="22"/>
                <w:highlight w:val="none"/>
                <w:lang w:eastAsia="zh-CN" w:bidi="ar"/>
              </w:rPr>
              <w:t>须在响应文件中提供证明材料，包括但不限于产品说明书相关功能页面及封面扫描件，或者官网相关功能页面截图（提供完整网页网址），或者产品功能截图等，提供的证明材料必须与日后提供的产品功能界面一致</w:t>
            </w:r>
            <w:r>
              <w:rPr>
                <w:rFonts w:hint="eastAsia" w:ascii="宋体" w:hAnsi="宋体" w:cs="宋体"/>
                <w:b/>
                <w:bCs/>
                <w:color w:val="auto"/>
                <w:sz w:val="22"/>
                <w:szCs w:val="22"/>
                <w:highlight w:val="none"/>
                <w:lang w:bidi="ar"/>
              </w:rPr>
              <w:t>）</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2.支持学生使用笔记本电脑、安卓手机、安卓平板、iPhone手机通过手机移动数据网络或热点加入到课堂中，实现AI听说技术参数的所有功能。</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⑧口语考试模块</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1.支持各类水平考试：可完成大学外语听力考试、口语考试、四、六、八级考试、国家翻译资格口译考试、国家汉语水平考试（HSK）、德福口语考试及更多其他语言类考试。可对考试流程、模式、内容、时间做预先编排保证其灵活应对各类专业水平考试。</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2.支持快速口语考试，只需要打开考试的MP3文件即可开始考试，方便快捷。可选择不同音源针对不同的学生进行考试。</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3.支持学生使用笔记本电脑、安卓手机、安卓平板、iPhone手机通过手机移动数据网络或热点加入到课堂中，实现口语考试技术参数的所有功能。</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⑨听力综合考试模块</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1.支持判断题、写作题（自由发挥题）、翻译题、填空题、选错题、选择题、图片选择题、文字-文字连线题、图片-文字连线题。</w:t>
            </w:r>
            <w:r>
              <w:rPr>
                <w:rFonts w:hint="eastAsia" w:ascii="宋体" w:hAnsi="宋体" w:cs="宋体"/>
                <w:b/>
                <w:bCs/>
                <w:color w:val="auto"/>
                <w:sz w:val="22"/>
                <w:szCs w:val="22"/>
                <w:highlight w:val="none"/>
                <w:lang w:bidi="ar"/>
              </w:rPr>
              <w:t>(</w:t>
            </w:r>
            <w:r>
              <w:rPr>
                <w:rFonts w:hint="eastAsia" w:ascii="宋体" w:hAnsi="宋体" w:cs="宋体"/>
                <w:b/>
                <w:bCs/>
                <w:color w:val="auto"/>
                <w:sz w:val="22"/>
                <w:szCs w:val="22"/>
                <w:highlight w:val="none"/>
                <w:lang w:eastAsia="zh-CN" w:bidi="ar"/>
              </w:rPr>
              <w:t>须在响应文件中提供证明材料，包括但不限于产品说明书相关功能页面及封面扫描件，或者官网相关功能页面截图（提供完整网页网址），或者产品功能截图等，提供的证明材料必须与日后提供的产品功能界面一致</w:t>
            </w:r>
            <w:r>
              <w:rPr>
                <w:rFonts w:hint="eastAsia" w:ascii="宋体" w:hAnsi="宋体" w:cs="宋体"/>
                <w:b/>
                <w:bCs/>
                <w:color w:val="auto"/>
                <w:sz w:val="22"/>
                <w:szCs w:val="22"/>
                <w:highlight w:val="none"/>
                <w:lang w:bidi="ar"/>
              </w:rPr>
              <w:t>）</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2.系统可对试卷中的选择题、判断题等客观题自动的进行阅卷评分，老师可以进行批注。</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3.系统可自动统计，方便老师查看每道题目的正确率，并将这些数据以柱状图的形式表示出来。</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4.教师可将评分后的试卷以网页形式再次发送给学生，对于学生做错的题目，以蓝色文字给出标准答案。</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5.音源支持各种视音频文件格式，并可设置定时播放或到时播放。</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6.综合考试支持一人一卷，有效防止学生作弊。</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⑩开放式训练</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1.开放式训练功能：支持教师根据教学目标与训练需求，自主输入题目内容、选择题文件，适配不同学科、不同类型的实践训练场景；</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2.学生可依据教师发布的题目要求，对指定文件进行针对性处理，可涵盖内容编辑、数据分析、文本翻译、方案设计等多元化操作，完成训练任务后可将处理后的文件重新提交至教师端，便于教师集中批阅、点评与指导，助力实现个性化、差异化的教学训练，提升学生的自主探究与实践应用能力。</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3.训练过程中支持查看学生提交进度，统一控制学生停止答题。</w:t>
            </w:r>
            <w:r>
              <w:rPr>
                <w:rFonts w:hint="eastAsia" w:ascii="宋体" w:hAnsi="宋体" w:cs="宋体"/>
                <w:color w:val="auto"/>
                <w:sz w:val="22"/>
                <w:szCs w:val="22"/>
                <w:highlight w:val="none"/>
                <w:lang w:bidi="ar"/>
              </w:rPr>
              <w:br w:type="textWrapping"/>
            </w:r>
            <w:r>
              <w:rPr>
                <w:rFonts w:ascii="Cambria Math" w:hAnsi="Cambria Math" w:cs="Cambria Math"/>
                <w:color w:val="auto"/>
                <w:sz w:val="22"/>
                <w:szCs w:val="22"/>
                <w:highlight w:val="none"/>
                <w:lang w:bidi="ar"/>
              </w:rPr>
              <w:t>⑪</w:t>
            </w:r>
            <w:r>
              <w:rPr>
                <w:rFonts w:hint="eastAsia" w:ascii="宋体" w:hAnsi="宋体" w:cs="宋体"/>
                <w:color w:val="auto"/>
                <w:sz w:val="22"/>
                <w:szCs w:val="22"/>
                <w:highlight w:val="none"/>
                <w:lang w:bidi="ar"/>
              </w:rPr>
              <w:t>网络影院模块</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流畅的网络影音广播功能，可同时发布24路音视频节目，每路频道既可播放本地音视频文件也可以播放外接多媒体设备信号。学生可根据自己的兴趣爱好任意选择频道进行观看，教师也可以设置学生收看某一频道，支持0.5-2倍变速不变调，支持4K视频的广播。</w:t>
            </w:r>
            <w:r>
              <w:rPr>
                <w:rFonts w:hint="eastAsia" w:ascii="宋体" w:hAnsi="宋体" w:cs="宋体"/>
                <w:color w:val="auto"/>
                <w:sz w:val="22"/>
                <w:szCs w:val="22"/>
                <w:highlight w:val="none"/>
                <w:lang w:bidi="ar"/>
              </w:rPr>
              <w:br w:type="textWrapping"/>
            </w:r>
            <w:r>
              <w:rPr>
                <w:rFonts w:ascii="Cambria Math" w:hAnsi="Cambria Math" w:cs="Cambria Math"/>
                <w:color w:val="auto"/>
                <w:sz w:val="22"/>
                <w:szCs w:val="22"/>
                <w:highlight w:val="none"/>
                <w:lang w:bidi="ar"/>
              </w:rPr>
              <w:t>⑫</w:t>
            </w:r>
            <w:r>
              <w:rPr>
                <w:rFonts w:hint="eastAsia" w:ascii="宋体" w:hAnsi="宋体" w:cs="宋体"/>
                <w:color w:val="auto"/>
                <w:sz w:val="22"/>
                <w:szCs w:val="22"/>
                <w:highlight w:val="none"/>
                <w:lang w:bidi="ar"/>
              </w:rPr>
              <w:t>翻转课堂</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1.分组探究式学习</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支持组内多人聊天交流，支持可视化对讲、屏幕分享以及文字交流等。</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支持一对一聊天和互助，可选择全班任意学生进行一对一聊天互助，不局限于组内交流，支持可视化对讲、屏幕分享以及文字交流等。</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支持旁听功能，可选择旁听任意分组，实现跨组交流学习。</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2.组内全员可视对讲</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组内任意成员可发起可视化对讲，其他成员可随时加入讨论，最大支持每组8人全员可视对讲。</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可视对讲的同时，某一位组员可以发起屏幕分享，展示自己的学习成果。</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3.遥控协助</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遥控协助功能，支持2种遥控发起方式：</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3.1请求对方协助：邀请全班任意一名学生控制自己的电脑，指导自己操作，对方同意后可进行协助。</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3.2请求控制对方电脑：请求控制对方的电脑，对方同意后可进行控制。</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4.学生屏幕分享</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学生可以分享自己的屏幕画面给其他学生，提供2种分享方式：</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4.1组内屏幕分享：在本组内发起屏幕分享，组内学生点击“加入”后即可观看屏幕分享画面，并可同时开展可视对讲及文字交流。</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4.2一对一屏幕分享：向全班任意一名学生分享自己的屏幕画面，并可同时开展可视对讲及文字交流。</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5.旁听功能</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学生可自由选择某个组进行旁听，可以看到所选组的视频画面，也能够收听到讨论的声音，同时还能观看到组员分享的屏幕画面。</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6.教师屏幕广播</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教师可将自己的屏幕广播给所有学生，覆盖所有分组，方便教师讲解课件内容。</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7.教师遥控监看</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教师可进入任意组进行交流和指导，支持可视化对讲、屏幕分享以及文字交流等。</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教师可选择任意学生，监看其屏幕画面，同样可以针对单个学生进行遥控、可视化对讲及文字交流等操作。</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8.教师端可视对讲</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教师可加入任意小组的可视化对讲，随时进行指导和交流。</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教师可针对单个学生发起可视化对讲，随时进行指导和交流。</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9.组长功能</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教师可设置组长，组长权限可转移。</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10.板书批注分享功能</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教师和学生可一键启动板书批注，在屏幕上书写或批注，完成后可直接发送到小组聊天。</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11.屏幕录制</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学生可自主启动屏幕录制，将上课过程录制下来，录制文件可拷贝带走，供课后复习回顾。</w:t>
            </w:r>
            <w:r>
              <w:rPr>
                <w:rFonts w:hint="eastAsia" w:ascii="宋体" w:hAnsi="宋体" w:cs="宋体"/>
                <w:color w:val="auto"/>
                <w:sz w:val="22"/>
                <w:szCs w:val="22"/>
                <w:highlight w:val="none"/>
                <w:lang w:bidi="ar"/>
              </w:rPr>
              <w:br w:type="textWrapping"/>
            </w:r>
            <w:r>
              <w:rPr>
                <w:rFonts w:ascii="Cambria Math" w:hAnsi="Cambria Math" w:cs="Cambria Math"/>
                <w:color w:val="auto"/>
                <w:sz w:val="22"/>
                <w:szCs w:val="22"/>
                <w:highlight w:val="none"/>
                <w:lang w:bidi="ar"/>
              </w:rPr>
              <w:t>⑬</w:t>
            </w:r>
            <w:r>
              <w:rPr>
                <w:rFonts w:hint="eastAsia" w:ascii="宋体" w:hAnsi="宋体" w:cs="宋体"/>
                <w:color w:val="auto"/>
                <w:sz w:val="22"/>
                <w:szCs w:val="22"/>
                <w:highlight w:val="none"/>
                <w:lang w:bidi="ar"/>
              </w:rPr>
              <w:t>小组研讨模块</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一、授课模式</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1、所有小组屏会自动同步显示教师大屏的内容，让后排的学生也能清晰看到教师大屏的内容</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二、研讨模式</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1.系统要使用方便，在软件界面上按一个按键即可实现投屏（不接受采用第三方Miracast或AirPlay或投屏器等设备），任何屏幕内容（包括打开摄像头）都可以投射到小组屏上。</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2.支持多达10个学生支持单屏、左右两分屏、上下两分屏、四分屏、六分屏、九分屏等多种显示方式，方便教师进行对比讲解等操作。</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3.在多人投屏过程中，教师可随时启动板书工具，对多人投屏画面进行标注，标注过程可以广播给全班的所有同学；支持10块画板自由切换，每个画板支持独立的背景颜色，支持黑色、白色、绿色以及透明背景；批注过程中，不中断投屏，批注完成后教师可在多人投屏界面继续切换讲解</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4.支持教师一键对所有小组讨论的摄像头和屏幕进行实时录像，每个小组也可以单独进行录像，学生可以通过课件库功能在线点播课堂录像或下载到移动设备上观看。</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5.小组端不仅支持Windows系统，还支持麒麟和统信等国产化操作系统。</w:t>
            </w:r>
            <w:r>
              <w:rPr>
                <w:rFonts w:hint="eastAsia" w:ascii="宋体" w:hAnsi="宋体" w:cs="宋体"/>
                <w:b/>
                <w:bCs/>
                <w:color w:val="auto"/>
                <w:sz w:val="22"/>
                <w:szCs w:val="22"/>
                <w:highlight w:val="none"/>
                <w:lang w:bidi="ar"/>
              </w:rPr>
              <w:t>（</w:t>
            </w:r>
            <w:r>
              <w:rPr>
                <w:rFonts w:hint="eastAsia" w:ascii="宋体" w:hAnsi="宋体" w:cs="宋体"/>
                <w:b/>
                <w:bCs/>
                <w:color w:val="auto"/>
                <w:sz w:val="22"/>
                <w:szCs w:val="22"/>
                <w:highlight w:val="none"/>
                <w:lang w:eastAsia="zh-CN" w:bidi="ar"/>
              </w:rPr>
              <w:t>须在响应文件中提供证明材料，包括但不限于产品说明书相关功能页面及封面扫描件，或者官网相关功能页面截图（提供完整网页网址），或者产品功能截图等，提供的证明材料必须与日后提供的产品功能界面一致</w:t>
            </w:r>
            <w:r>
              <w:rPr>
                <w:rFonts w:hint="eastAsia" w:ascii="宋体" w:hAnsi="宋体" w:cs="宋体"/>
                <w:b/>
                <w:bCs/>
                <w:color w:val="auto"/>
                <w:sz w:val="22"/>
                <w:szCs w:val="22"/>
                <w:highlight w:val="none"/>
                <w:lang w:bidi="ar"/>
              </w:rPr>
              <w:t>）</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6.为了满足扩展需求，要求小组数量≥12组，小组大屏可以和教师大屏一起针对当前任何教学内容进行同时标注，同时广播给所有其他小组大屏；</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三、讲评模式</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1. 组与组对比：支持同时把多达9个小组大屏放在讲台主屏上进行对比讨论（支持2分屏、4分屏、6分屏、9分屏对比）, 包括学生投到小组大屏上的内容也可以一键拉到讲台大屏上。</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 xml:space="preserve">2.支持小组大屏互投，可以一键把某个小组屏幕广播到其他所有的小组大屏。 </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br w:type="textWrapping"/>
            </w:r>
            <w:r>
              <w:rPr>
                <w:rFonts w:ascii="Cambria Math" w:hAnsi="Cambria Math" w:cs="Cambria Math"/>
                <w:color w:val="auto"/>
                <w:sz w:val="22"/>
                <w:szCs w:val="22"/>
                <w:highlight w:val="none"/>
                <w:lang w:bidi="ar"/>
              </w:rPr>
              <w:t>⑭</w:t>
            </w:r>
            <w:r>
              <w:rPr>
                <w:rFonts w:hint="eastAsia" w:ascii="宋体" w:hAnsi="宋体" w:cs="宋体"/>
                <w:color w:val="auto"/>
                <w:sz w:val="22"/>
                <w:szCs w:val="22"/>
                <w:highlight w:val="none"/>
                <w:lang w:bidi="ar"/>
              </w:rPr>
              <w:t>听写训练模块</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1.自动对音视频文件进行智能分句处理，支持所有主流格式的视音频文件。</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2.支持AI字幕功能，当教师所选的音视频文件缺少字幕时，系统通过AI模型自动生成字幕并自动断句，学校多年沉淀的音视频资源可以得到充分利用，无需人工编辑字幕等繁琐操作。</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3.听写系统支持听写训练、听力改错和听力填空3种训练模式，改错及填空支持AI自动出题，无需人工编辑。</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4.听写系统可选择逐句听写、自动听写和乱序听写。逐句听写情况下，每手动执行一句就听写一句；在自动听写模式下，从当前句开始自动进行逐句听写，拼写的时间可以是播放时间的1-20倍；在乱序听写模式下，随机播放语句，直到所有语句被听写完毕。</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5.系统可以针对当前学生的水平和教学内容的难易度，任意调整视频从0.5-2倍的播放速度，且可以设置多达14种干扰音。并可调节干扰音的强度。</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6.系统支持自动评分，统计每个学生的正确率，对于拼写错误的单词用醒目的红色标识出来。</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7.支持学生使用笔记本电脑、安卓手机、安卓平板、iPhone手机通过手机移动数据网络或热点加入到课堂中，实现AI听说技术参数的所有功能。</w:t>
            </w:r>
            <w:r>
              <w:rPr>
                <w:rFonts w:hint="eastAsia" w:ascii="宋体" w:hAnsi="宋体" w:cs="宋体"/>
                <w:color w:val="auto"/>
                <w:sz w:val="22"/>
                <w:szCs w:val="22"/>
                <w:highlight w:val="none"/>
                <w:lang w:bidi="ar"/>
              </w:rPr>
              <w:br w:type="textWrapping"/>
            </w:r>
            <w:r>
              <w:rPr>
                <w:rFonts w:ascii="Cambria Math" w:hAnsi="Cambria Math" w:cs="Cambria Math"/>
                <w:color w:val="auto"/>
                <w:sz w:val="22"/>
                <w:szCs w:val="22"/>
                <w:highlight w:val="none"/>
                <w:lang w:bidi="ar"/>
              </w:rPr>
              <w:t>⑮</w:t>
            </w:r>
            <w:r>
              <w:rPr>
                <w:rFonts w:hint="eastAsia" w:ascii="宋体" w:hAnsi="宋体" w:cs="宋体"/>
                <w:color w:val="auto"/>
                <w:sz w:val="22"/>
                <w:szCs w:val="22"/>
                <w:highlight w:val="none"/>
                <w:lang w:bidi="ar"/>
              </w:rPr>
              <w:t>情景训练模块</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1.可以对全班学生进行整行、整列、自动按2-7学生分组、按预定的分组策略、随机分组等方式进行分组。</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2.教师可以使用任何互联网的资源，进行分组模拟训练。</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3.教师可以针对当前学生的水平和教学内容的难易度，教师可以一键关闭视音频的声音（学生麦克风的声音不关闭），一键显示/隐藏字幕，调整影音播放的速度为0.5-2倍，适用于不同水平学生的训练。</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4.教师可以一键开启/关闭摄像头功能，开启摄像头功能，所有学生可以查看自己组内其他学生的摄像头画面，组内学生可以看着视频，彼此看着发音口型，进行可视的角色模拟对话练习或者电影配音练习。教师可以查看任意组任意学生的发音口型。</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5.在小组情景训练过程中，教师发现某个小组的讨论特别有代表性，可以一键把该小组对话场景示范给全班所有的同学，全体学生可观看到该小组的情景训练画面和声音，观摩发音口型，学习对话技巧；示范结束后，可一键恢复到小组情景训练的状态中来。</w:t>
            </w:r>
            <w:r>
              <w:rPr>
                <w:rFonts w:hint="eastAsia" w:ascii="宋体" w:hAnsi="宋体" w:cs="宋体"/>
                <w:b/>
                <w:bCs/>
                <w:color w:val="auto"/>
                <w:sz w:val="22"/>
                <w:szCs w:val="22"/>
                <w:highlight w:val="none"/>
                <w:lang w:bidi="ar"/>
              </w:rPr>
              <w:t>（</w:t>
            </w:r>
            <w:r>
              <w:rPr>
                <w:rFonts w:hint="eastAsia" w:ascii="宋体" w:hAnsi="宋体" w:cs="宋体"/>
                <w:b/>
                <w:bCs/>
                <w:color w:val="auto"/>
                <w:sz w:val="22"/>
                <w:szCs w:val="22"/>
                <w:highlight w:val="none"/>
                <w:lang w:eastAsia="zh-CN" w:bidi="ar"/>
              </w:rPr>
              <w:t>须在响应文件中提供证明材料，包括但不限于产品说明书相关功能页面及封面扫描件，或者官网相关功能页面截图（提供完整网页网址），或者产品功能截图等，提供的证明材料必须与日后提供的产品功能界面一致</w:t>
            </w:r>
            <w:r>
              <w:rPr>
                <w:rFonts w:hint="eastAsia" w:ascii="宋体" w:hAnsi="宋体" w:cs="宋体"/>
                <w:b/>
                <w:bCs/>
                <w:color w:val="auto"/>
                <w:sz w:val="22"/>
                <w:szCs w:val="22"/>
                <w:highlight w:val="none"/>
                <w:lang w:bidi="ar"/>
              </w:rPr>
              <w:t>）</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6.每个学生可以针需要随时调节教师课件的播放音量和组内其他人麦克风的播放音量，还支持左右声道音量分别调节，比如把课件的声音在左声道听，教师麦克风的播放音量在右声道听。</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7. 可使用音视频素材进行跟读训练，并可设置跟读时间，实现因材施教。</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8.支持AI字幕功能，当教师所选的音视频文件缺少字幕时，系统通过AI模型自动生成字幕并自动断句，学校多年沉淀的音视频资源可以得到充分利用，无需人工编辑字幕等繁琐操作。</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9.系统支持显示视音频的字幕，并高亮显示当前句子的字幕。</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10.系统支持对分组训练的过程进行分组录音，以双轨方式录制每组讨论的声音并支持回放，回放时可以选择只听教材声音、讨论音、左教材声音右讨论音、混音。</w:t>
            </w:r>
            <w:r>
              <w:rPr>
                <w:rFonts w:hint="eastAsia" w:ascii="宋体" w:hAnsi="宋体" w:cs="宋体"/>
                <w:color w:val="auto"/>
                <w:sz w:val="22"/>
                <w:szCs w:val="22"/>
                <w:highlight w:val="none"/>
                <w:lang w:bidi="ar"/>
              </w:rPr>
              <w:br w:type="textWrapping"/>
            </w:r>
            <w:r>
              <w:rPr>
                <w:rFonts w:ascii="Cambria Math" w:hAnsi="Cambria Math" w:cs="Cambria Math"/>
                <w:color w:val="auto"/>
                <w:sz w:val="22"/>
                <w:szCs w:val="22"/>
                <w:highlight w:val="none"/>
                <w:lang w:bidi="ar"/>
              </w:rPr>
              <w:t>⑯</w:t>
            </w:r>
            <w:r>
              <w:rPr>
                <w:rFonts w:hint="eastAsia" w:ascii="宋体" w:hAnsi="宋体" w:cs="宋体"/>
                <w:color w:val="auto"/>
                <w:sz w:val="22"/>
                <w:szCs w:val="22"/>
                <w:highlight w:val="none"/>
                <w:lang w:bidi="ar"/>
              </w:rPr>
              <w:t>移动教师端</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1.教师可以头戴TYPEC接口的耳麦，手持手机使用5G移动数据网络与教室的学生进行流畅且清晰的语音对讲（提供含接了TYPEC耳麦的手机对讲界面和学生机器对讲界面的照片）。</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2.移动教师端APP支持系统自带的线下线上混合教学功能，教师手机无需连接教室的WIFI，直接使用手机移动数据网络就可以连接教师电脑和学生设备进行全程录音、全体回放、语音广播、个别通话、学生发言、屏幕广播等教学互动了。</w:t>
            </w:r>
            <w:r>
              <w:rPr>
                <w:rFonts w:hint="eastAsia" w:ascii="宋体" w:hAnsi="宋体" w:cs="宋体"/>
                <w:b/>
                <w:bCs/>
                <w:color w:val="auto"/>
                <w:sz w:val="22"/>
                <w:szCs w:val="22"/>
                <w:highlight w:val="none"/>
                <w:lang w:bidi="ar"/>
              </w:rPr>
              <w:t>（</w:t>
            </w:r>
            <w:r>
              <w:rPr>
                <w:rFonts w:hint="eastAsia" w:ascii="宋体" w:hAnsi="宋体" w:cs="宋体"/>
                <w:b/>
                <w:bCs/>
                <w:color w:val="auto"/>
                <w:sz w:val="22"/>
                <w:szCs w:val="22"/>
                <w:highlight w:val="none"/>
                <w:lang w:eastAsia="zh-CN" w:bidi="ar"/>
              </w:rPr>
              <w:t>须在响应文件中提供证明材料，包括但不限于产品说明书相关功能页面及封面扫描件，或者官网相关功能页面截图（提供完整网页网址），或者产品功能截图等，提供的证明材料必须与日后提供的产品功能界面一致</w:t>
            </w:r>
            <w:r>
              <w:rPr>
                <w:rFonts w:hint="eastAsia" w:ascii="宋体" w:hAnsi="宋体" w:cs="宋体"/>
                <w:b/>
                <w:bCs/>
                <w:color w:val="auto"/>
                <w:sz w:val="22"/>
                <w:szCs w:val="22"/>
                <w:highlight w:val="none"/>
                <w:lang w:bidi="ar"/>
              </w:rPr>
              <w:t>）</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3.移动教师端支持安卓、iOS和Windows系统，比如理工科的教师可以使用自己的笔记本电脑用5G连到系统中，利用笔记本上各种设计软件就可以实现各种互动教学；文科可以直接使用手机电脑进行互动教学。</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4.教师可将手机等设备屏幕投屏到讲台大屏进行展示，支持将手机等设备的摄像头画面投屏到讲台大屏和学生设备，可用于展示学生作业，实验过程，户外拍摄的照片等。</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5.在多人投屏过程中，教师可随时启动板书工具，对多人投屏画面进行标注，标注过程可以广播给全班的所有同学，教师和多个学生在同时在投屏画面上标注、书写，多人批注内容实时在大屏和所有学生的屏幕上显示；支持10块画板自由切换，切换画板时，多人笔迹内容跟随切换，每个画板支持独立的背景颜色，支持黑色、白色、绿色以及透明背景；多人批注过程中，不中断投屏，批注完成后教师可在多人投屏界面继续切换讲解。</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6.教师使用平板电脑拍照或选择2-4张图片，一键投到大屏上，进行对比讲解；支持发起投票，教师端实时显示票数。</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7.移动教师端APP上访问教师电脑共享的文件，也可以把手机中的文件发送到教师电脑上。</w:t>
            </w:r>
          </w:p>
          <w:p w14:paraId="2DD9E16D">
            <w:pPr>
              <w:widowControl/>
              <w:jc w:val="left"/>
              <w:textAlignment w:val="center"/>
              <w:rPr>
                <w:rFonts w:ascii="宋体" w:hAnsi="宋体" w:cs="宋体"/>
                <w:color w:val="auto"/>
                <w:sz w:val="22"/>
                <w:szCs w:val="22"/>
                <w:highlight w:val="none"/>
                <w:lang w:bidi="ar"/>
              </w:rPr>
            </w:pPr>
            <w:r>
              <w:rPr>
                <w:rFonts w:hint="eastAsia" w:ascii="宋体" w:hAnsi="宋体" w:cs="宋体"/>
                <w:color w:val="auto"/>
                <w:sz w:val="22"/>
                <w:szCs w:val="22"/>
                <w:highlight w:val="none"/>
                <w:lang w:bidi="ar"/>
              </w:rPr>
              <w:t>其他要求：</w:t>
            </w:r>
          </w:p>
          <w:p w14:paraId="05568B53">
            <w:pPr>
              <w:widowControl/>
              <w:jc w:val="left"/>
              <w:textAlignment w:val="center"/>
              <w:rPr>
                <w:rFonts w:hint="default"/>
                <w:color w:val="auto"/>
                <w:highlight w:val="none"/>
                <w:lang w:val="en-US" w:eastAsia="zh-CN"/>
              </w:rPr>
            </w:pPr>
            <w:r>
              <w:rPr>
                <w:rFonts w:hint="eastAsia" w:ascii="宋体" w:hAnsi="宋体" w:cs="宋体"/>
                <w:color w:val="auto"/>
                <w:sz w:val="22"/>
                <w:szCs w:val="22"/>
                <w:highlight w:val="none"/>
                <w:lang w:bidi="ar"/>
              </w:rPr>
              <w:t>供应商为本软件产品提供不低于 3 年的免费版本升级及售后服务。服务期内，供应商将无偿向</w:t>
            </w:r>
            <w:r>
              <w:rPr>
                <w:rFonts w:hint="eastAsia" w:ascii="宋体" w:hAnsi="宋体" w:cs="宋体"/>
                <w:i w:val="0"/>
                <w:iCs w:val="0"/>
                <w:color w:val="auto"/>
                <w:kern w:val="0"/>
                <w:sz w:val="22"/>
                <w:szCs w:val="22"/>
                <w:highlight w:val="none"/>
                <w:u w:val="none"/>
                <w:lang w:val="en-US" w:eastAsia="zh-CN" w:bidi="ar"/>
              </w:rPr>
              <w:t>采购人</w:t>
            </w:r>
            <w:r>
              <w:rPr>
                <w:rFonts w:hint="eastAsia" w:ascii="宋体" w:hAnsi="宋体" w:cs="宋体"/>
                <w:color w:val="auto"/>
                <w:sz w:val="22"/>
                <w:szCs w:val="22"/>
                <w:highlight w:val="none"/>
                <w:lang w:bidi="ar"/>
              </w:rPr>
              <w:t>提供软件版本迭代更新、功能优化、安全补丁修复、系统兼容性升级等相关技术服务，确保软件稳定、高效运行。免费升级服务期限届满后，</w:t>
            </w:r>
            <w:r>
              <w:rPr>
                <w:rFonts w:hint="eastAsia" w:ascii="宋体" w:hAnsi="宋体" w:cs="宋体"/>
                <w:i w:val="0"/>
                <w:iCs w:val="0"/>
                <w:color w:val="auto"/>
                <w:kern w:val="0"/>
                <w:sz w:val="22"/>
                <w:szCs w:val="22"/>
                <w:highlight w:val="none"/>
                <w:u w:val="none"/>
                <w:lang w:val="en-US" w:eastAsia="zh-CN" w:bidi="ar"/>
              </w:rPr>
              <w:t>采购人</w:t>
            </w:r>
            <w:r>
              <w:rPr>
                <w:rFonts w:hint="eastAsia" w:ascii="宋体" w:hAnsi="宋体" w:cs="宋体"/>
                <w:color w:val="auto"/>
                <w:sz w:val="22"/>
                <w:szCs w:val="22"/>
                <w:highlight w:val="none"/>
                <w:lang w:bidi="ar"/>
              </w:rPr>
              <w:t>仍可继续使用已交付并授权的软件版本，原有全部正常功能不受任何影响，软件可继续正常运行使用，供应商不得限制、中断或终止</w:t>
            </w:r>
            <w:r>
              <w:rPr>
                <w:rFonts w:hint="eastAsia" w:ascii="宋体" w:hAnsi="宋体" w:cs="宋体"/>
                <w:i w:val="0"/>
                <w:iCs w:val="0"/>
                <w:color w:val="auto"/>
                <w:kern w:val="0"/>
                <w:sz w:val="22"/>
                <w:szCs w:val="22"/>
                <w:highlight w:val="none"/>
                <w:u w:val="none"/>
                <w:lang w:val="en-US" w:eastAsia="zh-CN" w:bidi="ar"/>
              </w:rPr>
              <w:t>采购人</w:t>
            </w:r>
            <w:r>
              <w:rPr>
                <w:rFonts w:hint="eastAsia" w:ascii="宋体" w:hAnsi="宋体" w:cs="宋体"/>
                <w:color w:val="auto"/>
                <w:sz w:val="22"/>
                <w:szCs w:val="22"/>
                <w:highlight w:val="none"/>
                <w:lang w:bidi="ar"/>
              </w:rPr>
              <w:t>对已授权软件的合法使用权利。</w:t>
            </w:r>
          </w:p>
        </w:tc>
        <w:tc>
          <w:tcPr>
            <w:tcW w:w="480" w:type="dxa"/>
            <w:tcBorders>
              <w:top w:val="single" w:color="000000" w:sz="4" w:space="0"/>
              <w:left w:val="single" w:color="000000" w:sz="4" w:space="0"/>
              <w:bottom w:val="single" w:color="000000" w:sz="4" w:space="0"/>
              <w:right w:val="single" w:color="000000" w:sz="4" w:space="0"/>
            </w:tcBorders>
            <w:noWrap/>
            <w:vAlign w:val="center"/>
          </w:tcPr>
          <w:p w14:paraId="0B689E1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492" w:type="dxa"/>
            <w:tcBorders>
              <w:top w:val="single" w:color="000000" w:sz="4" w:space="0"/>
              <w:left w:val="single" w:color="000000" w:sz="4" w:space="0"/>
              <w:bottom w:val="single" w:color="000000" w:sz="4" w:space="0"/>
              <w:right w:val="single" w:color="000000" w:sz="4" w:space="0"/>
            </w:tcBorders>
            <w:noWrap/>
            <w:vAlign w:val="center"/>
          </w:tcPr>
          <w:p w14:paraId="5D5B29F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套</w:t>
            </w:r>
          </w:p>
        </w:tc>
        <w:tc>
          <w:tcPr>
            <w:tcW w:w="924" w:type="dxa"/>
            <w:tcBorders>
              <w:top w:val="single" w:color="000000" w:sz="4" w:space="0"/>
              <w:left w:val="single" w:color="000000" w:sz="4" w:space="0"/>
              <w:bottom w:val="single" w:color="000000" w:sz="4" w:space="0"/>
              <w:right w:val="single" w:color="000000" w:sz="4" w:space="0"/>
            </w:tcBorders>
            <w:noWrap/>
            <w:vAlign w:val="center"/>
          </w:tcPr>
          <w:p w14:paraId="1015111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8.5</w:t>
            </w:r>
          </w:p>
        </w:tc>
        <w:tc>
          <w:tcPr>
            <w:tcW w:w="984" w:type="dxa"/>
            <w:tcBorders>
              <w:top w:val="single" w:color="000000" w:sz="4" w:space="0"/>
              <w:left w:val="single" w:color="000000" w:sz="4" w:space="0"/>
              <w:bottom w:val="single" w:color="000000" w:sz="4" w:space="0"/>
              <w:right w:val="single" w:color="000000" w:sz="4" w:space="0"/>
            </w:tcBorders>
            <w:noWrap/>
            <w:vAlign w:val="center"/>
          </w:tcPr>
          <w:p w14:paraId="345A60E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17</w:t>
            </w:r>
          </w:p>
        </w:tc>
        <w:tc>
          <w:tcPr>
            <w:tcW w:w="372" w:type="dxa"/>
            <w:tcBorders>
              <w:top w:val="single" w:color="000000" w:sz="4" w:space="0"/>
              <w:left w:val="single" w:color="000000" w:sz="4" w:space="0"/>
              <w:bottom w:val="single" w:color="000000" w:sz="4" w:space="0"/>
              <w:right w:val="single" w:color="000000" w:sz="4" w:space="0"/>
            </w:tcBorders>
            <w:noWrap/>
            <w:vAlign w:val="center"/>
          </w:tcPr>
          <w:p w14:paraId="48717C74">
            <w:pPr>
              <w:jc w:val="center"/>
              <w:rPr>
                <w:rFonts w:hint="eastAsia" w:ascii="宋体" w:hAnsi="宋体" w:eastAsia="宋体" w:cs="宋体"/>
                <w:i w:val="0"/>
                <w:iCs w:val="0"/>
                <w:color w:val="auto"/>
                <w:sz w:val="22"/>
                <w:szCs w:val="22"/>
                <w:highlight w:val="none"/>
                <w:u w:val="none"/>
              </w:rPr>
            </w:pPr>
          </w:p>
        </w:tc>
      </w:tr>
      <w:tr w14:paraId="6A7AF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92" w:type="dxa"/>
            <w:tcBorders>
              <w:top w:val="single" w:color="000000" w:sz="4" w:space="0"/>
              <w:left w:val="single" w:color="000000" w:sz="4" w:space="0"/>
              <w:bottom w:val="single" w:color="000000" w:sz="4" w:space="0"/>
              <w:right w:val="single" w:color="000000" w:sz="4" w:space="0"/>
            </w:tcBorders>
            <w:noWrap/>
            <w:vAlign w:val="center"/>
          </w:tcPr>
          <w:p w14:paraId="7E5EF49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852" w:type="dxa"/>
            <w:tcBorders>
              <w:top w:val="single" w:color="000000" w:sz="4" w:space="0"/>
              <w:left w:val="single" w:color="000000" w:sz="4" w:space="0"/>
              <w:bottom w:val="single" w:color="000000" w:sz="4" w:space="0"/>
              <w:right w:val="single" w:color="000000" w:sz="4" w:space="0"/>
            </w:tcBorders>
            <w:noWrap w:val="0"/>
            <w:vAlign w:val="center"/>
          </w:tcPr>
          <w:p w14:paraId="302CAE0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生成式人工智能提示词训练系统</w:t>
            </w:r>
          </w:p>
        </w:tc>
        <w:tc>
          <w:tcPr>
            <w:tcW w:w="6084" w:type="dxa"/>
            <w:tcBorders>
              <w:top w:val="single" w:color="000000" w:sz="4" w:space="0"/>
              <w:left w:val="single" w:color="000000" w:sz="4" w:space="0"/>
              <w:bottom w:val="single" w:color="000000" w:sz="4" w:space="0"/>
              <w:right w:val="single" w:color="000000" w:sz="4" w:space="0"/>
            </w:tcBorders>
            <w:noWrap w:val="0"/>
            <w:vAlign w:val="center"/>
          </w:tcPr>
          <w:p w14:paraId="6E7417AB">
            <w:pPr>
              <w:widowControl/>
              <w:numPr>
                <w:ilvl w:val="0"/>
                <w:numId w:val="5"/>
              </w:numPr>
              <w:jc w:val="left"/>
              <w:textAlignment w:val="center"/>
              <w:rPr>
                <w:rFonts w:ascii="宋体" w:hAnsi="宋体" w:cs="宋体"/>
                <w:color w:val="auto"/>
                <w:sz w:val="22"/>
                <w:szCs w:val="22"/>
                <w:highlight w:val="none"/>
                <w:lang w:bidi="ar"/>
              </w:rPr>
            </w:pPr>
            <w:r>
              <w:rPr>
                <w:rFonts w:hint="eastAsia" w:ascii="宋体" w:hAnsi="宋体" w:cs="宋体"/>
                <w:color w:val="auto"/>
                <w:sz w:val="22"/>
                <w:szCs w:val="22"/>
                <w:highlight w:val="none"/>
                <w:lang w:bidi="ar"/>
              </w:rPr>
              <w:t>AIGC 提示词训练功能：聚焦学生 AIGC 提示词编写能力的系统化培养，通过科学的训练体系，引导学生掌握提示词的逻辑构建、需求精准表达及指令优化方法，提升学生通过编写规范提示词，驱动 AI 完成指定任务的核心能力，适配当下 AI 应用场景下的教学训练需求，助力学生夯实 AI 指令设计与落地的实践基础。</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2.内置不少于50套提示词训练任务，包括写作、风格化翻译等多种任务类型。</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3.训练过程中支持查看学生提交进度，统一控制学生停止答题。</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 xml:space="preserve">4.支持教师端一键灵活控制训练过程中学生端 AI 参考解析的展示权限，可根据训练阶段与学生能力层级，灵活选择展示或隐藏解析内容，保障学生自主思考与实践的优先性； </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5.训练结束后，系统自动对学生编写的提示词进行量化评分，评分标准贴合提示词的规范性及任务达成度；同时同步生成标准AI参考提示词及详细的 AI 解析报告，解析报告包含提示词优化思路、逻辑拆解、问题分析及改进建议，助力学生快速复盘训练短板、优化提示词编写能力，也为教师开展针对性点评与教学指导提供数据支撑。</w:t>
            </w:r>
          </w:p>
          <w:p w14:paraId="783FFBD2">
            <w:pPr>
              <w:widowControl/>
              <w:jc w:val="left"/>
              <w:textAlignment w:val="center"/>
              <w:rPr>
                <w:rFonts w:ascii="宋体" w:hAnsi="宋体" w:cs="宋体"/>
                <w:color w:val="auto"/>
                <w:sz w:val="22"/>
                <w:szCs w:val="22"/>
                <w:highlight w:val="none"/>
                <w:lang w:bidi="ar"/>
              </w:rPr>
            </w:pPr>
            <w:r>
              <w:rPr>
                <w:rFonts w:hint="eastAsia" w:ascii="宋体" w:hAnsi="宋体" w:cs="宋体"/>
                <w:color w:val="auto"/>
                <w:sz w:val="22"/>
                <w:szCs w:val="22"/>
                <w:highlight w:val="none"/>
                <w:lang w:bidi="ar"/>
              </w:rPr>
              <w:t>其他要求：</w:t>
            </w:r>
          </w:p>
          <w:p w14:paraId="4D53143C">
            <w:pPr>
              <w:pStyle w:val="23"/>
              <w:ind w:firstLine="0" w:firstLineChars="0"/>
              <w:rPr>
                <w:rFonts w:hint="eastAsia"/>
                <w:color w:val="auto"/>
                <w:highlight w:val="none"/>
              </w:rPr>
            </w:pPr>
            <w:r>
              <w:rPr>
                <w:rFonts w:hint="eastAsia" w:ascii="宋体" w:hAnsi="宋体" w:cs="宋体"/>
                <w:color w:val="auto"/>
                <w:sz w:val="22"/>
                <w:szCs w:val="22"/>
                <w:highlight w:val="none"/>
                <w:lang w:bidi="ar"/>
              </w:rPr>
              <w:t>供应商为本软件产品提供不低于 3 年的免费版本升级及售后服务。服务期内，供应商将无偿向</w:t>
            </w:r>
            <w:r>
              <w:rPr>
                <w:rFonts w:hint="eastAsia" w:ascii="宋体" w:hAnsi="宋体" w:cs="宋体"/>
                <w:i w:val="0"/>
                <w:iCs w:val="0"/>
                <w:color w:val="auto"/>
                <w:kern w:val="0"/>
                <w:sz w:val="22"/>
                <w:szCs w:val="22"/>
                <w:highlight w:val="none"/>
                <w:u w:val="none"/>
                <w:lang w:val="en-US" w:eastAsia="zh-CN" w:bidi="ar"/>
              </w:rPr>
              <w:t>采购人</w:t>
            </w:r>
            <w:r>
              <w:rPr>
                <w:rFonts w:hint="eastAsia" w:ascii="宋体" w:hAnsi="宋体" w:cs="宋体"/>
                <w:color w:val="auto"/>
                <w:sz w:val="22"/>
                <w:szCs w:val="22"/>
                <w:highlight w:val="none"/>
                <w:lang w:bidi="ar"/>
              </w:rPr>
              <w:t>提供软件版本迭代更新、功能优化、安全补丁修复、系统兼容性升级等相关技术服务，确保软件稳定、高效运行。免费升级服务期限届满后，</w:t>
            </w:r>
            <w:r>
              <w:rPr>
                <w:rFonts w:hint="eastAsia" w:ascii="宋体" w:hAnsi="宋体" w:cs="宋体"/>
                <w:i w:val="0"/>
                <w:iCs w:val="0"/>
                <w:color w:val="auto"/>
                <w:kern w:val="0"/>
                <w:sz w:val="22"/>
                <w:szCs w:val="22"/>
                <w:highlight w:val="none"/>
                <w:u w:val="none"/>
                <w:lang w:val="en-US" w:eastAsia="zh-CN" w:bidi="ar"/>
              </w:rPr>
              <w:t>采购人</w:t>
            </w:r>
            <w:r>
              <w:rPr>
                <w:rFonts w:hint="eastAsia" w:ascii="宋体" w:hAnsi="宋体" w:cs="宋体"/>
                <w:color w:val="auto"/>
                <w:sz w:val="22"/>
                <w:szCs w:val="22"/>
                <w:highlight w:val="none"/>
                <w:lang w:bidi="ar"/>
              </w:rPr>
              <w:t>仍可继续使用已交付并授权的软件版本，原有全部正常功能不受任何影响，软件可继续正常运行使用，供应商不得限制、中断或终止</w:t>
            </w:r>
            <w:r>
              <w:rPr>
                <w:rFonts w:hint="eastAsia" w:ascii="宋体" w:hAnsi="宋体" w:cs="宋体"/>
                <w:i w:val="0"/>
                <w:iCs w:val="0"/>
                <w:color w:val="auto"/>
                <w:kern w:val="0"/>
                <w:sz w:val="22"/>
                <w:szCs w:val="22"/>
                <w:highlight w:val="none"/>
                <w:u w:val="none"/>
                <w:lang w:val="en-US" w:eastAsia="zh-CN" w:bidi="ar"/>
              </w:rPr>
              <w:t>采购人</w:t>
            </w:r>
            <w:r>
              <w:rPr>
                <w:rFonts w:hint="eastAsia" w:ascii="宋体" w:hAnsi="宋体" w:cs="宋体"/>
                <w:color w:val="auto"/>
                <w:sz w:val="22"/>
                <w:szCs w:val="22"/>
                <w:highlight w:val="none"/>
                <w:lang w:bidi="ar"/>
              </w:rPr>
              <w:t>对已授权软件的合法使用权利。</w:t>
            </w:r>
          </w:p>
        </w:tc>
        <w:tc>
          <w:tcPr>
            <w:tcW w:w="480" w:type="dxa"/>
            <w:tcBorders>
              <w:top w:val="single" w:color="000000" w:sz="4" w:space="0"/>
              <w:left w:val="single" w:color="000000" w:sz="4" w:space="0"/>
              <w:bottom w:val="single" w:color="000000" w:sz="4" w:space="0"/>
              <w:right w:val="single" w:color="000000" w:sz="4" w:space="0"/>
            </w:tcBorders>
            <w:noWrap/>
            <w:vAlign w:val="center"/>
          </w:tcPr>
          <w:p w14:paraId="4161F27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492" w:type="dxa"/>
            <w:tcBorders>
              <w:top w:val="single" w:color="000000" w:sz="4" w:space="0"/>
              <w:left w:val="single" w:color="000000" w:sz="4" w:space="0"/>
              <w:bottom w:val="single" w:color="000000" w:sz="4" w:space="0"/>
              <w:right w:val="single" w:color="000000" w:sz="4" w:space="0"/>
            </w:tcBorders>
            <w:noWrap/>
            <w:vAlign w:val="center"/>
          </w:tcPr>
          <w:p w14:paraId="3864A2C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套</w:t>
            </w:r>
          </w:p>
        </w:tc>
        <w:tc>
          <w:tcPr>
            <w:tcW w:w="924" w:type="dxa"/>
            <w:tcBorders>
              <w:top w:val="single" w:color="000000" w:sz="4" w:space="0"/>
              <w:left w:val="single" w:color="000000" w:sz="4" w:space="0"/>
              <w:bottom w:val="single" w:color="000000" w:sz="4" w:space="0"/>
              <w:right w:val="single" w:color="000000" w:sz="4" w:space="0"/>
            </w:tcBorders>
            <w:noWrap/>
            <w:vAlign w:val="center"/>
          </w:tcPr>
          <w:p w14:paraId="7177B3E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95</w:t>
            </w:r>
          </w:p>
        </w:tc>
        <w:tc>
          <w:tcPr>
            <w:tcW w:w="984" w:type="dxa"/>
            <w:tcBorders>
              <w:top w:val="single" w:color="000000" w:sz="4" w:space="0"/>
              <w:left w:val="single" w:color="000000" w:sz="4" w:space="0"/>
              <w:bottom w:val="single" w:color="000000" w:sz="4" w:space="0"/>
              <w:right w:val="single" w:color="000000" w:sz="4" w:space="0"/>
            </w:tcBorders>
            <w:noWrap/>
            <w:vAlign w:val="center"/>
          </w:tcPr>
          <w:p w14:paraId="56F5713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5.9</w:t>
            </w:r>
          </w:p>
        </w:tc>
        <w:tc>
          <w:tcPr>
            <w:tcW w:w="372" w:type="dxa"/>
            <w:tcBorders>
              <w:top w:val="single" w:color="000000" w:sz="4" w:space="0"/>
              <w:left w:val="single" w:color="000000" w:sz="4" w:space="0"/>
              <w:bottom w:val="single" w:color="000000" w:sz="4" w:space="0"/>
              <w:right w:val="single" w:color="000000" w:sz="4" w:space="0"/>
            </w:tcBorders>
            <w:noWrap/>
            <w:vAlign w:val="center"/>
          </w:tcPr>
          <w:p w14:paraId="2283E3EC">
            <w:pPr>
              <w:jc w:val="center"/>
              <w:rPr>
                <w:rFonts w:hint="eastAsia" w:ascii="宋体" w:hAnsi="宋体" w:eastAsia="宋体" w:cs="宋体"/>
                <w:i w:val="0"/>
                <w:iCs w:val="0"/>
                <w:color w:val="auto"/>
                <w:sz w:val="22"/>
                <w:szCs w:val="22"/>
                <w:highlight w:val="none"/>
                <w:u w:val="none"/>
              </w:rPr>
            </w:pPr>
          </w:p>
        </w:tc>
      </w:tr>
      <w:tr w14:paraId="37C89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92" w:type="dxa"/>
            <w:tcBorders>
              <w:top w:val="single" w:color="000000" w:sz="4" w:space="0"/>
              <w:left w:val="single" w:color="000000" w:sz="4" w:space="0"/>
              <w:bottom w:val="single" w:color="000000" w:sz="4" w:space="0"/>
              <w:right w:val="single" w:color="000000" w:sz="4" w:space="0"/>
            </w:tcBorders>
            <w:noWrap/>
            <w:vAlign w:val="center"/>
          </w:tcPr>
          <w:p w14:paraId="721B624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852" w:type="dxa"/>
            <w:tcBorders>
              <w:top w:val="single" w:color="000000" w:sz="4" w:space="0"/>
              <w:left w:val="single" w:color="000000" w:sz="4" w:space="0"/>
              <w:bottom w:val="single" w:color="000000" w:sz="4" w:space="0"/>
              <w:right w:val="single" w:color="000000" w:sz="4" w:space="0"/>
            </w:tcBorders>
            <w:noWrap w:val="0"/>
            <w:vAlign w:val="center"/>
          </w:tcPr>
          <w:p w14:paraId="2E1A901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AI纯外语课堂</w:t>
            </w:r>
          </w:p>
        </w:tc>
        <w:tc>
          <w:tcPr>
            <w:tcW w:w="6084" w:type="dxa"/>
            <w:tcBorders>
              <w:top w:val="single" w:color="000000" w:sz="4" w:space="0"/>
              <w:left w:val="single" w:color="000000" w:sz="4" w:space="0"/>
              <w:bottom w:val="single" w:color="000000" w:sz="4" w:space="0"/>
              <w:right w:val="single" w:color="000000" w:sz="4" w:space="0"/>
            </w:tcBorders>
            <w:noWrap w:val="0"/>
            <w:vAlign w:val="center"/>
          </w:tcPr>
          <w:p w14:paraId="1D26C622">
            <w:pPr>
              <w:widowControl/>
              <w:numPr>
                <w:ilvl w:val="0"/>
                <w:numId w:val="0"/>
              </w:numPr>
              <w:jc w:val="left"/>
              <w:textAlignment w:val="center"/>
              <w:rPr>
                <w:color w:val="auto"/>
                <w:highlight w:val="none"/>
              </w:rPr>
            </w:pPr>
            <w:r>
              <w:rPr>
                <w:rFonts w:hint="eastAsia" w:ascii="宋体" w:hAnsi="宋体" w:cs="宋体"/>
                <w:color w:val="auto"/>
                <w:sz w:val="22"/>
                <w:szCs w:val="22"/>
                <w:highlight w:val="none"/>
                <w:lang w:val="en-US" w:eastAsia="zh-CN" w:bidi="ar"/>
              </w:rPr>
              <w:t>1</w:t>
            </w:r>
            <w:r>
              <w:rPr>
                <w:rFonts w:hint="eastAsia" w:ascii="宋体" w:hAnsi="宋体" w:cs="宋体"/>
                <w:color w:val="auto"/>
                <w:sz w:val="22"/>
                <w:szCs w:val="22"/>
                <w:highlight w:val="none"/>
                <w:lang w:bidi="ar"/>
              </w:rPr>
              <w:t>.</w:t>
            </w:r>
            <w:r>
              <w:rPr>
                <w:rFonts w:hint="eastAsia" w:ascii="宋体" w:hAnsi="宋体" w:cs="宋体"/>
                <w:color w:val="auto"/>
                <w:sz w:val="22"/>
                <w:szCs w:val="22"/>
                <w:highlight w:val="none"/>
                <w:lang w:val="en-US" w:eastAsia="zh-CN" w:bidi="ar"/>
              </w:rPr>
              <w:t>支持</w:t>
            </w:r>
            <w:r>
              <w:rPr>
                <w:rFonts w:hint="eastAsia" w:ascii="宋体" w:hAnsi="宋体" w:cs="宋体"/>
                <w:color w:val="auto"/>
                <w:sz w:val="22"/>
                <w:szCs w:val="22"/>
                <w:highlight w:val="none"/>
                <w:lang w:bidi="ar"/>
              </w:rPr>
              <w:t>在屏幕广播、语音广播、个别通话和学生发言功能中，可一键开启AI转写翻译功能，教师发言、学生发言和电脑声音内容都可实时转写为文本，并支持翻译，转写和翻译支持中文、英文、越南语、印尼语、泰语、日语、韩语、菲律宾语、孟加拉语、印地语、马来语、俄语、哈萨克语、维吾尔语、德语、西班牙语、法语、意大利语、葡萄牙语、乌克兰语、阿拉伯语、荷兰语、匈牙利语、丹麦语、波兰语、希腊语、捷克语、克罗地亚语、波斯语、挪威语等不少于30种语言，转写和翻译的文本同步显示在教师和学生屏幕上，支持区分说话人，字幕窗口支持自由调节窗口大小、拖动位置、设置背景透明度、背景颜色、文字颜色、字体类型、字体大小等，字幕支持双语、原文、译文3种显示方式。</w:t>
            </w:r>
            <w:r>
              <w:rPr>
                <w:rFonts w:hint="eastAsia" w:ascii="宋体" w:hAnsi="宋体" w:cs="宋体"/>
                <w:color w:val="auto"/>
                <w:sz w:val="22"/>
                <w:szCs w:val="22"/>
                <w:highlight w:val="none"/>
                <w:lang w:bidi="ar"/>
              </w:rPr>
              <w:br w:type="textWrapping"/>
            </w:r>
            <w:r>
              <w:rPr>
                <w:rFonts w:hint="eastAsia" w:ascii="宋体" w:hAnsi="宋体" w:cs="宋体"/>
                <w:color w:val="auto"/>
                <w:sz w:val="22"/>
                <w:szCs w:val="22"/>
                <w:highlight w:val="none"/>
                <w:lang w:bidi="ar"/>
              </w:rPr>
              <w:t>2.支持学生使用笔记本电脑、安卓手机、安卓平板、iPhone手机通过手机移动数据网络或热点加入到课堂中，实现AI纯外语课堂技术参数的所有功能。</w:t>
            </w:r>
          </w:p>
          <w:p w14:paraId="30131877">
            <w:pPr>
              <w:widowControl/>
              <w:jc w:val="left"/>
              <w:textAlignment w:val="center"/>
              <w:rPr>
                <w:rFonts w:ascii="宋体" w:hAnsi="宋体" w:cs="宋体"/>
                <w:color w:val="auto"/>
                <w:sz w:val="22"/>
                <w:szCs w:val="22"/>
                <w:highlight w:val="none"/>
                <w:lang w:bidi="ar"/>
              </w:rPr>
            </w:pPr>
            <w:r>
              <w:rPr>
                <w:rFonts w:hint="eastAsia" w:ascii="宋体" w:hAnsi="宋体" w:cs="宋体"/>
                <w:color w:val="auto"/>
                <w:sz w:val="22"/>
                <w:szCs w:val="22"/>
                <w:highlight w:val="none"/>
                <w:lang w:bidi="ar"/>
              </w:rPr>
              <w:t>其他要求：</w:t>
            </w:r>
          </w:p>
          <w:p w14:paraId="6D851723">
            <w:pPr>
              <w:pStyle w:val="23"/>
              <w:ind w:firstLine="0" w:firstLineChars="0"/>
              <w:rPr>
                <w:rFonts w:hint="eastAsia"/>
                <w:color w:val="auto"/>
                <w:highlight w:val="none"/>
              </w:rPr>
            </w:pPr>
            <w:r>
              <w:rPr>
                <w:rFonts w:hint="eastAsia" w:ascii="宋体" w:hAnsi="宋体" w:cs="宋体"/>
                <w:color w:val="auto"/>
                <w:sz w:val="22"/>
                <w:szCs w:val="22"/>
                <w:highlight w:val="none"/>
                <w:lang w:bidi="ar"/>
              </w:rPr>
              <w:t>供应商为本软件产品提供不低于 3 年的免费版本升级及售后服务。服务期内，供应商将无偿向</w:t>
            </w:r>
            <w:r>
              <w:rPr>
                <w:rFonts w:hint="eastAsia" w:ascii="宋体" w:hAnsi="宋体" w:cs="宋体"/>
                <w:i w:val="0"/>
                <w:iCs w:val="0"/>
                <w:color w:val="auto"/>
                <w:kern w:val="0"/>
                <w:sz w:val="22"/>
                <w:szCs w:val="22"/>
                <w:highlight w:val="none"/>
                <w:u w:val="none"/>
                <w:lang w:val="en-US" w:eastAsia="zh-CN" w:bidi="ar"/>
              </w:rPr>
              <w:t>采购人</w:t>
            </w:r>
            <w:r>
              <w:rPr>
                <w:rFonts w:hint="eastAsia" w:ascii="宋体" w:hAnsi="宋体" w:cs="宋体"/>
                <w:color w:val="auto"/>
                <w:sz w:val="22"/>
                <w:szCs w:val="22"/>
                <w:highlight w:val="none"/>
                <w:lang w:bidi="ar"/>
              </w:rPr>
              <w:t>提供软件版本迭代更新、功能优化、安全补丁修复、系统兼容性升级等相关技术服务，确保软件稳定、高效运行。免费升级服务期限届满后，</w:t>
            </w:r>
            <w:r>
              <w:rPr>
                <w:rFonts w:hint="eastAsia" w:ascii="宋体" w:hAnsi="宋体" w:cs="宋体"/>
                <w:i w:val="0"/>
                <w:iCs w:val="0"/>
                <w:color w:val="auto"/>
                <w:kern w:val="0"/>
                <w:sz w:val="22"/>
                <w:szCs w:val="22"/>
                <w:highlight w:val="none"/>
                <w:u w:val="none"/>
                <w:lang w:val="en-US" w:eastAsia="zh-CN" w:bidi="ar"/>
              </w:rPr>
              <w:t>采购人</w:t>
            </w:r>
            <w:r>
              <w:rPr>
                <w:rFonts w:hint="eastAsia" w:ascii="宋体" w:hAnsi="宋体" w:cs="宋体"/>
                <w:color w:val="auto"/>
                <w:sz w:val="22"/>
                <w:szCs w:val="22"/>
                <w:highlight w:val="none"/>
                <w:lang w:bidi="ar"/>
              </w:rPr>
              <w:t>仍可继续使用已交付并授权的软件版本，原有全部正常功能不受任何影响，软件可继续正常运行使用，供应商不得限制、中断或终止</w:t>
            </w:r>
            <w:r>
              <w:rPr>
                <w:rFonts w:hint="eastAsia" w:ascii="宋体" w:hAnsi="宋体" w:cs="宋体"/>
                <w:i w:val="0"/>
                <w:iCs w:val="0"/>
                <w:color w:val="auto"/>
                <w:kern w:val="0"/>
                <w:sz w:val="22"/>
                <w:szCs w:val="22"/>
                <w:highlight w:val="none"/>
                <w:u w:val="none"/>
                <w:lang w:val="en-US" w:eastAsia="zh-CN" w:bidi="ar"/>
              </w:rPr>
              <w:t>采购人</w:t>
            </w:r>
            <w:r>
              <w:rPr>
                <w:rFonts w:hint="eastAsia" w:ascii="宋体" w:hAnsi="宋体" w:cs="宋体"/>
                <w:color w:val="auto"/>
                <w:sz w:val="22"/>
                <w:szCs w:val="22"/>
                <w:highlight w:val="none"/>
                <w:lang w:bidi="ar"/>
              </w:rPr>
              <w:t>对已授权软件的合法使用权利。</w:t>
            </w:r>
          </w:p>
        </w:tc>
        <w:tc>
          <w:tcPr>
            <w:tcW w:w="480" w:type="dxa"/>
            <w:tcBorders>
              <w:top w:val="single" w:color="000000" w:sz="4" w:space="0"/>
              <w:left w:val="single" w:color="000000" w:sz="4" w:space="0"/>
              <w:bottom w:val="single" w:color="000000" w:sz="4" w:space="0"/>
              <w:right w:val="single" w:color="000000" w:sz="4" w:space="0"/>
            </w:tcBorders>
            <w:noWrap/>
            <w:vAlign w:val="center"/>
          </w:tcPr>
          <w:p w14:paraId="3A5ACF6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492" w:type="dxa"/>
            <w:tcBorders>
              <w:top w:val="single" w:color="000000" w:sz="4" w:space="0"/>
              <w:left w:val="single" w:color="000000" w:sz="4" w:space="0"/>
              <w:bottom w:val="single" w:color="000000" w:sz="4" w:space="0"/>
              <w:right w:val="single" w:color="000000" w:sz="4" w:space="0"/>
            </w:tcBorders>
            <w:noWrap/>
            <w:vAlign w:val="center"/>
          </w:tcPr>
          <w:p w14:paraId="0BA731C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套</w:t>
            </w:r>
          </w:p>
        </w:tc>
        <w:tc>
          <w:tcPr>
            <w:tcW w:w="924" w:type="dxa"/>
            <w:tcBorders>
              <w:top w:val="single" w:color="000000" w:sz="4" w:space="0"/>
              <w:left w:val="single" w:color="000000" w:sz="4" w:space="0"/>
              <w:bottom w:val="single" w:color="000000" w:sz="4" w:space="0"/>
              <w:right w:val="single" w:color="000000" w:sz="4" w:space="0"/>
            </w:tcBorders>
            <w:noWrap/>
            <w:vAlign w:val="center"/>
          </w:tcPr>
          <w:p w14:paraId="3BAAB25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95</w:t>
            </w:r>
          </w:p>
        </w:tc>
        <w:tc>
          <w:tcPr>
            <w:tcW w:w="984" w:type="dxa"/>
            <w:tcBorders>
              <w:top w:val="single" w:color="000000" w:sz="4" w:space="0"/>
              <w:left w:val="single" w:color="000000" w:sz="4" w:space="0"/>
              <w:bottom w:val="single" w:color="000000" w:sz="4" w:space="0"/>
              <w:right w:val="single" w:color="000000" w:sz="4" w:space="0"/>
            </w:tcBorders>
            <w:noWrap/>
            <w:vAlign w:val="center"/>
          </w:tcPr>
          <w:p w14:paraId="242E22C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5.9</w:t>
            </w:r>
          </w:p>
        </w:tc>
        <w:tc>
          <w:tcPr>
            <w:tcW w:w="372" w:type="dxa"/>
            <w:tcBorders>
              <w:top w:val="single" w:color="000000" w:sz="4" w:space="0"/>
              <w:left w:val="single" w:color="000000" w:sz="4" w:space="0"/>
              <w:bottom w:val="single" w:color="000000" w:sz="4" w:space="0"/>
              <w:right w:val="single" w:color="000000" w:sz="4" w:space="0"/>
            </w:tcBorders>
            <w:noWrap/>
            <w:vAlign w:val="center"/>
          </w:tcPr>
          <w:p w14:paraId="66DC780D">
            <w:pPr>
              <w:jc w:val="center"/>
              <w:rPr>
                <w:rFonts w:hint="eastAsia" w:ascii="宋体" w:hAnsi="宋体" w:eastAsia="宋体" w:cs="宋体"/>
                <w:i w:val="0"/>
                <w:iCs w:val="0"/>
                <w:color w:val="auto"/>
                <w:sz w:val="22"/>
                <w:szCs w:val="22"/>
                <w:highlight w:val="none"/>
                <w:u w:val="none"/>
              </w:rPr>
            </w:pPr>
          </w:p>
        </w:tc>
      </w:tr>
      <w:tr w14:paraId="2B203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92" w:type="dxa"/>
            <w:tcBorders>
              <w:top w:val="single" w:color="000000" w:sz="4" w:space="0"/>
              <w:left w:val="single" w:color="000000" w:sz="4" w:space="0"/>
              <w:bottom w:val="single" w:color="000000" w:sz="4" w:space="0"/>
              <w:right w:val="single" w:color="000000" w:sz="4" w:space="0"/>
            </w:tcBorders>
            <w:noWrap/>
            <w:vAlign w:val="center"/>
          </w:tcPr>
          <w:p w14:paraId="3DBE2BA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852" w:type="dxa"/>
            <w:tcBorders>
              <w:top w:val="single" w:color="000000" w:sz="4" w:space="0"/>
              <w:left w:val="single" w:color="000000" w:sz="4" w:space="0"/>
              <w:bottom w:val="single" w:color="000000" w:sz="4" w:space="0"/>
              <w:right w:val="single" w:color="000000" w:sz="4" w:space="0"/>
            </w:tcBorders>
            <w:noWrap w:val="0"/>
            <w:vAlign w:val="center"/>
          </w:tcPr>
          <w:p w14:paraId="2DD54F7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AI考试（在线）系统</w:t>
            </w:r>
          </w:p>
        </w:tc>
        <w:tc>
          <w:tcPr>
            <w:tcW w:w="6084" w:type="dxa"/>
            <w:tcBorders>
              <w:top w:val="single" w:color="000000" w:sz="4" w:space="0"/>
              <w:left w:val="single" w:color="000000" w:sz="4" w:space="0"/>
              <w:bottom w:val="single" w:color="000000" w:sz="4" w:space="0"/>
              <w:right w:val="single" w:color="000000" w:sz="4" w:space="0"/>
            </w:tcBorders>
            <w:noWrap w:val="0"/>
            <w:vAlign w:val="center"/>
          </w:tcPr>
          <w:p w14:paraId="24055616">
            <w:pPr>
              <w:pStyle w:val="23"/>
              <w:ind w:left="0" w:leftChars="0" w:firstLine="0" w:firstLineChars="0"/>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AI题库</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b/>
                <w:bCs/>
                <w:i w:val="0"/>
                <w:iCs w:val="0"/>
                <w:color w:val="auto"/>
                <w:kern w:val="0"/>
                <w:sz w:val="22"/>
                <w:szCs w:val="22"/>
                <w:highlight w:val="none"/>
                <w:u w:val="none"/>
                <w:lang w:val="en-US" w:eastAsia="zh-CN" w:bidi="ar"/>
              </w:rPr>
              <w:t>系统基本要求</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1.软件系统架构为B/S和C/S两种模式，系统采用统一的WEB管理平台，管理员、教师等通过浏览器即可管理阅卷系统，无需安装任何插件，且系统须兼容如IE11及以上、Edge、360、火狐、google 浏览器等。</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2.系统采用高可用、可伸缩的架构，同时在线并发人数不少于1500人。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系统应在统一门户的同一平台下满足全校性质的资源管理需求，提供统一平台登录入口，统一登录后，应支持教师用户进行试题资源录入与管理功能；还应满足师生后期拓展全流程的在线考试、纸笔考试功能；用户可以通过两种考试应用入口进入各自应用，而不用二次登录。</w:t>
            </w:r>
            <w:r>
              <w:rPr>
                <w:rFonts w:hint="eastAsia" w:ascii="宋体" w:hAnsi="宋体" w:cs="宋体"/>
                <w:b/>
                <w:bCs/>
                <w:color w:val="auto"/>
                <w:sz w:val="22"/>
                <w:szCs w:val="22"/>
                <w:highlight w:val="none"/>
                <w:lang w:bidi="ar"/>
              </w:rPr>
              <w:t>（</w:t>
            </w:r>
            <w:r>
              <w:rPr>
                <w:rFonts w:hint="eastAsia" w:ascii="宋体" w:hAnsi="宋体" w:cs="宋体"/>
                <w:b/>
                <w:bCs/>
                <w:color w:val="auto"/>
                <w:sz w:val="22"/>
                <w:szCs w:val="22"/>
                <w:highlight w:val="none"/>
                <w:lang w:eastAsia="zh-CN" w:bidi="ar"/>
              </w:rPr>
              <w:t>须在响应文件中提供证明材料，包括但不限于产品说明书相关功能页面及封面扫描件，或者官网相关功能页面截图（提供完整网页网址），或者产品功能截图等，提供的证明材料必须与日后提供的产品功能界面一致</w:t>
            </w:r>
            <w:r>
              <w:rPr>
                <w:rFonts w:hint="eastAsia" w:ascii="宋体" w:hAnsi="宋体" w:cs="宋体"/>
                <w:b/>
                <w:bCs/>
                <w:color w:val="auto"/>
                <w:sz w:val="22"/>
                <w:szCs w:val="22"/>
                <w:highlight w:val="none"/>
                <w:lang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4.系统应支持使用Dubbo、HTTPS、WebService、Thrift、Memcached、Redis等方式来获取数据中心的标准数据，同时提供Restful方式的数据访问，支持xml、Json等数据格式。对于第三方应用程序提供基于OAuth2.0的授权认证数据访问</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cs="宋体"/>
                <w:i w:val="0"/>
                <w:iCs w:val="0"/>
                <w:color w:val="auto"/>
                <w:kern w:val="0"/>
                <w:sz w:val="22"/>
                <w:szCs w:val="22"/>
                <w:highlight w:val="none"/>
                <w:u w:val="none"/>
                <w:lang w:val="en-US" w:eastAsia="zh-CN" w:bidi="ar"/>
              </w:rPr>
              <w:t>5</w:t>
            </w:r>
            <w:r>
              <w:rPr>
                <w:rFonts w:hint="eastAsia" w:ascii="宋体" w:hAnsi="宋体" w:eastAsia="宋体" w:cs="宋体"/>
                <w:i w:val="0"/>
                <w:iCs w:val="0"/>
                <w:color w:val="auto"/>
                <w:kern w:val="0"/>
                <w:sz w:val="22"/>
                <w:szCs w:val="22"/>
                <w:highlight w:val="none"/>
                <w:u w:val="none"/>
                <w:lang w:val="en-US" w:eastAsia="zh-CN" w:bidi="ar"/>
              </w:rPr>
              <w:t>.系统应同时支持多课程多题型的资源录入与管理需求</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cs="宋体"/>
                <w:i w:val="0"/>
                <w:iCs w:val="0"/>
                <w:color w:val="auto"/>
                <w:kern w:val="0"/>
                <w:sz w:val="22"/>
                <w:szCs w:val="22"/>
                <w:highlight w:val="none"/>
                <w:u w:val="none"/>
                <w:lang w:val="en-US" w:eastAsia="zh-CN" w:bidi="ar"/>
              </w:rPr>
              <w:t>6</w:t>
            </w:r>
            <w:r>
              <w:rPr>
                <w:rFonts w:hint="eastAsia" w:ascii="宋体" w:hAnsi="宋体" w:eastAsia="宋体" w:cs="宋体"/>
                <w:i w:val="0"/>
                <w:iCs w:val="0"/>
                <w:color w:val="auto"/>
                <w:kern w:val="0"/>
                <w:sz w:val="22"/>
                <w:szCs w:val="22"/>
                <w:highlight w:val="none"/>
                <w:u w:val="none"/>
                <w:lang w:val="en-US" w:eastAsia="zh-CN" w:bidi="ar"/>
              </w:rPr>
              <w:t>.系统应采用J2EE平台，可以跨平台部署，应支持CentOS6+等</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b/>
                <w:bCs/>
                <w:i w:val="0"/>
                <w:iCs w:val="0"/>
                <w:color w:val="auto"/>
                <w:kern w:val="0"/>
                <w:sz w:val="22"/>
                <w:szCs w:val="22"/>
                <w:highlight w:val="none"/>
                <w:u w:val="none"/>
                <w:lang w:val="en-US" w:eastAsia="zh-CN" w:bidi="ar"/>
              </w:rPr>
              <w:t>用户信息管理模块</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1.用户管理：统一存储所有应用系统的用户信息，应用系统对用户的相关操作全部通过用户中心完成，系统提供灵活的组织机构管理、用户管理、权限管</w:t>
            </w:r>
            <w:r>
              <w:rPr>
                <w:rFonts w:hint="eastAsia" w:ascii="宋体" w:hAnsi="宋体" w:cs="宋体"/>
                <w:i w:val="0"/>
                <w:iCs w:val="0"/>
                <w:color w:val="auto"/>
                <w:kern w:val="0"/>
                <w:sz w:val="22"/>
                <w:szCs w:val="22"/>
                <w:highlight w:val="none"/>
                <w:u w:val="none"/>
                <w:lang w:val="en-US" w:eastAsia="zh-CN" w:bidi="ar"/>
              </w:rPr>
              <w:t>理和</w:t>
            </w:r>
            <w:r>
              <w:rPr>
                <w:rFonts w:hint="eastAsia" w:ascii="宋体" w:hAnsi="宋体" w:eastAsia="宋体" w:cs="宋体"/>
                <w:i w:val="0"/>
                <w:iCs w:val="0"/>
                <w:color w:val="auto"/>
                <w:kern w:val="0"/>
                <w:sz w:val="22"/>
                <w:szCs w:val="22"/>
                <w:highlight w:val="none"/>
                <w:u w:val="none"/>
                <w:lang w:val="en-US" w:eastAsia="zh-CN" w:bidi="ar"/>
              </w:rPr>
              <w:t>维护功能，即统一存储、阶梯式分级授权；响应文件中提供软件界面功能截图。</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2.教师账号管理：在教师账户管理中，可以进行创建教师账户、批量创建账户、批量修改、初始化密码、禁用账户等操作。并且可以通过姓名和工号，对教师名单进行模糊搜索，修改教师账号身份权限。</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3.课程信息管理：课程信息管理，管理着所有的班级信息，可以对班级信息进行增加、删除、修改、查询等。</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4.教学班管理：与教师账号信息管理和课程信息管理相似，教学班管理可以提供对于班级的增加、删除、修改、查询。并且还可以沿用教学班，不需要因为新学期的开始重新导入班级数据，一键完成操作。</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5.系统应支持对户账号开通数量不受限制的需求，并且应支持不同权限身份有不同用户层级功能，应至少包含教师（包含普通教师、教学负责人）、单位管理员、学校管理员四种身份</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cs="宋体"/>
                <w:b/>
                <w:bCs/>
                <w:color w:val="auto"/>
                <w:sz w:val="22"/>
                <w:szCs w:val="22"/>
                <w:highlight w:val="none"/>
                <w:lang w:bidi="ar"/>
              </w:rPr>
              <w:t>（</w:t>
            </w:r>
            <w:r>
              <w:rPr>
                <w:rFonts w:hint="eastAsia" w:ascii="宋体" w:hAnsi="宋体" w:cs="宋体"/>
                <w:b/>
                <w:bCs/>
                <w:color w:val="auto"/>
                <w:sz w:val="22"/>
                <w:szCs w:val="22"/>
                <w:highlight w:val="none"/>
                <w:lang w:eastAsia="zh-CN" w:bidi="ar"/>
              </w:rPr>
              <w:t>须在响应文件中提供证明材料，包括但不限于产品说明书相关功能页面及封面扫描件，或者官网相关功能页面截图（提供完整网页网址），或者产品功能截图等，提供的证明材料必须与日后提供的产品功能界面一致</w:t>
            </w:r>
            <w:r>
              <w:rPr>
                <w:rFonts w:hint="eastAsia" w:ascii="宋体" w:hAnsi="宋体" w:cs="宋体"/>
                <w:b/>
                <w:bCs/>
                <w:color w:val="auto"/>
                <w:sz w:val="22"/>
                <w:szCs w:val="22"/>
                <w:highlight w:val="none"/>
                <w:lang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6.教师（包含普通教师、教学负责人）、单位管理员、学校管理员四种身份信息权限功能如下：</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6.1 普通教师权限功能应包括：管理教学班功能、命题与组卷功能等；</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6.2 教学负责人权限功能应包括：包含普通教师所有权限，并具有试题/试卷资源审核功能、试题资源管理功能、试题标签管理功能、自定义试题/试卷资源库创建功能等；</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6.3 单位管理员权限功能应包括：包含教学负责人所有权限，并具有查看单位下资源题库、卷库建设数量等；</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6.4 学校管理员权限功能应包括：包含教学负责人所有权限，并具有查看全校资源题库、卷库建设数量等。</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b/>
                <w:bCs/>
                <w:i w:val="0"/>
                <w:iCs w:val="0"/>
                <w:color w:val="auto"/>
                <w:kern w:val="0"/>
                <w:sz w:val="22"/>
                <w:szCs w:val="22"/>
                <w:highlight w:val="none"/>
                <w:u w:val="none"/>
                <w:lang w:val="en-US" w:eastAsia="zh-CN" w:bidi="ar"/>
              </w:rPr>
              <w:t>权限管理</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1.系统应支持试题库和试卷库两种主要资源管理模块；试题库中包括：教师个人试题库、课程试题库、系统自带试题库及自建题库；试卷库中包括：教师个人试卷库、课程试卷库、系统自带试卷库及自建卷库</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系统应支持学校管理员自定义创建题库的角色，并自由设置指定角色对应的功能权限，权限支持：题库查询、题库管理、题目提交、题目审核、卷库查询、卷库管理、组卷、试卷提交、试卷审核权限的自由分配与组合</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cs="宋体"/>
                <w:b/>
                <w:bCs/>
                <w:color w:val="auto"/>
                <w:sz w:val="22"/>
                <w:szCs w:val="22"/>
                <w:highlight w:val="none"/>
                <w:lang w:bidi="ar"/>
              </w:rPr>
              <w:t>（</w:t>
            </w:r>
            <w:r>
              <w:rPr>
                <w:rFonts w:hint="eastAsia" w:ascii="宋体" w:hAnsi="宋体" w:cs="宋体"/>
                <w:b/>
                <w:bCs/>
                <w:color w:val="auto"/>
                <w:sz w:val="22"/>
                <w:szCs w:val="22"/>
                <w:highlight w:val="none"/>
                <w:lang w:eastAsia="zh-CN" w:bidi="ar"/>
              </w:rPr>
              <w:t>须在响应文件中提供证明材料，包括但不限于产品说明书相关功能页面及封面扫描件，或者官网相关功能页面截图（提供完整网页网址），或者产品功能截图等，提供的证明材料必须与日后提供的产品功能界面一致</w:t>
            </w:r>
            <w:r>
              <w:rPr>
                <w:rFonts w:hint="eastAsia" w:ascii="宋体" w:hAnsi="宋体" w:cs="宋体"/>
                <w:b/>
                <w:bCs/>
                <w:color w:val="auto"/>
                <w:sz w:val="22"/>
                <w:szCs w:val="22"/>
                <w:highlight w:val="none"/>
                <w:lang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3.系统应支持管理员及教学负责人新建题库；支持选择关联课程、并根据关联的课程自动生成题库名称，名称支持用户二次编辑。系统支持选择创建默认模式或自定义模式：</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3.1默认模式中，可设置题库管理员。设置完毕后，系统可自动将该课程的教师加入到题库中，无需手工选择；</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3.2自定义模式中，可设置题库管理员。设置完毕后可自定义设置该题库的相关角色及对应角色的教师。并可以进行审核流程的自定义</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4.系统应支持管理员对自己创建的题库进行管理；系统应支持管理员删除自定义题库、自定义题库重命名、查看题库统计数据、角色及教师管理、试题审核流程管理的功能</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4.1应支持查看题库统计数据：统计数据可按课程知识点、章节、难度等标签进行分类统计；</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4.2应支持对各角色进行管理：系统应内置教师和管理员角色，内置的教师角色拥有试题查看、题目提交等权限，内置的题库管理员拥有当前设置题库的所有权限，并支持题库管理员添加自定义角色；</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4.3应支持试题审核流程管理：支持添加及删除流程，并可自定义设置审核层级，支持添加5级审核，每级审核可添加多位教师</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5.系统应支持管理员及教学负责人新建卷库，并可选择通过自建关联课程的题库同时生成卷库；名称支持用户二次编辑。系统支持选择创建默认模式或自定义模式：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5.1默认模式中，可设置卷库管理员。设置完毕后，系统可自动将该课程的教师加入到卷库中，无需手工选择；</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5.2自定义模式中，可设置卷库管理员。设置完毕后可自定义设置该卷库的相关角色及对应角色的教师。并可以进行审核流程的自定义</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 xml:space="preserve">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6.系统应支持管理员对自己创建的卷库进行管理；系统应支持管理员删除自定义卷库、自定义卷库重命名、角色及教师管理、试题审核流程管理的功能</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6.1应支持对各角色进行管理：系统应内置教师和管理员角色，内置的教师角色拥有试题查看、题目提交等权限，内置的卷库管理员拥有当前设置卷库的所有权限，并支持卷库管理员添加自定义角色；</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6.2应支持试题审核流程管理：支持添加及删除流程，并可自定义设置审核层级，支持添加5级审核，每级审核可添加多位教师，并可添加审核要点说明。</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7.系统应支持管理员及教学负责人管理和编辑知识点、章节、难度标签，并支持自定义创建标签，标签层级应支持不少于5级，支持批量导入功能；所有标签应支持在试题的录入中进行标注，支持教</w:t>
            </w:r>
            <w:r>
              <w:rPr>
                <w:rFonts w:hint="eastAsia" w:ascii="宋体" w:hAnsi="宋体" w:cs="宋体"/>
                <w:i w:val="0"/>
                <w:iCs w:val="0"/>
                <w:color w:val="auto"/>
                <w:kern w:val="0"/>
                <w:sz w:val="22"/>
                <w:szCs w:val="22"/>
                <w:highlight w:val="none"/>
                <w:u w:val="none"/>
                <w:lang w:val="en-US" w:eastAsia="zh-CN" w:bidi="ar"/>
              </w:rPr>
              <w:t>师在</w:t>
            </w:r>
            <w:r>
              <w:rPr>
                <w:rFonts w:hint="eastAsia" w:ascii="宋体" w:hAnsi="宋体" w:eastAsia="宋体" w:cs="宋体"/>
                <w:i w:val="0"/>
                <w:iCs w:val="0"/>
                <w:color w:val="auto"/>
                <w:kern w:val="0"/>
                <w:sz w:val="22"/>
                <w:szCs w:val="22"/>
                <w:highlight w:val="none"/>
                <w:u w:val="none"/>
                <w:lang w:val="en-US" w:eastAsia="zh-CN" w:bidi="ar"/>
              </w:rPr>
              <w:t>个人试题录入时手动匹配每道试题所属课程、关联知识点、章节、题目难度、自定义标签等不同维度体系</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8.系统应支持学校管理员题型管理，包括新建题型、修改题型、删除题型的功能；支持根据实际需求选择需要的试题结构并自定义题型名称和关联课程；应支持相同课程下的教学负责人对自定义题型具有同步的管理权限；支持管理员及教学负责人对自定义题型进行修改及删除。</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9. 应支持学校管理员查看试题统计：包括各学院所建设的课程题库数量、标注课程的试题数量及占比、审核中试题数量及占比；并支持查看各学院所建设的课程题库的名称、负责人、成员及人数和创建时间。所有统计项目支持以表格形式下载。</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10. 应支持学校管理员查看试卷统计：包括各学院所建设的课程卷库数量、标注课程的试卷数量及占比、审核中试卷数量及占比；并支持查看各学院所建设的课程卷库的名称、负责人、成员及人数和创建时间。所有统计项目支持以表格形式下载。同时应支持学校管理员查看各学院在审核中的试卷的状态和进度。</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b/>
                <w:bCs/>
                <w:i w:val="0"/>
                <w:iCs w:val="0"/>
                <w:color w:val="auto"/>
                <w:kern w:val="0"/>
                <w:sz w:val="22"/>
                <w:szCs w:val="22"/>
                <w:highlight w:val="none"/>
                <w:u w:val="none"/>
                <w:lang w:val="en-US" w:eastAsia="zh-CN" w:bidi="ar"/>
              </w:rPr>
              <w:t>题库管理模块</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应支持在试题库中教师录入个人试题资源，并支持50种以上题型录题功能，应包括不同课程所需要的主流题型。例如外语相关课程：听力综合、听力填空、改错、作文、单选题、多选题、材料题、选题填空、阅读理解、翻译题等；其它类课程应包括：单选题、多选题、填空题、论述题、简答题、公式题、图片题等题型</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2.应支持教师在录题的过程中，进行试题标签的标注，标签内容应包含课程、难度，并匹配该课程下的章节、知识点等标签，供录题时候选择和标注</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应支持教师在页面上直接进行文本输入进行试题的录入，录题时支持粘贴文字、图片、表格、公式，支持编辑文字格式、排版、上传图片视频、插入公式、代码等，支持上传pdf、word、Excel、PPT等格式文件；应支持录题时添加解析、参考答案</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4.支持录题过程中对已加入课程题库试题的进行近似查重功能，教师可直接查看重复的试题，</w:t>
            </w:r>
            <w:r>
              <w:rPr>
                <w:rFonts w:hint="eastAsia" w:ascii="宋体" w:hAnsi="宋体" w:cs="宋体"/>
                <w:i w:val="0"/>
                <w:iCs w:val="0"/>
                <w:color w:val="auto"/>
                <w:kern w:val="0"/>
                <w:sz w:val="22"/>
                <w:szCs w:val="22"/>
                <w:highlight w:val="none"/>
                <w:u w:val="none"/>
                <w:lang w:val="en-US" w:eastAsia="zh-CN" w:bidi="ar"/>
              </w:rPr>
              <w:t>以</w:t>
            </w:r>
            <w:r>
              <w:rPr>
                <w:rFonts w:hint="eastAsia" w:ascii="宋体" w:hAnsi="宋体" w:eastAsia="宋体" w:cs="宋体"/>
                <w:i w:val="0"/>
                <w:iCs w:val="0"/>
                <w:color w:val="auto"/>
                <w:kern w:val="0"/>
                <w:sz w:val="22"/>
                <w:szCs w:val="22"/>
                <w:highlight w:val="none"/>
                <w:u w:val="none"/>
                <w:lang w:val="en-US" w:eastAsia="zh-CN" w:bidi="ar"/>
              </w:rPr>
              <w:t>及试题所处的位置并进行试题编辑</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5.应支持教师个人题库录题时快速录题功能，教师可直接将整个题选项内容进行粘贴复制，确认后系统自动匹配题目的题干、选项等信息</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应支持教师个人题库录题时智能导入功能，教师可基于模板，直接将包含试题内容、标签的的Word、Excel文件进行上传，确认后系统自动识别和导入，并对导入过程中的异常情况进行提示，教师可根据提示进行修改</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7.应支持教师查看、引用试题库中的课程题库和系统自带题库中试题功能；应支持教师通过题型、难度、知识点等维度进行试题筛选，或是通过题目内容关键字进行搜索；应支持选中的试题下载成word格式文件</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b/>
                <w:bCs/>
                <w:i w:val="0"/>
                <w:iCs w:val="0"/>
                <w:color w:val="auto"/>
                <w:kern w:val="0"/>
                <w:sz w:val="22"/>
                <w:szCs w:val="22"/>
                <w:highlight w:val="none"/>
                <w:u w:val="none"/>
                <w:lang w:val="en-US" w:eastAsia="zh-CN" w:bidi="ar"/>
              </w:rPr>
              <w:t>试卷管理模块</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 应支持在试卷库中教师新建试卷的功能，应支持编辑试卷名称、试卷内容等信息。制卷制作方式应包括：根据模板结构导入、设置试卷结构录题/抽题、批量设置结构录入、题库选题组卷、基于标签智能组卷；</w:t>
            </w:r>
            <w:r>
              <w:rPr>
                <w:rFonts w:hint="eastAsia" w:ascii="宋体" w:hAnsi="宋体" w:cs="宋体"/>
                <w:b/>
                <w:bCs/>
                <w:color w:val="auto"/>
                <w:sz w:val="22"/>
                <w:szCs w:val="22"/>
                <w:highlight w:val="none"/>
                <w:lang w:eastAsia="zh-CN" w:bidi="ar"/>
              </w:rPr>
              <w:t>须在响应文件中提供证明材料，包括但不限于产品说明书相关功能页面及封面扫描件，或者官网相关功能页面截图（提供完整网页网址），或者产品功能截图等，提供的证明材料必须与日后提供的产品功能界面一致</w:t>
            </w:r>
            <w:r>
              <w:rPr>
                <w:rFonts w:hint="eastAsia" w:ascii="宋体" w:hAnsi="宋体" w:eastAsia="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 xml:space="preserve">2. 应支持在试卷库中教师新建试卷的功能如下：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2.1在使用模板结构录入时，教师应通过整卷录入下载试卷结构模板后录入；</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2.2在设置试卷结构录题/抽题时，教师可以根据试卷制作需要选择抽题或录题、自定义添加试卷的部分、大题、小题等，并支持设置题型数量、分值和添加指导语；</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2.3在批量设置结构录入时，教师可以直接选择同一题型的批量录入。应支持选择录入题型、题目数量。选好后应支持对单题手动匹配所属课程、题目难度、知识点标签等，每个题型批量录入应支持不少于50道题；</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2.4在题库选题组卷时，教师可以在题库进行试题选择，并应支持跨课程的试题选择，支持对所选择的试题进行一键组卷，并自动生成试题的部分、大题、小题等，并支持设置分值和添加指导语</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在使用标签智能组卷时应支持设置抽题课程、抽题的重复率比例校验、难度比例设置；应支持设置整卷不同知识点、章节题目预设占比完成智能组卷，并设置组卷数量；并可在试卷制作后查看题型、难度、知识点、章节题目数量和分值占比</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4.应支持教师定制试卷结构、试题题型、试题分数、试题数量等，可以按照每次考试或训练的需求选择不同结构，结构支持复用，并支持对最近创建的5个试卷结构进行缓存，缓存的结构可以直接进行编辑和组卷</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制卷完成后应支持试卷预览、移动和删除操作，针对试卷内的试题支持更换、内容的编辑、删除、移动等操作；支持将试卷分享给指定教师，分享后的试卷支持教师进行编辑等操作，并不影响原本的试卷。并应支持以考试形式进行试卷模拟预览，预览时可在页面上进行模拟作答</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5.1 应支持导出的样式中，对于标题栏、誊分栏、信息栏、装订线、保密标记等样式的选择，</w:t>
            </w:r>
            <w:r>
              <w:rPr>
                <w:rFonts w:hint="eastAsia" w:ascii="宋体" w:hAnsi="宋体" w:cs="宋体"/>
                <w:b/>
                <w:bCs/>
                <w:color w:val="auto"/>
                <w:sz w:val="22"/>
                <w:szCs w:val="22"/>
                <w:highlight w:val="none"/>
                <w:lang w:eastAsia="zh-CN" w:bidi="ar"/>
              </w:rPr>
              <w:t>须在响应文件中提供证明材料，包括但不限于产品说明书相关功能页面及封面扫描件，或者官网相关功能页面截图（提供完整网页网址），或者产品功能截图等，提供的证明材料必须与日后提供的产品功能界面一致</w:t>
            </w:r>
            <w:r>
              <w:rPr>
                <w:rFonts w:hint="eastAsia" w:ascii="宋体" w:hAnsi="宋体" w:eastAsia="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5.2 试卷导出格式应包括docx、PDF，应支持A3、A4、B4纸张</w:t>
            </w:r>
            <w:r>
              <w:rPr>
                <w:rFonts w:hint="eastAsia" w:ascii="宋体" w:hAnsi="宋体" w:cs="宋体"/>
                <w:i w:val="0"/>
                <w:iCs w:val="0"/>
                <w:color w:val="auto"/>
                <w:kern w:val="0"/>
                <w:sz w:val="22"/>
                <w:szCs w:val="22"/>
                <w:highlight w:val="none"/>
                <w:u w:val="none"/>
                <w:lang w:val="en-US" w:eastAsia="zh-CN" w:bidi="ar"/>
              </w:rPr>
              <w:t>版式</w:t>
            </w:r>
            <w:r>
              <w:rPr>
                <w:rFonts w:hint="eastAsia" w:ascii="宋体" w:hAnsi="宋体" w:eastAsia="宋体" w:cs="宋体"/>
                <w:i w:val="0"/>
                <w:iCs w:val="0"/>
                <w:color w:val="auto"/>
                <w:kern w:val="0"/>
                <w:sz w:val="22"/>
                <w:szCs w:val="22"/>
                <w:highlight w:val="none"/>
                <w:u w:val="none"/>
                <w:lang w:val="en-US" w:eastAsia="zh-CN" w:bidi="ar"/>
              </w:rPr>
              <w:t>及单双栏，应支持支持选择单面打印或双面打印，应支持是否带答案，以及答案位置和下载格式，</w:t>
            </w:r>
            <w:r>
              <w:rPr>
                <w:rFonts w:hint="eastAsia" w:ascii="宋体" w:hAnsi="宋体" w:cs="宋体"/>
                <w:b/>
                <w:bCs/>
                <w:color w:val="auto"/>
                <w:sz w:val="22"/>
                <w:szCs w:val="22"/>
                <w:highlight w:val="none"/>
                <w:lang w:eastAsia="zh-CN" w:bidi="ar"/>
              </w:rPr>
              <w:t>须在响应文件中提供证明材料，包括但不限于产品说明书相关功能页面及封面扫描件，或者官网相关功能页面截图（提供完整网页网址），或者产品功能截图等，提供的证明材料必须与日后提供的产品功能界面一致</w:t>
            </w:r>
            <w:r>
              <w:rPr>
                <w:rFonts w:hint="eastAsia" w:ascii="宋体" w:hAnsi="宋体" w:eastAsia="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5.3 试卷预览中应支持显示试题在学校使用的考试次数统计、难度、区分度、得分率的统计项，支持查看试卷整体分析</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b/>
                <w:bCs/>
                <w:i w:val="0"/>
                <w:iCs w:val="0"/>
                <w:color w:val="auto"/>
                <w:kern w:val="0"/>
                <w:sz w:val="22"/>
                <w:szCs w:val="22"/>
                <w:highlight w:val="none"/>
                <w:u w:val="none"/>
                <w:lang w:val="en-US" w:eastAsia="zh-CN" w:bidi="ar"/>
              </w:rPr>
              <w:t>资源审核模块</w:t>
            </w:r>
          </w:p>
          <w:p w14:paraId="7B187043">
            <w:pPr>
              <w:pStyle w:val="23"/>
              <w:numPr>
                <w:ilvl w:val="0"/>
                <w:numId w:val="0"/>
              </w:numPr>
              <w:ind w:left="0" w:leftChars="0" w:firstLine="0" w:firstLineChars="0"/>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1.</w:t>
            </w:r>
            <w:r>
              <w:rPr>
                <w:rFonts w:hint="eastAsia" w:ascii="宋体" w:hAnsi="宋体" w:eastAsia="宋体" w:cs="宋体"/>
                <w:i w:val="0"/>
                <w:iCs w:val="0"/>
                <w:color w:val="auto"/>
                <w:kern w:val="0"/>
                <w:sz w:val="22"/>
                <w:szCs w:val="22"/>
                <w:highlight w:val="none"/>
                <w:u w:val="none"/>
                <w:lang w:val="en-US" w:eastAsia="zh-CN" w:bidi="ar"/>
              </w:rPr>
              <w:t>试题/试卷在提交至课程题库/卷库时，应支持进行题库负责人进行试题/试卷的审核，审核通过后方可归档到课程题库/卷库中</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w:t>
            </w:r>
            <w:r>
              <w:rPr>
                <w:rFonts w:hint="eastAsia" w:ascii="宋体" w:hAnsi="宋体" w:cs="宋体"/>
                <w:i w:val="0"/>
                <w:iCs w:val="0"/>
                <w:color w:val="auto"/>
                <w:kern w:val="0"/>
                <w:sz w:val="22"/>
                <w:szCs w:val="22"/>
                <w:highlight w:val="none"/>
                <w:u w:val="none"/>
                <w:lang w:val="en-US" w:eastAsia="zh-CN" w:bidi="ar"/>
              </w:rPr>
              <w:t>.1</w:t>
            </w:r>
            <w:r>
              <w:rPr>
                <w:rFonts w:hint="eastAsia" w:ascii="宋体" w:hAnsi="宋体" w:eastAsia="宋体" w:cs="宋体"/>
                <w:i w:val="0"/>
                <w:iCs w:val="0"/>
                <w:color w:val="auto"/>
                <w:kern w:val="0"/>
                <w:sz w:val="22"/>
                <w:szCs w:val="22"/>
                <w:highlight w:val="none"/>
                <w:u w:val="none"/>
                <w:lang w:val="en-US" w:eastAsia="zh-CN" w:bidi="ar"/>
              </w:rPr>
              <w:t>应支持教师将录制好的试题/试卷提交试卷至题库负责人审核申请，并可选择需要提交的目标题库/卷库；</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cs="宋体"/>
                <w:i w:val="0"/>
                <w:iCs w:val="0"/>
                <w:color w:val="auto"/>
                <w:kern w:val="0"/>
                <w:sz w:val="22"/>
                <w:szCs w:val="22"/>
                <w:highlight w:val="none"/>
                <w:u w:val="none"/>
                <w:lang w:val="en-US" w:eastAsia="zh-CN" w:bidi="ar"/>
              </w:rPr>
              <w:t>1.2</w:t>
            </w:r>
            <w:r>
              <w:rPr>
                <w:rFonts w:hint="eastAsia" w:ascii="宋体" w:hAnsi="宋体" w:eastAsia="宋体" w:cs="宋体"/>
                <w:i w:val="0"/>
                <w:iCs w:val="0"/>
                <w:color w:val="auto"/>
                <w:kern w:val="0"/>
                <w:sz w:val="22"/>
                <w:szCs w:val="22"/>
                <w:highlight w:val="none"/>
                <w:u w:val="none"/>
                <w:lang w:val="en-US" w:eastAsia="zh-CN" w:bidi="ar"/>
              </w:rPr>
              <w:t>应支持教师查看和筛选试题/试卷的审核状态和审核记录，并可查看当前试题/试卷所处的审核人节点；</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cs="宋体"/>
                <w:i w:val="0"/>
                <w:iCs w:val="0"/>
                <w:color w:val="auto"/>
                <w:kern w:val="0"/>
                <w:sz w:val="22"/>
                <w:szCs w:val="22"/>
                <w:highlight w:val="none"/>
                <w:u w:val="none"/>
                <w:lang w:val="en-US" w:eastAsia="zh-CN" w:bidi="ar"/>
              </w:rPr>
              <w:t>1.3</w:t>
            </w:r>
            <w:r>
              <w:rPr>
                <w:rFonts w:hint="eastAsia" w:ascii="宋体" w:hAnsi="宋体" w:eastAsia="宋体" w:cs="宋体"/>
                <w:i w:val="0"/>
                <w:iCs w:val="0"/>
                <w:color w:val="auto"/>
                <w:kern w:val="0"/>
                <w:sz w:val="22"/>
                <w:szCs w:val="22"/>
                <w:highlight w:val="none"/>
                <w:u w:val="none"/>
                <w:lang w:val="en-US" w:eastAsia="zh-CN" w:bidi="ar"/>
              </w:rPr>
              <w:t>应支持审核人对提交的审核申请进行批复，支持添加审核建议、打回等操作，试题审核支持与目标题库内试题进行查重，并展示重复的试题；</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cs="宋体"/>
                <w:i w:val="0"/>
                <w:iCs w:val="0"/>
                <w:color w:val="auto"/>
                <w:kern w:val="0"/>
                <w:sz w:val="22"/>
                <w:szCs w:val="22"/>
                <w:highlight w:val="none"/>
                <w:u w:val="none"/>
                <w:lang w:val="en-US" w:eastAsia="zh-CN" w:bidi="ar"/>
              </w:rPr>
              <w:t>1.4</w:t>
            </w:r>
            <w:r>
              <w:rPr>
                <w:rFonts w:hint="eastAsia" w:ascii="宋体" w:hAnsi="宋体" w:eastAsia="宋体" w:cs="宋体"/>
                <w:i w:val="0"/>
                <w:iCs w:val="0"/>
                <w:color w:val="auto"/>
                <w:kern w:val="0"/>
                <w:sz w:val="22"/>
                <w:szCs w:val="22"/>
                <w:highlight w:val="none"/>
                <w:u w:val="none"/>
                <w:lang w:val="en-US" w:eastAsia="zh-CN" w:bidi="ar"/>
              </w:rPr>
              <w:t>应支持审核状态被打回时，教师查看审核意见，应支持再次提交审核时，系统会自动提交给之前审核人员进行审核</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cs="宋体"/>
                <w:i w:val="0"/>
                <w:iCs w:val="0"/>
                <w:color w:val="auto"/>
                <w:kern w:val="0"/>
                <w:sz w:val="22"/>
                <w:szCs w:val="22"/>
                <w:highlight w:val="none"/>
                <w:u w:val="none"/>
                <w:lang w:val="en-US" w:eastAsia="zh-CN" w:bidi="ar"/>
              </w:rPr>
              <w:t>2.</w:t>
            </w:r>
            <w:r>
              <w:rPr>
                <w:rFonts w:hint="eastAsia" w:ascii="宋体" w:hAnsi="宋体" w:eastAsia="宋体" w:cs="宋体"/>
                <w:i w:val="0"/>
                <w:iCs w:val="0"/>
                <w:color w:val="auto"/>
                <w:kern w:val="0"/>
                <w:sz w:val="22"/>
                <w:szCs w:val="22"/>
                <w:highlight w:val="none"/>
                <w:u w:val="none"/>
                <w:lang w:val="en-US" w:eastAsia="zh-CN" w:bidi="ar"/>
              </w:rPr>
              <w:t xml:space="preserve">资源内容 </w:t>
            </w:r>
          </w:p>
          <w:p w14:paraId="68FF46AA">
            <w:pPr>
              <w:pStyle w:val="23"/>
              <w:numPr>
                <w:ilvl w:val="-1"/>
                <w:numId w:val="0"/>
              </w:numPr>
              <w:ind w:left="0" w:leftChars="0" w:firstLine="0" w:firstLineChars="0"/>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题库资源：英语资源题库：应支持大学英语四六级资源题库不少于300套试卷；含英语专业资源库、考研资源库等在内的其他资源不少于1000套试卷</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b/>
                <w:bCs/>
                <w:i w:val="0"/>
                <w:iCs w:val="0"/>
                <w:color w:val="auto"/>
                <w:kern w:val="0"/>
                <w:sz w:val="22"/>
                <w:szCs w:val="22"/>
                <w:highlight w:val="none"/>
                <w:u w:val="none"/>
                <w:lang w:val="en-US" w:eastAsia="zh-CN" w:bidi="ar"/>
              </w:rPr>
              <w:t>在线考试系统</w:t>
            </w:r>
            <w:r>
              <w:rPr>
                <w:rFonts w:hint="eastAsia" w:ascii="宋体" w:hAnsi="宋体" w:eastAsia="宋体" w:cs="宋体"/>
                <w:b/>
                <w:bCs/>
                <w:i w:val="0"/>
                <w:iCs w:val="0"/>
                <w:color w:val="auto"/>
                <w:kern w:val="0"/>
                <w:sz w:val="22"/>
                <w:szCs w:val="22"/>
                <w:highlight w:val="none"/>
                <w:u w:val="none"/>
                <w:lang w:val="en-US" w:eastAsia="zh-CN" w:bidi="ar"/>
              </w:rPr>
              <w:br w:type="textWrapping"/>
            </w:r>
            <w:r>
              <w:rPr>
                <w:rFonts w:hint="eastAsia" w:ascii="宋体" w:hAnsi="宋体" w:eastAsia="宋体" w:cs="宋体"/>
                <w:b/>
                <w:bCs/>
                <w:i w:val="0"/>
                <w:iCs w:val="0"/>
                <w:color w:val="auto"/>
                <w:kern w:val="0"/>
                <w:sz w:val="22"/>
                <w:szCs w:val="22"/>
                <w:highlight w:val="none"/>
                <w:u w:val="none"/>
                <w:lang w:val="en-US" w:eastAsia="zh-CN" w:bidi="ar"/>
              </w:rPr>
              <w:t>考试管理模块</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系统应支持单位、校管理者发布学校级、学院级考试的功能，教师发布班级考试的功能，也支持手动输入考生号进行批量添加考生，支持批量添加人数不少于50人；教师发布班级考试时可以设置考试名称、考生范围、考试时间、考试试卷、考试规则；校管理员发布考试时可以额外设置考场规则、是否允许考生作答回看、阅卷教师及防作弊规则等基本考试基本信息</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系统应支持教学管理者和教师编辑考试承诺书的文本，并将还未开始的考试，提前开启考试的功能；并且在考试开始之后，新加入的考生可以通过考试码进入到考试中，考试码支持手动刷新和自动更新，也支持手动输入考生号进行批量添加考生，支持批量添加人数不少于50人</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3.系统应支持已发布的考试的监考教师设置，支持随机分配监考教师，支持下载监考任务以及分配信息</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4.应支持删除和修改已发布但是未开始的考试，支持下载考生信息和考场信息</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5.应支持学校根据考试需求对学生作答设备进行设置，应包括仅使用电脑（web端和客户端）、可使用电脑(包含web端、客户端)或手机APP作答、仅使用手机APP作答、仅使用客户端作答</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6.考试前应支持负责人提前开始考试的功能，提前开始后，考生即可进入考试</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7.考试后应支持负责人进行考场作弊行为的处理，结束处理后，负责人点击开始阅卷后才能开启阅卷。</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b/>
                <w:bCs/>
                <w:i w:val="0"/>
                <w:iCs w:val="0"/>
                <w:color w:val="auto"/>
                <w:kern w:val="0"/>
                <w:sz w:val="22"/>
                <w:szCs w:val="22"/>
                <w:highlight w:val="none"/>
                <w:u w:val="none"/>
                <w:lang w:val="en-US" w:eastAsia="zh-CN" w:bidi="ar"/>
              </w:rPr>
              <w:t>考务管理模块</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1.系统应支持校管理员对于考场进行管理，校管理员可以进行考场的增加、删除和编辑。可自定义设置考场的名称、座位数；可设置该考场的起始IP和结束IP；可对该考场可用性状态进行管理</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2.系统应支持校管理员对于开放题库资源，进行以课程为单位的自定义权限配置</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3.系统应支持校管理员查看全校考试的实施情况，包括全校发布考试的数量，涉及的考生人数以及已参加考试的考生人数；并且可以分别以考试场次、学院、专业的角度进行考试最高分、最低分和平均分的查看</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b/>
                <w:bCs/>
                <w:i w:val="0"/>
                <w:iCs w:val="0"/>
                <w:color w:val="auto"/>
                <w:kern w:val="0"/>
                <w:sz w:val="22"/>
                <w:szCs w:val="22"/>
                <w:highlight w:val="none"/>
                <w:u w:val="none"/>
                <w:lang w:val="en-US" w:eastAsia="zh-CN" w:bidi="ar"/>
              </w:rPr>
              <w:t>在线监考模块</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1.系统应支持同一学生账号禁止多个设备同时登录参加考试的功能</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2.系统应支持校级考试中，单位、校管理员可以针对不同的班级考场进行考试防作弊条件的设置</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2.1考中切屏抓拍：应支持开启考试过程中，考生切屏后自动抓拍当时的作答照片；</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2.2 考中作答抓拍：应支持开启考试过程中，不定时的对考生作答界面进行图片抓拍</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3.系统应支持相同的考卷时，学生收到的考试题目、选项顺序可自动异序功能</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4.系统应支持监考教师在线通过网页端监考的功能：</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4.1应支持监考时当目标考试班级的学生发生变化时，监考教师可以更新考生列表的功能；</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4.2应支持监考时提前结束考试或延时结束考试的功能；</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4.3应支持监考时监考教师制定学生设置延时、恢复考试、禁止考试、解除禁止考试、标记异常考生、解除异常考生标记的功能</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cs="宋体"/>
                <w:b/>
                <w:bCs/>
                <w:color w:val="auto"/>
                <w:sz w:val="22"/>
                <w:szCs w:val="22"/>
                <w:highlight w:val="none"/>
                <w:lang w:eastAsia="zh-CN" w:bidi="ar"/>
              </w:rPr>
              <w:t>须在响应文件中提供证明材料，包括但不限于产品说明书相关功能页面及封面扫描件，或者官网相关功能页面截图（提供完整网页网址），或者产品功能截图等，提供的证明材料必须与日后提供的产品功能界面一致</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4.4应支持监考时监考教师看到每位考生的姓名、考号、开考时间、交卷时间、在线状态、答题状态、登录信息、作答详情等功能</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cs="宋体"/>
                <w:b/>
                <w:bCs/>
                <w:color w:val="auto"/>
                <w:sz w:val="22"/>
                <w:szCs w:val="22"/>
                <w:highlight w:val="none"/>
                <w:lang w:eastAsia="zh-CN" w:bidi="ar"/>
              </w:rPr>
              <w:t>须在响应文件中提供证明材料，包括但不限于产品说明书相关功能页面及封面扫描件，或者官网相关功能页面截图（提供完整网页网址），或者产品功能截图等，提供的证明材料必须与日后提供的产品功能界面一致</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4.5应支持监考时监考教师对全体考生或者单个考试发布消息，消息呈现形式应支持轮播消息和弹窗消息，针对进入考试的考生，可设置考试进入后可查看消息，所有考中发布的消息应支持以日志列表形式查看；</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4.6应支持考试开始后生成专属考试码，监考教师可以告知学生考试码加入考试，实现考试过程中增加考生的功能；</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4.7系统应支持监考教师在考中查看学生试卷作答的内容；</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4.8系统应支持教师在考中对学生考试终端作答平台、系统版本、登录日志进行监控，教师发现异常情况可以随时禁止学生考试，并可取消禁止；</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4.9系统应支持监考教师通过PC网页进行全考场整体考试状态的日志监控，日志需包含考场全部考试的登录日志、切屏日志、考中抓拍日志、监考教师操作日志，并支持日志下载；应支持教师通过PC网页进行考场中个体考生考试状态的日志监控，日志需包含该考生的登录日志、考试终端日志、切屏日志、考中抓拍日志、切屏抓拍日志、监考教师操作日志，并支持日志下载。</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4.10 系统应支持考生考中遇到问题时在线发起举手的申请，监考教师可查看考生的举手申请列表。</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b/>
                <w:bCs/>
                <w:i w:val="0"/>
                <w:iCs w:val="0"/>
                <w:color w:val="auto"/>
                <w:kern w:val="0"/>
                <w:sz w:val="22"/>
                <w:szCs w:val="22"/>
                <w:highlight w:val="none"/>
                <w:u w:val="none"/>
                <w:lang w:val="en-US" w:eastAsia="zh-CN" w:bidi="ar"/>
              </w:rPr>
              <w:t>学生考试模块</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1.学生在电脑web端作答时应具有考前调试耳机、调试麦克风、调试摄像头和网络环境检测的功能</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2.学生应具有未加入考试时，通过考试码随时加入已开考的考试的功能</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3.学生应具有考前确认考试承诺书的功能，学生应具有考中打字、考试终端拍照上传、移动设备扫二维码拍照上传、终端本地上传图片、鼠标手写作答的形式答题，</w:t>
            </w:r>
            <w:r>
              <w:rPr>
                <w:rFonts w:hint="eastAsia" w:ascii="宋体" w:hAnsi="宋体" w:cs="宋体"/>
                <w:b/>
                <w:bCs/>
                <w:color w:val="auto"/>
                <w:sz w:val="22"/>
                <w:szCs w:val="22"/>
                <w:highlight w:val="none"/>
                <w:lang w:eastAsia="zh-CN" w:bidi="ar"/>
              </w:rPr>
              <w:t>须在响应文件中提供证明材料，包括但不限于产品说明书相关功能页面及封面扫描件，或者官网相关功能页面截图（提供完整网页网址），或者产品功能截图等，提供的证明材料必须与日后提供的产品功能界面一致</w:t>
            </w:r>
            <w:r>
              <w:rPr>
                <w:rFonts w:hint="eastAsia" w:ascii="宋体" w:hAnsi="宋体" w:eastAsia="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4.答题过程中内容实时保存，不受断网、断电等影响的功能</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5.系统应同时支持全学科学生考试的需求；应支持外语类学科听、说、读、写、译全题型考试需求</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6.系统应支持同一学生账号禁止多个设备同时登录参加考试的功能</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7.系统应支持考前对学生人脸信息进行采集，并和系统存储的学生照片验证对比的功能。</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8.系统应支持考生多终端、多平台考试的功能，包括PC网页端、PC客户端、移动端（iOS、Android系统）</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8.1 系统应支持考生使用PC网页端作答所有题型时，无需额外下载任何插件即可进行包含听力、口语在内的考试；</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8.2 系统应支持考生使用PC客户端作答时，可自定义指定检测并禁止考生作答终端的应用进程，如果开启被禁止的应用，则无法进入考试；</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8.3 系统应支持考生作答过程中，禁用快捷键的功能；</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8.4 系统应支持考生使用PC客户端作答时，可以检测考生作答终端是否有外接显示器，如果外接第二个显示器，则无法进入考试；</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8.5 系统应支持考生使用PC客户端作答时，在考试过程中全程霸屏的功能，考试过程中无法切出。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b/>
                <w:bCs/>
                <w:i w:val="0"/>
                <w:iCs w:val="0"/>
                <w:color w:val="auto"/>
                <w:kern w:val="0"/>
                <w:sz w:val="22"/>
                <w:szCs w:val="22"/>
                <w:highlight w:val="none"/>
                <w:u w:val="none"/>
                <w:lang w:val="en-US" w:eastAsia="zh-CN" w:bidi="ar"/>
              </w:rPr>
              <w:t>阅卷任务模块</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应支持在阅卷之前组长设置阅卷任务工作安排，组长看到本次试卷的题目数量、客观题数量及分数、主观题数量及分数、总分等，设置教师阅卷时是否显示学生信息、允许查看全卷、显示学生客观题分数、允许教师重阅、开启点击打分、允许超额阅卷、显示试题平均分；应支持组长分配阅卷任务给其他阅卷教师，支持按班级阅卷模式；应支持主观题机器智能评阅设置，应支持主观题单评、人机双评、人人双评以及智能评阅的细化设置；应支持系统智能评分并选择机器评分或者优先教师评分的功能</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应支持组长对各个主观题进行高级设置，应包括单双评、智能评阅、分配阅卷教师及任务等评阅模式设置。支持设置阅卷的复评及设定复评教师的功能。双评模式下应支持人机双评和人人双评，应支持进行误差控制方式设置，应支持设置超出阀值后确定仲裁教师的功能；应支持阅卷教师按照教学班、自然班进行批阅也可按照组长所分配的任务进行流水化模式阅卷；并支持对分配阅卷老师的阅卷数量，灵活分配阅卷任务</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cs="宋体"/>
                <w:b/>
                <w:bCs/>
                <w:color w:val="auto"/>
                <w:sz w:val="22"/>
                <w:szCs w:val="22"/>
                <w:highlight w:val="none"/>
                <w:lang w:eastAsia="zh-CN" w:bidi="ar"/>
              </w:rPr>
              <w:t>须在响应文件中提供证明材料，包括但不限于产品说明书相关功能页面及封面扫描件，或者官网相关功能页面截图（提供完整网页网址），或者产品功能截图等，提供的证明材料必须与日后提供的产品功能界面一致</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双评时，系统应支持将每位考生的答卷发送给两位阅卷教师，如果两位阅卷教师的评分之差小于误差阈值，则取二者的平均分值作为该答卷的得分，如果两位教师的评分之差大于误差阈值，则系统会将该答卷发给组长设置的仲裁人进行评卷仲裁，仲裁人为该答卷最终评分</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4.评阅方式应支持按题评阅或按卷评阅，按题评阅时，按照题目号分配阅卷教师，阅卷老师只评阅分配给自己的题目；按卷评阅时，按卷分配阅卷教师，阅卷老师需要评阅试卷上的每一道题</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5.评阅角色支持选择学生评阅，支持学生之间进行互评功能</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6.应支持阅卷教师在阅卷界面查看试卷名称、考试日期、查看原卷、查看答案、查看原题题干；应支持查看因阅卷不合理被打回的试卷、重阅、查看已阅记录和进度</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7.应支持允许阅卷组长设置阅卷教师查看考生整卷的作答明细</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8.应支持主观题快捷打分，支持解答题按得分点加分，支持鼠标、数字键盘、打分板等多种分数输入方式</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9.在阅卷界面用支持添加阅卷笔记，阅卷教师可以通过阅卷笔记记录阅卷评语、心得、感悟等。该门课程阅卷结束后，可以自动对本次阅卷笔记进行汇总成册，支持阅卷笔记导出，以便用于改进教学效果</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10.在阅卷界面应支持阅卷教师使用备注功能，给题目添加备注，备注应在已阅记录列表中显示。</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11.应支持阅卷教师遇到不能判断的试卷问题时提交问题卷申请</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12.应支持阅卷工作结束前，阅卷教师可随时调整自己的评分结果</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13.应支持教师阅卷的过程中，组长可以随时关注阅卷教师阅卷进度，可以查看小题评阅进度、计划人数、提交人数、缺考人数、问题卷份数、总阅卷完成率、智能评阅进度、总仲裁量、剩余仲裁量以及阅卷详情；应支持阅卷进度列表的导出；应支持筛选题号等查看阅卷任务及进度明细</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14.应支持组长对阅卷教师阅卷质量进行监控，查看阅卷教师给分分布图、最高分、最低分、平均分等信息；应支持组长对阅卷内容进行抽样审查的功能，并应支持组长在分数段内进行抽样；对教师阅卷不准的试卷，应支持修改成绩或打回处理</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cs="宋体"/>
                <w:b/>
                <w:bCs/>
                <w:color w:val="auto"/>
                <w:sz w:val="22"/>
                <w:szCs w:val="22"/>
                <w:highlight w:val="none"/>
                <w:lang w:eastAsia="zh-CN" w:bidi="ar"/>
              </w:rPr>
              <w:t>须在响应文件中提供证明材料，包括但不限于产品说明书相关功能页面及封面扫描件，或者官网相关功能页面截图（提供完整网页网址），或者产品功能截图等，提供的证明材料必须与日后提供的产品功能界面一致</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15.应支持组长对阅卷教师提交的问题卷进行处理的功能</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16.应支持组长在阅卷开始后，根据实际情况按需修改阅卷设置的功能，支持添加新的阅卷教师，支持阅卷任务的重新分配</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17.应支持组长对于试卷答案、分值设置完成后，二次进行修改的功能</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18. 阅卷痕迹永久留存，任何时候调出任何学生的试卷，应支持保存阅卷原始状态，并呈现评卷教师的姓名，以及在该题上所评的分数。如果该题为双评和仲裁，应支持同时显示所有评卷教师姓名和评分结果及仲裁教师的姓名和评分结果，支持电子化成绩复查</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cs="宋体"/>
                <w:b/>
                <w:bCs/>
                <w:color w:val="auto"/>
                <w:sz w:val="22"/>
                <w:szCs w:val="22"/>
                <w:highlight w:val="none"/>
                <w:lang w:eastAsia="zh-CN" w:bidi="ar"/>
              </w:rPr>
              <w:t>须在响应文件中提供证明材料，包括但不限于产品说明书相关功能页面及封面扫描件，或者官网相关功能页面截图（提供完整网页网址），或者产品功能截图等，提供的证明材料必须与日后提供的产品功能界面一致</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19.支持在系统后台限制阅卷教师为考试对应的课程组内的教师，限制之后，阅卷组长在选择阅卷教师时，只能选择同课程组的教师进行阅卷</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b/>
                <w:bCs/>
                <w:i w:val="0"/>
                <w:iCs w:val="0"/>
                <w:color w:val="auto"/>
                <w:kern w:val="0"/>
                <w:sz w:val="22"/>
                <w:szCs w:val="22"/>
                <w:highlight w:val="none"/>
                <w:u w:val="none"/>
                <w:lang w:val="en-US" w:eastAsia="zh-CN" w:bidi="ar"/>
              </w:rPr>
              <w:t>成绩统计分析模块</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1.支持生成供学校课程教师等多层级角色参考使用的整体分析报告和班级分析报告</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系统应支持生成试卷分析报告，包括题量、考试时间、考试时长，以及题目、小题为内容的统计分析；提供单科班级成绩分析报告（包含答对/错人数、平均分、得分率、难度、区分度等指标），分数段布曲图、等级分布图、试题分类统计等，并支持PDF格式下载</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cs="宋体"/>
                <w:b/>
                <w:bCs/>
                <w:color w:val="auto"/>
                <w:sz w:val="22"/>
                <w:szCs w:val="22"/>
                <w:highlight w:val="none"/>
                <w:lang w:eastAsia="zh-CN" w:bidi="ar"/>
              </w:rPr>
              <w:t>须在响应文件中提供证明材料，包括但不限于产品说明书相关功能页面及封面扫描件，或者官网相关功能页面截图（提供完整网页网址），或者产品功能截图等，提供的证明材料必须与日后提供的产品功能界面一致</w:t>
            </w:r>
            <w:r>
              <w:rPr>
                <w:rFonts w:hint="eastAsia" w:ascii="宋体" w:hAnsi="宋体" w:eastAsia="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3.提供班级或学科试卷成绩表（包括考号/学号、姓名、学院年级班级、总分、小题分成绩分档等）</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4.支持自动汇总考生成绩，学校、学院和课程教师均可进行成绩审阅和成绩导出的操作</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5.系统应支持教师查看成绩分析的功能</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5.1应支持考试答案设置有误时，修改答案设置后，实现对所有已阅试卷的客观题的重新机评，教师无需重新对试卷进行评阅；</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5.2应支持考试后调整学生成绩的功能，调整后教师无需重新对试卷进行评阅；</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5.3应支持考后重启阅卷的功能，重启后试卷将退回阅卷阶段</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6.应支持试卷包的下载，点击下载试卷包时，应支持教师选择是否导出pdf文件弹窗</w:t>
            </w:r>
            <w:r>
              <w:rPr>
                <w:rFonts w:hint="eastAsia" w:ascii="宋体" w:hAnsi="宋体" w:cs="宋体"/>
                <w:i w:val="0"/>
                <w:iCs w:val="0"/>
                <w:color w:val="auto"/>
                <w:kern w:val="0"/>
                <w:sz w:val="22"/>
                <w:szCs w:val="22"/>
                <w:highlight w:val="none"/>
                <w:u w:val="none"/>
                <w:lang w:val="en-US" w:eastAsia="zh-CN" w:bidi="ar"/>
              </w:rPr>
              <w:t>，在</w:t>
            </w:r>
            <w:r>
              <w:rPr>
                <w:rFonts w:hint="eastAsia" w:ascii="宋体" w:hAnsi="宋体" w:eastAsia="宋体" w:cs="宋体"/>
                <w:i w:val="0"/>
                <w:iCs w:val="0"/>
                <w:color w:val="auto"/>
                <w:kern w:val="0"/>
                <w:sz w:val="22"/>
                <w:szCs w:val="22"/>
                <w:highlight w:val="none"/>
                <w:u w:val="none"/>
                <w:lang w:val="en-US" w:eastAsia="zh-CN" w:bidi="ar"/>
              </w:rPr>
              <w:t>试卷包的pdf文件夹和html文件夹里按照不同的教学班分类整理。</w:t>
            </w:r>
          </w:p>
          <w:p w14:paraId="46B2F5B6">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其他要求：</w:t>
            </w:r>
          </w:p>
          <w:p w14:paraId="7BB95237">
            <w:pPr>
              <w:pStyle w:val="23"/>
              <w:ind w:left="0" w:leftChars="0" w:firstLine="0" w:firstLineChars="0"/>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供应商为本软件产品提供不低于 3 年的免费版本升级及售后服务。服务期内，供应商将无偿向</w:t>
            </w:r>
            <w:r>
              <w:rPr>
                <w:rFonts w:hint="eastAsia" w:ascii="宋体" w:hAnsi="宋体" w:cs="宋体"/>
                <w:i w:val="0"/>
                <w:iCs w:val="0"/>
                <w:color w:val="auto"/>
                <w:kern w:val="0"/>
                <w:sz w:val="22"/>
                <w:szCs w:val="22"/>
                <w:highlight w:val="none"/>
                <w:u w:val="none"/>
                <w:lang w:val="en-US" w:eastAsia="zh-CN" w:bidi="ar"/>
              </w:rPr>
              <w:t>采购人</w:t>
            </w:r>
            <w:r>
              <w:rPr>
                <w:rFonts w:hint="eastAsia" w:ascii="宋体" w:hAnsi="宋体" w:eastAsia="宋体" w:cs="宋体"/>
                <w:i w:val="0"/>
                <w:iCs w:val="0"/>
                <w:color w:val="auto"/>
                <w:kern w:val="0"/>
                <w:sz w:val="22"/>
                <w:szCs w:val="22"/>
                <w:highlight w:val="none"/>
                <w:u w:val="none"/>
                <w:lang w:val="en-US" w:eastAsia="zh-CN" w:bidi="ar"/>
              </w:rPr>
              <w:t>提供软件版本迭代更新、功能优化、安全补丁修复、系统兼容性升级等相关技术服务，确保软件稳定、高效运行。免费升级服务期限届满后，</w:t>
            </w:r>
            <w:r>
              <w:rPr>
                <w:rFonts w:hint="eastAsia" w:ascii="宋体" w:hAnsi="宋体" w:cs="宋体"/>
                <w:i w:val="0"/>
                <w:iCs w:val="0"/>
                <w:color w:val="auto"/>
                <w:kern w:val="0"/>
                <w:sz w:val="22"/>
                <w:szCs w:val="22"/>
                <w:highlight w:val="none"/>
                <w:u w:val="none"/>
                <w:lang w:val="en-US" w:eastAsia="zh-CN" w:bidi="ar"/>
              </w:rPr>
              <w:t>采购人</w:t>
            </w:r>
            <w:r>
              <w:rPr>
                <w:rFonts w:hint="eastAsia" w:ascii="宋体" w:hAnsi="宋体" w:eastAsia="宋体" w:cs="宋体"/>
                <w:i w:val="0"/>
                <w:iCs w:val="0"/>
                <w:color w:val="auto"/>
                <w:kern w:val="0"/>
                <w:sz w:val="22"/>
                <w:szCs w:val="22"/>
                <w:highlight w:val="none"/>
                <w:u w:val="none"/>
                <w:lang w:val="en-US" w:eastAsia="zh-CN" w:bidi="ar"/>
              </w:rPr>
              <w:t>仍可继续使用已交付并授权的软件版本，原有全部正常功能不受任何影响，软件可继续正常运行使用，供应商不得限制、中断或终止</w:t>
            </w:r>
            <w:r>
              <w:rPr>
                <w:rFonts w:hint="eastAsia" w:ascii="宋体" w:hAnsi="宋体" w:cs="宋体"/>
                <w:i w:val="0"/>
                <w:iCs w:val="0"/>
                <w:color w:val="auto"/>
                <w:kern w:val="0"/>
                <w:sz w:val="22"/>
                <w:szCs w:val="22"/>
                <w:highlight w:val="none"/>
                <w:u w:val="none"/>
                <w:lang w:val="en-US" w:eastAsia="zh-CN" w:bidi="ar"/>
              </w:rPr>
              <w:t>采购人</w:t>
            </w:r>
            <w:r>
              <w:rPr>
                <w:rFonts w:hint="eastAsia" w:ascii="宋体" w:hAnsi="宋体" w:eastAsia="宋体" w:cs="宋体"/>
                <w:i w:val="0"/>
                <w:iCs w:val="0"/>
                <w:color w:val="auto"/>
                <w:kern w:val="0"/>
                <w:sz w:val="22"/>
                <w:szCs w:val="22"/>
                <w:highlight w:val="none"/>
                <w:u w:val="none"/>
                <w:lang w:val="en-US" w:eastAsia="zh-CN" w:bidi="ar"/>
              </w:rPr>
              <w:t xml:space="preserve">对已授权软件的合法使用权利。 </w:t>
            </w:r>
          </w:p>
        </w:tc>
        <w:tc>
          <w:tcPr>
            <w:tcW w:w="480" w:type="dxa"/>
            <w:tcBorders>
              <w:top w:val="single" w:color="000000" w:sz="4" w:space="0"/>
              <w:left w:val="single" w:color="000000" w:sz="4" w:space="0"/>
              <w:bottom w:val="single" w:color="000000" w:sz="4" w:space="0"/>
              <w:right w:val="single" w:color="000000" w:sz="4" w:space="0"/>
            </w:tcBorders>
            <w:noWrap/>
            <w:vAlign w:val="center"/>
          </w:tcPr>
          <w:p w14:paraId="0D1DAE2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492" w:type="dxa"/>
            <w:tcBorders>
              <w:top w:val="single" w:color="000000" w:sz="4" w:space="0"/>
              <w:left w:val="single" w:color="000000" w:sz="4" w:space="0"/>
              <w:bottom w:val="single" w:color="000000" w:sz="4" w:space="0"/>
              <w:right w:val="single" w:color="000000" w:sz="4" w:space="0"/>
            </w:tcBorders>
            <w:noWrap/>
            <w:vAlign w:val="center"/>
          </w:tcPr>
          <w:p w14:paraId="3F88877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套</w:t>
            </w:r>
          </w:p>
        </w:tc>
        <w:tc>
          <w:tcPr>
            <w:tcW w:w="924" w:type="dxa"/>
            <w:tcBorders>
              <w:top w:val="single" w:color="000000" w:sz="4" w:space="0"/>
              <w:left w:val="single" w:color="000000" w:sz="4" w:space="0"/>
              <w:bottom w:val="single" w:color="000000" w:sz="4" w:space="0"/>
              <w:right w:val="single" w:color="000000" w:sz="4" w:space="0"/>
            </w:tcBorders>
            <w:noWrap/>
            <w:vAlign w:val="center"/>
          </w:tcPr>
          <w:p w14:paraId="7349F0F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default" w:ascii="宋体" w:hAnsi="宋体" w:eastAsia="宋体" w:cs="宋体"/>
                <w:i w:val="0"/>
                <w:iCs w:val="0"/>
                <w:color w:val="auto"/>
                <w:kern w:val="0"/>
                <w:sz w:val="22"/>
                <w:szCs w:val="22"/>
                <w:highlight w:val="none"/>
                <w:u w:val="none"/>
                <w:lang w:eastAsia="zh-CN" w:bidi="ar"/>
              </w:rPr>
              <w:t>69</w:t>
            </w:r>
            <w:r>
              <w:rPr>
                <w:rFonts w:hint="eastAsia" w:ascii="宋体" w:hAnsi="宋体" w:cs="宋体"/>
                <w:i w:val="0"/>
                <w:iCs w:val="0"/>
                <w:color w:val="auto"/>
                <w:kern w:val="0"/>
                <w:sz w:val="22"/>
                <w:szCs w:val="22"/>
                <w:highlight w:val="none"/>
                <w:u w:val="none"/>
                <w:lang w:val="en-US" w:eastAsia="zh-CN" w:bidi="ar"/>
              </w:rPr>
              <w:t>.</w:t>
            </w:r>
            <w:r>
              <w:rPr>
                <w:rFonts w:hint="default" w:ascii="宋体" w:hAnsi="宋体" w:eastAsia="宋体" w:cs="宋体"/>
                <w:i w:val="0"/>
                <w:iCs w:val="0"/>
                <w:color w:val="auto"/>
                <w:kern w:val="0"/>
                <w:sz w:val="22"/>
                <w:szCs w:val="22"/>
                <w:highlight w:val="none"/>
                <w:u w:val="none"/>
                <w:lang w:eastAsia="zh-CN" w:bidi="ar"/>
              </w:rPr>
              <w:t>3</w:t>
            </w:r>
          </w:p>
        </w:tc>
        <w:tc>
          <w:tcPr>
            <w:tcW w:w="984" w:type="dxa"/>
            <w:tcBorders>
              <w:top w:val="single" w:color="000000" w:sz="4" w:space="0"/>
              <w:left w:val="single" w:color="000000" w:sz="4" w:space="0"/>
              <w:bottom w:val="single" w:color="000000" w:sz="4" w:space="0"/>
              <w:right w:val="single" w:color="000000" w:sz="4" w:space="0"/>
            </w:tcBorders>
            <w:noWrap/>
            <w:vAlign w:val="center"/>
          </w:tcPr>
          <w:p w14:paraId="1228AC42">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rPr>
            </w:pPr>
            <w:r>
              <w:rPr>
                <w:rFonts w:hint="default" w:ascii="宋体" w:hAnsi="宋体" w:eastAsia="宋体" w:cs="宋体"/>
                <w:i w:val="0"/>
                <w:iCs w:val="0"/>
                <w:color w:val="auto"/>
                <w:sz w:val="22"/>
                <w:szCs w:val="22"/>
                <w:highlight w:val="none"/>
                <w:u w:val="none"/>
              </w:rPr>
              <w:t>69.3</w:t>
            </w:r>
          </w:p>
        </w:tc>
        <w:tc>
          <w:tcPr>
            <w:tcW w:w="372" w:type="dxa"/>
            <w:tcBorders>
              <w:top w:val="single" w:color="000000" w:sz="4" w:space="0"/>
              <w:left w:val="single" w:color="000000" w:sz="4" w:space="0"/>
              <w:bottom w:val="single" w:color="000000" w:sz="4" w:space="0"/>
              <w:right w:val="single" w:color="000000" w:sz="4" w:space="0"/>
            </w:tcBorders>
            <w:noWrap/>
            <w:vAlign w:val="center"/>
          </w:tcPr>
          <w:p w14:paraId="78CDCD5F">
            <w:pPr>
              <w:jc w:val="center"/>
              <w:rPr>
                <w:rFonts w:hint="eastAsia" w:ascii="宋体" w:hAnsi="宋体" w:eastAsia="宋体" w:cs="宋体"/>
                <w:i w:val="0"/>
                <w:iCs w:val="0"/>
                <w:color w:val="auto"/>
                <w:sz w:val="22"/>
                <w:szCs w:val="22"/>
                <w:highlight w:val="none"/>
                <w:u w:val="none"/>
              </w:rPr>
            </w:pPr>
          </w:p>
        </w:tc>
      </w:tr>
      <w:tr w14:paraId="084B9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92" w:type="dxa"/>
            <w:tcBorders>
              <w:top w:val="single" w:color="000000" w:sz="4" w:space="0"/>
              <w:left w:val="single" w:color="000000" w:sz="4" w:space="0"/>
              <w:bottom w:val="single" w:color="000000" w:sz="4" w:space="0"/>
              <w:right w:val="single" w:color="000000" w:sz="4" w:space="0"/>
            </w:tcBorders>
            <w:noWrap/>
            <w:vAlign w:val="center"/>
          </w:tcPr>
          <w:p w14:paraId="05389DD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852" w:type="dxa"/>
            <w:tcBorders>
              <w:top w:val="single" w:color="000000" w:sz="4" w:space="0"/>
              <w:left w:val="single" w:color="000000" w:sz="4" w:space="0"/>
              <w:bottom w:val="single" w:color="000000" w:sz="4" w:space="0"/>
              <w:right w:val="single" w:color="000000" w:sz="4" w:space="0"/>
            </w:tcBorders>
            <w:noWrap w:val="0"/>
            <w:vAlign w:val="center"/>
          </w:tcPr>
          <w:p w14:paraId="03796E9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AI智能语伴</w:t>
            </w:r>
          </w:p>
        </w:tc>
        <w:tc>
          <w:tcPr>
            <w:tcW w:w="6084" w:type="dxa"/>
            <w:tcBorders>
              <w:top w:val="single" w:color="000000" w:sz="4" w:space="0"/>
              <w:left w:val="single" w:color="000000" w:sz="4" w:space="0"/>
              <w:bottom w:val="single" w:color="000000" w:sz="4" w:space="0"/>
              <w:right w:val="single" w:color="000000" w:sz="4" w:space="0"/>
            </w:tcBorders>
            <w:noWrap w:val="0"/>
            <w:vAlign w:val="center"/>
          </w:tcPr>
          <w:p w14:paraId="7B8CFE03">
            <w:pPr>
              <w:pStyle w:val="23"/>
              <w:numPr>
                <w:ilvl w:val="0"/>
                <w:numId w:val="6"/>
              </w:numPr>
              <w:ind w:left="0" w:leftChars="0" w:firstLine="0" w:firstLineChars="0"/>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基于口语训练系统，建设英语口语训练资源题库：</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题库中习题应标注难度等级和能力能级。系统与《欧框》中各类英语口语考试进行难度对标建立五个等级以上难度体系，为教师发布任务和学生自主选择学习内容，提供科学合理的难度参考体系。（</w:t>
            </w:r>
            <w:r>
              <w:rPr>
                <w:rFonts w:hint="eastAsia" w:ascii="宋体" w:hAnsi="宋体" w:cs="宋体"/>
                <w:b/>
                <w:bCs/>
                <w:color w:val="auto"/>
                <w:sz w:val="22"/>
                <w:szCs w:val="22"/>
                <w:highlight w:val="none"/>
                <w:lang w:eastAsia="zh-CN" w:bidi="ar"/>
              </w:rPr>
              <w:t>须在响应文件中提供证明材料，包括但不限于产品说明书相关功能页面及封面扫描件，或者官网相关功能页面截图（提供完整网页网址），或者产品功能截图等，提供的证明材料必须与日后提供的产品功能界面一致</w:t>
            </w:r>
            <w:r>
              <w:rPr>
                <w:rFonts w:hint="eastAsia" w:ascii="宋体" w:hAnsi="宋体" w:eastAsia="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系统应为教师和学生提供丰富的口语训练资源。包括校本英语、考试类英语、生活类英语、职业类英语、新闻类英语、演讲类英语、基础技能类英语、课程思政类英语、主观表达类英语题库，不少于1500个训练单元。</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校本英语：应支持学校自建符合自身教学内容的校本资源；与课堂教学内容紧密衔接，巩固和拓展课堂口语练习内容。教师自建习题可共享至学校题库，实现全校范围内资源共享，形成教师和高校进行口语教学的校本资源基础。</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考试类英语：应涵盖大学英语四六级、专业英语四专八、托福口语、雅思口语考试历年真题、模拟训练、题目详解、话题分类及高分答案，应具有剖析解题思路、提供答题模板、讲授答题策略。</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生活类英语：应涵盖旅游出行、海外生活、校园生活、日常交际等日常生活场景，囊括各场景英语交际所需词汇、句式及常见表达方式与策略性应对语言。</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职业类英语：应涵盖求职面试、初进公司、日常工作、电话沟通、特殊情境、工作实战、举行会议、谈判高手、业务精英、社交活动等常见职场英语口语学习内容。</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新闻类英语：应涵盖BBC新闻（经济之声、人物事件、灾难来袭、时事热点）、VOA慢速新闻（科学技术、媒体热点、文化教育）等常见新闻英语口语学习内容。新闻英语要求每周更新至少1篇。</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8</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演讲类英语：应涵盖Ted演讲视听说训练内容，包括看视频、涨词汇、学表达、一期一问等常见演讲英语学习内容模块。演讲英语要求每周更新至少一篇。</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9</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基础技能类英语：应涵盖语音训练（音标训练、纠音技巧、音标易混音示范讲解）、词汇训练（四六级笔试及口试常见词汇）和语法训练。</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10</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课程思政类英语：包括时政热点，要求每周更新至少一篇。</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11、主观表达类英语：应涵盖人际交往、休闲娱乐、衣食住行、学习和工作、</w:t>
            </w:r>
            <w:r>
              <w:rPr>
                <w:rFonts w:hint="eastAsia" w:ascii="宋体" w:hAnsi="宋体" w:cs="宋体"/>
                <w:i w:val="0"/>
                <w:iCs w:val="0"/>
                <w:color w:val="auto"/>
                <w:kern w:val="0"/>
                <w:sz w:val="22"/>
                <w:szCs w:val="22"/>
                <w:highlight w:val="none"/>
                <w:u w:val="none"/>
                <w:lang w:val="en-US" w:eastAsia="zh-CN" w:bidi="ar"/>
              </w:rPr>
              <w:t>人与自然</w:t>
            </w:r>
            <w:r>
              <w:rPr>
                <w:rFonts w:hint="eastAsia" w:ascii="宋体" w:hAnsi="宋体" w:eastAsia="宋体" w:cs="宋体"/>
                <w:i w:val="0"/>
                <w:iCs w:val="0"/>
                <w:color w:val="auto"/>
                <w:kern w:val="0"/>
                <w:sz w:val="22"/>
                <w:szCs w:val="22"/>
                <w:highlight w:val="none"/>
                <w:u w:val="none"/>
                <w:lang w:val="en-US" w:eastAsia="zh-CN" w:bidi="ar"/>
              </w:rPr>
              <w:t>、历史和人文艺术、健康与运动、科学技术、媒体和商业至少九种类型主题；题型应涵盖：看图表达、话题阐述、口头论述等，并支持智能评阅功能，满足口语主观练习需要。（</w:t>
            </w:r>
            <w:r>
              <w:rPr>
                <w:rFonts w:hint="eastAsia" w:ascii="宋体" w:hAnsi="宋体" w:cs="宋体"/>
                <w:b/>
                <w:bCs/>
                <w:color w:val="auto"/>
                <w:sz w:val="22"/>
                <w:szCs w:val="22"/>
                <w:highlight w:val="none"/>
                <w:lang w:eastAsia="zh-CN" w:bidi="ar"/>
              </w:rPr>
              <w:t>须在响应文件中提供证明材料，包括但不限于产品说明书相关功能页面及封面扫描件，或者官网相关功能页面截图（提供完整网页网址），或者产品功能截图等，提供的证明材料必须与日后提供的产品功能界面一致</w:t>
            </w:r>
            <w:r>
              <w:rPr>
                <w:rFonts w:hint="eastAsia" w:ascii="宋体" w:hAnsi="宋体" w:eastAsia="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二、基于口语训练系统，建设听力训练题库：</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应提供听力客观题，支持学生进行听力习题训练。</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应支持听力客观题练习和挑战不同训练模式。</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应支持听力选择题（单选、多选、判断）、输入型填空题、匹配题、排序题。</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应支持听力客观题自动判题。</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应支持音频文本同步播放、倍速播放、循环播放、区间播放、文本隐藏、播放定位等音频播放功能。</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应支持听音频搭配习题训练或看视频搭配习题训练。</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应支持听力训练与口语训练组合配置。</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三、基于口语训练系统，建设基于认知大模型的AI语伴人机对话模块：</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 xml:space="preserve"> 应支持学生与AI语伴进行人机对话的功能。</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1.1支持学生自定义话题，或选择内置话题，与AI语伴进行对话</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1.2应支持学生自主设置AI语伴音色、选择语速，支持开关AI语伴输出内容的转写、翻译服务等</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1.3在对话结束后，应支持学生查看对话报告，对话报告包括对话的总体情况、人机对话的详细内容，以及学生产出语句的语音得分和语法检查情况</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w:t>
            </w:r>
            <w:r>
              <w:rPr>
                <w:rFonts w:hint="eastAsia" w:ascii="宋体" w:hAnsi="宋体" w:cs="宋体"/>
                <w:b/>
                <w:bCs/>
                <w:color w:val="auto"/>
                <w:sz w:val="22"/>
                <w:szCs w:val="22"/>
                <w:highlight w:val="none"/>
                <w:lang w:eastAsia="zh-CN" w:bidi="ar"/>
              </w:rPr>
              <w:t>须在响应文件中提供证明材料，包括但不限于产品说明书相关功能页面及封面扫描件，或者官网相关功能页面截图（提供完整网页网址），或者产品功能截图等，提供的证明材料必须与日后提供的产品功能界面一致</w:t>
            </w:r>
            <w:r>
              <w:rPr>
                <w:rFonts w:hint="eastAsia" w:ascii="宋体" w:hAnsi="宋体" w:eastAsia="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应支持雅思口语模考功能。</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2.1支持学生选择内置主题，或随机生成考试主题，与AI语伴虚拟人考官进行雅思口语模拟考试。（</w:t>
            </w:r>
            <w:r>
              <w:rPr>
                <w:rFonts w:hint="eastAsia" w:ascii="宋体" w:hAnsi="宋体" w:cs="宋体"/>
                <w:b/>
                <w:bCs/>
                <w:color w:val="auto"/>
                <w:sz w:val="22"/>
                <w:szCs w:val="22"/>
                <w:highlight w:val="none"/>
                <w:lang w:eastAsia="zh-CN" w:bidi="ar"/>
              </w:rPr>
              <w:t>须在响应文件中提供证明材料，包括但不限于产品说明书相关功能页面及封面扫描件，或者官网相关功能页面截图（提供完整网页网址），或者产品功能截图等，提供的证明材料必须与日后提供的产品功能界面一致</w:t>
            </w:r>
            <w:r>
              <w:rPr>
                <w:rFonts w:hint="eastAsia" w:ascii="宋体" w:hAnsi="宋体" w:eastAsia="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2.2选择主题后，AI语伴将根据雅思口语考试流程，开启Part1 特定主题的短对话、Part2 根据答题任务卡独立个人陈述1-2分钟、Part3 话题深入探索三部分进行考试模拟。</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2.3 雅思口语模考限时15分钟，到时未完成考试，考试将自动结束。</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2.4 考试完成后，将自动生成雅思模考报告，提供AI评分，包括百分制评分及雅思得分。报告包括模考过程中人机对话的详细内容，以及学生产出语句的语音得分和语法检查情况。（</w:t>
            </w:r>
            <w:r>
              <w:rPr>
                <w:rFonts w:hint="eastAsia" w:ascii="宋体" w:hAnsi="宋体" w:cs="宋体"/>
                <w:b/>
                <w:bCs/>
                <w:color w:val="auto"/>
                <w:sz w:val="22"/>
                <w:szCs w:val="22"/>
                <w:highlight w:val="none"/>
                <w:lang w:eastAsia="zh-CN" w:bidi="ar"/>
              </w:rPr>
              <w:t>须在响应文件中提供证明材料，包括但不限于产品说明书相关功能页面及封面扫描件，或者官网相关功能页面截图（提供完整网页网址），或者产品功能截图等，提供的证明材料必须与日后提供的产品功能界面一致</w:t>
            </w:r>
            <w:r>
              <w:rPr>
                <w:rFonts w:hint="eastAsia" w:ascii="宋体" w:hAnsi="宋体" w:eastAsia="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应支持教师发布AI对话任务功能。</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3.1学生在教学任务中收到教师发的AI对话任务后，可进入任务作答。作答后可查看每个AI对话的对话报告，任务完成后可查看任务报告。</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四、基于口语训练系统，建设赛事活动功能：</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应支持学校创建口语赛事、配置赛事参赛信息、赛事题目、奖项配置等。</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应支持赛事形式选择。应支持校内单独举办大赛，自定义选择参赛的教学班等信息发布大赛；还应支持发起联赛功能，学校可筛选本省或全国范围内多个学校举办联赛。（</w:t>
            </w:r>
            <w:r>
              <w:rPr>
                <w:rFonts w:hint="eastAsia" w:ascii="宋体" w:hAnsi="宋体" w:cs="宋体"/>
                <w:b/>
                <w:bCs/>
                <w:color w:val="auto"/>
                <w:sz w:val="22"/>
                <w:szCs w:val="22"/>
                <w:highlight w:val="none"/>
                <w:lang w:eastAsia="zh-CN" w:bidi="ar"/>
              </w:rPr>
              <w:t>须在响应文件中提供证明材料，包括但不限于产品说明书相关功能页面及封面扫描件，或者官网相关功能页面截图（提供完整网页网址），或者产品功能截图等，提供的证明材料必须与日后提供的产品功能界面一致</w:t>
            </w:r>
            <w:r>
              <w:rPr>
                <w:rFonts w:hint="eastAsia" w:ascii="宋体" w:hAnsi="宋体" w:eastAsia="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应支持赛事题目类型选择。赛事题目支持学生自由选择题库习题模式或学校指定统一任务答题模式。</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应支持赛事期间学生通过手机端实时查看最新的大赛信息、参与挑战、获得实时排行、获奖情况、查看历史赛事记录。</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应支持赛事期间教师通过手机端实时查看学生口语比赛成绩、学生作答详情、回听学生比赛音频。</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6</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应支持负责人赛事期间实时查看赛事详情、过程数据、可视化的数据走势图以及支持导出最终获奖名单和详细数据。</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7</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应支持赛事结束后人工复评打分。比赛最终以综合总分由高到</w:t>
            </w:r>
            <w:r>
              <w:rPr>
                <w:rFonts w:hint="eastAsia" w:ascii="宋体" w:hAnsi="宋体" w:cs="宋体"/>
                <w:i w:val="0"/>
                <w:iCs w:val="0"/>
                <w:color w:val="auto"/>
                <w:kern w:val="0"/>
                <w:sz w:val="22"/>
                <w:szCs w:val="22"/>
                <w:highlight w:val="none"/>
                <w:u w:val="none"/>
                <w:lang w:val="en-US" w:eastAsia="zh-CN" w:bidi="ar"/>
              </w:rPr>
              <w:t>低</w:t>
            </w:r>
            <w:r>
              <w:rPr>
                <w:rFonts w:hint="eastAsia" w:ascii="宋体" w:hAnsi="宋体" w:eastAsia="宋体" w:cs="宋体"/>
                <w:i w:val="0"/>
                <w:iCs w:val="0"/>
                <w:color w:val="auto"/>
                <w:kern w:val="0"/>
                <w:sz w:val="22"/>
                <w:szCs w:val="22"/>
                <w:highlight w:val="none"/>
                <w:u w:val="none"/>
                <w:lang w:val="en-US" w:eastAsia="zh-CN" w:bidi="ar"/>
              </w:rPr>
              <w:t>排名，综合总分优先以人工评分来计算。学生分数如果有人工评分，则按照人工评分来统计成绩，若无人工评分，综合成绩以机器评分统计。</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8</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应支持赛事结束后查看和导出获奖榜单数据。</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五、等保测评</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1</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所提供的产品须已通过国家认可的具有资质的测评机构依据《信息安全技术 网络安全等级保护基本要求》（GB/T 22239 - 2019）进行的三级等保测评，并在</w:t>
            </w:r>
            <w:r>
              <w:rPr>
                <w:rFonts w:hint="eastAsia" w:ascii="宋体" w:hAnsi="宋体" w:cs="宋体"/>
                <w:i w:val="0"/>
                <w:iCs w:val="0"/>
                <w:color w:val="auto"/>
                <w:kern w:val="0"/>
                <w:sz w:val="22"/>
                <w:szCs w:val="22"/>
                <w:highlight w:val="none"/>
                <w:u w:val="none"/>
                <w:lang w:val="en-US" w:eastAsia="zh-CN" w:bidi="ar"/>
              </w:rPr>
              <w:t>响应文件中</w:t>
            </w:r>
            <w:r>
              <w:rPr>
                <w:rFonts w:hint="eastAsia" w:ascii="宋体" w:hAnsi="宋体" w:eastAsia="宋体" w:cs="宋体"/>
                <w:i w:val="0"/>
                <w:iCs w:val="0"/>
                <w:color w:val="auto"/>
                <w:kern w:val="0"/>
                <w:sz w:val="22"/>
                <w:szCs w:val="22"/>
                <w:highlight w:val="none"/>
                <w:u w:val="none"/>
                <w:lang w:val="en-US" w:eastAsia="zh-CN" w:bidi="ar"/>
              </w:rPr>
              <w:t>提供相关测评报告的清晰复印件或扫描件。</w:t>
            </w:r>
          </w:p>
          <w:p w14:paraId="5DA00DF7">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其他要求：</w:t>
            </w:r>
          </w:p>
          <w:p w14:paraId="3CEE7BF7">
            <w:pPr>
              <w:pStyle w:val="23"/>
              <w:numPr>
                <w:ilvl w:val="0"/>
                <w:numId w:val="0"/>
              </w:numPr>
              <w:ind w:leftChars="0"/>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供应商为本软件产品提供不低于 3 年的免费版本升级及售后服务。服务期内，供应商将无偿向</w:t>
            </w:r>
            <w:r>
              <w:rPr>
                <w:rFonts w:hint="eastAsia" w:ascii="宋体" w:hAnsi="宋体" w:cs="宋体"/>
                <w:i w:val="0"/>
                <w:iCs w:val="0"/>
                <w:color w:val="auto"/>
                <w:kern w:val="0"/>
                <w:sz w:val="22"/>
                <w:szCs w:val="22"/>
                <w:highlight w:val="none"/>
                <w:u w:val="none"/>
                <w:lang w:val="en-US" w:eastAsia="zh-CN" w:bidi="ar"/>
              </w:rPr>
              <w:t>采购人</w:t>
            </w:r>
            <w:r>
              <w:rPr>
                <w:rFonts w:hint="eastAsia" w:ascii="宋体" w:hAnsi="宋体" w:eastAsia="宋体" w:cs="宋体"/>
                <w:i w:val="0"/>
                <w:iCs w:val="0"/>
                <w:color w:val="auto"/>
                <w:kern w:val="0"/>
                <w:sz w:val="22"/>
                <w:szCs w:val="22"/>
                <w:highlight w:val="none"/>
                <w:u w:val="none"/>
                <w:lang w:val="en-US" w:eastAsia="zh-CN" w:bidi="ar"/>
              </w:rPr>
              <w:t>提供软件版本迭代更新、功能优化、安全补丁修复、系统兼容性升级等相关技术服务，确保软件稳定、高效运行。</w:t>
            </w:r>
          </w:p>
        </w:tc>
        <w:tc>
          <w:tcPr>
            <w:tcW w:w="480" w:type="dxa"/>
            <w:tcBorders>
              <w:top w:val="single" w:color="000000" w:sz="4" w:space="0"/>
              <w:left w:val="single" w:color="000000" w:sz="4" w:space="0"/>
              <w:bottom w:val="single" w:color="000000" w:sz="4" w:space="0"/>
              <w:right w:val="single" w:color="000000" w:sz="4" w:space="0"/>
            </w:tcBorders>
            <w:noWrap/>
            <w:vAlign w:val="center"/>
          </w:tcPr>
          <w:p w14:paraId="3520093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492" w:type="dxa"/>
            <w:tcBorders>
              <w:top w:val="single" w:color="000000" w:sz="4" w:space="0"/>
              <w:left w:val="single" w:color="000000" w:sz="4" w:space="0"/>
              <w:bottom w:val="single" w:color="000000" w:sz="4" w:space="0"/>
              <w:right w:val="single" w:color="000000" w:sz="4" w:space="0"/>
            </w:tcBorders>
            <w:noWrap/>
            <w:vAlign w:val="center"/>
          </w:tcPr>
          <w:p w14:paraId="174B389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套</w:t>
            </w:r>
          </w:p>
        </w:tc>
        <w:tc>
          <w:tcPr>
            <w:tcW w:w="924" w:type="dxa"/>
            <w:tcBorders>
              <w:top w:val="single" w:color="000000" w:sz="4" w:space="0"/>
              <w:left w:val="single" w:color="000000" w:sz="4" w:space="0"/>
              <w:bottom w:val="single" w:color="000000" w:sz="4" w:space="0"/>
              <w:right w:val="single" w:color="000000" w:sz="4" w:space="0"/>
            </w:tcBorders>
            <w:noWrap/>
            <w:vAlign w:val="center"/>
          </w:tcPr>
          <w:p w14:paraId="5F1A134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8</w:t>
            </w:r>
          </w:p>
        </w:tc>
        <w:tc>
          <w:tcPr>
            <w:tcW w:w="984" w:type="dxa"/>
            <w:tcBorders>
              <w:top w:val="single" w:color="000000" w:sz="4" w:space="0"/>
              <w:left w:val="single" w:color="000000" w:sz="4" w:space="0"/>
              <w:bottom w:val="single" w:color="000000" w:sz="4" w:space="0"/>
              <w:right w:val="single" w:color="000000" w:sz="4" w:space="0"/>
            </w:tcBorders>
            <w:noWrap/>
            <w:vAlign w:val="center"/>
          </w:tcPr>
          <w:p w14:paraId="134D152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22.8</w:t>
            </w:r>
          </w:p>
        </w:tc>
        <w:tc>
          <w:tcPr>
            <w:tcW w:w="372" w:type="dxa"/>
            <w:tcBorders>
              <w:top w:val="single" w:color="000000" w:sz="4" w:space="0"/>
              <w:left w:val="single" w:color="000000" w:sz="4" w:space="0"/>
              <w:bottom w:val="single" w:color="000000" w:sz="4" w:space="0"/>
              <w:right w:val="single" w:color="000000" w:sz="4" w:space="0"/>
            </w:tcBorders>
            <w:noWrap/>
            <w:vAlign w:val="center"/>
          </w:tcPr>
          <w:p w14:paraId="59C2ED80">
            <w:pPr>
              <w:jc w:val="center"/>
              <w:rPr>
                <w:rFonts w:hint="eastAsia" w:ascii="宋体" w:hAnsi="宋体" w:eastAsia="宋体" w:cs="宋体"/>
                <w:i w:val="0"/>
                <w:iCs w:val="0"/>
                <w:color w:val="auto"/>
                <w:sz w:val="22"/>
                <w:szCs w:val="22"/>
                <w:highlight w:val="none"/>
                <w:u w:val="none"/>
              </w:rPr>
            </w:pPr>
          </w:p>
        </w:tc>
      </w:tr>
      <w:tr w14:paraId="78931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92" w:type="dxa"/>
            <w:tcBorders>
              <w:top w:val="single" w:color="000000" w:sz="4" w:space="0"/>
              <w:left w:val="single" w:color="000000" w:sz="4" w:space="0"/>
              <w:bottom w:val="single" w:color="000000" w:sz="4" w:space="0"/>
              <w:right w:val="single" w:color="000000" w:sz="4" w:space="0"/>
            </w:tcBorders>
            <w:noWrap/>
            <w:vAlign w:val="center"/>
          </w:tcPr>
          <w:p w14:paraId="4BF467C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w:t>
            </w:r>
          </w:p>
        </w:tc>
        <w:tc>
          <w:tcPr>
            <w:tcW w:w="852" w:type="dxa"/>
            <w:tcBorders>
              <w:top w:val="single" w:color="000000" w:sz="4" w:space="0"/>
              <w:left w:val="single" w:color="000000" w:sz="4" w:space="0"/>
              <w:bottom w:val="single" w:color="000000" w:sz="4" w:space="0"/>
              <w:right w:val="single" w:color="000000" w:sz="4" w:space="0"/>
            </w:tcBorders>
            <w:noWrap w:val="0"/>
            <w:vAlign w:val="center"/>
          </w:tcPr>
          <w:p w14:paraId="4E457AD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大学英语四级题库</w:t>
            </w:r>
          </w:p>
        </w:tc>
        <w:tc>
          <w:tcPr>
            <w:tcW w:w="6084" w:type="dxa"/>
            <w:tcBorders>
              <w:top w:val="single" w:color="000000" w:sz="4" w:space="0"/>
              <w:left w:val="single" w:color="000000" w:sz="4" w:space="0"/>
              <w:bottom w:val="single" w:color="000000" w:sz="4" w:space="0"/>
              <w:right w:val="single" w:color="000000" w:sz="4" w:space="0"/>
            </w:tcBorders>
            <w:noWrap w:val="0"/>
            <w:vAlign w:val="center"/>
          </w:tcPr>
          <w:p w14:paraId="6AE7738A">
            <w:pPr>
              <w:keepNext w:val="0"/>
              <w:keepLines w:val="0"/>
              <w:widowControl/>
              <w:numPr>
                <w:ilvl w:val="-1"/>
                <w:numId w:val="0"/>
              </w:numPr>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1.</w:t>
            </w:r>
            <w:r>
              <w:rPr>
                <w:rFonts w:hint="eastAsia" w:ascii="宋体" w:hAnsi="宋体" w:eastAsia="宋体" w:cs="宋体"/>
                <w:i w:val="0"/>
                <w:iCs w:val="0"/>
                <w:color w:val="auto"/>
                <w:kern w:val="0"/>
                <w:sz w:val="22"/>
                <w:szCs w:val="22"/>
                <w:highlight w:val="none"/>
                <w:u w:val="none"/>
                <w:lang w:val="en-US" w:eastAsia="zh-CN" w:bidi="ar"/>
              </w:rPr>
              <w:t>试题数量：不少于105套试卷</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2.题库需包含整套模拟29套、真题12套、新闻专项23套、短对话专项11套、听写填空专项7套、句子翻译专项8套、完型填空7套、快速阅读8套</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3.题库需覆盖大学英语四级笔试的所有题型，包括：新闻报道、长对话、短文理解、短对话、听写填空、复合式听写、快速阅读、词汇理解、长篇阅读、仔细阅读、完型填空、半句翻译、短文翻译、写作</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4.题库需包含试题、听力音频、听力脚本、答案、解析、标签（主题、话题、体裁、功能、考点）等内容</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题库需由参与高校外语教学与评价的测评专业人士、严格参照大学英语四级考试大纲编写，在选材、难度等内容上同大学英语四级考试真题尽量保持高度一致。试题需经过专业测评编辑的审核、编校、检测的质量保障流程。</w:t>
            </w:r>
          </w:p>
          <w:p w14:paraId="2FC5B017">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其他要求：</w:t>
            </w:r>
          </w:p>
          <w:p w14:paraId="14885C59">
            <w:pPr>
              <w:pStyle w:val="23"/>
              <w:numPr>
                <w:ilvl w:val="0"/>
                <w:numId w:val="0"/>
              </w:numPr>
              <w:rPr>
                <w:rFonts w:hint="eastAsia"/>
                <w:color w:val="auto"/>
                <w:highlight w:val="none"/>
              </w:rPr>
            </w:pPr>
            <w:r>
              <w:rPr>
                <w:rFonts w:hint="eastAsia" w:ascii="宋体" w:hAnsi="宋体" w:eastAsia="宋体" w:cs="宋体"/>
                <w:i w:val="0"/>
                <w:iCs w:val="0"/>
                <w:color w:val="auto"/>
                <w:kern w:val="0"/>
                <w:sz w:val="22"/>
                <w:szCs w:val="22"/>
                <w:highlight w:val="none"/>
                <w:u w:val="none"/>
                <w:lang w:val="en-US" w:eastAsia="zh-CN" w:bidi="ar"/>
              </w:rPr>
              <w:t>供应商为本软件产品提供不低于 3 年的免费版本升级及售后服务。服务期内，供应商将无偿向</w:t>
            </w:r>
            <w:r>
              <w:rPr>
                <w:rFonts w:hint="eastAsia" w:ascii="宋体" w:hAnsi="宋体" w:cs="宋体"/>
                <w:i w:val="0"/>
                <w:iCs w:val="0"/>
                <w:color w:val="auto"/>
                <w:kern w:val="0"/>
                <w:sz w:val="22"/>
                <w:szCs w:val="22"/>
                <w:highlight w:val="none"/>
                <w:u w:val="none"/>
                <w:lang w:val="en-US" w:eastAsia="zh-CN" w:bidi="ar"/>
              </w:rPr>
              <w:t>采购人</w:t>
            </w:r>
            <w:r>
              <w:rPr>
                <w:rFonts w:hint="eastAsia" w:ascii="宋体" w:hAnsi="宋体" w:eastAsia="宋体" w:cs="宋体"/>
                <w:i w:val="0"/>
                <w:iCs w:val="0"/>
                <w:color w:val="auto"/>
                <w:kern w:val="0"/>
                <w:sz w:val="22"/>
                <w:szCs w:val="22"/>
                <w:highlight w:val="none"/>
                <w:u w:val="none"/>
                <w:lang w:val="en-US" w:eastAsia="zh-CN" w:bidi="ar"/>
              </w:rPr>
              <w:t>提供软件版本迭代更新、功能优化、安全补丁修复、系统兼容性升级等相关技术服务，确保软件稳定、高效运行。免费升级服务期限届满后，</w:t>
            </w:r>
            <w:r>
              <w:rPr>
                <w:rFonts w:hint="eastAsia" w:ascii="宋体" w:hAnsi="宋体" w:cs="宋体"/>
                <w:i w:val="0"/>
                <w:iCs w:val="0"/>
                <w:color w:val="auto"/>
                <w:kern w:val="0"/>
                <w:sz w:val="22"/>
                <w:szCs w:val="22"/>
                <w:highlight w:val="none"/>
                <w:u w:val="none"/>
                <w:lang w:val="en-US" w:eastAsia="zh-CN" w:bidi="ar"/>
              </w:rPr>
              <w:t>采购人</w:t>
            </w:r>
            <w:r>
              <w:rPr>
                <w:rFonts w:hint="eastAsia" w:ascii="宋体" w:hAnsi="宋体" w:eastAsia="宋体" w:cs="宋体"/>
                <w:i w:val="0"/>
                <w:iCs w:val="0"/>
                <w:color w:val="auto"/>
                <w:kern w:val="0"/>
                <w:sz w:val="22"/>
                <w:szCs w:val="22"/>
                <w:highlight w:val="none"/>
                <w:u w:val="none"/>
                <w:lang w:val="en-US" w:eastAsia="zh-CN" w:bidi="ar"/>
              </w:rPr>
              <w:t>仍可继续使用已交付并授权的软件版本，原有全部正常功能不受任何影响，软件可继续正常运行使用，供应商不得限制、中断或终止</w:t>
            </w:r>
            <w:r>
              <w:rPr>
                <w:rFonts w:hint="eastAsia" w:ascii="宋体" w:hAnsi="宋体" w:cs="宋体"/>
                <w:i w:val="0"/>
                <w:iCs w:val="0"/>
                <w:color w:val="auto"/>
                <w:kern w:val="0"/>
                <w:sz w:val="22"/>
                <w:szCs w:val="22"/>
                <w:highlight w:val="none"/>
                <w:u w:val="none"/>
                <w:lang w:val="en-US" w:eastAsia="zh-CN" w:bidi="ar"/>
              </w:rPr>
              <w:t>采购人</w:t>
            </w:r>
            <w:r>
              <w:rPr>
                <w:rFonts w:hint="eastAsia" w:ascii="宋体" w:hAnsi="宋体" w:eastAsia="宋体" w:cs="宋体"/>
                <w:i w:val="0"/>
                <w:iCs w:val="0"/>
                <w:color w:val="auto"/>
                <w:kern w:val="0"/>
                <w:sz w:val="22"/>
                <w:szCs w:val="22"/>
                <w:highlight w:val="none"/>
                <w:u w:val="none"/>
                <w:lang w:val="en-US" w:eastAsia="zh-CN" w:bidi="ar"/>
              </w:rPr>
              <w:t>对已授权软件的合法使用权利。</w:t>
            </w:r>
          </w:p>
        </w:tc>
        <w:tc>
          <w:tcPr>
            <w:tcW w:w="480" w:type="dxa"/>
            <w:tcBorders>
              <w:top w:val="single" w:color="000000" w:sz="4" w:space="0"/>
              <w:left w:val="single" w:color="000000" w:sz="4" w:space="0"/>
              <w:bottom w:val="single" w:color="000000" w:sz="4" w:space="0"/>
              <w:right w:val="single" w:color="000000" w:sz="4" w:space="0"/>
            </w:tcBorders>
            <w:noWrap/>
            <w:vAlign w:val="center"/>
          </w:tcPr>
          <w:p w14:paraId="6CD1CA0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492" w:type="dxa"/>
            <w:tcBorders>
              <w:top w:val="single" w:color="000000" w:sz="4" w:space="0"/>
              <w:left w:val="single" w:color="000000" w:sz="4" w:space="0"/>
              <w:bottom w:val="single" w:color="000000" w:sz="4" w:space="0"/>
              <w:right w:val="single" w:color="000000" w:sz="4" w:space="0"/>
            </w:tcBorders>
            <w:noWrap/>
            <w:vAlign w:val="center"/>
          </w:tcPr>
          <w:p w14:paraId="5958F3F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套</w:t>
            </w:r>
          </w:p>
        </w:tc>
        <w:tc>
          <w:tcPr>
            <w:tcW w:w="924" w:type="dxa"/>
            <w:tcBorders>
              <w:top w:val="single" w:color="000000" w:sz="4" w:space="0"/>
              <w:left w:val="single" w:color="000000" w:sz="4" w:space="0"/>
              <w:bottom w:val="single" w:color="000000" w:sz="4" w:space="0"/>
              <w:right w:val="single" w:color="000000" w:sz="4" w:space="0"/>
            </w:tcBorders>
            <w:noWrap/>
            <w:vAlign w:val="center"/>
          </w:tcPr>
          <w:p w14:paraId="525A365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5</w:t>
            </w:r>
          </w:p>
        </w:tc>
        <w:tc>
          <w:tcPr>
            <w:tcW w:w="984" w:type="dxa"/>
            <w:tcBorders>
              <w:top w:val="single" w:color="000000" w:sz="4" w:space="0"/>
              <w:left w:val="single" w:color="000000" w:sz="4" w:space="0"/>
              <w:bottom w:val="single" w:color="000000" w:sz="4" w:space="0"/>
              <w:right w:val="single" w:color="000000" w:sz="4" w:space="0"/>
            </w:tcBorders>
            <w:noWrap/>
            <w:vAlign w:val="center"/>
          </w:tcPr>
          <w:p w14:paraId="08AD90B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4.5</w:t>
            </w:r>
          </w:p>
        </w:tc>
        <w:tc>
          <w:tcPr>
            <w:tcW w:w="372" w:type="dxa"/>
            <w:tcBorders>
              <w:top w:val="single" w:color="000000" w:sz="4" w:space="0"/>
              <w:left w:val="single" w:color="000000" w:sz="4" w:space="0"/>
              <w:bottom w:val="single" w:color="000000" w:sz="4" w:space="0"/>
              <w:right w:val="single" w:color="000000" w:sz="4" w:space="0"/>
            </w:tcBorders>
            <w:noWrap/>
            <w:vAlign w:val="center"/>
          </w:tcPr>
          <w:p w14:paraId="253BD2B7">
            <w:pPr>
              <w:jc w:val="center"/>
              <w:rPr>
                <w:rFonts w:hint="eastAsia" w:ascii="宋体" w:hAnsi="宋体" w:eastAsia="宋体" w:cs="宋体"/>
                <w:i w:val="0"/>
                <w:iCs w:val="0"/>
                <w:color w:val="auto"/>
                <w:sz w:val="22"/>
                <w:szCs w:val="22"/>
                <w:highlight w:val="none"/>
                <w:u w:val="none"/>
              </w:rPr>
            </w:pPr>
          </w:p>
        </w:tc>
      </w:tr>
      <w:tr w14:paraId="4F2CA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92" w:type="dxa"/>
            <w:tcBorders>
              <w:top w:val="single" w:color="000000" w:sz="4" w:space="0"/>
              <w:left w:val="single" w:color="000000" w:sz="4" w:space="0"/>
              <w:bottom w:val="single" w:color="000000" w:sz="4" w:space="0"/>
              <w:right w:val="single" w:color="000000" w:sz="4" w:space="0"/>
            </w:tcBorders>
            <w:noWrap/>
            <w:vAlign w:val="center"/>
          </w:tcPr>
          <w:p w14:paraId="567CC67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w:t>
            </w:r>
          </w:p>
        </w:tc>
        <w:tc>
          <w:tcPr>
            <w:tcW w:w="852" w:type="dxa"/>
            <w:tcBorders>
              <w:top w:val="single" w:color="000000" w:sz="4" w:space="0"/>
              <w:left w:val="single" w:color="000000" w:sz="4" w:space="0"/>
              <w:bottom w:val="single" w:color="000000" w:sz="4" w:space="0"/>
              <w:right w:val="single" w:color="000000" w:sz="4" w:space="0"/>
            </w:tcBorders>
            <w:noWrap w:val="0"/>
            <w:vAlign w:val="center"/>
          </w:tcPr>
          <w:p w14:paraId="74328F7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大学英语六级题库</w:t>
            </w:r>
          </w:p>
        </w:tc>
        <w:tc>
          <w:tcPr>
            <w:tcW w:w="6084" w:type="dxa"/>
            <w:tcBorders>
              <w:top w:val="single" w:color="000000" w:sz="4" w:space="0"/>
              <w:left w:val="single" w:color="000000" w:sz="4" w:space="0"/>
              <w:bottom w:val="single" w:color="000000" w:sz="4" w:space="0"/>
              <w:right w:val="single" w:color="000000" w:sz="4" w:space="0"/>
            </w:tcBorders>
            <w:noWrap w:val="0"/>
            <w:vAlign w:val="center"/>
          </w:tcPr>
          <w:p w14:paraId="7010B85F">
            <w:pPr>
              <w:keepNext w:val="0"/>
              <w:keepLines w:val="0"/>
              <w:widowControl/>
              <w:numPr>
                <w:ilvl w:val="0"/>
                <w:numId w:val="7"/>
              </w:numPr>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试题数量：不少于50套试卷</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2.题库需包含整套模拟15套、真题13套、讲座专项5套、短对话专项3套、听写填空专项4套、句子翻译专项2套、</w:t>
            </w:r>
            <w:r>
              <w:rPr>
                <w:rFonts w:hint="eastAsia" w:ascii="宋体" w:hAnsi="宋体" w:cs="宋体"/>
                <w:i w:val="0"/>
                <w:iCs w:val="0"/>
                <w:color w:val="auto"/>
                <w:kern w:val="0"/>
                <w:sz w:val="22"/>
                <w:szCs w:val="22"/>
                <w:highlight w:val="none"/>
                <w:u w:val="none"/>
                <w:lang w:val="en-US" w:eastAsia="zh-CN" w:bidi="ar"/>
              </w:rPr>
              <w:t>完形填空</w:t>
            </w:r>
            <w:r>
              <w:rPr>
                <w:rFonts w:hint="eastAsia" w:ascii="宋体" w:hAnsi="宋体" w:eastAsia="宋体" w:cs="宋体"/>
                <w:i w:val="0"/>
                <w:iCs w:val="0"/>
                <w:color w:val="auto"/>
                <w:kern w:val="0"/>
                <w:sz w:val="22"/>
                <w:szCs w:val="22"/>
                <w:highlight w:val="none"/>
                <w:u w:val="none"/>
                <w:lang w:val="en-US" w:eastAsia="zh-CN" w:bidi="ar"/>
              </w:rPr>
              <w:t>3套、快速阅读2套、阅读（句子填空）专项3套</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3.题库需覆盖大学英语六级笔试的所有题型，包括：讲座、长对话、短文理解、短对话、听写填空、复合式听写、快速阅读、词汇理解、长篇阅读、仔细阅读、阅读简答题、完型填空、半句翻译、短文翻译、写作</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4.题库需包含试题、听力音频、听力脚本、答案、解析、标签（主题、话题、体裁、功能、考点）等内容</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题库需由参与高校外语教学与评价的测评专业人士、严格参照大学英语六级考试大纲编写，在选材、难度等内容上同大学英语六级考试真题尽量保持高度一致。试题需经过专业测评编辑的审核、编校、检测的质量保障流程。</w:t>
            </w:r>
          </w:p>
          <w:p w14:paraId="19D5FE38">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其他要求：</w:t>
            </w:r>
          </w:p>
          <w:p w14:paraId="2ED5A437">
            <w:pPr>
              <w:pStyle w:val="23"/>
              <w:numPr>
                <w:ilvl w:val="0"/>
                <w:numId w:val="0"/>
              </w:numPr>
              <w:rPr>
                <w:rFonts w:hint="eastAsia"/>
                <w:color w:val="auto"/>
                <w:highlight w:val="none"/>
              </w:rPr>
            </w:pPr>
            <w:r>
              <w:rPr>
                <w:rFonts w:hint="eastAsia" w:ascii="宋体" w:hAnsi="宋体" w:eastAsia="宋体" w:cs="宋体"/>
                <w:i w:val="0"/>
                <w:iCs w:val="0"/>
                <w:color w:val="auto"/>
                <w:kern w:val="0"/>
                <w:sz w:val="22"/>
                <w:szCs w:val="22"/>
                <w:highlight w:val="none"/>
                <w:u w:val="none"/>
                <w:lang w:val="en-US" w:eastAsia="zh-CN" w:bidi="ar"/>
              </w:rPr>
              <w:t>供应商为本软件产品提供不低于 3 年的免费版本升级及售后服务。服务期内，供应商将无偿向</w:t>
            </w:r>
            <w:r>
              <w:rPr>
                <w:rFonts w:hint="eastAsia" w:ascii="宋体" w:hAnsi="宋体" w:cs="宋体"/>
                <w:i w:val="0"/>
                <w:iCs w:val="0"/>
                <w:color w:val="auto"/>
                <w:kern w:val="0"/>
                <w:sz w:val="22"/>
                <w:szCs w:val="22"/>
                <w:highlight w:val="none"/>
                <w:u w:val="none"/>
                <w:lang w:val="en-US" w:eastAsia="zh-CN" w:bidi="ar"/>
              </w:rPr>
              <w:t>采购人</w:t>
            </w:r>
            <w:r>
              <w:rPr>
                <w:rFonts w:hint="eastAsia" w:ascii="宋体" w:hAnsi="宋体" w:eastAsia="宋体" w:cs="宋体"/>
                <w:i w:val="0"/>
                <w:iCs w:val="0"/>
                <w:color w:val="auto"/>
                <w:kern w:val="0"/>
                <w:sz w:val="22"/>
                <w:szCs w:val="22"/>
                <w:highlight w:val="none"/>
                <w:u w:val="none"/>
                <w:lang w:val="en-US" w:eastAsia="zh-CN" w:bidi="ar"/>
              </w:rPr>
              <w:t>提供软件版本迭代更新、功能优化、安全补丁修复、系统兼容性升级等相关技术服务，确保软件稳定、高效运行。免费升级服务期限届满后，</w:t>
            </w:r>
            <w:r>
              <w:rPr>
                <w:rFonts w:hint="eastAsia" w:ascii="宋体" w:hAnsi="宋体" w:cs="宋体"/>
                <w:i w:val="0"/>
                <w:iCs w:val="0"/>
                <w:color w:val="auto"/>
                <w:kern w:val="0"/>
                <w:sz w:val="22"/>
                <w:szCs w:val="22"/>
                <w:highlight w:val="none"/>
                <w:u w:val="none"/>
                <w:lang w:val="en-US" w:eastAsia="zh-CN" w:bidi="ar"/>
              </w:rPr>
              <w:t>采购人</w:t>
            </w:r>
            <w:r>
              <w:rPr>
                <w:rFonts w:hint="eastAsia" w:ascii="宋体" w:hAnsi="宋体" w:eastAsia="宋体" w:cs="宋体"/>
                <w:i w:val="0"/>
                <w:iCs w:val="0"/>
                <w:color w:val="auto"/>
                <w:kern w:val="0"/>
                <w:sz w:val="22"/>
                <w:szCs w:val="22"/>
                <w:highlight w:val="none"/>
                <w:u w:val="none"/>
                <w:lang w:val="en-US" w:eastAsia="zh-CN" w:bidi="ar"/>
              </w:rPr>
              <w:t>仍可继续使用已交付并授权的软件版本，原有全部正常功能不受任何影响，软件可继续正常运行使用，供应商不得限制、中断或终止</w:t>
            </w:r>
            <w:r>
              <w:rPr>
                <w:rFonts w:hint="eastAsia" w:ascii="宋体" w:hAnsi="宋体" w:cs="宋体"/>
                <w:i w:val="0"/>
                <w:iCs w:val="0"/>
                <w:color w:val="auto"/>
                <w:kern w:val="0"/>
                <w:sz w:val="22"/>
                <w:szCs w:val="22"/>
                <w:highlight w:val="none"/>
                <w:u w:val="none"/>
                <w:lang w:val="en-US" w:eastAsia="zh-CN" w:bidi="ar"/>
              </w:rPr>
              <w:t>采购人</w:t>
            </w:r>
            <w:r>
              <w:rPr>
                <w:rFonts w:hint="eastAsia" w:ascii="宋体" w:hAnsi="宋体" w:eastAsia="宋体" w:cs="宋体"/>
                <w:i w:val="0"/>
                <w:iCs w:val="0"/>
                <w:color w:val="auto"/>
                <w:kern w:val="0"/>
                <w:sz w:val="22"/>
                <w:szCs w:val="22"/>
                <w:highlight w:val="none"/>
                <w:u w:val="none"/>
                <w:lang w:val="en-US" w:eastAsia="zh-CN" w:bidi="ar"/>
              </w:rPr>
              <w:t>对已授权软件的合法使用权利。</w:t>
            </w:r>
          </w:p>
        </w:tc>
        <w:tc>
          <w:tcPr>
            <w:tcW w:w="480" w:type="dxa"/>
            <w:tcBorders>
              <w:top w:val="single" w:color="000000" w:sz="4" w:space="0"/>
              <w:left w:val="single" w:color="000000" w:sz="4" w:space="0"/>
              <w:bottom w:val="single" w:color="000000" w:sz="4" w:space="0"/>
              <w:right w:val="single" w:color="000000" w:sz="4" w:space="0"/>
            </w:tcBorders>
            <w:noWrap/>
            <w:vAlign w:val="center"/>
          </w:tcPr>
          <w:p w14:paraId="33C85DD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492" w:type="dxa"/>
            <w:tcBorders>
              <w:top w:val="single" w:color="000000" w:sz="4" w:space="0"/>
              <w:left w:val="single" w:color="000000" w:sz="4" w:space="0"/>
              <w:bottom w:val="single" w:color="000000" w:sz="4" w:space="0"/>
              <w:right w:val="single" w:color="000000" w:sz="4" w:space="0"/>
            </w:tcBorders>
            <w:noWrap/>
            <w:vAlign w:val="center"/>
          </w:tcPr>
          <w:p w14:paraId="390A443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套</w:t>
            </w:r>
          </w:p>
        </w:tc>
        <w:tc>
          <w:tcPr>
            <w:tcW w:w="924" w:type="dxa"/>
            <w:tcBorders>
              <w:top w:val="single" w:color="000000" w:sz="4" w:space="0"/>
              <w:left w:val="single" w:color="000000" w:sz="4" w:space="0"/>
              <w:bottom w:val="single" w:color="000000" w:sz="4" w:space="0"/>
              <w:right w:val="single" w:color="000000" w:sz="4" w:space="0"/>
            </w:tcBorders>
            <w:noWrap/>
            <w:vAlign w:val="center"/>
          </w:tcPr>
          <w:p w14:paraId="5BB1317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3</w:t>
            </w:r>
          </w:p>
        </w:tc>
        <w:tc>
          <w:tcPr>
            <w:tcW w:w="984" w:type="dxa"/>
            <w:tcBorders>
              <w:top w:val="single" w:color="000000" w:sz="4" w:space="0"/>
              <w:left w:val="single" w:color="000000" w:sz="4" w:space="0"/>
              <w:bottom w:val="single" w:color="000000" w:sz="4" w:space="0"/>
              <w:right w:val="single" w:color="000000" w:sz="4" w:space="0"/>
            </w:tcBorders>
            <w:noWrap/>
            <w:vAlign w:val="center"/>
          </w:tcPr>
          <w:p w14:paraId="3EF49A5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2.3</w:t>
            </w:r>
          </w:p>
        </w:tc>
        <w:tc>
          <w:tcPr>
            <w:tcW w:w="372" w:type="dxa"/>
            <w:tcBorders>
              <w:top w:val="single" w:color="000000" w:sz="4" w:space="0"/>
              <w:left w:val="single" w:color="000000" w:sz="4" w:space="0"/>
              <w:bottom w:val="single" w:color="000000" w:sz="4" w:space="0"/>
              <w:right w:val="single" w:color="000000" w:sz="4" w:space="0"/>
            </w:tcBorders>
            <w:noWrap/>
            <w:vAlign w:val="center"/>
          </w:tcPr>
          <w:p w14:paraId="7D079517">
            <w:pPr>
              <w:jc w:val="center"/>
              <w:rPr>
                <w:rFonts w:hint="eastAsia" w:ascii="宋体" w:hAnsi="宋体" w:eastAsia="宋体" w:cs="宋体"/>
                <w:i w:val="0"/>
                <w:iCs w:val="0"/>
                <w:color w:val="auto"/>
                <w:sz w:val="22"/>
                <w:szCs w:val="22"/>
                <w:highlight w:val="none"/>
                <w:u w:val="none"/>
              </w:rPr>
            </w:pPr>
          </w:p>
        </w:tc>
      </w:tr>
      <w:tr w14:paraId="4AB1B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92" w:type="dxa"/>
            <w:tcBorders>
              <w:top w:val="single" w:color="000000" w:sz="4" w:space="0"/>
              <w:left w:val="single" w:color="000000" w:sz="4" w:space="0"/>
              <w:bottom w:val="single" w:color="000000" w:sz="4" w:space="0"/>
              <w:right w:val="single" w:color="000000" w:sz="4" w:space="0"/>
            </w:tcBorders>
            <w:noWrap/>
            <w:vAlign w:val="center"/>
          </w:tcPr>
          <w:p w14:paraId="2E88DBC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w:t>
            </w:r>
          </w:p>
        </w:tc>
        <w:tc>
          <w:tcPr>
            <w:tcW w:w="852" w:type="dxa"/>
            <w:tcBorders>
              <w:top w:val="single" w:color="000000" w:sz="4" w:space="0"/>
              <w:left w:val="single" w:color="000000" w:sz="4" w:space="0"/>
              <w:bottom w:val="single" w:color="000000" w:sz="4" w:space="0"/>
              <w:right w:val="single" w:color="000000" w:sz="4" w:space="0"/>
            </w:tcBorders>
            <w:noWrap w:val="0"/>
            <w:vAlign w:val="center"/>
          </w:tcPr>
          <w:p w14:paraId="17F9615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英语专业四级题库</w:t>
            </w:r>
          </w:p>
        </w:tc>
        <w:tc>
          <w:tcPr>
            <w:tcW w:w="6084" w:type="dxa"/>
            <w:tcBorders>
              <w:top w:val="single" w:color="000000" w:sz="4" w:space="0"/>
              <w:left w:val="single" w:color="000000" w:sz="4" w:space="0"/>
              <w:bottom w:val="single" w:color="000000" w:sz="4" w:space="0"/>
              <w:right w:val="single" w:color="000000" w:sz="4" w:space="0"/>
            </w:tcBorders>
            <w:noWrap w:val="0"/>
            <w:vAlign w:val="center"/>
          </w:tcPr>
          <w:p w14:paraId="19BA7FBA">
            <w:pPr>
              <w:keepNext w:val="0"/>
              <w:keepLines w:val="0"/>
              <w:widowControl/>
              <w:numPr>
                <w:ilvl w:val="-1"/>
                <w:numId w:val="0"/>
              </w:numPr>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1.</w:t>
            </w:r>
            <w:r>
              <w:rPr>
                <w:rFonts w:hint="eastAsia" w:ascii="宋体" w:hAnsi="宋体" w:eastAsia="宋体" w:cs="宋体"/>
                <w:i w:val="0"/>
                <w:iCs w:val="0"/>
                <w:color w:val="auto"/>
                <w:kern w:val="0"/>
                <w:sz w:val="22"/>
                <w:szCs w:val="22"/>
                <w:highlight w:val="none"/>
                <w:u w:val="none"/>
                <w:lang w:val="en-US" w:eastAsia="zh-CN" w:bidi="ar"/>
              </w:rPr>
              <w:t>试题数量：不少于50套试卷</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2.题库需包含英语专业四级考试真题、模拟题，模拟题全部为2016年改革后的新题型</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3.题库需覆盖英语专业四级考试的所有题型，包括：段落听写、新闻报道、听力对话、短文理解、讲座_填空、语法及词汇、完型填空（MCQ）、完型填空（15选10）、仔细阅读（选择+填空）、阅读理解、便条、写作</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4.题库需包含试题、听力音频、听力脚本、答案、解析、标签（主题、话题）等内容</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题库需由多年参与英语专业教学和测试工作的测评专业人士、严格参照英语专业四级考试大纲编写，在选材、难度等内容上同英语专业四级考试真题尽量保持高度一致。试题需经过专业测评编辑的审核、编校、检测的质量保障流程。</w:t>
            </w:r>
          </w:p>
          <w:p w14:paraId="004214A6">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其他要求：</w:t>
            </w:r>
          </w:p>
          <w:p w14:paraId="5DC72C31">
            <w:pPr>
              <w:pStyle w:val="23"/>
              <w:numPr>
                <w:ilvl w:val="0"/>
                <w:numId w:val="0"/>
              </w:numPr>
              <w:rPr>
                <w:rFonts w:hint="eastAsia"/>
                <w:color w:val="auto"/>
                <w:highlight w:val="none"/>
              </w:rPr>
            </w:pPr>
            <w:r>
              <w:rPr>
                <w:rFonts w:hint="eastAsia" w:ascii="宋体" w:hAnsi="宋体" w:eastAsia="宋体" w:cs="宋体"/>
                <w:i w:val="0"/>
                <w:iCs w:val="0"/>
                <w:color w:val="auto"/>
                <w:kern w:val="0"/>
                <w:sz w:val="22"/>
                <w:szCs w:val="22"/>
                <w:highlight w:val="none"/>
                <w:u w:val="none"/>
                <w:lang w:val="en-US" w:eastAsia="zh-CN" w:bidi="ar"/>
              </w:rPr>
              <w:t>供应商为本软件产品提供不低于 3 年的免费版本升级及售后服务。服务期内，供应商将无偿向</w:t>
            </w:r>
            <w:r>
              <w:rPr>
                <w:rFonts w:hint="eastAsia" w:ascii="宋体" w:hAnsi="宋体" w:cs="宋体"/>
                <w:i w:val="0"/>
                <w:iCs w:val="0"/>
                <w:color w:val="auto"/>
                <w:kern w:val="0"/>
                <w:sz w:val="22"/>
                <w:szCs w:val="22"/>
                <w:highlight w:val="none"/>
                <w:u w:val="none"/>
                <w:lang w:val="en-US" w:eastAsia="zh-CN" w:bidi="ar"/>
              </w:rPr>
              <w:t>采购人</w:t>
            </w:r>
            <w:r>
              <w:rPr>
                <w:rFonts w:hint="eastAsia" w:ascii="宋体" w:hAnsi="宋体" w:eastAsia="宋体" w:cs="宋体"/>
                <w:i w:val="0"/>
                <w:iCs w:val="0"/>
                <w:color w:val="auto"/>
                <w:kern w:val="0"/>
                <w:sz w:val="22"/>
                <w:szCs w:val="22"/>
                <w:highlight w:val="none"/>
                <w:u w:val="none"/>
                <w:lang w:val="en-US" w:eastAsia="zh-CN" w:bidi="ar"/>
              </w:rPr>
              <w:t>提供软件版本迭代更新、功能优化、安全补丁修复、系统兼容性升级等相关技术服务，确保软件稳定、高效运行。免费升级服务期限届满后，</w:t>
            </w:r>
            <w:r>
              <w:rPr>
                <w:rFonts w:hint="eastAsia" w:ascii="宋体" w:hAnsi="宋体" w:cs="宋体"/>
                <w:i w:val="0"/>
                <w:iCs w:val="0"/>
                <w:color w:val="auto"/>
                <w:kern w:val="0"/>
                <w:sz w:val="22"/>
                <w:szCs w:val="22"/>
                <w:highlight w:val="none"/>
                <w:u w:val="none"/>
                <w:lang w:val="en-US" w:eastAsia="zh-CN" w:bidi="ar"/>
              </w:rPr>
              <w:t>采购人</w:t>
            </w:r>
            <w:r>
              <w:rPr>
                <w:rFonts w:hint="eastAsia" w:ascii="宋体" w:hAnsi="宋体" w:eastAsia="宋体" w:cs="宋体"/>
                <w:i w:val="0"/>
                <w:iCs w:val="0"/>
                <w:color w:val="auto"/>
                <w:kern w:val="0"/>
                <w:sz w:val="22"/>
                <w:szCs w:val="22"/>
                <w:highlight w:val="none"/>
                <w:u w:val="none"/>
                <w:lang w:val="en-US" w:eastAsia="zh-CN" w:bidi="ar"/>
              </w:rPr>
              <w:t>仍可继续使用已交付并授权的软件版本，原有全部正常功能不受任何影响，软件可继续正常运行使用，供应商不得限制、中断或终止</w:t>
            </w:r>
            <w:r>
              <w:rPr>
                <w:rFonts w:hint="eastAsia" w:ascii="宋体" w:hAnsi="宋体" w:cs="宋体"/>
                <w:i w:val="0"/>
                <w:iCs w:val="0"/>
                <w:color w:val="auto"/>
                <w:kern w:val="0"/>
                <w:sz w:val="22"/>
                <w:szCs w:val="22"/>
                <w:highlight w:val="none"/>
                <w:u w:val="none"/>
                <w:lang w:val="en-US" w:eastAsia="zh-CN" w:bidi="ar"/>
              </w:rPr>
              <w:t>采购人</w:t>
            </w:r>
            <w:r>
              <w:rPr>
                <w:rFonts w:hint="eastAsia" w:ascii="宋体" w:hAnsi="宋体" w:eastAsia="宋体" w:cs="宋体"/>
                <w:i w:val="0"/>
                <w:iCs w:val="0"/>
                <w:color w:val="auto"/>
                <w:kern w:val="0"/>
                <w:sz w:val="22"/>
                <w:szCs w:val="22"/>
                <w:highlight w:val="none"/>
                <w:u w:val="none"/>
                <w:lang w:val="en-US" w:eastAsia="zh-CN" w:bidi="ar"/>
              </w:rPr>
              <w:t>对已授权软件的合法使用权利。</w:t>
            </w:r>
          </w:p>
        </w:tc>
        <w:tc>
          <w:tcPr>
            <w:tcW w:w="480" w:type="dxa"/>
            <w:tcBorders>
              <w:top w:val="single" w:color="000000" w:sz="4" w:space="0"/>
              <w:left w:val="single" w:color="000000" w:sz="4" w:space="0"/>
              <w:bottom w:val="single" w:color="000000" w:sz="4" w:space="0"/>
              <w:right w:val="single" w:color="000000" w:sz="4" w:space="0"/>
            </w:tcBorders>
            <w:noWrap/>
            <w:vAlign w:val="center"/>
          </w:tcPr>
          <w:p w14:paraId="0181444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492" w:type="dxa"/>
            <w:tcBorders>
              <w:top w:val="single" w:color="000000" w:sz="4" w:space="0"/>
              <w:left w:val="single" w:color="000000" w:sz="4" w:space="0"/>
              <w:bottom w:val="single" w:color="000000" w:sz="4" w:space="0"/>
              <w:right w:val="single" w:color="000000" w:sz="4" w:space="0"/>
            </w:tcBorders>
            <w:noWrap/>
            <w:vAlign w:val="center"/>
          </w:tcPr>
          <w:p w14:paraId="0C98F40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套</w:t>
            </w:r>
          </w:p>
        </w:tc>
        <w:tc>
          <w:tcPr>
            <w:tcW w:w="924" w:type="dxa"/>
            <w:tcBorders>
              <w:top w:val="single" w:color="000000" w:sz="4" w:space="0"/>
              <w:left w:val="single" w:color="000000" w:sz="4" w:space="0"/>
              <w:bottom w:val="single" w:color="000000" w:sz="4" w:space="0"/>
              <w:right w:val="single" w:color="000000" w:sz="4" w:space="0"/>
            </w:tcBorders>
            <w:noWrap/>
            <w:vAlign w:val="center"/>
          </w:tcPr>
          <w:p w14:paraId="4515700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3</w:t>
            </w:r>
          </w:p>
        </w:tc>
        <w:tc>
          <w:tcPr>
            <w:tcW w:w="984" w:type="dxa"/>
            <w:tcBorders>
              <w:top w:val="single" w:color="000000" w:sz="4" w:space="0"/>
              <w:left w:val="single" w:color="000000" w:sz="4" w:space="0"/>
              <w:bottom w:val="single" w:color="000000" w:sz="4" w:space="0"/>
              <w:right w:val="single" w:color="000000" w:sz="4" w:space="0"/>
            </w:tcBorders>
            <w:noWrap/>
            <w:vAlign w:val="center"/>
          </w:tcPr>
          <w:p w14:paraId="39CA328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2.3</w:t>
            </w:r>
          </w:p>
        </w:tc>
        <w:tc>
          <w:tcPr>
            <w:tcW w:w="372" w:type="dxa"/>
            <w:tcBorders>
              <w:top w:val="single" w:color="000000" w:sz="4" w:space="0"/>
              <w:left w:val="single" w:color="000000" w:sz="4" w:space="0"/>
              <w:bottom w:val="single" w:color="000000" w:sz="4" w:space="0"/>
              <w:right w:val="single" w:color="000000" w:sz="4" w:space="0"/>
            </w:tcBorders>
            <w:noWrap/>
            <w:vAlign w:val="center"/>
          </w:tcPr>
          <w:p w14:paraId="7F0F8BFA">
            <w:pPr>
              <w:jc w:val="center"/>
              <w:rPr>
                <w:rFonts w:hint="eastAsia" w:ascii="宋体" w:hAnsi="宋体" w:eastAsia="宋体" w:cs="宋体"/>
                <w:i w:val="0"/>
                <w:iCs w:val="0"/>
                <w:color w:val="auto"/>
                <w:sz w:val="22"/>
                <w:szCs w:val="22"/>
                <w:highlight w:val="none"/>
                <w:u w:val="none"/>
              </w:rPr>
            </w:pPr>
          </w:p>
        </w:tc>
      </w:tr>
      <w:tr w14:paraId="5C401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92" w:type="dxa"/>
            <w:tcBorders>
              <w:top w:val="single" w:color="000000" w:sz="4" w:space="0"/>
              <w:left w:val="single" w:color="000000" w:sz="4" w:space="0"/>
              <w:bottom w:val="single" w:color="000000" w:sz="4" w:space="0"/>
              <w:right w:val="single" w:color="000000" w:sz="4" w:space="0"/>
            </w:tcBorders>
            <w:noWrap/>
            <w:vAlign w:val="center"/>
          </w:tcPr>
          <w:p w14:paraId="49BC624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w:t>
            </w:r>
          </w:p>
        </w:tc>
        <w:tc>
          <w:tcPr>
            <w:tcW w:w="852" w:type="dxa"/>
            <w:tcBorders>
              <w:top w:val="single" w:color="000000" w:sz="4" w:space="0"/>
              <w:left w:val="single" w:color="000000" w:sz="4" w:space="0"/>
              <w:bottom w:val="single" w:color="000000" w:sz="4" w:space="0"/>
              <w:right w:val="single" w:color="000000" w:sz="4" w:space="0"/>
            </w:tcBorders>
            <w:noWrap w:val="0"/>
            <w:vAlign w:val="center"/>
          </w:tcPr>
          <w:p w14:paraId="387BCDE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英语专业八级题库</w:t>
            </w:r>
          </w:p>
        </w:tc>
        <w:tc>
          <w:tcPr>
            <w:tcW w:w="6084" w:type="dxa"/>
            <w:tcBorders>
              <w:top w:val="single" w:color="000000" w:sz="4" w:space="0"/>
              <w:left w:val="single" w:color="000000" w:sz="4" w:space="0"/>
              <w:bottom w:val="single" w:color="000000" w:sz="4" w:space="0"/>
              <w:right w:val="single" w:color="000000" w:sz="4" w:space="0"/>
            </w:tcBorders>
            <w:noWrap w:val="0"/>
            <w:vAlign w:val="center"/>
          </w:tcPr>
          <w:p w14:paraId="5FC2076B">
            <w:pPr>
              <w:keepNext w:val="0"/>
              <w:keepLines w:val="0"/>
              <w:widowControl/>
              <w:numPr>
                <w:ilvl w:val="-1"/>
                <w:numId w:val="0"/>
              </w:numPr>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1.</w:t>
            </w:r>
            <w:r>
              <w:rPr>
                <w:rFonts w:hint="eastAsia" w:ascii="宋体" w:hAnsi="宋体" w:eastAsia="宋体" w:cs="宋体"/>
                <w:i w:val="0"/>
                <w:iCs w:val="0"/>
                <w:color w:val="auto"/>
                <w:kern w:val="0"/>
                <w:sz w:val="22"/>
                <w:szCs w:val="22"/>
                <w:highlight w:val="none"/>
                <w:u w:val="none"/>
                <w:lang w:val="en-US" w:eastAsia="zh-CN" w:bidi="ar"/>
              </w:rPr>
              <w:t>试题数量：不少于50套试卷</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2.题库需包含英语专业八级考试真题、模拟题，模拟题全部为2016年改革后的新题型</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3.题库需覆盖英语专业八级考试的所有题型，包括：新闻报道、讲座、会话及采访、人文知识、阅读理解、仔细阅读（选择+填空）、改错、汉译英_段落、英译汉_段落、写作。</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4.题库需包含试题、听力音频、听力脚本、答案、解析、标签（主题、话题）等内容。</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题库需由多年参与英语专业教学和测试工作的测评专业人士、严格参照英语专业八级考试大纲编写，在选材、难度等内容上同英语专业八级考试真题尽量保持高度一致。试题需经过专业测评编辑的审核、编校、检测的质量保障流程。</w:t>
            </w:r>
          </w:p>
          <w:p w14:paraId="4B672CCF">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其他要求：</w:t>
            </w:r>
          </w:p>
          <w:p w14:paraId="2F75EC23">
            <w:pPr>
              <w:pStyle w:val="23"/>
              <w:numPr>
                <w:ilvl w:val="0"/>
                <w:numId w:val="0"/>
              </w:numPr>
              <w:rPr>
                <w:rFonts w:hint="eastAsia"/>
                <w:color w:val="auto"/>
                <w:highlight w:val="none"/>
              </w:rPr>
            </w:pPr>
            <w:r>
              <w:rPr>
                <w:rFonts w:hint="eastAsia" w:ascii="宋体" w:hAnsi="宋体" w:eastAsia="宋体" w:cs="宋体"/>
                <w:i w:val="0"/>
                <w:iCs w:val="0"/>
                <w:color w:val="auto"/>
                <w:kern w:val="0"/>
                <w:sz w:val="22"/>
                <w:szCs w:val="22"/>
                <w:highlight w:val="none"/>
                <w:u w:val="none"/>
                <w:lang w:val="en-US" w:eastAsia="zh-CN" w:bidi="ar"/>
              </w:rPr>
              <w:t>供应商为本软件产品提供不低于 3 年的免费版本升级及售后服务。服务期内，供应商将无偿向</w:t>
            </w:r>
            <w:r>
              <w:rPr>
                <w:rFonts w:hint="eastAsia" w:ascii="宋体" w:hAnsi="宋体" w:cs="宋体"/>
                <w:i w:val="0"/>
                <w:iCs w:val="0"/>
                <w:color w:val="auto"/>
                <w:kern w:val="0"/>
                <w:sz w:val="22"/>
                <w:szCs w:val="22"/>
                <w:highlight w:val="none"/>
                <w:u w:val="none"/>
                <w:lang w:val="en-US" w:eastAsia="zh-CN" w:bidi="ar"/>
              </w:rPr>
              <w:t>采购人</w:t>
            </w:r>
            <w:r>
              <w:rPr>
                <w:rFonts w:hint="eastAsia" w:ascii="宋体" w:hAnsi="宋体" w:eastAsia="宋体" w:cs="宋体"/>
                <w:i w:val="0"/>
                <w:iCs w:val="0"/>
                <w:color w:val="auto"/>
                <w:kern w:val="0"/>
                <w:sz w:val="22"/>
                <w:szCs w:val="22"/>
                <w:highlight w:val="none"/>
                <w:u w:val="none"/>
                <w:lang w:val="en-US" w:eastAsia="zh-CN" w:bidi="ar"/>
              </w:rPr>
              <w:t>提供软件版本迭代更新、功能优化、安全补丁修复、系统兼容性升级等相关技术服务，确保软件稳定、高效运行。免费升级服务期限届满后，</w:t>
            </w:r>
            <w:r>
              <w:rPr>
                <w:rFonts w:hint="eastAsia" w:ascii="宋体" w:hAnsi="宋体" w:cs="宋体"/>
                <w:i w:val="0"/>
                <w:iCs w:val="0"/>
                <w:color w:val="auto"/>
                <w:kern w:val="0"/>
                <w:sz w:val="22"/>
                <w:szCs w:val="22"/>
                <w:highlight w:val="none"/>
                <w:u w:val="none"/>
                <w:lang w:val="en-US" w:eastAsia="zh-CN" w:bidi="ar"/>
              </w:rPr>
              <w:t>采购人</w:t>
            </w:r>
            <w:r>
              <w:rPr>
                <w:rFonts w:hint="eastAsia" w:ascii="宋体" w:hAnsi="宋体" w:eastAsia="宋体" w:cs="宋体"/>
                <w:i w:val="0"/>
                <w:iCs w:val="0"/>
                <w:color w:val="auto"/>
                <w:kern w:val="0"/>
                <w:sz w:val="22"/>
                <w:szCs w:val="22"/>
                <w:highlight w:val="none"/>
                <w:u w:val="none"/>
                <w:lang w:val="en-US" w:eastAsia="zh-CN" w:bidi="ar"/>
              </w:rPr>
              <w:t>仍可继续使用已交付并授权的软件版本，原有全部正常功能不受任何影响，软件可继续正常运行使用，供应商不得限制、中断或终止</w:t>
            </w:r>
            <w:r>
              <w:rPr>
                <w:rFonts w:hint="eastAsia" w:ascii="宋体" w:hAnsi="宋体" w:cs="宋体"/>
                <w:i w:val="0"/>
                <w:iCs w:val="0"/>
                <w:color w:val="auto"/>
                <w:kern w:val="0"/>
                <w:sz w:val="22"/>
                <w:szCs w:val="22"/>
                <w:highlight w:val="none"/>
                <w:u w:val="none"/>
                <w:lang w:val="en-US" w:eastAsia="zh-CN" w:bidi="ar"/>
              </w:rPr>
              <w:t>采购人</w:t>
            </w:r>
            <w:r>
              <w:rPr>
                <w:rFonts w:hint="eastAsia" w:ascii="宋体" w:hAnsi="宋体" w:eastAsia="宋体" w:cs="宋体"/>
                <w:i w:val="0"/>
                <w:iCs w:val="0"/>
                <w:color w:val="auto"/>
                <w:kern w:val="0"/>
                <w:sz w:val="22"/>
                <w:szCs w:val="22"/>
                <w:highlight w:val="none"/>
                <w:u w:val="none"/>
                <w:lang w:val="en-US" w:eastAsia="zh-CN" w:bidi="ar"/>
              </w:rPr>
              <w:t>对已授权软件的合法使用权利。</w:t>
            </w:r>
          </w:p>
        </w:tc>
        <w:tc>
          <w:tcPr>
            <w:tcW w:w="480" w:type="dxa"/>
            <w:tcBorders>
              <w:top w:val="single" w:color="000000" w:sz="4" w:space="0"/>
              <w:left w:val="single" w:color="000000" w:sz="4" w:space="0"/>
              <w:bottom w:val="single" w:color="000000" w:sz="4" w:space="0"/>
              <w:right w:val="single" w:color="000000" w:sz="4" w:space="0"/>
            </w:tcBorders>
            <w:noWrap/>
            <w:vAlign w:val="center"/>
          </w:tcPr>
          <w:p w14:paraId="05500FA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492" w:type="dxa"/>
            <w:tcBorders>
              <w:top w:val="single" w:color="000000" w:sz="4" w:space="0"/>
              <w:left w:val="single" w:color="000000" w:sz="4" w:space="0"/>
              <w:bottom w:val="single" w:color="000000" w:sz="4" w:space="0"/>
              <w:right w:val="single" w:color="000000" w:sz="4" w:space="0"/>
            </w:tcBorders>
            <w:noWrap/>
            <w:vAlign w:val="center"/>
          </w:tcPr>
          <w:p w14:paraId="6733ECF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套</w:t>
            </w:r>
          </w:p>
        </w:tc>
        <w:tc>
          <w:tcPr>
            <w:tcW w:w="924" w:type="dxa"/>
            <w:tcBorders>
              <w:top w:val="single" w:color="000000" w:sz="4" w:space="0"/>
              <w:left w:val="single" w:color="000000" w:sz="4" w:space="0"/>
              <w:bottom w:val="single" w:color="000000" w:sz="4" w:space="0"/>
              <w:right w:val="single" w:color="000000" w:sz="4" w:space="0"/>
            </w:tcBorders>
            <w:noWrap/>
            <w:vAlign w:val="center"/>
          </w:tcPr>
          <w:p w14:paraId="41F8144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3</w:t>
            </w:r>
          </w:p>
        </w:tc>
        <w:tc>
          <w:tcPr>
            <w:tcW w:w="984" w:type="dxa"/>
            <w:tcBorders>
              <w:top w:val="single" w:color="000000" w:sz="4" w:space="0"/>
              <w:left w:val="single" w:color="000000" w:sz="4" w:space="0"/>
              <w:bottom w:val="single" w:color="000000" w:sz="4" w:space="0"/>
              <w:right w:val="single" w:color="000000" w:sz="4" w:space="0"/>
            </w:tcBorders>
            <w:noWrap/>
            <w:vAlign w:val="center"/>
          </w:tcPr>
          <w:p w14:paraId="208570A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2.3</w:t>
            </w:r>
          </w:p>
        </w:tc>
        <w:tc>
          <w:tcPr>
            <w:tcW w:w="372" w:type="dxa"/>
            <w:tcBorders>
              <w:top w:val="single" w:color="000000" w:sz="4" w:space="0"/>
              <w:left w:val="single" w:color="000000" w:sz="4" w:space="0"/>
              <w:bottom w:val="single" w:color="000000" w:sz="4" w:space="0"/>
              <w:right w:val="single" w:color="000000" w:sz="4" w:space="0"/>
            </w:tcBorders>
            <w:noWrap/>
            <w:vAlign w:val="center"/>
          </w:tcPr>
          <w:p w14:paraId="07538153">
            <w:pPr>
              <w:jc w:val="center"/>
              <w:rPr>
                <w:rFonts w:hint="eastAsia" w:ascii="宋体" w:hAnsi="宋体" w:eastAsia="宋体" w:cs="宋体"/>
                <w:i w:val="0"/>
                <w:iCs w:val="0"/>
                <w:color w:val="auto"/>
                <w:sz w:val="22"/>
                <w:szCs w:val="22"/>
                <w:highlight w:val="none"/>
                <w:u w:val="none"/>
              </w:rPr>
            </w:pPr>
          </w:p>
        </w:tc>
      </w:tr>
      <w:tr w14:paraId="4D4A7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92" w:type="dxa"/>
            <w:tcBorders>
              <w:top w:val="single" w:color="000000" w:sz="4" w:space="0"/>
              <w:left w:val="single" w:color="000000" w:sz="4" w:space="0"/>
              <w:bottom w:val="single" w:color="000000" w:sz="4" w:space="0"/>
              <w:right w:val="single" w:color="000000" w:sz="4" w:space="0"/>
            </w:tcBorders>
            <w:noWrap/>
            <w:vAlign w:val="center"/>
          </w:tcPr>
          <w:p w14:paraId="18D2850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852" w:type="dxa"/>
            <w:tcBorders>
              <w:top w:val="single" w:color="000000" w:sz="4" w:space="0"/>
              <w:left w:val="single" w:color="000000" w:sz="4" w:space="0"/>
              <w:bottom w:val="single" w:color="000000" w:sz="4" w:space="0"/>
              <w:right w:val="single" w:color="000000" w:sz="4" w:space="0"/>
            </w:tcBorders>
            <w:noWrap w:val="0"/>
            <w:vAlign w:val="center"/>
          </w:tcPr>
          <w:p w14:paraId="7B7199C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广西专升本英语题库</w:t>
            </w:r>
          </w:p>
        </w:tc>
        <w:tc>
          <w:tcPr>
            <w:tcW w:w="6084" w:type="dxa"/>
            <w:tcBorders>
              <w:top w:val="single" w:color="000000" w:sz="4" w:space="0"/>
              <w:left w:val="single" w:color="000000" w:sz="4" w:space="0"/>
              <w:bottom w:val="single" w:color="000000" w:sz="4" w:space="0"/>
              <w:right w:val="single" w:color="000000" w:sz="4" w:space="0"/>
            </w:tcBorders>
            <w:noWrap w:val="0"/>
            <w:vAlign w:val="center"/>
          </w:tcPr>
          <w:p w14:paraId="42AE925A">
            <w:pPr>
              <w:keepNext w:val="0"/>
              <w:keepLines w:val="0"/>
              <w:widowControl/>
              <w:numPr>
                <w:ilvl w:val="-1"/>
                <w:numId w:val="0"/>
              </w:numPr>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1.</w:t>
            </w:r>
            <w:r>
              <w:rPr>
                <w:rFonts w:hint="eastAsia" w:ascii="宋体" w:hAnsi="宋体" w:eastAsia="宋体" w:cs="宋体"/>
                <w:i w:val="0"/>
                <w:iCs w:val="0"/>
                <w:color w:val="auto"/>
                <w:kern w:val="0"/>
                <w:sz w:val="22"/>
                <w:szCs w:val="22"/>
                <w:highlight w:val="none"/>
                <w:u w:val="none"/>
                <w:lang w:val="en-US" w:eastAsia="zh-CN" w:bidi="ar"/>
              </w:rPr>
              <w:t>试题数量：不少于50套试卷</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2.题库需包含广西专升本英语模拟试卷和真题</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3.题库需覆盖广西专升本英语考试真题的所有题型，包括：词汇与结构、阅读理解、翻译、写作</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4.题库需包含试题、答案等内容</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题库需由职业英语教育领域的专家和一线教师严格参照广西专升本英语考试大纲及广西专升本英语考试历年真题精心编写，在选材、难度等内容上同广西专升本英语考试真题尽量保持高度一致。试题需经过专业测评编辑的审核、编校、检测的质量保障流程。</w:t>
            </w:r>
          </w:p>
          <w:p w14:paraId="1F04A2CC">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其他要求：</w:t>
            </w:r>
          </w:p>
          <w:p w14:paraId="48D44FCA">
            <w:pPr>
              <w:pStyle w:val="23"/>
              <w:numPr>
                <w:ilvl w:val="0"/>
                <w:numId w:val="0"/>
              </w:numPr>
              <w:rPr>
                <w:rFonts w:hint="eastAsia"/>
                <w:color w:val="auto"/>
                <w:highlight w:val="none"/>
              </w:rPr>
            </w:pPr>
            <w:r>
              <w:rPr>
                <w:rFonts w:hint="eastAsia" w:ascii="宋体" w:hAnsi="宋体" w:eastAsia="宋体" w:cs="宋体"/>
                <w:i w:val="0"/>
                <w:iCs w:val="0"/>
                <w:color w:val="auto"/>
                <w:kern w:val="0"/>
                <w:sz w:val="22"/>
                <w:szCs w:val="22"/>
                <w:highlight w:val="none"/>
                <w:u w:val="none"/>
                <w:lang w:val="en-US" w:eastAsia="zh-CN" w:bidi="ar"/>
              </w:rPr>
              <w:t>供应商为本软件产品提供不低于 3 年的免费版本升级及售后服务。服务期内，供应商将无偿向</w:t>
            </w:r>
            <w:r>
              <w:rPr>
                <w:rFonts w:hint="eastAsia" w:ascii="宋体" w:hAnsi="宋体" w:cs="宋体"/>
                <w:i w:val="0"/>
                <w:iCs w:val="0"/>
                <w:color w:val="auto"/>
                <w:kern w:val="0"/>
                <w:sz w:val="22"/>
                <w:szCs w:val="22"/>
                <w:highlight w:val="none"/>
                <w:u w:val="none"/>
                <w:lang w:val="en-US" w:eastAsia="zh-CN" w:bidi="ar"/>
              </w:rPr>
              <w:t>采购人</w:t>
            </w:r>
            <w:r>
              <w:rPr>
                <w:rFonts w:hint="eastAsia" w:ascii="宋体" w:hAnsi="宋体" w:eastAsia="宋体" w:cs="宋体"/>
                <w:i w:val="0"/>
                <w:iCs w:val="0"/>
                <w:color w:val="auto"/>
                <w:kern w:val="0"/>
                <w:sz w:val="22"/>
                <w:szCs w:val="22"/>
                <w:highlight w:val="none"/>
                <w:u w:val="none"/>
                <w:lang w:val="en-US" w:eastAsia="zh-CN" w:bidi="ar"/>
              </w:rPr>
              <w:t>提供软件版本迭代更新、功能优化、安全补丁修复、系统兼容性升级等相关技术服务，确保软件稳定、高效运行。免费升级服务期限届满后，</w:t>
            </w:r>
            <w:r>
              <w:rPr>
                <w:rFonts w:hint="eastAsia" w:ascii="宋体" w:hAnsi="宋体" w:cs="宋体"/>
                <w:i w:val="0"/>
                <w:iCs w:val="0"/>
                <w:color w:val="auto"/>
                <w:kern w:val="0"/>
                <w:sz w:val="22"/>
                <w:szCs w:val="22"/>
                <w:highlight w:val="none"/>
                <w:u w:val="none"/>
                <w:lang w:val="en-US" w:eastAsia="zh-CN" w:bidi="ar"/>
              </w:rPr>
              <w:t>采购人</w:t>
            </w:r>
            <w:r>
              <w:rPr>
                <w:rFonts w:hint="eastAsia" w:ascii="宋体" w:hAnsi="宋体" w:eastAsia="宋体" w:cs="宋体"/>
                <w:i w:val="0"/>
                <w:iCs w:val="0"/>
                <w:color w:val="auto"/>
                <w:kern w:val="0"/>
                <w:sz w:val="22"/>
                <w:szCs w:val="22"/>
                <w:highlight w:val="none"/>
                <w:u w:val="none"/>
                <w:lang w:val="en-US" w:eastAsia="zh-CN" w:bidi="ar"/>
              </w:rPr>
              <w:t>仍可继续使用已交付并授权的软件版本，原有全部正常功能不受任何影响，软件可继续正常运行使用，供应商不得限制、中断或终止</w:t>
            </w:r>
            <w:r>
              <w:rPr>
                <w:rFonts w:hint="eastAsia" w:ascii="宋体" w:hAnsi="宋体" w:cs="宋体"/>
                <w:i w:val="0"/>
                <w:iCs w:val="0"/>
                <w:color w:val="auto"/>
                <w:kern w:val="0"/>
                <w:sz w:val="22"/>
                <w:szCs w:val="22"/>
                <w:highlight w:val="none"/>
                <w:u w:val="none"/>
                <w:lang w:val="en-US" w:eastAsia="zh-CN" w:bidi="ar"/>
              </w:rPr>
              <w:t>采购人</w:t>
            </w:r>
            <w:r>
              <w:rPr>
                <w:rFonts w:hint="eastAsia" w:ascii="宋体" w:hAnsi="宋体" w:eastAsia="宋体" w:cs="宋体"/>
                <w:i w:val="0"/>
                <w:iCs w:val="0"/>
                <w:color w:val="auto"/>
                <w:kern w:val="0"/>
                <w:sz w:val="22"/>
                <w:szCs w:val="22"/>
                <w:highlight w:val="none"/>
                <w:u w:val="none"/>
                <w:lang w:val="en-US" w:eastAsia="zh-CN" w:bidi="ar"/>
              </w:rPr>
              <w:t>对已授权软件的合法使用权利。</w:t>
            </w:r>
          </w:p>
        </w:tc>
        <w:tc>
          <w:tcPr>
            <w:tcW w:w="480" w:type="dxa"/>
            <w:tcBorders>
              <w:top w:val="single" w:color="000000" w:sz="4" w:space="0"/>
              <w:left w:val="single" w:color="000000" w:sz="4" w:space="0"/>
              <w:bottom w:val="single" w:color="000000" w:sz="4" w:space="0"/>
              <w:right w:val="single" w:color="000000" w:sz="4" w:space="0"/>
            </w:tcBorders>
            <w:noWrap/>
            <w:vAlign w:val="center"/>
          </w:tcPr>
          <w:p w14:paraId="06ED128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492" w:type="dxa"/>
            <w:tcBorders>
              <w:top w:val="single" w:color="000000" w:sz="4" w:space="0"/>
              <w:left w:val="single" w:color="000000" w:sz="4" w:space="0"/>
              <w:bottom w:val="single" w:color="000000" w:sz="4" w:space="0"/>
              <w:right w:val="single" w:color="000000" w:sz="4" w:space="0"/>
            </w:tcBorders>
            <w:noWrap/>
            <w:vAlign w:val="center"/>
          </w:tcPr>
          <w:p w14:paraId="669A94F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套</w:t>
            </w:r>
          </w:p>
        </w:tc>
        <w:tc>
          <w:tcPr>
            <w:tcW w:w="924" w:type="dxa"/>
            <w:tcBorders>
              <w:top w:val="single" w:color="000000" w:sz="4" w:space="0"/>
              <w:left w:val="single" w:color="000000" w:sz="4" w:space="0"/>
              <w:bottom w:val="single" w:color="000000" w:sz="4" w:space="0"/>
              <w:right w:val="single" w:color="000000" w:sz="4" w:space="0"/>
            </w:tcBorders>
            <w:noWrap/>
            <w:vAlign w:val="center"/>
          </w:tcPr>
          <w:p w14:paraId="6B266B5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3</w:t>
            </w:r>
          </w:p>
        </w:tc>
        <w:tc>
          <w:tcPr>
            <w:tcW w:w="984" w:type="dxa"/>
            <w:tcBorders>
              <w:top w:val="single" w:color="000000" w:sz="4" w:space="0"/>
              <w:left w:val="single" w:color="000000" w:sz="4" w:space="0"/>
              <w:bottom w:val="single" w:color="000000" w:sz="4" w:space="0"/>
              <w:right w:val="single" w:color="000000" w:sz="4" w:space="0"/>
            </w:tcBorders>
            <w:noWrap/>
            <w:vAlign w:val="center"/>
          </w:tcPr>
          <w:p w14:paraId="62CABB6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2.3</w:t>
            </w:r>
          </w:p>
        </w:tc>
        <w:tc>
          <w:tcPr>
            <w:tcW w:w="372" w:type="dxa"/>
            <w:tcBorders>
              <w:top w:val="single" w:color="000000" w:sz="4" w:space="0"/>
              <w:left w:val="single" w:color="000000" w:sz="4" w:space="0"/>
              <w:bottom w:val="single" w:color="000000" w:sz="4" w:space="0"/>
              <w:right w:val="single" w:color="000000" w:sz="4" w:space="0"/>
            </w:tcBorders>
            <w:noWrap/>
            <w:vAlign w:val="center"/>
          </w:tcPr>
          <w:p w14:paraId="7FFBAB0D">
            <w:pPr>
              <w:jc w:val="center"/>
              <w:rPr>
                <w:rFonts w:hint="eastAsia" w:ascii="宋体" w:hAnsi="宋体" w:eastAsia="宋体" w:cs="宋体"/>
                <w:i w:val="0"/>
                <w:iCs w:val="0"/>
                <w:color w:val="auto"/>
                <w:sz w:val="22"/>
                <w:szCs w:val="22"/>
                <w:highlight w:val="none"/>
                <w:u w:val="none"/>
              </w:rPr>
            </w:pPr>
          </w:p>
        </w:tc>
      </w:tr>
      <w:tr w14:paraId="1C984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92" w:type="dxa"/>
            <w:tcBorders>
              <w:top w:val="single" w:color="000000" w:sz="4" w:space="0"/>
              <w:left w:val="single" w:color="000000" w:sz="4" w:space="0"/>
              <w:bottom w:val="single" w:color="000000" w:sz="4" w:space="0"/>
              <w:right w:val="single" w:color="000000" w:sz="4" w:space="0"/>
            </w:tcBorders>
            <w:noWrap/>
            <w:vAlign w:val="center"/>
          </w:tcPr>
          <w:p w14:paraId="3829FBA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w:t>
            </w:r>
          </w:p>
        </w:tc>
        <w:tc>
          <w:tcPr>
            <w:tcW w:w="852" w:type="dxa"/>
            <w:tcBorders>
              <w:top w:val="single" w:color="000000" w:sz="4" w:space="0"/>
              <w:left w:val="single" w:color="000000" w:sz="4" w:space="0"/>
              <w:bottom w:val="single" w:color="000000" w:sz="4" w:space="0"/>
              <w:right w:val="single" w:color="000000" w:sz="4" w:space="0"/>
            </w:tcBorders>
            <w:noWrap w:val="0"/>
            <w:vAlign w:val="center"/>
          </w:tcPr>
          <w:p w14:paraId="254F5DC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高等学校英语应用能力考试B级题库</w:t>
            </w:r>
          </w:p>
        </w:tc>
        <w:tc>
          <w:tcPr>
            <w:tcW w:w="6084" w:type="dxa"/>
            <w:tcBorders>
              <w:top w:val="single" w:color="000000" w:sz="4" w:space="0"/>
              <w:left w:val="single" w:color="000000" w:sz="4" w:space="0"/>
              <w:bottom w:val="single" w:color="000000" w:sz="4" w:space="0"/>
              <w:right w:val="single" w:color="000000" w:sz="4" w:space="0"/>
            </w:tcBorders>
            <w:noWrap w:val="0"/>
            <w:vAlign w:val="center"/>
          </w:tcPr>
          <w:p w14:paraId="60BD1382">
            <w:pPr>
              <w:keepNext w:val="0"/>
              <w:keepLines w:val="0"/>
              <w:widowControl/>
              <w:numPr>
                <w:ilvl w:val="-1"/>
                <w:numId w:val="0"/>
              </w:numPr>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1.</w:t>
            </w:r>
            <w:r>
              <w:rPr>
                <w:rFonts w:hint="eastAsia" w:ascii="宋体" w:hAnsi="宋体" w:eastAsia="宋体" w:cs="宋体"/>
                <w:i w:val="0"/>
                <w:iCs w:val="0"/>
                <w:color w:val="auto"/>
                <w:kern w:val="0"/>
                <w:sz w:val="22"/>
                <w:szCs w:val="22"/>
                <w:highlight w:val="none"/>
                <w:u w:val="none"/>
                <w:lang w:val="en-US" w:eastAsia="zh-CN" w:bidi="ar"/>
              </w:rPr>
              <w:t>试题数量：不少于50套试卷</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2.题库需包含B级考试真题及2014年改革后的新题型模拟试卷</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3.题库需覆盖高等学校英语应用能力考试B级的所有题型，包括：听问题选答案、短对话、长对话、听写填空、语法选择、语法填空、阅读简答题、阅读（填空题）、阅读（匹配）、阅读理解、句子翻译-英译汉、段落翻译、写作</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4.题库需包含试题、听力音频、听力脚本、答案、解析、标签（主题、话题）等内容</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5.题库需经过国家考试中心有关专家的指导，并由长期在高职高专英语教学一线具有丰富教学和备考经验的老师合作，完全按照考试的要求、题型、出题思路和方向进行编写。试题需经过专业测评编辑的审核、编校、检测的质量保障流程。</w:t>
            </w:r>
          </w:p>
          <w:p w14:paraId="4C8AB993">
            <w:pPr>
              <w:keepNext w:val="0"/>
              <w:keepLines w:val="0"/>
              <w:widowControl/>
              <w:suppressLineNumbers w:val="0"/>
              <w:jc w:val="lef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其他要求：</w:t>
            </w:r>
          </w:p>
          <w:p w14:paraId="0C81BA32">
            <w:pPr>
              <w:pStyle w:val="23"/>
              <w:numPr>
                <w:ilvl w:val="0"/>
                <w:numId w:val="0"/>
              </w:numPr>
              <w:rPr>
                <w:rFonts w:hint="eastAsia"/>
                <w:color w:val="auto"/>
                <w:highlight w:val="none"/>
              </w:rPr>
            </w:pPr>
            <w:r>
              <w:rPr>
                <w:rFonts w:hint="eastAsia" w:ascii="宋体" w:hAnsi="宋体" w:eastAsia="宋体" w:cs="宋体"/>
                <w:i w:val="0"/>
                <w:iCs w:val="0"/>
                <w:color w:val="auto"/>
                <w:kern w:val="0"/>
                <w:sz w:val="22"/>
                <w:szCs w:val="22"/>
                <w:highlight w:val="none"/>
                <w:u w:val="none"/>
                <w:lang w:val="en-US" w:eastAsia="zh-CN" w:bidi="ar"/>
              </w:rPr>
              <w:t>供应商为本软件产品提供不低于 3 年的免费版本升级及售后服务。服务期内，供应商将无偿向</w:t>
            </w:r>
            <w:r>
              <w:rPr>
                <w:rFonts w:hint="eastAsia" w:ascii="宋体" w:hAnsi="宋体" w:cs="宋体"/>
                <w:i w:val="0"/>
                <w:iCs w:val="0"/>
                <w:color w:val="auto"/>
                <w:kern w:val="0"/>
                <w:sz w:val="22"/>
                <w:szCs w:val="22"/>
                <w:highlight w:val="none"/>
                <w:u w:val="none"/>
                <w:lang w:val="en-US" w:eastAsia="zh-CN" w:bidi="ar"/>
              </w:rPr>
              <w:t>采购人</w:t>
            </w:r>
            <w:r>
              <w:rPr>
                <w:rFonts w:hint="eastAsia" w:ascii="宋体" w:hAnsi="宋体" w:eastAsia="宋体" w:cs="宋体"/>
                <w:i w:val="0"/>
                <w:iCs w:val="0"/>
                <w:color w:val="auto"/>
                <w:kern w:val="0"/>
                <w:sz w:val="22"/>
                <w:szCs w:val="22"/>
                <w:highlight w:val="none"/>
                <w:u w:val="none"/>
                <w:lang w:val="en-US" w:eastAsia="zh-CN" w:bidi="ar"/>
              </w:rPr>
              <w:t>提供软件版本迭代更新、功能优化、安全补丁修复、系统兼容性升级等相关技术服务，确保软件稳定、高效运行。免费升级服务期限届满后，</w:t>
            </w:r>
            <w:r>
              <w:rPr>
                <w:rFonts w:hint="eastAsia" w:ascii="宋体" w:hAnsi="宋体" w:cs="宋体"/>
                <w:i w:val="0"/>
                <w:iCs w:val="0"/>
                <w:color w:val="auto"/>
                <w:kern w:val="0"/>
                <w:sz w:val="22"/>
                <w:szCs w:val="22"/>
                <w:highlight w:val="none"/>
                <w:u w:val="none"/>
                <w:lang w:val="en-US" w:eastAsia="zh-CN" w:bidi="ar"/>
              </w:rPr>
              <w:t>采购人</w:t>
            </w:r>
            <w:r>
              <w:rPr>
                <w:rFonts w:hint="eastAsia" w:ascii="宋体" w:hAnsi="宋体" w:eastAsia="宋体" w:cs="宋体"/>
                <w:i w:val="0"/>
                <w:iCs w:val="0"/>
                <w:color w:val="auto"/>
                <w:kern w:val="0"/>
                <w:sz w:val="22"/>
                <w:szCs w:val="22"/>
                <w:highlight w:val="none"/>
                <w:u w:val="none"/>
                <w:lang w:val="en-US" w:eastAsia="zh-CN" w:bidi="ar"/>
              </w:rPr>
              <w:t>仍可继续使用已交付并授权的软件版本，原有全部正常功能不受任何影响，软件可继续正常运行使用，供应商不得限制、中断或终止</w:t>
            </w:r>
            <w:r>
              <w:rPr>
                <w:rFonts w:hint="eastAsia" w:ascii="宋体" w:hAnsi="宋体" w:cs="宋体"/>
                <w:i w:val="0"/>
                <w:iCs w:val="0"/>
                <w:color w:val="auto"/>
                <w:kern w:val="0"/>
                <w:sz w:val="22"/>
                <w:szCs w:val="22"/>
                <w:highlight w:val="none"/>
                <w:u w:val="none"/>
                <w:lang w:val="en-US" w:eastAsia="zh-CN" w:bidi="ar"/>
              </w:rPr>
              <w:t>采购人</w:t>
            </w:r>
            <w:r>
              <w:rPr>
                <w:rFonts w:hint="eastAsia" w:ascii="宋体" w:hAnsi="宋体" w:eastAsia="宋体" w:cs="宋体"/>
                <w:i w:val="0"/>
                <w:iCs w:val="0"/>
                <w:color w:val="auto"/>
                <w:kern w:val="0"/>
                <w:sz w:val="22"/>
                <w:szCs w:val="22"/>
                <w:highlight w:val="none"/>
                <w:u w:val="none"/>
                <w:lang w:val="en-US" w:eastAsia="zh-CN" w:bidi="ar"/>
              </w:rPr>
              <w:t>对已授权软件的合法使用权利。</w:t>
            </w:r>
          </w:p>
        </w:tc>
        <w:tc>
          <w:tcPr>
            <w:tcW w:w="480" w:type="dxa"/>
            <w:tcBorders>
              <w:top w:val="single" w:color="000000" w:sz="4" w:space="0"/>
              <w:left w:val="single" w:color="000000" w:sz="4" w:space="0"/>
              <w:bottom w:val="single" w:color="000000" w:sz="4" w:space="0"/>
              <w:right w:val="single" w:color="000000" w:sz="4" w:space="0"/>
            </w:tcBorders>
            <w:noWrap/>
            <w:vAlign w:val="center"/>
          </w:tcPr>
          <w:p w14:paraId="60790DB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492" w:type="dxa"/>
            <w:tcBorders>
              <w:top w:val="single" w:color="000000" w:sz="4" w:space="0"/>
              <w:left w:val="single" w:color="000000" w:sz="4" w:space="0"/>
              <w:bottom w:val="single" w:color="000000" w:sz="4" w:space="0"/>
              <w:right w:val="single" w:color="000000" w:sz="4" w:space="0"/>
            </w:tcBorders>
            <w:noWrap/>
            <w:vAlign w:val="center"/>
          </w:tcPr>
          <w:p w14:paraId="2934836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套</w:t>
            </w:r>
          </w:p>
        </w:tc>
        <w:tc>
          <w:tcPr>
            <w:tcW w:w="924" w:type="dxa"/>
            <w:tcBorders>
              <w:top w:val="single" w:color="000000" w:sz="4" w:space="0"/>
              <w:left w:val="single" w:color="000000" w:sz="4" w:space="0"/>
              <w:bottom w:val="single" w:color="000000" w:sz="4" w:space="0"/>
              <w:right w:val="single" w:color="000000" w:sz="4" w:space="0"/>
            </w:tcBorders>
            <w:noWrap/>
            <w:vAlign w:val="center"/>
          </w:tcPr>
          <w:p w14:paraId="692E0C4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3</w:t>
            </w:r>
          </w:p>
        </w:tc>
        <w:tc>
          <w:tcPr>
            <w:tcW w:w="984" w:type="dxa"/>
            <w:tcBorders>
              <w:top w:val="single" w:color="000000" w:sz="4" w:space="0"/>
              <w:left w:val="single" w:color="000000" w:sz="4" w:space="0"/>
              <w:bottom w:val="single" w:color="000000" w:sz="4" w:space="0"/>
              <w:right w:val="single" w:color="000000" w:sz="4" w:space="0"/>
            </w:tcBorders>
            <w:noWrap/>
            <w:vAlign w:val="center"/>
          </w:tcPr>
          <w:p w14:paraId="2B6B499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2.3</w:t>
            </w:r>
          </w:p>
        </w:tc>
        <w:tc>
          <w:tcPr>
            <w:tcW w:w="372" w:type="dxa"/>
            <w:tcBorders>
              <w:top w:val="single" w:color="000000" w:sz="4" w:space="0"/>
              <w:left w:val="single" w:color="000000" w:sz="4" w:space="0"/>
              <w:bottom w:val="single" w:color="000000" w:sz="4" w:space="0"/>
              <w:right w:val="single" w:color="000000" w:sz="4" w:space="0"/>
            </w:tcBorders>
            <w:noWrap/>
            <w:vAlign w:val="center"/>
          </w:tcPr>
          <w:p w14:paraId="7AAE37B1">
            <w:pPr>
              <w:jc w:val="center"/>
              <w:rPr>
                <w:rFonts w:hint="eastAsia" w:ascii="宋体" w:hAnsi="宋体" w:eastAsia="宋体" w:cs="宋体"/>
                <w:i w:val="0"/>
                <w:iCs w:val="0"/>
                <w:color w:val="auto"/>
                <w:sz w:val="22"/>
                <w:szCs w:val="22"/>
                <w:highlight w:val="none"/>
                <w:u w:val="none"/>
              </w:rPr>
            </w:pPr>
          </w:p>
        </w:tc>
      </w:tr>
      <w:tr w14:paraId="103A0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92" w:type="dxa"/>
            <w:tcBorders>
              <w:top w:val="single" w:color="000000" w:sz="4" w:space="0"/>
              <w:left w:val="single" w:color="000000" w:sz="4" w:space="0"/>
              <w:bottom w:val="single" w:color="000000" w:sz="4" w:space="0"/>
              <w:right w:val="single" w:color="000000" w:sz="4" w:space="0"/>
            </w:tcBorders>
            <w:noWrap/>
            <w:vAlign w:val="center"/>
          </w:tcPr>
          <w:p w14:paraId="01D350A3">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852" w:type="dxa"/>
            <w:tcBorders>
              <w:top w:val="single" w:color="000000" w:sz="4" w:space="0"/>
              <w:left w:val="single" w:color="000000" w:sz="4" w:space="0"/>
              <w:bottom w:val="single" w:color="000000" w:sz="4" w:space="0"/>
              <w:right w:val="single" w:color="000000" w:sz="4" w:space="0"/>
            </w:tcBorders>
            <w:noWrap w:val="0"/>
            <w:vAlign w:val="center"/>
          </w:tcPr>
          <w:p w14:paraId="32370051">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6084" w:type="dxa"/>
            <w:tcBorders>
              <w:top w:val="single" w:color="000000" w:sz="4" w:space="0"/>
              <w:left w:val="single" w:color="000000" w:sz="4" w:space="0"/>
              <w:bottom w:val="single" w:color="000000" w:sz="4" w:space="0"/>
              <w:right w:val="single" w:color="000000" w:sz="4" w:space="0"/>
            </w:tcBorders>
            <w:noWrap w:val="0"/>
            <w:vAlign w:val="center"/>
          </w:tcPr>
          <w:p w14:paraId="0D728B11">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lang w:val="en-US" w:eastAsia="zh-CN"/>
              </w:rPr>
            </w:pPr>
            <w:r>
              <w:rPr>
                <w:rFonts w:hint="eastAsia" w:ascii="宋体" w:hAnsi="宋体" w:eastAsia="宋体" w:cs="宋体"/>
                <w:b/>
                <w:bCs/>
                <w:i w:val="0"/>
                <w:iCs w:val="0"/>
                <w:color w:val="auto"/>
                <w:sz w:val="22"/>
                <w:szCs w:val="22"/>
                <w:highlight w:val="none"/>
                <w:u w:val="none"/>
                <w:lang w:val="en-US" w:eastAsia="zh-CN"/>
              </w:rPr>
              <w:t>合计</w:t>
            </w:r>
          </w:p>
        </w:tc>
        <w:tc>
          <w:tcPr>
            <w:tcW w:w="480" w:type="dxa"/>
            <w:tcBorders>
              <w:top w:val="single" w:color="000000" w:sz="4" w:space="0"/>
              <w:left w:val="single" w:color="000000" w:sz="4" w:space="0"/>
              <w:bottom w:val="single" w:color="000000" w:sz="4" w:space="0"/>
              <w:right w:val="single" w:color="000000" w:sz="4" w:space="0"/>
            </w:tcBorders>
            <w:noWrap/>
            <w:vAlign w:val="center"/>
          </w:tcPr>
          <w:p w14:paraId="208765FA">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p>
          <w:p w14:paraId="3C8FA7B4">
            <w:pPr>
              <w:pStyle w:val="23"/>
              <w:jc w:val="center"/>
              <w:rPr>
                <w:rFonts w:hint="eastAsia"/>
                <w:b/>
                <w:bCs/>
                <w:color w:val="auto"/>
                <w:highlight w:val="none"/>
              </w:rPr>
            </w:pPr>
          </w:p>
        </w:tc>
        <w:tc>
          <w:tcPr>
            <w:tcW w:w="492" w:type="dxa"/>
            <w:tcBorders>
              <w:top w:val="single" w:color="000000" w:sz="4" w:space="0"/>
              <w:left w:val="single" w:color="000000" w:sz="4" w:space="0"/>
              <w:bottom w:val="single" w:color="000000" w:sz="4" w:space="0"/>
              <w:right w:val="single" w:color="000000" w:sz="4" w:space="0"/>
            </w:tcBorders>
            <w:noWrap/>
            <w:vAlign w:val="center"/>
          </w:tcPr>
          <w:p w14:paraId="2AF7E36A">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924" w:type="dxa"/>
            <w:tcBorders>
              <w:top w:val="single" w:color="000000" w:sz="4" w:space="0"/>
              <w:left w:val="single" w:color="000000" w:sz="4" w:space="0"/>
              <w:bottom w:val="single" w:color="000000" w:sz="4" w:space="0"/>
              <w:right w:val="single" w:color="000000" w:sz="4" w:space="0"/>
            </w:tcBorders>
            <w:noWrap/>
            <w:vAlign w:val="center"/>
          </w:tcPr>
          <w:p w14:paraId="7F6DE323">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p>
        </w:tc>
        <w:tc>
          <w:tcPr>
            <w:tcW w:w="984" w:type="dxa"/>
            <w:tcBorders>
              <w:top w:val="single" w:color="000000" w:sz="4" w:space="0"/>
              <w:left w:val="single" w:color="000000" w:sz="4" w:space="0"/>
              <w:bottom w:val="single" w:color="000000" w:sz="4" w:space="0"/>
              <w:right w:val="single" w:color="000000" w:sz="4" w:space="0"/>
            </w:tcBorders>
            <w:noWrap/>
            <w:vAlign w:val="center"/>
          </w:tcPr>
          <w:p w14:paraId="2264A78B">
            <w:pPr>
              <w:keepNext w:val="0"/>
              <w:keepLines w:val="0"/>
              <w:widowControl/>
              <w:suppressLineNumbers w:val="0"/>
              <w:jc w:val="center"/>
              <w:textAlignment w:val="center"/>
              <w:rPr>
                <w:rFonts w:hint="default" w:ascii="宋体" w:hAnsi="宋体" w:eastAsia="宋体" w:cs="宋体"/>
                <w:b/>
                <w:bCs/>
                <w:i w:val="0"/>
                <w:iCs w:val="0"/>
                <w:color w:val="auto"/>
                <w:sz w:val="22"/>
                <w:szCs w:val="22"/>
                <w:highlight w:val="none"/>
                <w:u w:val="none"/>
                <w:lang w:val="en-US" w:eastAsia="zh-CN"/>
              </w:rPr>
            </w:pPr>
            <w:r>
              <w:rPr>
                <w:rFonts w:hint="eastAsia" w:ascii="宋体" w:hAnsi="宋体" w:eastAsia="宋体" w:cs="宋体"/>
                <w:b/>
                <w:bCs/>
                <w:i w:val="0"/>
                <w:iCs w:val="0"/>
                <w:color w:val="auto"/>
                <w:sz w:val="22"/>
                <w:szCs w:val="22"/>
                <w:highlight w:val="none"/>
                <w:u w:val="none"/>
                <w:lang w:val="en-US" w:eastAsia="zh-CN"/>
              </w:rPr>
              <w:t>136.9</w:t>
            </w:r>
          </w:p>
        </w:tc>
        <w:tc>
          <w:tcPr>
            <w:tcW w:w="372" w:type="dxa"/>
            <w:tcBorders>
              <w:top w:val="single" w:color="000000" w:sz="4" w:space="0"/>
              <w:left w:val="single" w:color="000000" w:sz="4" w:space="0"/>
              <w:bottom w:val="single" w:color="000000" w:sz="4" w:space="0"/>
              <w:right w:val="single" w:color="000000" w:sz="4" w:space="0"/>
            </w:tcBorders>
            <w:noWrap/>
            <w:vAlign w:val="center"/>
          </w:tcPr>
          <w:p w14:paraId="5C25DA25">
            <w:pPr>
              <w:jc w:val="center"/>
              <w:rPr>
                <w:rFonts w:hint="eastAsia" w:ascii="宋体" w:hAnsi="宋体" w:eastAsia="宋体" w:cs="宋体"/>
                <w:b/>
                <w:bCs/>
                <w:i w:val="0"/>
                <w:iCs w:val="0"/>
                <w:color w:val="auto"/>
                <w:sz w:val="22"/>
                <w:szCs w:val="22"/>
                <w:highlight w:val="none"/>
                <w:u w:val="none"/>
              </w:rPr>
            </w:pPr>
          </w:p>
        </w:tc>
      </w:tr>
    </w:tbl>
    <w:p w14:paraId="72E1C03C">
      <w:pPr>
        <w:jc w:val="center"/>
        <w:outlineLvl w:val="9"/>
        <w:rPr>
          <w:rStyle w:val="254"/>
          <w:rFonts w:hint="eastAsia" w:ascii="宋体" w:hAnsi="宋体" w:cs="宋体"/>
          <w:color w:val="auto"/>
          <w:sz w:val="32"/>
          <w:szCs w:val="32"/>
          <w:highlight w:val="none"/>
        </w:rPr>
      </w:pPr>
    </w:p>
    <w:p w14:paraId="08CD9D1C">
      <w:pPr>
        <w:jc w:val="both"/>
        <w:outlineLvl w:val="0"/>
        <w:rPr>
          <w:rStyle w:val="254"/>
          <w:rFonts w:hint="eastAsia" w:ascii="宋体" w:hAnsi="宋体" w:eastAsia="宋体" w:cs="宋体"/>
          <w:color w:val="auto"/>
          <w:sz w:val="32"/>
          <w:szCs w:val="32"/>
          <w:highlight w:val="none"/>
        </w:rPr>
      </w:pPr>
      <w:r>
        <w:rPr>
          <w:rStyle w:val="254"/>
          <w:rFonts w:eastAsia="宋体"/>
          <w:color w:val="auto"/>
          <w:sz w:val="32"/>
          <w:szCs w:val="32"/>
          <w:highlight w:val="none"/>
        </w:rPr>
        <w:t>二、商务要求</w:t>
      </w:r>
    </w:p>
    <w:tbl>
      <w:tblPr>
        <w:tblStyle w:val="42"/>
        <w:tblW w:w="4913" w:type="pct"/>
        <w:tblInd w:w="2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6"/>
        <w:gridCol w:w="8381"/>
      </w:tblGrid>
      <w:tr w14:paraId="2FAE3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02" w:type="pct"/>
            <w:noWrap w:val="0"/>
            <w:vAlign w:val="center"/>
          </w:tcPr>
          <w:p w14:paraId="276AE206">
            <w:pPr>
              <w:widowControl/>
              <w:spacing w:line="25" w:lineRule="atLeas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售后服务要求</w:t>
            </w:r>
          </w:p>
        </w:tc>
        <w:tc>
          <w:tcPr>
            <w:tcW w:w="4097" w:type="pct"/>
            <w:noWrap w:val="0"/>
            <w:vAlign w:val="center"/>
          </w:tcPr>
          <w:p w14:paraId="5DED4F6E">
            <w:pPr>
              <w:spacing w:line="25" w:lineRule="atLeas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免费质保期（软件维护或升级期）：按国家有关产品“三包”规定执行“三包”，免费质保期（软件维护或升级期）最短不得少于3年。自验收合格之日算起。免费质保期（软件维护或升级期）内免一切费用进行上门维修、配件更换、升级、维护等服务。提供终身维修维护服务（只收配件费）。</w:t>
            </w:r>
          </w:p>
          <w:p w14:paraId="52F16573">
            <w:pPr>
              <w:spacing w:line="25" w:lineRule="atLeas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2、免费送货上门、免费安装调试合格，免费对采购人进行系统操作培训，直至</w:t>
            </w:r>
            <w:r>
              <w:rPr>
                <w:rFonts w:hint="eastAsia" w:ascii="宋体" w:hAnsi="宋体" w:cs="宋体"/>
                <w:color w:val="auto"/>
                <w:szCs w:val="21"/>
                <w:highlight w:val="none"/>
                <w:lang w:val="en-US" w:eastAsia="zh-CN"/>
              </w:rPr>
              <w:t>采购人</w:t>
            </w:r>
            <w:r>
              <w:rPr>
                <w:rFonts w:hint="eastAsia" w:ascii="宋体" w:hAnsi="宋体" w:eastAsia="宋体" w:cs="宋体"/>
                <w:color w:val="auto"/>
                <w:szCs w:val="21"/>
                <w:highlight w:val="none"/>
              </w:rPr>
              <w:t>的技术人员能熟练独立工作并能简单的进行故障排除为止。</w:t>
            </w:r>
          </w:p>
          <w:p w14:paraId="3D31BA39">
            <w:pPr>
              <w:spacing w:line="25" w:lineRule="atLeas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3、需提供7×24小时的电话技术支持服务，接到采购人报障电话后2小时内响应，8小时内派技术人员到达采购人指定地点解决问题，所有问题均需在24小时内解决。</w:t>
            </w:r>
            <w:r>
              <w:rPr>
                <w:rFonts w:hint="eastAsia" w:ascii="宋体" w:hAnsi="宋体" w:eastAsia="宋体" w:cs="宋体"/>
                <w:color w:val="auto"/>
                <w:kern w:val="0"/>
                <w:szCs w:val="21"/>
                <w:highlight w:val="none"/>
              </w:rPr>
              <w:t>24小时内无法修复必须立即提供不低于同档次产品配置的备用设备供</w:t>
            </w:r>
            <w:r>
              <w:rPr>
                <w:rFonts w:hint="eastAsia" w:ascii="宋体" w:hAnsi="宋体" w:cs="宋体"/>
                <w:color w:val="auto"/>
                <w:kern w:val="0"/>
                <w:szCs w:val="21"/>
                <w:highlight w:val="none"/>
                <w:lang w:val="en-US" w:eastAsia="zh-CN"/>
              </w:rPr>
              <w:t>采购人</w:t>
            </w:r>
            <w:r>
              <w:rPr>
                <w:rFonts w:hint="eastAsia" w:ascii="宋体" w:hAnsi="宋体" w:eastAsia="宋体" w:cs="宋体"/>
                <w:color w:val="auto"/>
                <w:kern w:val="0"/>
                <w:szCs w:val="21"/>
                <w:highlight w:val="none"/>
              </w:rPr>
              <w:t>正常使用。提供终身免费技术支持服务。</w:t>
            </w:r>
          </w:p>
          <w:p w14:paraId="0AC36296">
            <w:pPr>
              <w:spacing w:line="25" w:lineRule="atLeast"/>
              <w:rPr>
                <w:rFonts w:hint="eastAsia" w:ascii="宋体" w:hAnsi="宋体" w:eastAsia="宋体" w:cs="宋体"/>
                <w:color w:val="auto"/>
                <w:sz w:val="21"/>
                <w:szCs w:val="21"/>
                <w:highlight w:val="none"/>
                <w:lang w:val="en-US"/>
              </w:rPr>
            </w:pPr>
            <w:r>
              <w:rPr>
                <w:rFonts w:hint="eastAsia" w:ascii="宋体" w:hAnsi="宋体" w:eastAsia="宋体" w:cs="宋体"/>
                <w:color w:val="auto"/>
                <w:szCs w:val="21"/>
                <w:highlight w:val="none"/>
              </w:rPr>
              <w:t>4、提供完整的产品（软件）配套的产品资料，包括系统安装使用手册、系统功能模块说明书、用户使用手册、帮助文档等。</w:t>
            </w:r>
          </w:p>
        </w:tc>
      </w:tr>
      <w:tr w14:paraId="48F93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02" w:type="pct"/>
            <w:noWrap w:val="0"/>
            <w:vAlign w:val="center"/>
          </w:tcPr>
          <w:p w14:paraId="21785597">
            <w:pPr>
              <w:widowControl/>
              <w:spacing w:line="25" w:lineRule="atLeas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交付使用时间、地点及交付方式</w:t>
            </w:r>
          </w:p>
        </w:tc>
        <w:tc>
          <w:tcPr>
            <w:tcW w:w="4097" w:type="pct"/>
            <w:noWrap w:val="0"/>
            <w:vAlign w:val="center"/>
          </w:tcPr>
          <w:p w14:paraId="5EED1CCF">
            <w:pPr>
              <w:spacing w:line="25" w:lineRule="atLeast"/>
              <w:rPr>
                <w:rFonts w:hint="eastAsia" w:ascii="宋体" w:hAnsi="宋体" w:eastAsia="宋体" w:cs="宋体"/>
                <w:color w:val="auto"/>
                <w:sz w:val="21"/>
                <w:szCs w:val="21"/>
                <w:highlight w:val="none"/>
                <w:lang w:val="en-US"/>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rPr>
              <w:t>交付使用时间：自</w:t>
            </w:r>
            <w:r>
              <w:rPr>
                <w:rFonts w:hint="eastAsia" w:ascii="宋体" w:hAnsi="宋体" w:eastAsia="宋体" w:cs="宋体"/>
                <w:color w:val="auto"/>
                <w:sz w:val="21"/>
                <w:szCs w:val="21"/>
                <w:highlight w:val="none"/>
                <w:lang w:val="en-US" w:eastAsia="zh-CN"/>
              </w:rPr>
              <w:t>收到采购人交付通知</w:t>
            </w:r>
            <w:r>
              <w:rPr>
                <w:rFonts w:hint="eastAsia" w:ascii="宋体" w:hAnsi="宋体" w:eastAsia="宋体" w:cs="宋体"/>
                <w:color w:val="auto"/>
                <w:sz w:val="21"/>
                <w:szCs w:val="21"/>
                <w:highlight w:val="none"/>
                <w:lang w:val="en-US"/>
              </w:rPr>
              <w:t>之日起20天内交货并安装调试合格交付使用。</w:t>
            </w:r>
          </w:p>
          <w:p w14:paraId="2FCDDBDD">
            <w:pPr>
              <w:spacing w:line="25" w:lineRule="atLeas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rPr>
              <w:t>2、服务地点：桂林市采购人指定地点</w:t>
            </w:r>
            <w:r>
              <w:rPr>
                <w:rFonts w:hint="eastAsia" w:ascii="宋体" w:hAnsi="宋体" w:cs="宋体"/>
                <w:color w:val="auto"/>
                <w:sz w:val="21"/>
                <w:szCs w:val="21"/>
                <w:highlight w:val="none"/>
                <w:lang w:val="en-US" w:eastAsia="zh-CN"/>
              </w:rPr>
              <w:t>。</w:t>
            </w:r>
          </w:p>
          <w:p w14:paraId="08D394BF">
            <w:pPr>
              <w:spacing w:line="25" w:lineRule="atLeast"/>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3、交付方式：</w:t>
            </w:r>
            <w:r>
              <w:rPr>
                <w:rFonts w:hint="eastAsia" w:ascii="宋体" w:hAnsi="宋体" w:eastAsia="宋体" w:cs="宋体"/>
                <w:color w:val="auto"/>
                <w:sz w:val="21"/>
                <w:szCs w:val="21"/>
                <w:highlight w:val="none"/>
                <w:lang w:val="en-US" w:eastAsia="zh-CN"/>
              </w:rPr>
              <w:t>现场交付</w:t>
            </w:r>
            <w:r>
              <w:rPr>
                <w:rFonts w:hint="eastAsia" w:ascii="宋体" w:hAnsi="宋体" w:eastAsia="宋体" w:cs="宋体"/>
                <w:color w:val="auto"/>
                <w:sz w:val="21"/>
                <w:szCs w:val="21"/>
                <w:highlight w:val="none"/>
                <w:lang w:val="en-US"/>
              </w:rPr>
              <w:t>。</w:t>
            </w:r>
          </w:p>
        </w:tc>
      </w:tr>
      <w:tr w14:paraId="4863B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02" w:type="pct"/>
            <w:noWrap w:val="0"/>
            <w:vAlign w:val="center"/>
          </w:tcPr>
          <w:p w14:paraId="3628F9A5">
            <w:pPr>
              <w:widowControl/>
              <w:spacing w:line="25" w:lineRule="atLeas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付款方式及</w:t>
            </w:r>
            <w:bookmarkStart w:id="584" w:name="_Hlk201071917"/>
            <w:r>
              <w:rPr>
                <w:rFonts w:hint="eastAsia" w:ascii="宋体" w:hAnsi="宋体" w:eastAsia="宋体" w:cs="宋体"/>
                <w:color w:val="auto"/>
                <w:szCs w:val="21"/>
                <w:highlight w:val="none"/>
              </w:rPr>
              <w:t>履约保证金</w:t>
            </w:r>
            <w:bookmarkEnd w:id="584"/>
          </w:p>
        </w:tc>
        <w:tc>
          <w:tcPr>
            <w:tcW w:w="4097" w:type="pct"/>
            <w:noWrap w:val="0"/>
            <w:vAlign w:val="center"/>
          </w:tcPr>
          <w:p w14:paraId="3CB875B7">
            <w:pPr>
              <w:spacing w:line="25" w:lineRule="atLeast"/>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lang w:val="en-US"/>
              </w:rPr>
              <w:t>1、</w:t>
            </w:r>
            <w:r>
              <w:rPr>
                <w:rFonts w:hint="eastAsia" w:ascii="宋体" w:hAnsi="宋体" w:cs="宋体"/>
                <w:color w:val="auto"/>
                <w:sz w:val="21"/>
                <w:szCs w:val="21"/>
                <w:highlight w:val="none"/>
                <w:lang w:val="en-US" w:eastAsia="zh-CN"/>
              </w:rPr>
              <w:t>付款方式：</w:t>
            </w:r>
          </w:p>
          <w:p w14:paraId="45E7569B">
            <w:pPr>
              <w:spacing w:line="25" w:lineRule="atLeast"/>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一）预付款支付：采购合同签订之日起10个工作日内，中标（成交）供应商向采购人开具与合同总价款30%等额的保函（保函有效期需覆盖项目履约全周期）和发票，采购人收到合规保函并审核无误后，向中标（成交）供应商支付合同总价款30%的预付款。</w:t>
            </w:r>
          </w:p>
          <w:p w14:paraId="26269F8F">
            <w:pPr>
              <w:spacing w:line="25" w:lineRule="atLeast"/>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（二）结算款支付：项目所有货物完成安装调试、试运行状态正常，经采购人组织验收合格并完成确认手续后10个工作日内，采购人向中标（成交）供应商支付剩余合同款项（即合同总价款的70%）。</w:t>
            </w:r>
          </w:p>
          <w:p w14:paraId="291BDE62">
            <w:pPr>
              <w:spacing w:line="25" w:lineRule="atLeast"/>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（三）开票要求：中标（成交）供应商须按规定开具增值税专用发票，发票信息需真实、完整、合规，项目名称、金额、税号等内容与采购合同、验收资料保持一致，作为财务结算入账的必备凭证。</w:t>
            </w:r>
          </w:p>
          <w:p w14:paraId="0290BAD1">
            <w:pPr>
              <w:spacing w:line="360" w:lineRule="auto"/>
              <w:ind w:left="0" w:leftChars="0" w:firstLine="0" w:firstLineChars="0"/>
              <w:contextualSpacing/>
              <w:rPr>
                <w:rFonts w:hint="eastAsia" w:ascii="宋体" w:hAnsi="宋体" w:cs="宋体"/>
                <w:color w:val="auto"/>
                <w:highlight w:val="none"/>
                <w:lang w:val="en-US" w:eastAsia="zh-CN"/>
              </w:rPr>
            </w:pPr>
            <w:r>
              <w:rPr>
                <w:rFonts w:hint="eastAsia" w:ascii="宋体" w:hAnsi="宋体" w:eastAsia="宋体" w:cs="宋体"/>
                <w:color w:val="auto"/>
                <w:sz w:val="21"/>
                <w:szCs w:val="21"/>
                <w:highlight w:val="none"/>
                <w:lang w:val="en-US"/>
              </w:rPr>
              <w:t>2、履约保证金：</w:t>
            </w:r>
            <w:r>
              <w:rPr>
                <w:rFonts w:hint="eastAsia" w:ascii="宋体" w:hAnsi="宋体" w:cs="宋体"/>
                <w:color w:val="auto"/>
                <w:highlight w:val="none"/>
                <w:lang w:val="en-US" w:eastAsia="zh-CN"/>
              </w:rPr>
              <w:t>本项目收取履约保证金。</w:t>
            </w:r>
          </w:p>
          <w:p w14:paraId="32BE5DB9">
            <w:pPr>
              <w:spacing w:line="25" w:lineRule="atLeast"/>
              <w:ind w:left="0" w:leftChars="0" w:firstLine="0" w:firstLineChars="0"/>
              <w:contextualSpacing w:val="0"/>
              <w:rPr>
                <w:rFonts w:hint="eastAsia" w:ascii="宋体" w:hAnsi="宋体" w:cs="宋体"/>
                <w:color w:val="auto"/>
                <w:highlight w:val="none"/>
                <w:lang w:val="en-US" w:eastAsia="zh-CN"/>
              </w:rPr>
            </w:pPr>
            <w:r>
              <w:rPr>
                <w:rFonts w:hint="eastAsia" w:ascii="宋体" w:hAnsi="宋体" w:cs="宋体"/>
                <w:color w:val="auto"/>
                <w:highlight w:val="none"/>
                <w:lang w:val="en-US" w:eastAsia="zh-CN"/>
              </w:rPr>
              <w:t>（一）缴纳标准：中标（成交）供应商为中小企业的，按项目中标（成交）金额的2%收取；其他企业按项目中标（成交）金额的5%收取。（备注：中小企业认定严格按照《政府采购促进中小企业发展管理办法》（财库〔2020〕46号）及《中小企业划型标准规定》（工信部联企业〔2011〕300号）相关规定执行，项目以中标（成交）供应商自行出具的《中小企业声明函》作为认定依据。中标（成交）供应商须对自身企业类型声明的真实性、合法性、有效性承担全部责任，存在虚假声明的，视同违约，采购人将依规追究其相应责任）。</w:t>
            </w:r>
          </w:p>
          <w:p w14:paraId="1C8FCB01">
            <w:pPr>
              <w:spacing w:line="25" w:lineRule="atLeast"/>
              <w:ind w:left="0" w:leftChars="0" w:firstLine="0" w:firstLineChars="0"/>
              <w:contextualSpacing w:val="0"/>
              <w:rPr>
                <w:rFonts w:hint="eastAsia" w:ascii="宋体" w:hAnsi="宋体" w:cs="宋体"/>
                <w:color w:val="auto"/>
                <w:highlight w:val="none"/>
                <w:lang w:val="en-US" w:eastAsia="zh-CN"/>
              </w:rPr>
            </w:pPr>
            <w:r>
              <w:rPr>
                <w:rFonts w:hint="eastAsia" w:ascii="宋体" w:hAnsi="宋体" w:cs="宋体"/>
                <w:color w:val="auto"/>
                <w:highlight w:val="none"/>
                <w:lang w:val="en-US" w:eastAsia="zh-CN"/>
              </w:rPr>
              <w:t>（二）缴纳方式：须通过银行转账、支票、汇票、本票或金融机构、担保机构出具的保函等非现金方式缴纳。采用银行转账等方式的，须转入采购人指定账户。</w:t>
            </w:r>
          </w:p>
          <w:p w14:paraId="559DAB03">
            <w:pPr>
              <w:spacing w:line="25" w:lineRule="atLeast"/>
              <w:ind w:left="0" w:leftChars="0" w:firstLine="0" w:firstLineChars="0"/>
              <w:contextualSpacing w:val="0"/>
              <w:rPr>
                <w:rFonts w:hint="eastAsia" w:ascii="宋体" w:hAnsi="宋体" w:cs="宋体"/>
                <w:color w:val="auto"/>
                <w:highlight w:val="none"/>
                <w:lang w:val="en-US" w:eastAsia="zh-CN"/>
              </w:rPr>
            </w:pPr>
            <w:r>
              <w:rPr>
                <w:rFonts w:hint="eastAsia" w:ascii="宋体" w:hAnsi="宋体" w:cs="宋体"/>
                <w:color w:val="auto"/>
                <w:highlight w:val="none"/>
                <w:lang w:val="en-US" w:eastAsia="zh-CN"/>
              </w:rPr>
              <w:t>指定账户信息：</w:t>
            </w:r>
          </w:p>
          <w:p w14:paraId="4402FE7F">
            <w:pPr>
              <w:spacing w:line="25" w:lineRule="atLeast"/>
              <w:ind w:left="0" w:leftChars="0" w:firstLine="0" w:firstLineChars="0"/>
              <w:contextualSpacing w:val="0"/>
              <w:rPr>
                <w:rFonts w:hint="eastAsia" w:ascii="宋体" w:hAnsi="宋体" w:cs="宋体"/>
                <w:color w:val="auto"/>
                <w:highlight w:val="none"/>
                <w:lang w:val="en-US" w:eastAsia="zh-CN"/>
              </w:rPr>
            </w:pPr>
            <w:r>
              <w:rPr>
                <w:rFonts w:hint="eastAsia" w:ascii="宋体" w:hAnsi="宋体" w:cs="宋体"/>
                <w:color w:val="auto"/>
                <w:highlight w:val="none"/>
                <w:lang w:val="en-US" w:eastAsia="zh-CN"/>
              </w:rPr>
              <w:t>户名：桂林师范学院；</w:t>
            </w:r>
          </w:p>
          <w:p w14:paraId="49AC0AC4">
            <w:pPr>
              <w:spacing w:line="25" w:lineRule="atLeast"/>
              <w:ind w:left="0" w:leftChars="0" w:firstLine="0" w:firstLineChars="0"/>
              <w:contextualSpacing w:val="0"/>
              <w:rPr>
                <w:rFonts w:hint="eastAsia" w:ascii="宋体" w:hAnsi="宋体" w:cs="宋体"/>
                <w:color w:val="auto"/>
                <w:highlight w:val="none"/>
                <w:lang w:val="en-US" w:eastAsia="zh-CN"/>
              </w:rPr>
            </w:pPr>
            <w:r>
              <w:rPr>
                <w:rFonts w:hint="eastAsia" w:ascii="宋体" w:hAnsi="宋体" w:cs="宋体"/>
                <w:color w:val="auto"/>
                <w:highlight w:val="none"/>
                <w:lang w:val="en-US" w:eastAsia="zh-CN"/>
              </w:rPr>
              <w:t>账号：20205101040000787；</w:t>
            </w:r>
          </w:p>
          <w:p w14:paraId="5C14B577">
            <w:pPr>
              <w:spacing w:line="25" w:lineRule="atLeast"/>
              <w:ind w:left="0" w:leftChars="0" w:firstLine="0" w:firstLineChars="0"/>
              <w:contextualSpacing w:val="0"/>
              <w:rPr>
                <w:rFonts w:hint="eastAsia" w:ascii="宋体" w:hAnsi="宋体" w:cs="宋体"/>
                <w:color w:val="auto"/>
                <w:highlight w:val="none"/>
                <w:lang w:val="en-US" w:eastAsia="zh-CN"/>
              </w:rPr>
            </w:pPr>
            <w:r>
              <w:rPr>
                <w:rFonts w:hint="eastAsia" w:ascii="宋体" w:hAnsi="宋体" w:cs="宋体"/>
                <w:color w:val="auto"/>
                <w:highlight w:val="none"/>
                <w:lang w:val="en-US" w:eastAsia="zh-CN"/>
              </w:rPr>
              <w:t>开户行：中国农业银行桂林分行营业部；</w:t>
            </w:r>
          </w:p>
          <w:p w14:paraId="1AEB7712">
            <w:pPr>
              <w:spacing w:line="25" w:lineRule="atLeast"/>
              <w:ind w:left="0" w:leftChars="0" w:firstLine="0" w:firstLineChars="0"/>
              <w:contextualSpacing w:val="0"/>
              <w:rPr>
                <w:rFonts w:hint="eastAsia" w:ascii="宋体" w:hAnsi="宋体" w:cs="宋体"/>
                <w:color w:val="auto"/>
                <w:highlight w:val="none"/>
                <w:lang w:val="en-US" w:eastAsia="zh-CN"/>
              </w:rPr>
            </w:pPr>
            <w:r>
              <w:rPr>
                <w:rFonts w:hint="eastAsia" w:ascii="宋体" w:hAnsi="宋体" w:cs="宋体"/>
                <w:color w:val="auto"/>
                <w:highlight w:val="none"/>
                <w:lang w:val="en-US" w:eastAsia="zh-CN"/>
              </w:rPr>
              <w:t>转账时备注“项目名称（项目编号）+履约保证金”。</w:t>
            </w:r>
          </w:p>
          <w:p w14:paraId="0F34314E">
            <w:pPr>
              <w:spacing w:line="25" w:lineRule="atLeast"/>
              <w:ind w:left="0" w:leftChars="0" w:firstLine="0" w:firstLineChars="0"/>
              <w:contextualSpacing w:val="0"/>
              <w:rPr>
                <w:rFonts w:hint="eastAsia" w:ascii="宋体" w:hAnsi="宋体" w:cs="宋体"/>
                <w:color w:val="auto"/>
                <w:highlight w:val="none"/>
                <w:lang w:val="en-US" w:eastAsia="zh-CN"/>
              </w:rPr>
            </w:pPr>
            <w:r>
              <w:rPr>
                <w:rFonts w:hint="eastAsia" w:ascii="宋体" w:hAnsi="宋体" w:cs="宋体"/>
                <w:color w:val="auto"/>
                <w:highlight w:val="none"/>
                <w:lang w:val="en-US" w:eastAsia="zh-CN"/>
              </w:rPr>
              <w:t>（三）退付规定：</w:t>
            </w:r>
          </w:p>
          <w:p w14:paraId="2276A843">
            <w:pPr>
              <w:spacing w:line="25" w:lineRule="atLeast"/>
              <w:ind w:left="0" w:leftChars="0" w:firstLine="0" w:firstLineChars="0"/>
              <w:contextualSpacing w:val="0"/>
              <w:rPr>
                <w:rFonts w:hint="eastAsia" w:ascii="宋体" w:hAnsi="宋体" w:cs="宋体"/>
                <w:color w:val="auto"/>
                <w:highlight w:val="none"/>
                <w:lang w:val="en-US" w:eastAsia="zh-CN"/>
              </w:rPr>
            </w:pPr>
            <w:r>
              <w:rPr>
                <w:rFonts w:hint="eastAsia" w:ascii="宋体" w:hAnsi="宋体" w:cs="宋体"/>
                <w:color w:val="auto"/>
                <w:highlight w:val="none"/>
                <w:lang w:val="en-US" w:eastAsia="zh-CN"/>
              </w:rPr>
              <w:t>（1）不予退付情形。</w:t>
            </w:r>
          </w:p>
          <w:p w14:paraId="7A17069C">
            <w:pPr>
              <w:spacing w:line="25" w:lineRule="atLeast"/>
              <w:ind w:left="0" w:leftChars="0" w:firstLine="0" w:firstLineChars="0"/>
              <w:contextualSpacing w:val="0"/>
              <w:rPr>
                <w:rFonts w:hint="eastAsia" w:ascii="宋体" w:hAnsi="宋体" w:cs="宋体"/>
                <w:color w:val="auto"/>
                <w:highlight w:val="none"/>
                <w:lang w:val="en-US" w:eastAsia="zh-CN"/>
              </w:rPr>
            </w:pPr>
            <w:r>
              <w:rPr>
                <w:rFonts w:hint="eastAsia" w:ascii="宋体" w:hAnsi="宋体" w:cs="宋体"/>
                <w:color w:val="auto"/>
                <w:highlight w:val="none"/>
                <w:lang w:val="en-US" w:eastAsia="zh-CN"/>
              </w:rPr>
              <w:t>中标（成交）供应商未按合同约定全面履行履约义务、存在违约行为，或项目存在未整改完毕的质量问题的，履约保证金不予退还。</w:t>
            </w:r>
          </w:p>
          <w:p w14:paraId="57F4DE70">
            <w:pPr>
              <w:spacing w:line="25" w:lineRule="atLeast"/>
              <w:ind w:left="0" w:leftChars="0" w:firstLine="0" w:firstLineChars="0"/>
              <w:contextualSpacing w:val="0"/>
              <w:rPr>
                <w:rFonts w:hint="eastAsia" w:ascii="宋体" w:hAnsi="宋体" w:cs="宋体"/>
                <w:color w:val="auto"/>
                <w:highlight w:val="none"/>
                <w:lang w:val="en-US" w:eastAsia="zh-CN"/>
              </w:rPr>
            </w:pPr>
            <w:r>
              <w:rPr>
                <w:rFonts w:hint="eastAsia" w:ascii="宋体" w:hAnsi="宋体" w:cs="宋体"/>
                <w:color w:val="auto"/>
                <w:highlight w:val="none"/>
                <w:lang w:val="en-US" w:eastAsia="zh-CN"/>
              </w:rPr>
              <w:t>（2）无息退付情形。</w:t>
            </w:r>
          </w:p>
          <w:p w14:paraId="17C830FE">
            <w:pPr>
              <w:spacing w:line="25" w:lineRule="atLeast"/>
              <w:ind w:left="0" w:leftChars="0" w:firstLine="0" w:firstLineChars="0"/>
              <w:contextualSpacing w:val="0"/>
              <w:rPr>
                <w:rFonts w:hint="eastAsia" w:ascii="宋体" w:hAnsi="宋体" w:cs="宋体"/>
                <w:color w:val="auto"/>
                <w:highlight w:val="none"/>
                <w:lang w:val="en-US" w:eastAsia="zh-CN"/>
              </w:rPr>
            </w:pPr>
            <w:r>
              <w:rPr>
                <w:rFonts w:hint="eastAsia" w:ascii="宋体" w:hAnsi="宋体" w:cs="宋体"/>
                <w:color w:val="auto"/>
                <w:highlight w:val="none"/>
                <w:lang w:val="en-US" w:eastAsia="zh-CN"/>
              </w:rPr>
              <w:t>待中标（成交）供应商履行完合同约定的权利义务事项后不存在争议的，中标（成交）供应商可凭验收合格资料、履约保证金退付申请书、履约保证金缴费凭证（转账回执等），向采购人申请办理退费手续。采购人收到中标（成交）供应商完整、合规的书面退费资料完成审核后，采购人在5个工作日内办理履约保证金退还手续。</w:t>
            </w:r>
          </w:p>
          <w:p w14:paraId="12D820FA">
            <w:pPr>
              <w:spacing w:line="25" w:lineRule="atLeast"/>
              <w:ind w:left="0" w:leftChars="0" w:firstLine="0" w:firstLineChars="0"/>
              <w:contextualSpacing w:val="0"/>
              <w:rPr>
                <w:rFonts w:hint="eastAsia" w:ascii="宋体" w:hAnsi="宋体" w:cs="宋体"/>
                <w:color w:val="auto"/>
                <w:highlight w:val="none"/>
                <w:lang w:val="en-US" w:eastAsia="zh-CN"/>
              </w:rPr>
            </w:pPr>
            <w:r>
              <w:rPr>
                <w:rFonts w:hint="eastAsia" w:ascii="宋体" w:hAnsi="宋体" w:cs="宋体"/>
                <w:color w:val="auto"/>
                <w:highlight w:val="none"/>
                <w:lang w:val="en-US" w:eastAsia="zh-CN"/>
              </w:rPr>
              <w:t>（3）责任界定。</w:t>
            </w:r>
          </w:p>
          <w:p w14:paraId="5D5212AF">
            <w:pPr>
              <w:spacing w:line="25" w:lineRule="atLeast"/>
              <w:rPr>
                <w:rFonts w:hint="eastAsia" w:ascii="宋体" w:hAnsi="宋体" w:eastAsia="宋体" w:cs="宋体"/>
                <w:color w:val="auto"/>
                <w:sz w:val="21"/>
                <w:szCs w:val="21"/>
                <w:highlight w:val="none"/>
                <w:lang w:val="en-US"/>
              </w:rPr>
            </w:pPr>
            <w:r>
              <w:rPr>
                <w:rFonts w:hint="eastAsia" w:ascii="宋体" w:hAnsi="宋体" w:cs="宋体"/>
                <w:color w:val="auto"/>
                <w:highlight w:val="none"/>
                <w:lang w:val="en-US" w:eastAsia="zh-CN"/>
              </w:rPr>
              <w:t xml:space="preserve">因中标（成交）供应商自身原因，未按时提交退费申请、提交的退费资料不完整、不合规等，导致保证金无法按期退还的，所有逾期责任及相关风险由中标（成交）供应商自行承担，采购人不承担任何责任。 </w:t>
            </w:r>
          </w:p>
        </w:tc>
      </w:tr>
      <w:tr w14:paraId="20810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02" w:type="pct"/>
            <w:noWrap w:val="0"/>
            <w:vAlign w:val="center"/>
          </w:tcPr>
          <w:p w14:paraId="47F0DDD8">
            <w:pPr>
              <w:widowControl/>
              <w:spacing w:line="25" w:lineRule="atLeas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验收标准、要求</w:t>
            </w:r>
          </w:p>
        </w:tc>
        <w:tc>
          <w:tcPr>
            <w:tcW w:w="4097" w:type="pct"/>
            <w:noWrap w:val="0"/>
            <w:vAlign w:val="center"/>
          </w:tcPr>
          <w:p w14:paraId="67EC01E5">
            <w:pPr>
              <w:spacing w:line="25" w:lineRule="atLeast"/>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1、设备安装前，采购人现场根据竞争性谈判文件要求及响应文件承诺逐条对应进行核验，核验不合格的，采购人有权终止合同执行并全部退货，同时上报政府采购监督管理部门。采购人依法追偿该成交供应商所造成的损失。</w:t>
            </w:r>
          </w:p>
          <w:p w14:paraId="52EE566F">
            <w:pPr>
              <w:spacing w:line="25" w:lineRule="atLeast"/>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2、采购人如需要原厂原件存档，相关获取成本、沟通协调工作由供应商自行承担。供应商若无法提供原厂原件的，须提供原厂官方可核验电子版、官网查询路径，并出具加盖自身公章的兜底服务承诺，保证原厂同等质保效力，否则不予验收。在保修期内如发现货物有其它潜在缺陷及用户使用后发现存在不符合投标承诺的标准的，采购人有权退货或向成交供应商索赔。</w:t>
            </w:r>
          </w:p>
        </w:tc>
      </w:tr>
      <w:tr w14:paraId="285B6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02" w:type="pct"/>
            <w:noWrap w:val="0"/>
            <w:vAlign w:val="center"/>
          </w:tcPr>
          <w:p w14:paraId="58219A5E">
            <w:pPr>
              <w:widowControl/>
              <w:spacing w:line="25" w:lineRule="atLeast"/>
              <w:jc w:val="center"/>
              <w:rPr>
                <w:rFonts w:hint="eastAsia" w:ascii="宋体" w:hAnsi="宋体" w:eastAsia="宋体" w:cs="宋体"/>
                <w:color w:val="auto"/>
                <w:szCs w:val="21"/>
                <w:highlight w:val="none"/>
              </w:rPr>
            </w:pPr>
            <w:r>
              <w:rPr>
                <w:rFonts w:hint="eastAsia" w:ascii="宋体" w:hAnsi="宋体" w:eastAsia="宋体" w:cs="宋体"/>
                <w:color w:val="auto"/>
                <w:highlight w:val="none"/>
              </w:rPr>
              <w:t>报价要求</w:t>
            </w:r>
          </w:p>
        </w:tc>
        <w:tc>
          <w:tcPr>
            <w:tcW w:w="4097" w:type="pct"/>
            <w:shd w:val="clear" w:color="auto" w:fill="auto"/>
            <w:noWrap w:val="0"/>
            <w:vAlign w:val="center"/>
          </w:tcPr>
          <w:p w14:paraId="20B90EF0">
            <w:pPr>
              <w:wordWrap/>
              <w:spacing w:line="25" w:lineRule="atLeast"/>
              <w:jc w:val="left"/>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本项目实行费用包干制，竞谈报价应包括但不限于：完成采购货物实施所需的费用（包含采购范围内的货物及服务价格、升级、培训、技术支持、售后服务、安装调试等）、和各项税金等完成本项目所产生的全部费用。供应商在报价时应考虑各方面因素、各种风险和自己的承受能力，报价中应包含全部内容，成交后采购人不再另行支付额外费用。</w:t>
            </w:r>
          </w:p>
        </w:tc>
      </w:tr>
      <w:tr w14:paraId="56E74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02" w:type="pct"/>
            <w:noWrap w:val="0"/>
            <w:vAlign w:val="center"/>
          </w:tcPr>
          <w:p w14:paraId="47B85662">
            <w:pPr>
              <w:widowControl/>
              <w:spacing w:line="25" w:lineRule="atLeast"/>
              <w:jc w:val="center"/>
              <w:rPr>
                <w:rFonts w:hint="eastAsia" w:ascii="宋体" w:hAnsi="宋体" w:eastAsia="宋体" w:cs="宋体"/>
                <w:color w:val="auto"/>
                <w:highlight w:val="none"/>
              </w:rPr>
            </w:pPr>
            <w:r>
              <w:rPr>
                <w:rFonts w:hint="eastAsia" w:ascii="宋体" w:hAnsi="宋体" w:eastAsia="宋体" w:cs="宋体"/>
                <w:color w:val="auto"/>
                <w:szCs w:val="21"/>
                <w:highlight w:val="none"/>
              </w:rPr>
              <w:t>其他要求</w:t>
            </w:r>
          </w:p>
        </w:tc>
        <w:tc>
          <w:tcPr>
            <w:tcW w:w="4097" w:type="pct"/>
            <w:noWrap w:val="0"/>
            <w:vAlign w:val="center"/>
          </w:tcPr>
          <w:p w14:paraId="3F754B21">
            <w:pPr>
              <w:spacing w:line="25" w:lineRule="atLeast"/>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1、核心产品：第</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val="en-US"/>
              </w:rPr>
              <w:t>项货物</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rPr>
              <w:t>AI考试（在线）系统</w:t>
            </w:r>
            <w:r>
              <w:rPr>
                <w:rFonts w:hint="eastAsia" w:ascii="宋体" w:hAnsi="宋体" w:eastAsia="宋体" w:cs="宋体"/>
                <w:color w:val="auto"/>
                <w:sz w:val="21"/>
                <w:szCs w:val="21"/>
                <w:highlight w:val="none"/>
                <w:lang w:val="en-US" w:eastAsia="zh-CN"/>
              </w:rPr>
              <w:t>”</w:t>
            </w:r>
          </w:p>
          <w:p w14:paraId="5896E178">
            <w:pPr>
              <w:spacing w:line="25" w:lineRule="atLeast"/>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2、本项目</w:t>
            </w:r>
            <w:r>
              <w:rPr>
                <w:rFonts w:hint="eastAsia" w:ascii="宋体" w:hAnsi="宋体" w:eastAsia="宋体" w:cs="宋体"/>
                <w:color w:val="auto"/>
                <w:sz w:val="21"/>
                <w:szCs w:val="21"/>
                <w:highlight w:val="none"/>
                <w:lang w:val="en-US" w:eastAsia="zh-CN"/>
              </w:rPr>
              <w:t>的</w:t>
            </w:r>
            <w:r>
              <w:rPr>
                <w:rFonts w:hint="eastAsia" w:ascii="宋体" w:hAnsi="宋体" w:eastAsia="宋体" w:cs="宋体"/>
                <w:color w:val="auto"/>
                <w:sz w:val="21"/>
                <w:szCs w:val="21"/>
                <w:highlight w:val="none"/>
                <w:lang w:val="en-US"/>
              </w:rPr>
              <w:t>采购预算金额为人民币（大写）：</w:t>
            </w:r>
            <w:r>
              <w:rPr>
                <w:rFonts w:hint="eastAsia" w:ascii="宋体" w:hAnsi="宋体" w:eastAsia="宋体" w:cs="宋体"/>
                <w:color w:val="auto"/>
                <w:sz w:val="21"/>
                <w:szCs w:val="21"/>
                <w:highlight w:val="none"/>
                <w:lang w:val="en-US" w:eastAsia="zh-CN"/>
              </w:rPr>
              <w:t>壹佰叁拾陆万玖仟元整（¥1369000.00元）</w:t>
            </w:r>
            <w:r>
              <w:rPr>
                <w:rFonts w:hint="eastAsia" w:ascii="宋体" w:hAnsi="宋体" w:eastAsia="宋体" w:cs="宋体"/>
                <w:color w:val="auto"/>
                <w:sz w:val="21"/>
                <w:szCs w:val="21"/>
                <w:highlight w:val="none"/>
                <w:lang w:val="en-US"/>
              </w:rPr>
              <w:t>，最后报价超出采购预算金额的将被视为响应文件无效。</w:t>
            </w:r>
          </w:p>
          <w:p w14:paraId="7B964D0B">
            <w:pPr>
              <w:spacing w:line="25" w:lineRule="atLeast"/>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3、本</w:t>
            </w:r>
            <w:r>
              <w:rPr>
                <w:rFonts w:hint="eastAsia" w:ascii="宋体" w:hAnsi="宋体" w:cs="宋体"/>
                <w:color w:val="auto"/>
                <w:sz w:val="21"/>
                <w:szCs w:val="21"/>
                <w:highlight w:val="none"/>
                <w:lang w:val="en-US" w:eastAsia="zh-CN"/>
              </w:rPr>
              <w:t>项目</w:t>
            </w:r>
            <w:r>
              <w:rPr>
                <w:rFonts w:hint="eastAsia" w:ascii="宋体" w:hAnsi="宋体" w:eastAsia="宋体" w:cs="宋体"/>
                <w:color w:val="auto"/>
                <w:sz w:val="21"/>
                <w:szCs w:val="21"/>
                <w:highlight w:val="none"/>
                <w:lang w:val="en-US"/>
              </w:rPr>
              <w:t>中</w:t>
            </w:r>
            <w:r>
              <w:rPr>
                <w:rFonts w:hint="eastAsia" w:ascii="宋体" w:hAnsi="宋体" w:eastAsia="宋体" w:cs="宋体"/>
                <w:color w:val="auto"/>
                <w:sz w:val="21"/>
                <w:szCs w:val="21"/>
                <w:highlight w:val="none"/>
                <w:lang w:val="en-US" w:eastAsia="zh-CN"/>
              </w:rPr>
              <w:t>技术规格需求</w:t>
            </w:r>
            <w:r>
              <w:rPr>
                <w:rFonts w:hint="eastAsia" w:ascii="宋体" w:hAnsi="宋体" w:eastAsia="宋体" w:cs="宋体"/>
                <w:color w:val="auto"/>
                <w:sz w:val="21"/>
                <w:szCs w:val="21"/>
                <w:highlight w:val="none"/>
                <w:lang w:val="en-US"/>
              </w:rPr>
              <w:t>所有条款及商务要求均为实质性要求，</w:t>
            </w:r>
            <w:r>
              <w:rPr>
                <w:rFonts w:hint="eastAsia" w:ascii="宋体" w:hAnsi="宋体" w:eastAsia="宋体" w:cs="宋体"/>
                <w:color w:val="auto"/>
                <w:sz w:val="21"/>
                <w:szCs w:val="21"/>
                <w:highlight w:val="none"/>
                <w:lang w:val="en-US" w:eastAsia="zh-CN"/>
              </w:rPr>
              <w:t>投标</w:t>
            </w:r>
            <w:r>
              <w:rPr>
                <w:rFonts w:hint="eastAsia" w:ascii="宋体" w:hAnsi="宋体" w:eastAsia="宋体" w:cs="宋体"/>
                <w:color w:val="auto"/>
                <w:sz w:val="21"/>
                <w:szCs w:val="21"/>
                <w:highlight w:val="none"/>
                <w:lang w:val="en-US"/>
              </w:rPr>
              <w:t>时必须响应，若有任意一项负偏离，作响应文件无效处理。</w:t>
            </w:r>
          </w:p>
          <w:p w14:paraId="091B1A85">
            <w:pPr>
              <w:rPr>
                <w:color w:val="auto"/>
                <w:highlight w:val="none"/>
              </w:rPr>
            </w:pPr>
            <w:r>
              <w:rPr>
                <w:rFonts w:hint="eastAsia" w:ascii="宋体" w:hAnsi="宋体" w:eastAsia="宋体" w:cs="宋体"/>
                <w:color w:val="auto"/>
                <w:sz w:val="21"/>
                <w:szCs w:val="21"/>
                <w:highlight w:val="none"/>
                <w:lang w:val="en-US"/>
              </w:rPr>
              <w:t>4、本项目涉及的货物不接受进口产品（即通过中国海关报关验放进入中国境内且产自关境外的产品）参与竞谈，若有此类产品参与竞谈的，按响应文件无效处理。</w:t>
            </w:r>
          </w:p>
          <w:p w14:paraId="5A1A7C5A">
            <w:pPr>
              <w:rPr>
                <w:rFonts w:hint="default" w:eastAsia="宋体"/>
                <w:color w:val="auto"/>
                <w:highlight w:val="none"/>
                <w:lang w:val="en-US" w:eastAsia="zh-CN"/>
              </w:rPr>
            </w:pPr>
            <w:r>
              <w:rPr>
                <w:rFonts w:hint="eastAsia" w:ascii="宋体" w:hAnsi="宋体" w:cs="宋体"/>
                <w:b w:val="0"/>
                <w:bCs w:val="0"/>
                <w:color w:val="auto"/>
                <w:sz w:val="21"/>
                <w:szCs w:val="21"/>
                <w:highlight w:val="none"/>
                <w:lang w:val="en-US" w:eastAsia="zh-CN"/>
              </w:rPr>
              <w:t>5、本项目属于软件和信息技术服务业</w:t>
            </w:r>
          </w:p>
        </w:tc>
      </w:tr>
    </w:tbl>
    <w:p w14:paraId="28DEE090">
      <w:pPr>
        <w:rPr>
          <w:rStyle w:val="254"/>
          <w:rFonts w:hint="eastAsia" w:ascii="宋体" w:hAnsi="宋体" w:cs="宋体"/>
          <w:color w:val="auto"/>
          <w:sz w:val="32"/>
          <w:szCs w:val="32"/>
          <w:highlight w:val="none"/>
          <w:lang w:val="en-US" w:eastAsia="zh-CN"/>
        </w:rPr>
      </w:pPr>
      <w:r>
        <w:rPr>
          <w:rStyle w:val="254"/>
          <w:rFonts w:hint="eastAsia" w:ascii="宋体" w:hAnsi="宋体" w:cs="宋体"/>
          <w:color w:val="auto"/>
          <w:sz w:val="32"/>
          <w:szCs w:val="32"/>
          <w:highlight w:val="none"/>
          <w:lang w:val="en-US" w:eastAsia="zh-CN"/>
        </w:rPr>
        <w:br w:type="page"/>
      </w:r>
    </w:p>
    <w:p w14:paraId="5FD688A4">
      <w:pPr>
        <w:pStyle w:val="2"/>
        <w:spacing w:line="240" w:lineRule="auto"/>
        <w:ind w:firstLine="3840"/>
        <w:jc w:val="both"/>
        <w:rPr>
          <w:rFonts w:hint="eastAsia" w:eastAsia="宋体" w:cs="Times New Roman"/>
          <w:color w:val="auto"/>
          <w:sz w:val="32"/>
          <w:szCs w:val="32"/>
          <w:highlight w:val="none"/>
          <w:lang w:eastAsia="zh-CN"/>
        </w:rPr>
      </w:pPr>
      <w:r>
        <w:rPr>
          <w:rFonts w:hint="eastAsia"/>
          <w:color w:val="auto"/>
          <w:sz w:val="32"/>
          <w:szCs w:val="32"/>
          <w:highlight w:val="none"/>
        </w:rPr>
        <w:t>第四章 评审办法</w:t>
      </w:r>
      <w:bookmarkEnd w:id="571"/>
      <w:bookmarkEnd w:id="572"/>
      <w:bookmarkEnd w:id="573"/>
      <w:bookmarkEnd w:id="574"/>
      <w:bookmarkEnd w:id="575"/>
      <w:bookmarkEnd w:id="576"/>
      <w:bookmarkEnd w:id="577"/>
      <w:bookmarkEnd w:id="578"/>
      <w:bookmarkEnd w:id="579"/>
      <w:bookmarkEnd w:id="580"/>
      <w:bookmarkEnd w:id="581"/>
      <w:bookmarkEnd w:id="582"/>
    </w:p>
    <w:p w14:paraId="35CD4BC1">
      <w:pPr>
        <w:spacing w:line="360" w:lineRule="auto"/>
        <w:ind w:firstLine="420"/>
        <w:rPr>
          <w:b/>
          <w:bCs/>
          <w:color w:val="auto"/>
          <w:highlight w:val="none"/>
        </w:rPr>
      </w:pPr>
      <w:r>
        <w:rPr>
          <w:rFonts w:hint="eastAsia"/>
          <w:b/>
          <w:bCs/>
          <w:color w:val="auto"/>
          <w:highlight w:val="none"/>
        </w:rPr>
        <w:t>一、评审依据</w:t>
      </w:r>
    </w:p>
    <w:p w14:paraId="508D38E6">
      <w:pPr>
        <w:spacing w:line="360" w:lineRule="auto"/>
        <w:ind w:firstLine="420"/>
        <w:rPr>
          <w:rFonts w:ascii="宋体" w:cs="宋体"/>
          <w:color w:val="auto"/>
          <w:szCs w:val="21"/>
          <w:highlight w:val="none"/>
        </w:rPr>
      </w:pPr>
      <w:r>
        <w:rPr>
          <w:rFonts w:ascii="宋体" w:hAnsi="宋体" w:cs="宋体"/>
          <w:color w:val="auto"/>
          <w:szCs w:val="21"/>
          <w:highlight w:val="none"/>
        </w:rPr>
        <w:t xml:space="preserve">1. </w:t>
      </w:r>
      <w:r>
        <w:rPr>
          <w:rFonts w:hint="eastAsia" w:ascii="宋体" w:hAnsi="宋体" w:cs="宋体"/>
          <w:color w:val="auto"/>
          <w:szCs w:val="21"/>
          <w:highlight w:val="none"/>
        </w:rPr>
        <w:t>评审依据：谈判小组以谈判文件和响应文件为评审依据。</w:t>
      </w:r>
    </w:p>
    <w:p w14:paraId="648EE38C">
      <w:pPr>
        <w:spacing w:line="360" w:lineRule="auto"/>
        <w:ind w:firstLine="420"/>
        <w:rPr>
          <w:rFonts w:ascii="宋体" w:cs="宋体"/>
          <w:color w:val="auto"/>
          <w:szCs w:val="21"/>
          <w:highlight w:val="none"/>
        </w:rPr>
      </w:pPr>
      <w:r>
        <w:rPr>
          <w:rFonts w:ascii="宋体" w:hAnsi="宋体" w:cs="宋体"/>
          <w:color w:val="auto"/>
          <w:szCs w:val="21"/>
          <w:highlight w:val="none"/>
        </w:rPr>
        <w:t xml:space="preserve">2. </w:t>
      </w:r>
      <w:r>
        <w:rPr>
          <w:rFonts w:hint="eastAsia" w:ascii="宋体" w:hAnsi="宋体" w:cs="宋体"/>
          <w:color w:val="auto"/>
          <w:szCs w:val="21"/>
          <w:highlight w:val="none"/>
        </w:rPr>
        <w:t>采购人和采购代理机构、竞争性谈判小组成员要严格遵守政府采购相关法律制度，依法履行各自职责，公正、客观、审慎地组织和参与评审工作。</w:t>
      </w:r>
    </w:p>
    <w:p w14:paraId="556755E3">
      <w:pPr>
        <w:ind w:firstLine="420"/>
        <w:rPr>
          <w:b/>
          <w:bCs/>
          <w:color w:val="auto"/>
          <w:highlight w:val="none"/>
        </w:rPr>
      </w:pPr>
      <w:r>
        <w:rPr>
          <w:rFonts w:hint="eastAsia"/>
          <w:b/>
          <w:bCs/>
          <w:color w:val="auto"/>
          <w:highlight w:val="none"/>
        </w:rPr>
        <w:t>二、评审办法</w:t>
      </w:r>
    </w:p>
    <w:p w14:paraId="099CD48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一</w:t>
      </w:r>
      <w:r>
        <w:rPr>
          <w:rFonts w:hint="eastAsia" w:ascii="宋体" w:hAnsi="宋体" w:cs="宋体"/>
          <w:color w:val="auto"/>
          <w:szCs w:val="21"/>
          <w:highlight w:val="none"/>
          <w:lang w:eastAsia="zh-CN"/>
        </w:rPr>
        <w:t>）</w:t>
      </w:r>
      <w:r>
        <w:rPr>
          <w:rFonts w:ascii="宋体" w:hAnsi="宋体" w:cs="宋体"/>
          <w:color w:val="auto"/>
          <w:szCs w:val="21"/>
          <w:highlight w:val="none"/>
        </w:rPr>
        <w:t xml:space="preserve"> </w:t>
      </w:r>
      <w:r>
        <w:rPr>
          <w:rFonts w:hint="eastAsia" w:ascii="宋体" w:hAnsi="宋体" w:cs="宋体"/>
          <w:color w:val="auto"/>
          <w:szCs w:val="21"/>
          <w:highlight w:val="none"/>
        </w:rPr>
        <w:t>谈判小组应当从质量和服务均能满足竞争性谈判文件全部实质性响应要求的供应商中，按照评审报价由低到高顺序提出</w:t>
      </w:r>
      <w:r>
        <w:rPr>
          <w:rFonts w:ascii="宋体" w:hAnsi="宋体" w:cs="宋体"/>
          <w:color w:val="auto"/>
          <w:szCs w:val="21"/>
          <w:highlight w:val="none"/>
        </w:rPr>
        <w:t>3</w:t>
      </w:r>
      <w:r>
        <w:rPr>
          <w:rFonts w:hint="eastAsia" w:ascii="宋体" w:hAnsi="宋体" w:cs="宋体"/>
          <w:color w:val="auto"/>
          <w:szCs w:val="21"/>
          <w:highlight w:val="none"/>
        </w:rPr>
        <w:t>名以上（含</w:t>
      </w:r>
      <w:r>
        <w:rPr>
          <w:rFonts w:ascii="宋体" w:hAnsi="宋体" w:cs="宋体"/>
          <w:color w:val="auto"/>
          <w:szCs w:val="21"/>
          <w:highlight w:val="none"/>
        </w:rPr>
        <w:t>3</w:t>
      </w:r>
      <w:r>
        <w:rPr>
          <w:rFonts w:hint="eastAsia" w:ascii="宋体" w:hAnsi="宋体" w:cs="宋体"/>
          <w:color w:val="auto"/>
          <w:szCs w:val="21"/>
          <w:highlight w:val="none"/>
        </w:rPr>
        <w:t>名）成交候选供应商。</w:t>
      </w:r>
    </w:p>
    <w:p w14:paraId="164019FB">
      <w:pPr>
        <w:spacing w:line="36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（二）政策性扣除</w:t>
      </w:r>
    </w:p>
    <w:p w14:paraId="65D8808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根据</w:t>
      </w:r>
      <w:r>
        <w:rPr>
          <w:rFonts w:hint="default" w:ascii="宋体" w:hAnsi="宋体" w:eastAsia="宋体" w:cs="宋体"/>
          <w:bCs w:val="0"/>
          <w:color w:val="auto"/>
          <w:szCs w:val="21"/>
          <w:highlight w:val="none"/>
          <w:lang w:eastAsia="zh-CN"/>
        </w:rPr>
        <w:t>《广西壮族自治区财政厅关于持续优化政府采购营商环境推动高质量发展的通知》（桂财采〔2024〕55号）</w:t>
      </w:r>
      <w:r>
        <w:rPr>
          <w:rFonts w:hint="eastAsia" w:ascii="宋体" w:hAnsi="宋体" w:eastAsia="宋体" w:cs="宋体"/>
          <w:bCs/>
          <w:color w:val="auto"/>
          <w:szCs w:val="21"/>
          <w:highlight w:val="none"/>
        </w:rPr>
        <w:t>的规定</w:t>
      </w:r>
      <w:r>
        <w:rPr>
          <w:rFonts w:hint="eastAsia" w:ascii="宋体" w:hAnsi="宋体" w:cs="宋体"/>
          <w:color w:val="auto"/>
          <w:szCs w:val="21"/>
          <w:highlight w:val="none"/>
        </w:rPr>
        <w:t>，凡符合《政府采购促进中小企业发展管理办法》（财库〔2020〕46号）规定条件且按该办法中规定的格式提供了《中小企业声明函》的小型和微型企业，对其最后报价给予20%的扣除，扣除后的价格为评审报价，即评审报价=最后报价</w:t>
      </w:r>
      <w:r>
        <w:rPr>
          <w:rFonts w:hint="eastAsia" w:ascii="宋体" w:hAnsi="宋体" w:cs="宋体"/>
          <w:color w:val="auto"/>
          <w:szCs w:val="21"/>
          <w:highlight w:val="none"/>
          <w:lang w:eastAsia="zh-CN"/>
        </w:rPr>
        <w:t>×</w:t>
      </w:r>
      <w:r>
        <w:rPr>
          <w:rFonts w:hint="eastAsia" w:ascii="宋体" w:hAnsi="宋体" w:cs="宋体"/>
          <w:color w:val="auto"/>
          <w:szCs w:val="21"/>
          <w:highlight w:val="none"/>
        </w:rPr>
        <w:t>（1-20%）。</w:t>
      </w:r>
    </w:p>
    <w:p w14:paraId="3FDC4A2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根据《关于政府采购支持监狱企业发展有关问题的通知》(财库〔2014〕68号)和《关于促进残疾人就业政府采购政策的通知》（财库〔2017〕141 号）</w:t>
      </w:r>
      <w:r>
        <w:rPr>
          <w:rFonts w:hint="eastAsia" w:ascii="宋体" w:hAnsi="宋体" w:eastAsia="宋体" w:cs="宋体"/>
          <w:bCs/>
          <w:color w:val="auto"/>
          <w:szCs w:val="21"/>
          <w:highlight w:val="none"/>
        </w:rPr>
        <w:t>的规定</w:t>
      </w:r>
      <w:r>
        <w:rPr>
          <w:rFonts w:hint="eastAsia" w:ascii="宋体" w:hAnsi="宋体" w:cs="宋体"/>
          <w:color w:val="auto"/>
          <w:szCs w:val="21"/>
          <w:highlight w:val="none"/>
          <w:lang w:eastAsia="zh-CN"/>
        </w:rPr>
        <w:t>，</w:t>
      </w:r>
      <w:r>
        <w:rPr>
          <w:rFonts w:hint="eastAsia" w:ascii="宋体" w:hAnsi="宋体" w:cs="宋体"/>
          <w:color w:val="auto"/>
          <w:szCs w:val="21"/>
          <w:highlight w:val="none"/>
        </w:rPr>
        <w:t>监狱企业和符合条件的残疾人福利性单位视同小型、微型企业，享受小型、微型企业评审中价格扣除的政府采购政策，不重复享受政策。监狱企业参加政府采购活动时，应当提供由省级以上监狱管理局、戒毒管理局(含新疆生产建设兵团)出具的属于监狱企业的证明文件；符合条件的残疾人福利性单位在参加政府采购活动时，应当提供本通知规定的《残疾人福利性单位声明函》，并对声明的真实性负责。</w:t>
      </w:r>
    </w:p>
    <w:p w14:paraId="024B2ABF">
      <w:pPr>
        <w:pStyle w:val="23"/>
        <w:spacing w:line="360" w:lineRule="auto"/>
        <w:ind w:firstLine="420"/>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3.根据《</w:t>
      </w:r>
      <w:r>
        <w:rPr>
          <w:rFonts w:hint="eastAsia" w:ascii="宋体" w:hAnsi="宋体" w:eastAsia="宋体" w:cs="宋体"/>
          <w:b/>
          <w:bCs/>
          <w:i w:val="0"/>
          <w:iCs w:val="0"/>
          <w:caps w:val="0"/>
          <w:color w:val="auto"/>
          <w:spacing w:val="0"/>
          <w:sz w:val="21"/>
          <w:szCs w:val="21"/>
          <w:highlight w:val="none"/>
          <w:shd w:val="clear" w:color="auto" w:fill="auto"/>
        </w:rPr>
        <w:t>国务院办公厅关于在政府采购中实施本国产品标准及相关政策的通知</w:t>
      </w:r>
      <w:r>
        <w:rPr>
          <w:rFonts w:hint="eastAsia" w:ascii="宋体" w:hAnsi="宋体" w:eastAsia="宋体" w:cs="宋体"/>
          <w:b/>
          <w:bCs/>
          <w:color w:val="auto"/>
          <w:sz w:val="21"/>
          <w:szCs w:val="21"/>
          <w:highlight w:val="none"/>
          <w:lang w:val="en-US" w:eastAsia="zh-CN"/>
        </w:rPr>
        <w:t>》（国办发〔2025〕34号）的规定，供应商在其响应文件中提供</w:t>
      </w:r>
      <w:r>
        <w:rPr>
          <w:rFonts w:hint="eastAsia" w:ascii="宋体" w:hAnsi="宋体" w:cs="宋体"/>
          <w:b/>
          <w:bCs/>
          <w:color w:val="auto"/>
          <w:sz w:val="21"/>
          <w:szCs w:val="21"/>
          <w:highlight w:val="none"/>
          <w:lang w:val="en-US" w:eastAsia="zh-CN"/>
        </w:rPr>
        <w:t>符合要求的</w:t>
      </w:r>
      <w:r>
        <w:rPr>
          <w:rFonts w:hint="eastAsia" w:ascii="宋体" w:hAnsi="宋体" w:eastAsia="宋体" w:cs="宋体"/>
          <w:b/>
          <w:bCs/>
          <w:color w:val="auto"/>
          <w:sz w:val="21"/>
          <w:szCs w:val="21"/>
          <w:highlight w:val="none"/>
          <w:lang w:val="en-US" w:eastAsia="zh-CN"/>
        </w:rPr>
        <w:t>《关于符合本国产品标准的声明函》或财政部会同有关部门规定的有关证明文件的，对其最后报价给予20%的扣除，扣除后的价格为评审价，即评审报价=最后报价×（1-20%）。（注：如所有参与竞争性谈判的供应商提供的都是本国产品，则不再执行该项价格评审优惠的扶持政策。）</w:t>
      </w:r>
    </w:p>
    <w:p w14:paraId="26A17725">
      <w:pPr>
        <w:spacing w:line="360" w:lineRule="auto"/>
        <w:ind w:firstLine="420"/>
        <w:rPr>
          <w:rFonts w:hint="eastAsia" w:ascii="宋体" w:hAnsi="宋体" w:cs="宋体"/>
          <w:b/>
          <w:bCs/>
          <w:color w:val="auto"/>
          <w:szCs w:val="21"/>
          <w:highlight w:val="none"/>
          <w:lang w:eastAsia="zh-CN"/>
        </w:rPr>
      </w:pPr>
      <w:r>
        <w:rPr>
          <w:rFonts w:hint="eastAsia" w:ascii="宋体" w:hAnsi="宋体" w:cs="宋体"/>
          <w:b/>
          <w:bCs/>
          <w:color w:val="auto"/>
          <w:szCs w:val="21"/>
          <w:highlight w:val="none"/>
        </w:rPr>
        <w:t>如供应商同时满足小微企业（含监狱企业和符合条件的残疾人福利性单位）和符合本国产品标准的企业，</w:t>
      </w:r>
      <w:r>
        <w:rPr>
          <w:rFonts w:hint="eastAsia" w:ascii="宋体" w:hAnsi="宋体" w:cs="宋体"/>
          <w:b/>
          <w:bCs/>
          <w:color w:val="auto"/>
          <w:szCs w:val="21"/>
          <w:highlight w:val="none"/>
          <w:lang w:eastAsia="zh-CN"/>
        </w:rPr>
        <w:t>其</w:t>
      </w:r>
      <w:r>
        <w:rPr>
          <w:rFonts w:hint="eastAsia" w:ascii="宋体" w:hAnsi="宋体" w:cs="宋体"/>
          <w:b/>
          <w:bCs/>
          <w:color w:val="auto"/>
          <w:szCs w:val="21"/>
          <w:highlight w:val="none"/>
        </w:rPr>
        <w:t>报价</w:t>
      </w:r>
      <w:r>
        <w:rPr>
          <w:rFonts w:hint="eastAsia" w:ascii="宋体" w:hAnsi="宋体" w:cs="宋体"/>
          <w:b/>
          <w:bCs/>
          <w:color w:val="auto"/>
          <w:szCs w:val="21"/>
          <w:highlight w:val="none"/>
          <w:lang w:eastAsia="zh-CN"/>
        </w:rPr>
        <w:t>可以同时进行扣除，</w:t>
      </w:r>
      <w:r>
        <w:rPr>
          <w:rFonts w:hint="eastAsia" w:ascii="宋体" w:hAnsi="宋体" w:cs="宋体"/>
          <w:b/>
          <w:bCs/>
          <w:color w:val="auto"/>
          <w:szCs w:val="21"/>
          <w:highlight w:val="none"/>
        </w:rPr>
        <w:t>扣除后的价格为评审</w:t>
      </w:r>
      <w:r>
        <w:rPr>
          <w:rFonts w:hint="eastAsia" w:ascii="宋体" w:hAnsi="宋体" w:cs="宋体"/>
          <w:b/>
          <w:bCs/>
          <w:color w:val="auto"/>
          <w:szCs w:val="21"/>
          <w:highlight w:val="none"/>
          <w:lang w:eastAsia="zh-CN"/>
        </w:rPr>
        <w:t>报</w:t>
      </w:r>
      <w:r>
        <w:rPr>
          <w:rFonts w:hint="eastAsia" w:ascii="宋体" w:hAnsi="宋体" w:cs="宋体"/>
          <w:b/>
          <w:bCs/>
          <w:color w:val="auto"/>
          <w:szCs w:val="21"/>
          <w:highlight w:val="none"/>
        </w:rPr>
        <w:t>价，即评审报价=最后报价</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（1-20%-20%）</w:t>
      </w:r>
      <w:r>
        <w:rPr>
          <w:rFonts w:hint="eastAsia" w:ascii="宋体" w:hAnsi="宋体" w:cs="宋体"/>
          <w:b/>
          <w:bCs/>
          <w:color w:val="auto"/>
          <w:szCs w:val="21"/>
          <w:highlight w:val="none"/>
          <w:lang w:eastAsia="zh-CN"/>
        </w:rPr>
        <w:t>。</w:t>
      </w:r>
    </w:p>
    <w:p w14:paraId="4D7D1D40">
      <w:pPr>
        <w:spacing w:line="360" w:lineRule="auto"/>
        <w:ind w:firstLine="420"/>
        <w:rPr>
          <w:rFonts w:ascii="宋体" w:cs="宋体"/>
          <w:color w:val="auto"/>
          <w:szCs w:val="21"/>
          <w:highlight w:val="none"/>
        </w:rPr>
      </w:pPr>
      <w:r>
        <w:rPr>
          <w:rFonts w:hint="eastAsia" w:ascii="宋体" w:hAnsi="宋体" w:cs="宋体"/>
          <w:color w:val="auto"/>
          <w:szCs w:val="21"/>
          <w:highlight w:val="none"/>
        </w:rPr>
        <w:t>除上述情况外，评审报价</w:t>
      </w:r>
      <w:r>
        <w:rPr>
          <w:rFonts w:ascii="宋体" w:hAnsi="宋体" w:cs="宋体"/>
          <w:color w:val="auto"/>
          <w:szCs w:val="21"/>
          <w:highlight w:val="none"/>
        </w:rPr>
        <w:t>=</w:t>
      </w:r>
      <w:r>
        <w:rPr>
          <w:rFonts w:hint="eastAsia" w:ascii="宋体" w:hAnsi="宋体" w:cs="宋体"/>
          <w:color w:val="auto"/>
          <w:szCs w:val="21"/>
          <w:highlight w:val="none"/>
        </w:rPr>
        <w:t>最后报价。</w:t>
      </w:r>
    </w:p>
    <w:p w14:paraId="769C77BB">
      <w:pPr>
        <w:pStyle w:val="21"/>
        <w:spacing w:line="400" w:lineRule="exact"/>
        <w:rPr>
          <w:rFonts w:hint="eastAsia" w:hAnsi="宋体" w:cs="宋体"/>
          <w:b/>
          <w:bCs/>
          <w:color w:val="auto"/>
          <w:sz w:val="21"/>
          <w:highlight w:val="none"/>
        </w:rPr>
      </w:pPr>
      <w:r>
        <w:rPr>
          <w:rFonts w:hint="eastAsia" w:hAnsi="宋体" w:cs="宋体"/>
          <w:b/>
          <w:bCs/>
          <w:color w:val="auto"/>
          <w:sz w:val="21"/>
          <w:highlight w:val="none"/>
        </w:rPr>
        <w:t>注：①谈判小组应当按扣除后的报价由低到高进行排序，该扣除后报价仅作为评审报价排序，不作为合同签订报价，合同将按实际最后报价签订。</w:t>
      </w:r>
    </w:p>
    <w:p w14:paraId="324E3889">
      <w:pPr>
        <w:pStyle w:val="21"/>
        <w:spacing w:line="400" w:lineRule="exact"/>
        <w:ind w:firstLine="420"/>
        <w:rPr>
          <w:rFonts w:hint="eastAsia" w:hAnsi="宋体" w:cs="宋体"/>
          <w:b/>
          <w:bCs/>
          <w:color w:val="auto"/>
          <w:sz w:val="21"/>
          <w:highlight w:val="none"/>
        </w:rPr>
      </w:pPr>
      <w:r>
        <w:rPr>
          <w:rFonts w:hint="eastAsia" w:hAnsi="宋体" w:cs="宋体"/>
          <w:b/>
          <w:bCs/>
          <w:color w:val="auto"/>
          <w:sz w:val="21"/>
          <w:highlight w:val="none"/>
        </w:rPr>
        <w:t>②中小微型企业划分标准按照《国家统计局关于印发&lt;统计上大中小微型企业划分办法〔2017〕&gt;的通知》（国统字〔2017〕213号）执行，具体划分标准见附表《统计上大中小微型企业划分标准》。</w:t>
      </w:r>
    </w:p>
    <w:p w14:paraId="78A67D15">
      <w:pPr>
        <w:spacing w:line="360" w:lineRule="auto"/>
        <w:ind w:firstLine="420"/>
        <w:rPr>
          <w:rFonts w:hint="eastAsia" w:ascii="宋体" w:hAnsi="宋体" w:cs="宋体"/>
          <w:b/>
          <w:bCs/>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三</w:t>
      </w:r>
      <w:r>
        <w:rPr>
          <w:rFonts w:hint="eastAsia" w:ascii="宋体" w:hAnsi="宋体" w:cs="宋体"/>
          <w:color w:val="auto"/>
          <w:szCs w:val="21"/>
          <w:highlight w:val="none"/>
          <w:lang w:eastAsia="zh-CN"/>
        </w:rPr>
        <w:t>）</w:t>
      </w:r>
      <w:r>
        <w:rPr>
          <w:rFonts w:hint="eastAsia" w:ascii="宋体" w:hAnsi="宋体" w:cs="宋体"/>
          <w:color w:val="auto"/>
          <w:szCs w:val="21"/>
          <w:highlight w:val="none"/>
        </w:rPr>
        <w:t>评审时，应当将通过资格性审查和符合性审查各供应商的评审报价，按照由低到高顺序排序，当评审报价相同时，以最后报价低的优先排序；当最后报价相同时，则依次按技术指标高优先、售后服务优先原则排序。</w:t>
      </w:r>
    </w:p>
    <w:p w14:paraId="09776419">
      <w:pPr>
        <w:ind w:firstLine="420"/>
        <w:rPr>
          <w:rFonts w:hint="eastAsia"/>
          <w:b/>
          <w:bCs/>
          <w:color w:val="auto"/>
          <w:highlight w:val="none"/>
        </w:rPr>
      </w:pPr>
      <w:r>
        <w:rPr>
          <w:rFonts w:hint="eastAsia"/>
          <w:b/>
          <w:bCs/>
          <w:color w:val="auto"/>
          <w:highlight w:val="none"/>
        </w:rPr>
        <w:t>三、成交候选人推荐原则</w:t>
      </w:r>
    </w:p>
    <w:p w14:paraId="4C5B06E7">
      <w:pPr>
        <w:spacing w:line="360" w:lineRule="auto"/>
        <w:ind w:firstLine="420"/>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）采购单位应当确定谈判小组推荐排名第一的成交候选人为成交供应商。</w:t>
      </w:r>
    </w:p>
    <w:p w14:paraId="118DEF3E">
      <w:pPr>
        <w:spacing w:line="360" w:lineRule="auto"/>
        <w:ind w:firstLine="420"/>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排名第一的成交候选人放弃成交、因不可抗力提出不能履行合同，或者竞争性谈判文件规定应当提交履约保证金而在规定的期限内未能提交的，或因失信行为被取消成交候选人资格的，采购单位可以确定排名第二的成交候选人为成交供应商。</w:t>
      </w:r>
    </w:p>
    <w:p w14:paraId="554BE78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）排名第二的成交候选人因前款规定的同样原因不能签订合同的，采购单位可以确定排名第三的成交候选人为成交供应商。</w:t>
      </w:r>
    </w:p>
    <w:p w14:paraId="78F0A79B">
      <w:pPr>
        <w:spacing w:line="360" w:lineRule="auto"/>
        <w:ind w:firstLine="420"/>
        <w:jc w:val="left"/>
        <w:rPr>
          <w:rFonts w:ascii="宋体" w:hAnsi="宋体" w:cs="宋体"/>
          <w:b/>
          <w:color w:val="auto"/>
          <w:szCs w:val="21"/>
          <w:highlight w:val="none"/>
        </w:rPr>
      </w:pPr>
      <w:r>
        <w:rPr>
          <w:rFonts w:hint="eastAsia" w:ascii="宋体" w:hAnsi="宋体" w:cs="宋体"/>
          <w:b/>
          <w:color w:val="auto"/>
          <w:szCs w:val="21"/>
          <w:highlight w:val="none"/>
        </w:rPr>
        <w:t>四、特别说明</w:t>
      </w:r>
    </w:p>
    <w:p w14:paraId="09EC45FD">
      <w:pPr>
        <w:spacing w:line="360" w:lineRule="auto"/>
        <w:ind w:firstLine="420"/>
        <w:rPr>
          <w:rFonts w:hint="eastAsia"/>
          <w:b/>
          <w:bCs/>
          <w:color w:val="auto"/>
          <w:szCs w:val="21"/>
          <w:highlight w:val="none"/>
          <w:lang w:eastAsia="zh-CN"/>
        </w:rPr>
      </w:pPr>
      <w:r>
        <w:rPr>
          <w:rFonts w:hint="eastAsia" w:ascii="宋体" w:hAnsi="宋体" w:eastAsia="宋体" w:cs="宋体"/>
          <w:b/>
          <w:bCs/>
          <w:color w:val="auto"/>
          <w:sz w:val="21"/>
          <w:szCs w:val="21"/>
          <w:highlight w:val="none"/>
          <w:lang w:val="en-US"/>
        </w:rPr>
        <w:t>评审时，谈判小组根据《关于推动解决政府采购异常低价问题的通知》</w:t>
      </w:r>
      <w:r>
        <w:rPr>
          <w:rFonts w:hint="eastAsia" w:ascii="宋体" w:hAnsi="宋体" w:eastAsia="宋体" w:cs="宋体"/>
          <w:b/>
          <w:bCs/>
          <w:color w:val="auto"/>
          <w:sz w:val="21"/>
          <w:szCs w:val="21"/>
          <w:highlight w:val="none"/>
          <w:lang w:val="en-US" w:eastAsia="zh-CN"/>
        </w:rPr>
        <w:t>（</w:t>
      </w:r>
      <w:r>
        <w:rPr>
          <w:rFonts w:hint="eastAsia" w:ascii="宋体" w:hAnsi="宋体" w:eastAsia="宋体" w:cs="宋体"/>
          <w:b/>
          <w:bCs/>
          <w:color w:val="auto"/>
          <w:sz w:val="21"/>
          <w:szCs w:val="21"/>
          <w:highlight w:val="none"/>
          <w:lang w:val="en-US"/>
        </w:rPr>
        <w:t>财库〔2026〕2号</w:t>
      </w:r>
      <w:r>
        <w:rPr>
          <w:rFonts w:hint="eastAsia" w:ascii="宋体" w:hAnsi="宋体" w:eastAsia="宋体" w:cs="宋体"/>
          <w:b/>
          <w:bCs/>
          <w:color w:val="auto"/>
          <w:sz w:val="21"/>
          <w:szCs w:val="21"/>
          <w:highlight w:val="none"/>
          <w:lang w:val="en-US" w:eastAsia="zh-CN"/>
        </w:rPr>
        <w:t>）相关规定</w:t>
      </w:r>
      <w:r>
        <w:rPr>
          <w:rFonts w:hint="eastAsia" w:ascii="宋体" w:hAnsi="宋体" w:eastAsia="宋体" w:cs="宋体"/>
          <w:b/>
          <w:bCs/>
          <w:color w:val="auto"/>
          <w:sz w:val="21"/>
          <w:szCs w:val="21"/>
          <w:highlight w:val="none"/>
          <w:lang w:val="en-US"/>
        </w:rPr>
        <w:t>启动异常低价投标（响应）审查程序</w:t>
      </w:r>
      <w:r>
        <w:rPr>
          <w:rFonts w:hint="eastAsia" w:ascii="宋体" w:hAnsi="宋体" w:eastAsia="宋体" w:cs="宋体"/>
          <w:b/>
          <w:bCs/>
          <w:color w:val="auto"/>
          <w:sz w:val="21"/>
          <w:szCs w:val="21"/>
          <w:highlight w:val="none"/>
          <w:lang w:val="en-US" w:eastAsia="zh-CN"/>
        </w:rPr>
        <w:t>。</w:t>
      </w:r>
      <w:r>
        <w:rPr>
          <w:rFonts w:hint="eastAsia"/>
          <w:b/>
          <w:bCs/>
          <w:color w:val="auto"/>
          <w:szCs w:val="21"/>
          <w:highlight w:val="none"/>
        </w:rPr>
        <w:t>启动异常低价投标（响应）审查后，</w:t>
      </w:r>
      <w:r>
        <w:rPr>
          <w:rStyle w:val="253"/>
          <w:rFonts w:ascii="宋体" w:hAnsi="宋体"/>
          <w:b/>
          <w:bCs/>
          <w:color w:val="auto"/>
          <w:szCs w:val="21"/>
          <w:highlight w:val="none"/>
        </w:rPr>
        <w:t>应当要求</w:t>
      </w:r>
      <w:r>
        <w:rPr>
          <w:rStyle w:val="253"/>
          <w:rFonts w:hint="eastAsia" w:ascii="宋体" w:hAnsi="宋体"/>
          <w:b/>
          <w:bCs/>
          <w:color w:val="auto"/>
          <w:szCs w:val="21"/>
          <w:highlight w:val="none"/>
        </w:rPr>
        <w:t>供应商</w:t>
      </w:r>
      <w:r>
        <w:rPr>
          <w:rStyle w:val="253"/>
          <w:rFonts w:ascii="宋体" w:hAnsi="宋体"/>
          <w:b/>
          <w:bCs/>
          <w:color w:val="auto"/>
          <w:szCs w:val="21"/>
          <w:highlight w:val="none"/>
        </w:rPr>
        <w:t>在</w:t>
      </w:r>
      <w:r>
        <w:rPr>
          <w:rStyle w:val="253"/>
          <w:rFonts w:hint="eastAsia" w:ascii="宋体" w:hAnsi="宋体"/>
          <w:b/>
          <w:bCs/>
          <w:color w:val="auto"/>
          <w:szCs w:val="21"/>
          <w:highlight w:val="none"/>
          <w:lang w:val="en-US"/>
        </w:rPr>
        <w:t>谈判小组要求的时间内</w:t>
      </w:r>
      <w:r>
        <w:rPr>
          <w:rFonts w:hint="eastAsia"/>
          <w:b/>
          <w:bCs/>
          <w:color w:val="auto"/>
          <w:szCs w:val="21"/>
          <w:highlight w:val="none"/>
        </w:rPr>
        <w:t>对投标（响应）价格作出解释，</w:t>
      </w:r>
      <w:r>
        <w:rPr>
          <w:rFonts w:hint="eastAsia"/>
          <w:b/>
          <w:bCs/>
          <w:color w:val="auto"/>
          <w:szCs w:val="21"/>
          <w:highlight w:val="none"/>
          <w:shd w:val="clear" w:color="auto" w:fill="FFFFFF"/>
        </w:rPr>
        <w:t>提供项目具体成本测算等与报价合理性相关的书面说明及必要的证明材料（包括但不限于原材料成本、人工成本、制造费用等）。</w:t>
      </w:r>
      <w:r>
        <w:rPr>
          <w:rFonts w:hint="eastAsia"/>
          <w:b/>
          <w:bCs/>
          <w:color w:val="auto"/>
          <w:szCs w:val="21"/>
          <w:highlight w:val="none"/>
        </w:rPr>
        <w:t>投标（响应）供应商不能提供书面说明、证明材料，或者提供的书面说明、证明材料不能证明其报价合理性的，</w:t>
      </w:r>
      <w:r>
        <w:rPr>
          <w:rFonts w:hint="eastAsia"/>
          <w:b/>
          <w:bCs/>
          <w:color w:val="auto"/>
          <w:szCs w:val="21"/>
          <w:highlight w:val="none"/>
          <w:lang w:val="en-US"/>
        </w:rPr>
        <w:t>谈判小组</w:t>
      </w:r>
      <w:r>
        <w:rPr>
          <w:rFonts w:hint="eastAsia"/>
          <w:b/>
          <w:bCs/>
          <w:color w:val="auto"/>
          <w:szCs w:val="21"/>
          <w:highlight w:val="none"/>
        </w:rPr>
        <w:t>应当将其作为无效投标（响应）处理。 异常低价投标（响应）审查的启动原因、审查意见和审查结果应当在评审报告中记录</w:t>
      </w:r>
      <w:r>
        <w:rPr>
          <w:rFonts w:hint="eastAsia"/>
          <w:b/>
          <w:bCs/>
          <w:color w:val="auto"/>
          <w:szCs w:val="21"/>
          <w:highlight w:val="none"/>
          <w:lang w:eastAsia="zh-CN"/>
        </w:rPr>
        <w:t>。</w:t>
      </w:r>
    </w:p>
    <w:p w14:paraId="5ADBD7C3">
      <w:pPr>
        <w:spacing w:line="360" w:lineRule="auto"/>
        <w:ind w:firstLine="420"/>
        <w:rPr>
          <w:rFonts w:hint="default" w:eastAsia="宋体"/>
          <w:b/>
          <w:bCs/>
          <w:color w:val="auto"/>
          <w:sz w:val="21"/>
          <w:szCs w:val="21"/>
          <w:highlight w:val="none"/>
          <w:lang w:val="en-US" w:eastAsia="zh-CN"/>
        </w:rPr>
      </w:pPr>
      <w:r>
        <w:rPr>
          <w:rFonts w:hint="eastAsia" w:ascii="宋体" w:hAnsi="宋体" w:cs="宋体"/>
          <w:b/>
          <w:bCs/>
          <w:color w:val="auto"/>
          <w:szCs w:val="21"/>
          <w:highlight w:val="none"/>
        </w:rPr>
        <w:t>为避免因未能及时提供说明而导致被</w:t>
      </w:r>
      <w:r>
        <w:rPr>
          <w:rFonts w:hint="eastAsia" w:ascii="宋体" w:hAnsi="宋体" w:eastAsia="宋体" w:cs="宋体"/>
          <w:b/>
          <w:bCs/>
          <w:color w:val="auto"/>
          <w:sz w:val="21"/>
          <w:szCs w:val="21"/>
          <w:highlight w:val="none"/>
          <w:lang w:val="en-US"/>
        </w:rPr>
        <w:t>谈判小组</w:t>
      </w:r>
      <w:r>
        <w:rPr>
          <w:rFonts w:hint="eastAsia" w:ascii="宋体" w:hAnsi="宋体" w:cs="宋体"/>
          <w:b/>
          <w:bCs/>
          <w:color w:val="auto"/>
          <w:szCs w:val="21"/>
          <w:highlight w:val="none"/>
        </w:rPr>
        <w:t>作为无效投标情形，</w:t>
      </w:r>
      <w:r>
        <w:rPr>
          <w:rFonts w:hint="eastAsia"/>
          <w:b/>
          <w:bCs/>
          <w:color w:val="auto"/>
          <w:szCs w:val="21"/>
          <w:highlight w:val="none"/>
          <w:shd w:val="clear" w:color="auto" w:fill="FFFFFF"/>
        </w:rPr>
        <w:t>供应商可提前准备或随投标（响应）文件一并提交相关书面说明及必要的证明材料。</w:t>
      </w:r>
    </w:p>
    <w:p w14:paraId="0DE5C996">
      <w:pPr>
        <w:spacing w:line="340" w:lineRule="exact"/>
        <w:ind w:firstLine="420"/>
        <w:rPr>
          <w:rFonts w:hint="eastAsia" w:ascii="宋体" w:hAnsi="宋体" w:cs="宋体"/>
          <w:b/>
          <w:bCs/>
          <w:color w:val="auto"/>
          <w:szCs w:val="21"/>
          <w:highlight w:val="none"/>
          <w:u w:val="single"/>
        </w:rPr>
      </w:pPr>
    </w:p>
    <w:p w14:paraId="233DDE0F">
      <w:pPr>
        <w:spacing w:line="340" w:lineRule="exact"/>
        <w:ind w:firstLine="420"/>
        <w:rPr>
          <w:rFonts w:hint="eastAsia" w:ascii="宋体" w:hAnsi="宋体" w:cs="宋体"/>
          <w:b/>
          <w:bCs/>
          <w:color w:val="auto"/>
          <w:szCs w:val="21"/>
          <w:highlight w:val="none"/>
          <w:u w:val="single"/>
        </w:rPr>
      </w:pPr>
    </w:p>
    <w:p w14:paraId="32DB7997">
      <w:pPr>
        <w:spacing w:line="340" w:lineRule="exact"/>
        <w:ind w:firstLine="420"/>
        <w:rPr>
          <w:rFonts w:hint="eastAsia" w:ascii="宋体" w:hAnsi="宋体" w:cs="宋体"/>
          <w:b/>
          <w:bCs/>
          <w:color w:val="auto"/>
          <w:szCs w:val="21"/>
          <w:highlight w:val="none"/>
          <w:u w:val="single"/>
        </w:rPr>
      </w:pPr>
    </w:p>
    <w:p w14:paraId="00B50590">
      <w:pPr>
        <w:spacing w:line="340" w:lineRule="exact"/>
        <w:ind w:firstLine="420"/>
        <w:rPr>
          <w:rFonts w:hint="eastAsia" w:ascii="宋体" w:hAnsi="宋体" w:cs="宋体"/>
          <w:b/>
          <w:bCs/>
          <w:color w:val="auto"/>
          <w:szCs w:val="21"/>
          <w:highlight w:val="none"/>
          <w:u w:val="single"/>
        </w:rPr>
      </w:pPr>
    </w:p>
    <w:p w14:paraId="6363E107">
      <w:pPr>
        <w:spacing w:line="340" w:lineRule="exact"/>
        <w:ind w:firstLine="420"/>
        <w:rPr>
          <w:rFonts w:hint="eastAsia" w:ascii="宋体" w:hAnsi="宋体" w:cs="宋体"/>
          <w:b/>
          <w:bCs/>
          <w:color w:val="auto"/>
          <w:szCs w:val="21"/>
          <w:highlight w:val="none"/>
          <w:u w:val="single"/>
        </w:rPr>
      </w:pPr>
    </w:p>
    <w:p w14:paraId="345CB3D8">
      <w:pPr>
        <w:spacing w:line="340" w:lineRule="exact"/>
        <w:ind w:firstLine="420"/>
        <w:rPr>
          <w:rFonts w:hint="eastAsia" w:ascii="宋体" w:hAnsi="宋体" w:cs="宋体"/>
          <w:b/>
          <w:bCs/>
          <w:color w:val="auto"/>
          <w:szCs w:val="21"/>
          <w:highlight w:val="none"/>
          <w:u w:val="single"/>
        </w:rPr>
      </w:pPr>
    </w:p>
    <w:p w14:paraId="718E9DDE">
      <w:pPr>
        <w:spacing w:line="340" w:lineRule="exact"/>
        <w:ind w:firstLine="420"/>
        <w:rPr>
          <w:rFonts w:hint="eastAsia" w:ascii="宋体" w:hAnsi="宋体" w:cs="宋体"/>
          <w:b/>
          <w:bCs/>
          <w:color w:val="auto"/>
          <w:szCs w:val="21"/>
          <w:highlight w:val="none"/>
          <w:u w:val="single"/>
        </w:rPr>
      </w:pPr>
    </w:p>
    <w:p w14:paraId="5739F596">
      <w:pPr>
        <w:spacing w:line="340" w:lineRule="exact"/>
        <w:ind w:firstLine="420"/>
        <w:rPr>
          <w:rFonts w:hint="eastAsia" w:ascii="宋体" w:hAnsi="宋体" w:cs="宋体"/>
          <w:b/>
          <w:bCs/>
          <w:color w:val="auto"/>
          <w:szCs w:val="21"/>
          <w:highlight w:val="none"/>
          <w:u w:val="single"/>
        </w:rPr>
      </w:pPr>
    </w:p>
    <w:p w14:paraId="40E7D67C">
      <w:pPr>
        <w:spacing w:line="340" w:lineRule="exact"/>
        <w:ind w:firstLine="420"/>
        <w:rPr>
          <w:rFonts w:hint="eastAsia" w:ascii="宋体" w:hAnsi="宋体" w:cs="宋体"/>
          <w:b/>
          <w:bCs/>
          <w:color w:val="auto"/>
          <w:szCs w:val="21"/>
          <w:highlight w:val="none"/>
          <w:u w:val="single"/>
        </w:rPr>
      </w:pPr>
    </w:p>
    <w:p w14:paraId="79F6CB4D">
      <w:pPr>
        <w:rPr>
          <w:rFonts w:hint="eastAsia"/>
          <w:b/>
          <w:bCs/>
          <w:color w:val="auto"/>
          <w:sz w:val="24"/>
          <w:highlight w:val="none"/>
        </w:rPr>
      </w:pPr>
      <w:bookmarkStart w:id="585" w:name="_Toc3132"/>
      <w:bookmarkStart w:id="586" w:name="_Toc26491"/>
      <w:bookmarkStart w:id="587" w:name="_Toc13442"/>
      <w:bookmarkStart w:id="588" w:name="_Toc21526"/>
      <w:bookmarkStart w:id="589" w:name="_Toc9683"/>
      <w:r>
        <w:rPr>
          <w:rFonts w:hint="eastAsia"/>
          <w:b/>
          <w:bCs/>
          <w:color w:val="auto"/>
          <w:sz w:val="24"/>
          <w:highlight w:val="none"/>
        </w:rPr>
        <w:br w:type="page"/>
      </w:r>
    </w:p>
    <w:p w14:paraId="7D5E4E2A">
      <w:pPr>
        <w:rPr>
          <w:rFonts w:hint="eastAsia"/>
          <w:b/>
          <w:bCs/>
          <w:color w:val="auto"/>
          <w:sz w:val="24"/>
          <w:highlight w:val="none"/>
        </w:rPr>
      </w:pPr>
      <w:r>
        <w:rPr>
          <w:rFonts w:hint="eastAsia"/>
          <w:b/>
          <w:bCs/>
          <w:color w:val="auto"/>
          <w:sz w:val="24"/>
          <w:highlight w:val="none"/>
        </w:rPr>
        <w:t>附件</w:t>
      </w:r>
      <w:bookmarkEnd w:id="585"/>
      <w:bookmarkEnd w:id="586"/>
      <w:bookmarkEnd w:id="587"/>
      <w:bookmarkEnd w:id="588"/>
      <w:bookmarkEnd w:id="589"/>
    </w:p>
    <w:p w14:paraId="610761ED">
      <w:pPr>
        <w:widowControl/>
        <w:spacing w:before="156" w:after="156" w:line="400" w:lineRule="exact"/>
        <w:jc w:val="center"/>
        <w:rPr>
          <w:rFonts w:hint="eastAsia" w:ascii="宋体" w:hAnsi="宋体" w:cs="宋体"/>
          <w:b/>
          <w:bCs/>
          <w:color w:val="auto"/>
          <w:sz w:val="30"/>
          <w:szCs w:val="30"/>
          <w:highlight w:val="none"/>
        </w:rPr>
      </w:pPr>
      <w:bookmarkStart w:id="590" w:name="_Toc28361_WPSOffice_Level2"/>
      <w:r>
        <w:rPr>
          <w:rFonts w:hint="eastAsia" w:ascii="宋体" w:hAnsi="宋体" w:cs="宋体"/>
          <w:b/>
          <w:bCs/>
          <w:color w:val="auto"/>
          <w:sz w:val="30"/>
          <w:szCs w:val="30"/>
          <w:highlight w:val="none"/>
        </w:rPr>
        <w:t>统计上大中小微型企业划分标准</w:t>
      </w:r>
      <w:bookmarkEnd w:id="590"/>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14:paraId="69CBF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jc w:val="center"/>
        </w:trPr>
        <w:tc>
          <w:tcPr>
            <w:tcW w:w="2113" w:type="dxa"/>
            <w:shd w:val="clear" w:color="auto" w:fill="FFFFFF"/>
            <w:noWrap w:val="0"/>
            <w:vAlign w:val="center"/>
          </w:tcPr>
          <w:p w14:paraId="16AD846F">
            <w:pPr>
              <w:widowControl/>
              <w:spacing w:line="240" w:lineRule="exact"/>
              <w:jc w:val="center"/>
              <w:rPr>
                <w:b/>
                <w:bCs/>
                <w:color w:val="auto"/>
                <w:sz w:val="18"/>
                <w:szCs w:val="21"/>
                <w:highlight w:val="none"/>
              </w:rPr>
            </w:pPr>
            <w:r>
              <w:rPr>
                <w:b/>
                <w:bCs/>
                <w:color w:val="auto"/>
                <w:sz w:val="18"/>
                <w:szCs w:val="21"/>
                <w:highlight w:val="none"/>
              </w:rPr>
              <w:t>行业名称</w:t>
            </w:r>
          </w:p>
        </w:tc>
        <w:tc>
          <w:tcPr>
            <w:tcW w:w="1369" w:type="dxa"/>
            <w:shd w:val="clear" w:color="auto" w:fill="FFFFFF"/>
            <w:noWrap w:val="0"/>
            <w:vAlign w:val="center"/>
          </w:tcPr>
          <w:p w14:paraId="1798BB7A">
            <w:pPr>
              <w:widowControl/>
              <w:jc w:val="center"/>
              <w:rPr>
                <w:b/>
                <w:bCs/>
                <w:color w:val="auto"/>
                <w:sz w:val="18"/>
                <w:szCs w:val="18"/>
                <w:highlight w:val="none"/>
              </w:rPr>
            </w:pPr>
            <w:r>
              <w:rPr>
                <w:b/>
                <w:bCs/>
                <w:color w:val="auto"/>
                <w:sz w:val="18"/>
                <w:szCs w:val="18"/>
                <w:highlight w:val="none"/>
              </w:rPr>
              <w:t>指标名称</w:t>
            </w:r>
          </w:p>
        </w:tc>
        <w:tc>
          <w:tcPr>
            <w:tcW w:w="709" w:type="dxa"/>
            <w:shd w:val="clear" w:color="auto" w:fill="FFFFFF"/>
            <w:noWrap w:val="0"/>
            <w:vAlign w:val="center"/>
          </w:tcPr>
          <w:p w14:paraId="514A100D">
            <w:pPr>
              <w:widowControl/>
              <w:jc w:val="center"/>
              <w:rPr>
                <w:rFonts w:hint="eastAsia"/>
                <w:b/>
                <w:bCs/>
                <w:color w:val="auto"/>
                <w:sz w:val="18"/>
                <w:szCs w:val="18"/>
                <w:highlight w:val="none"/>
              </w:rPr>
            </w:pPr>
            <w:r>
              <w:rPr>
                <w:b/>
                <w:bCs/>
                <w:color w:val="auto"/>
                <w:sz w:val="18"/>
                <w:szCs w:val="18"/>
                <w:highlight w:val="none"/>
              </w:rPr>
              <w:t>计量</w:t>
            </w:r>
          </w:p>
          <w:p w14:paraId="47F71C83">
            <w:pPr>
              <w:widowControl/>
              <w:jc w:val="center"/>
              <w:rPr>
                <w:b/>
                <w:bCs/>
                <w:color w:val="auto"/>
                <w:sz w:val="18"/>
                <w:szCs w:val="18"/>
                <w:highlight w:val="none"/>
              </w:rPr>
            </w:pPr>
            <w:r>
              <w:rPr>
                <w:b/>
                <w:bCs/>
                <w:color w:val="auto"/>
                <w:sz w:val="18"/>
                <w:szCs w:val="18"/>
                <w:highlight w:val="none"/>
              </w:rPr>
              <w:t>单位</w:t>
            </w:r>
          </w:p>
        </w:tc>
        <w:tc>
          <w:tcPr>
            <w:tcW w:w="1125" w:type="dxa"/>
            <w:shd w:val="clear" w:color="auto" w:fill="FFFFFF"/>
            <w:noWrap w:val="0"/>
            <w:vAlign w:val="center"/>
          </w:tcPr>
          <w:p w14:paraId="24FE98D4">
            <w:pPr>
              <w:widowControl/>
              <w:jc w:val="center"/>
              <w:rPr>
                <w:b/>
                <w:bCs/>
                <w:color w:val="auto"/>
                <w:sz w:val="18"/>
                <w:szCs w:val="18"/>
                <w:highlight w:val="none"/>
              </w:rPr>
            </w:pPr>
            <w:r>
              <w:rPr>
                <w:b/>
                <w:bCs/>
                <w:color w:val="auto"/>
                <w:sz w:val="18"/>
                <w:szCs w:val="18"/>
                <w:highlight w:val="none"/>
              </w:rPr>
              <w:t>大型</w:t>
            </w:r>
          </w:p>
        </w:tc>
        <w:tc>
          <w:tcPr>
            <w:tcW w:w="1701" w:type="dxa"/>
            <w:shd w:val="clear" w:color="auto" w:fill="FFFFFF"/>
            <w:noWrap w:val="0"/>
            <w:vAlign w:val="center"/>
          </w:tcPr>
          <w:p w14:paraId="78B31AE9">
            <w:pPr>
              <w:widowControl/>
              <w:jc w:val="center"/>
              <w:rPr>
                <w:b/>
                <w:bCs/>
                <w:color w:val="auto"/>
                <w:sz w:val="18"/>
                <w:szCs w:val="18"/>
                <w:highlight w:val="none"/>
              </w:rPr>
            </w:pPr>
            <w:r>
              <w:rPr>
                <w:b/>
                <w:bCs/>
                <w:color w:val="auto"/>
                <w:sz w:val="18"/>
                <w:szCs w:val="18"/>
                <w:highlight w:val="none"/>
              </w:rPr>
              <w:t>中型</w:t>
            </w:r>
          </w:p>
        </w:tc>
        <w:tc>
          <w:tcPr>
            <w:tcW w:w="1426" w:type="dxa"/>
            <w:shd w:val="clear" w:color="auto" w:fill="FFFFFF"/>
            <w:noWrap w:val="0"/>
            <w:vAlign w:val="center"/>
          </w:tcPr>
          <w:p w14:paraId="08DEF3AB">
            <w:pPr>
              <w:widowControl/>
              <w:jc w:val="center"/>
              <w:rPr>
                <w:b/>
                <w:bCs/>
                <w:color w:val="auto"/>
                <w:sz w:val="18"/>
                <w:szCs w:val="18"/>
                <w:highlight w:val="none"/>
              </w:rPr>
            </w:pPr>
            <w:r>
              <w:rPr>
                <w:b/>
                <w:bCs/>
                <w:color w:val="auto"/>
                <w:sz w:val="18"/>
                <w:szCs w:val="18"/>
                <w:highlight w:val="none"/>
              </w:rPr>
              <w:t>小型</w:t>
            </w:r>
          </w:p>
        </w:tc>
        <w:tc>
          <w:tcPr>
            <w:tcW w:w="992" w:type="dxa"/>
            <w:shd w:val="clear" w:color="auto" w:fill="FFFFFF"/>
            <w:noWrap w:val="0"/>
            <w:vAlign w:val="center"/>
          </w:tcPr>
          <w:p w14:paraId="738A1906">
            <w:pPr>
              <w:widowControl/>
              <w:jc w:val="center"/>
              <w:rPr>
                <w:b/>
                <w:bCs/>
                <w:color w:val="auto"/>
                <w:sz w:val="18"/>
                <w:szCs w:val="18"/>
                <w:highlight w:val="none"/>
              </w:rPr>
            </w:pPr>
            <w:r>
              <w:rPr>
                <w:b/>
                <w:bCs/>
                <w:color w:val="auto"/>
                <w:sz w:val="18"/>
                <w:szCs w:val="18"/>
                <w:highlight w:val="none"/>
              </w:rPr>
              <w:t>微型</w:t>
            </w:r>
          </w:p>
        </w:tc>
      </w:tr>
      <w:tr w14:paraId="7E5F6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14:paraId="7DD21881">
            <w:pPr>
              <w:widowControl/>
              <w:spacing w:line="240" w:lineRule="exact"/>
              <w:jc w:val="left"/>
              <w:rPr>
                <w:color w:val="auto"/>
                <w:sz w:val="18"/>
                <w:szCs w:val="18"/>
                <w:highlight w:val="none"/>
              </w:rPr>
            </w:pPr>
            <w:r>
              <w:rPr>
                <w:color w:val="auto"/>
                <w:sz w:val="18"/>
                <w:szCs w:val="18"/>
                <w:highlight w:val="none"/>
              </w:rPr>
              <w:t>农、林、牧、渔业</w:t>
            </w:r>
          </w:p>
        </w:tc>
        <w:tc>
          <w:tcPr>
            <w:tcW w:w="1369" w:type="dxa"/>
            <w:noWrap w:val="0"/>
            <w:vAlign w:val="center"/>
          </w:tcPr>
          <w:p w14:paraId="011757AF">
            <w:pPr>
              <w:widowControl/>
              <w:jc w:val="center"/>
              <w:rPr>
                <w:color w:val="auto"/>
                <w:sz w:val="18"/>
                <w:szCs w:val="18"/>
                <w:highlight w:val="none"/>
              </w:rPr>
            </w:pPr>
            <w:r>
              <w:rPr>
                <w:color w:val="auto"/>
                <w:sz w:val="18"/>
                <w:szCs w:val="18"/>
                <w:highlight w:val="none"/>
              </w:rPr>
              <w:t>营业收入(Y)</w:t>
            </w:r>
          </w:p>
        </w:tc>
        <w:tc>
          <w:tcPr>
            <w:tcW w:w="709" w:type="dxa"/>
            <w:noWrap w:val="0"/>
            <w:vAlign w:val="center"/>
          </w:tcPr>
          <w:p w14:paraId="21B304D7">
            <w:pPr>
              <w:widowControl/>
              <w:jc w:val="center"/>
              <w:rPr>
                <w:color w:val="auto"/>
                <w:sz w:val="18"/>
                <w:szCs w:val="18"/>
                <w:highlight w:val="none"/>
              </w:rPr>
            </w:pPr>
            <w:r>
              <w:rPr>
                <w:color w:val="auto"/>
                <w:sz w:val="18"/>
                <w:szCs w:val="18"/>
                <w:highlight w:val="none"/>
              </w:rPr>
              <w:t>万元</w:t>
            </w:r>
          </w:p>
        </w:tc>
        <w:tc>
          <w:tcPr>
            <w:tcW w:w="1125" w:type="dxa"/>
            <w:noWrap w:val="0"/>
            <w:vAlign w:val="center"/>
          </w:tcPr>
          <w:p w14:paraId="2596DEFA">
            <w:pPr>
              <w:widowControl/>
              <w:jc w:val="center"/>
              <w:rPr>
                <w:color w:val="auto"/>
                <w:sz w:val="18"/>
                <w:szCs w:val="18"/>
                <w:highlight w:val="none"/>
              </w:rPr>
            </w:pPr>
            <w:r>
              <w:rPr>
                <w:color w:val="auto"/>
                <w:sz w:val="18"/>
                <w:szCs w:val="18"/>
                <w:highlight w:val="none"/>
              </w:rPr>
              <w:t>Y≥20000</w:t>
            </w:r>
          </w:p>
        </w:tc>
        <w:tc>
          <w:tcPr>
            <w:tcW w:w="1701" w:type="dxa"/>
            <w:noWrap w:val="0"/>
            <w:vAlign w:val="center"/>
          </w:tcPr>
          <w:p w14:paraId="5BDBF04F">
            <w:pPr>
              <w:widowControl/>
              <w:jc w:val="center"/>
              <w:rPr>
                <w:color w:val="auto"/>
                <w:sz w:val="18"/>
                <w:szCs w:val="18"/>
                <w:highlight w:val="none"/>
              </w:rPr>
            </w:pPr>
            <w:r>
              <w:rPr>
                <w:color w:val="auto"/>
                <w:sz w:val="18"/>
                <w:szCs w:val="18"/>
                <w:highlight w:val="none"/>
              </w:rPr>
              <w:t>500≤Y＜20000</w:t>
            </w:r>
          </w:p>
        </w:tc>
        <w:tc>
          <w:tcPr>
            <w:tcW w:w="1426" w:type="dxa"/>
            <w:noWrap w:val="0"/>
            <w:vAlign w:val="center"/>
          </w:tcPr>
          <w:p w14:paraId="02244052">
            <w:pPr>
              <w:widowControl/>
              <w:jc w:val="center"/>
              <w:rPr>
                <w:color w:val="auto"/>
                <w:sz w:val="18"/>
                <w:szCs w:val="18"/>
                <w:highlight w:val="none"/>
              </w:rPr>
            </w:pPr>
            <w:r>
              <w:rPr>
                <w:color w:val="auto"/>
                <w:sz w:val="18"/>
                <w:szCs w:val="18"/>
                <w:highlight w:val="none"/>
              </w:rPr>
              <w:t>50≤Y＜500</w:t>
            </w:r>
          </w:p>
        </w:tc>
        <w:tc>
          <w:tcPr>
            <w:tcW w:w="992" w:type="dxa"/>
            <w:noWrap w:val="0"/>
            <w:vAlign w:val="center"/>
          </w:tcPr>
          <w:p w14:paraId="66989C9C">
            <w:pPr>
              <w:widowControl/>
              <w:jc w:val="center"/>
              <w:rPr>
                <w:color w:val="auto"/>
                <w:sz w:val="18"/>
                <w:szCs w:val="18"/>
                <w:highlight w:val="none"/>
              </w:rPr>
            </w:pPr>
            <w:r>
              <w:rPr>
                <w:color w:val="auto"/>
                <w:sz w:val="18"/>
                <w:szCs w:val="18"/>
                <w:highlight w:val="none"/>
              </w:rPr>
              <w:t>Y＜50</w:t>
            </w:r>
          </w:p>
        </w:tc>
      </w:tr>
      <w:tr w14:paraId="1C773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53845C3D">
            <w:pPr>
              <w:widowControl/>
              <w:spacing w:line="240" w:lineRule="exact"/>
              <w:jc w:val="left"/>
              <w:rPr>
                <w:rFonts w:hint="eastAsia"/>
                <w:color w:val="auto"/>
                <w:sz w:val="18"/>
                <w:szCs w:val="18"/>
                <w:highlight w:val="none"/>
              </w:rPr>
            </w:pPr>
            <w:r>
              <w:rPr>
                <w:color w:val="auto"/>
                <w:sz w:val="18"/>
                <w:szCs w:val="18"/>
                <w:highlight w:val="none"/>
              </w:rPr>
              <w:t>工业</w:t>
            </w:r>
            <w:r>
              <w:rPr>
                <w:rFonts w:hint="eastAsia" w:ascii="宋体" w:hAnsi="宋体" w:cs="宋体"/>
                <w:color w:val="auto"/>
                <w:sz w:val="18"/>
                <w:szCs w:val="18"/>
                <w:highlight w:val="none"/>
              </w:rPr>
              <w:t>※</w:t>
            </w:r>
          </w:p>
        </w:tc>
        <w:tc>
          <w:tcPr>
            <w:tcW w:w="1369" w:type="dxa"/>
            <w:noWrap w:val="0"/>
            <w:vAlign w:val="center"/>
          </w:tcPr>
          <w:p w14:paraId="6CF99A5E">
            <w:pPr>
              <w:widowControl/>
              <w:jc w:val="center"/>
              <w:rPr>
                <w:color w:val="auto"/>
                <w:sz w:val="18"/>
                <w:szCs w:val="18"/>
                <w:highlight w:val="none"/>
              </w:rPr>
            </w:pPr>
            <w:r>
              <w:rPr>
                <w:color w:val="auto"/>
                <w:sz w:val="18"/>
                <w:szCs w:val="18"/>
                <w:highlight w:val="none"/>
              </w:rPr>
              <w:t>从业人员(X)</w:t>
            </w:r>
          </w:p>
        </w:tc>
        <w:tc>
          <w:tcPr>
            <w:tcW w:w="709" w:type="dxa"/>
            <w:noWrap w:val="0"/>
            <w:vAlign w:val="center"/>
          </w:tcPr>
          <w:p w14:paraId="7BCD97FA">
            <w:pPr>
              <w:widowControl/>
              <w:jc w:val="center"/>
              <w:rPr>
                <w:color w:val="auto"/>
                <w:sz w:val="18"/>
                <w:szCs w:val="18"/>
                <w:highlight w:val="none"/>
              </w:rPr>
            </w:pPr>
            <w:r>
              <w:rPr>
                <w:color w:val="auto"/>
                <w:sz w:val="18"/>
                <w:szCs w:val="18"/>
                <w:highlight w:val="none"/>
              </w:rPr>
              <w:t>人</w:t>
            </w:r>
          </w:p>
        </w:tc>
        <w:tc>
          <w:tcPr>
            <w:tcW w:w="1125" w:type="dxa"/>
            <w:noWrap w:val="0"/>
            <w:vAlign w:val="center"/>
          </w:tcPr>
          <w:p w14:paraId="4DDE11DD">
            <w:pPr>
              <w:widowControl/>
              <w:jc w:val="center"/>
              <w:rPr>
                <w:color w:val="auto"/>
                <w:sz w:val="18"/>
                <w:szCs w:val="18"/>
                <w:highlight w:val="none"/>
              </w:rPr>
            </w:pPr>
            <w:r>
              <w:rPr>
                <w:color w:val="auto"/>
                <w:sz w:val="18"/>
                <w:szCs w:val="18"/>
                <w:highlight w:val="none"/>
              </w:rPr>
              <w:t>X≥1000</w:t>
            </w:r>
          </w:p>
        </w:tc>
        <w:tc>
          <w:tcPr>
            <w:tcW w:w="1701" w:type="dxa"/>
            <w:noWrap w:val="0"/>
            <w:vAlign w:val="center"/>
          </w:tcPr>
          <w:p w14:paraId="405BBFCF">
            <w:pPr>
              <w:widowControl/>
              <w:jc w:val="center"/>
              <w:rPr>
                <w:color w:val="auto"/>
                <w:sz w:val="18"/>
                <w:szCs w:val="18"/>
                <w:highlight w:val="none"/>
              </w:rPr>
            </w:pPr>
            <w:r>
              <w:rPr>
                <w:color w:val="auto"/>
                <w:sz w:val="18"/>
                <w:szCs w:val="18"/>
                <w:highlight w:val="none"/>
              </w:rPr>
              <w:t>300≤X＜1000</w:t>
            </w:r>
          </w:p>
        </w:tc>
        <w:tc>
          <w:tcPr>
            <w:tcW w:w="1426" w:type="dxa"/>
            <w:noWrap w:val="0"/>
            <w:vAlign w:val="center"/>
          </w:tcPr>
          <w:p w14:paraId="4F3989E6">
            <w:pPr>
              <w:widowControl/>
              <w:jc w:val="center"/>
              <w:rPr>
                <w:color w:val="auto"/>
                <w:sz w:val="18"/>
                <w:szCs w:val="18"/>
                <w:highlight w:val="none"/>
              </w:rPr>
            </w:pPr>
            <w:r>
              <w:rPr>
                <w:color w:val="auto"/>
                <w:sz w:val="18"/>
                <w:szCs w:val="18"/>
                <w:highlight w:val="none"/>
              </w:rPr>
              <w:t>20≤X＜300</w:t>
            </w:r>
          </w:p>
        </w:tc>
        <w:tc>
          <w:tcPr>
            <w:tcW w:w="992" w:type="dxa"/>
            <w:noWrap w:val="0"/>
            <w:vAlign w:val="center"/>
          </w:tcPr>
          <w:p w14:paraId="63A35FE5">
            <w:pPr>
              <w:widowControl/>
              <w:jc w:val="center"/>
              <w:rPr>
                <w:color w:val="auto"/>
                <w:sz w:val="18"/>
                <w:szCs w:val="18"/>
                <w:highlight w:val="none"/>
              </w:rPr>
            </w:pPr>
            <w:r>
              <w:rPr>
                <w:color w:val="auto"/>
                <w:sz w:val="18"/>
                <w:szCs w:val="18"/>
                <w:highlight w:val="none"/>
              </w:rPr>
              <w:t>X＜20</w:t>
            </w:r>
          </w:p>
        </w:tc>
      </w:tr>
      <w:tr w14:paraId="38A97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07BA765A">
            <w:pPr>
              <w:widowControl/>
              <w:jc w:val="left"/>
              <w:rPr>
                <w:color w:val="auto"/>
                <w:sz w:val="18"/>
                <w:szCs w:val="18"/>
                <w:highlight w:val="none"/>
              </w:rPr>
            </w:pPr>
          </w:p>
        </w:tc>
        <w:tc>
          <w:tcPr>
            <w:tcW w:w="1369" w:type="dxa"/>
            <w:noWrap w:val="0"/>
            <w:vAlign w:val="center"/>
          </w:tcPr>
          <w:p w14:paraId="1147B222">
            <w:pPr>
              <w:widowControl/>
              <w:spacing w:line="240" w:lineRule="exact"/>
              <w:jc w:val="center"/>
              <w:rPr>
                <w:color w:val="auto"/>
                <w:sz w:val="18"/>
                <w:szCs w:val="18"/>
                <w:highlight w:val="none"/>
              </w:rPr>
            </w:pPr>
            <w:r>
              <w:rPr>
                <w:color w:val="auto"/>
                <w:sz w:val="18"/>
                <w:szCs w:val="18"/>
                <w:highlight w:val="none"/>
              </w:rPr>
              <w:t>营业收入(Y)</w:t>
            </w:r>
          </w:p>
        </w:tc>
        <w:tc>
          <w:tcPr>
            <w:tcW w:w="709" w:type="dxa"/>
            <w:noWrap w:val="0"/>
            <w:vAlign w:val="center"/>
          </w:tcPr>
          <w:p w14:paraId="4D162971">
            <w:pPr>
              <w:widowControl/>
              <w:jc w:val="center"/>
              <w:rPr>
                <w:color w:val="auto"/>
                <w:sz w:val="18"/>
                <w:szCs w:val="18"/>
                <w:highlight w:val="none"/>
              </w:rPr>
            </w:pPr>
            <w:r>
              <w:rPr>
                <w:color w:val="auto"/>
                <w:sz w:val="18"/>
                <w:szCs w:val="18"/>
                <w:highlight w:val="none"/>
              </w:rPr>
              <w:t>万元</w:t>
            </w:r>
          </w:p>
        </w:tc>
        <w:tc>
          <w:tcPr>
            <w:tcW w:w="1125" w:type="dxa"/>
            <w:noWrap w:val="0"/>
            <w:vAlign w:val="center"/>
          </w:tcPr>
          <w:p w14:paraId="37DC515C">
            <w:pPr>
              <w:widowControl/>
              <w:jc w:val="center"/>
              <w:rPr>
                <w:color w:val="auto"/>
                <w:sz w:val="18"/>
                <w:szCs w:val="18"/>
                <w:highlight w:val="none"/>
              </w:rPr>
            </w:pPr>
            <w:r>
              <w:rPr>
                <w:color w:val="auto"/>
                <w:sz w:val="18"/>
                <w:szCs w:val="18"/>
                <w:highlight w:val="none"/>
              </w:rPr>
              <w:t>Y≥40000</w:t>
            </w:r>
          </w:p>
        </w:tc>
        <w:tc>
          <w:tcPr>
            <w:tcW w:w="1701" w:type="dxa"/>
            <w:noWrap w:val="0"/>
            <w:vAlign w:val="center"/>
          </w:tcPr>
          <w:p w14:paraId="48CD8104">
            <w:pPr>
              <w:widowControl/>
              <w:jc w:val="center"/>
              <w:rPr>
                <w:color w:val="auto"/>
                <w:sz w:val="18"/>
                <w:szCs w:val="18"/>
                <w:highlight w:val="none"/>
              </w:rPr>
            </w:pPr>
            <w:r>
              <w:rPr>
                <w:color w:val="auto"/>
                <w:sz w:val="18"/>
                <w:szCs w:val="18"/>
                <w:highlight w:val="none"/>
              </w:rPr>
              <w:t>2000≤Y＜40000</w:t>
            </w:r>
          </w:p>
        </w:tc>
        <w:tc>
          <w:tcPr>
            <w:tcW w:w="1426" w:type="dxa"/>
            <w:noWrap w:val="0"/>
            <w:vAlign w:val="center"/>
          </w:tcPr>
          <w:p w14:paraId="605D5BD5">
            <w:pPr>
              <w:widowControl/>
              <w:jc w:val="center"/>
              <w:rPr>
                <w:color w:val="auto"/>
                <w:sz w:val="18"/>
                <w:szCs w:val="18"/>
                <w:highlight w:val="none"/>
              </w:rPr>
            </w:pPr>
            <w:r>
              <w:rPr>
                <w:color w:val="auto"/>
                <w:sz w:val="18"/>
                <w:szCs w:val="18"/>
                <w:highlight w:val="none"/>
              </w:rPr>
              <w:t>300≤Y＜2000</w:t>
            </w:r>
          </w:p>
        </w:tc>
        <w:tc>
          <w:tcPr>
            <w:tcW w:w="992" w:type="dxa"/>
            <w:noWrap w:val="0"/>
            <w:vAlign w:val="center"/>
          </w:tcPr>
          <w:p w14:paraId="6CEE07D2">
            <w:pPr>
              <w:widowControl/>
              <w:jc w:val="center"/>
              <w:rPr>
                <w:color w:val="auto"/>
                <w:sz w:val="18"/>
                <w:szCs w:val="18"/>
                <w:highlight w:val="none"/>
              </w:rPr>
            </w:pPr>
            <w:r>
              <w:rPr>
                <w:color w:val="auto"/>
                <w:sz w:val="18"/>
                <w:szCs w:val="18"/>
                <w:highlight w:val="none"/>
              </w:rPr>
              <w:t>Y＜300</w:t>
            </w:r>
          </w:p>
        </w:tc>
      </w:tr>
      <w:tr w14:paraId="55CFF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76459538">
            <w:pPr>
              <w:widowControl/>
              <w:spacing w:line="240" w:lineRule="exact"/>
              <w:jc w:val="left"/>
              <w:rPr>
                <w:color w:val="auto"/>
                <w:sz w:val="18"/>
                <w:szCs w:val="18"/>
                <w:highlight w:val="none"/>
              </w:rPr>
            </w:pPr>
            <w:r>
              <w:rPr>
                <w:color w:val="auto"/>
                <w:sz w:val="18"/>
                <w:szCs w:val="18"/>
                <w:highlight w:val="none"/>
              </w:rPr>
              <w:t>建筑业</w:t>
            </w:r>
          </w:p>
        </w:tc>
        <w:tc>
          <w:tcPr>
            <w:tcW w:w="1369" w:type="dxa"/>
            <w:noWrap w:val="0"/>
            <w:vAlign w:val="center"/>
          </w:tcPr>
          <w:p w14:paraId="196723AE">
            <w:pPr>
              <w:widowControl/>
              <w:jc w:val="center"/>
              <w:rPr>
                <w:color w:val="auto"/>
                <w:sz w:val="18"/>
                <w:szCs w:val="18"/>
                <w:highlight w:val="none"/>
              </w:rPr>
            </w:pPr>
            <w:r>
              <w:rPr>
                <w:color w:val="auto"/>
                <w:sz w:val="18"/>
                <w:szCs w:val="18"/>
                <w:highlight w:val="none"/>
              </w:rPr>
              <w:t>营业收入(Y)</w:t>
            </w:r>
          </w:p>
        </w:tc>
        <w:tc>
          <w:tcPr>
            <w:tcW w:w="709" w:type="dxa"/>
            <w:noWrap w:val="0"/>
            <w:vAlign w:val="center"/>
          </w:tcPr>
          <w:p w14:paraId="4FC4F163">
            <w:pPr>
              <w:widowControl/>
              <w:jc w:val="center"/>
              <w:rPr>
                <w:color w:val="auto"/>
                <w:sz w:val="18"/>
                <w:szCs w:val="18"/>
                <w:highlight w:val="none"/>
              </w:rPr>
            </w:pPr>
            <w:r>
              <w:rPr>
                <w:color w:val="auto"/>
                <w:sz w:val="18"/>
                <w:szCs w:val="18"/>
                <w:highlight w:val="none"/>
              </w:rPr>
              <w:t>万元</w:t>
            </w:r>
          </w:p>
        </w:tc>
        <w:tc>
          <w:tcPr>
            <w:tcW w:w="1125" w:type="dxa"/>
            <w:noWrap w:val="0"/>
            <w:vAlign w:val="center"/>
          </w:tcPr>
          <w:p w14:paraId="054C87C8">
            <w:pPr>
              <w:widowControl/>
              <w:jc w:val="center"/>
              <w:rPr>
                <w:color w:val="auto"/>
                <w:sz w:val="18"/>
                <w:szCs w:val="18"/>
                <w:highlight w:val="none"/>
              </w:rPr>
            </w:pPr>
            <w:r>
              <w:rPr>
                <w:color w:val="auto"/>
                <w:sz w:val="18"/>
                <w:szCs w:val="18"/>
                <w:highlight w:val="none"/>
              </w:rPr>
              <w:t>Y≥80000</w:t>
            </w:r>
          </w:p>
        </w:tc>
        <w:tc>
          <w:tcPr>
            <w:tcW w:w="1701" w:type="dxa"/>
            <w:noWrap w:val="0"/>
            <w:vAlign w:val="center"/>
          </w:tcPr>
          <w:p w14:paraId="57C6687A">
            <w:pPr>
              <w:widowControl/>
              <w:jc w:val="center"/>
              <w:rPr>
                <w:color w:val="auto"/>
                <w:sz w:val="18"/>
                <w:szCs w:val="18"/>
                <w:highlight w:val="none"/>
              </w:rPr>
            </w:pPr>
            <w:r>
              <w:rPr>
                <w:color w:val="auto"/>
                <w:sz w:val="18"/>
                <w:szCs w:val="18"/>
                <w:highlight w:val="none"/>
              </w:rPr>
              <w:t>6000≤Y＜80000</w:t>
            </w:r>
          </w:p>
        </w:tc>
        <w:tc>
          <w:tcPr>
            <w:tcW w:w="1426" w:type="dxa"/>
            <w:noWrap w:val="0"/>
            <w:vAlign w:val="center"/>
          </w:tcPr>
          <w:p w14:paraId="6DE61FC6">
            <w:pPr>
              <w:widowControl/>
              <w:jc w:val="center"/>
              <w:rPr>
                <w:color w:val="auto"/>
                <w:sz w:val="18"/>
                <w:szCs w:val="18"/>
                <w:highlight w:val="none"/>
              </w:rPr>
            </w:pPr>
            <w:r>
              <w:rPr>
                <w:color w:val="auto"/>
                <w:sz w:val="18"/>
                <w:szCs w:val="18"/>
                <w:highlight w:val="none"/>
              </w:rPr>
              <w:t>300≤Y＜6000</w:t>
            </w:r>
          </w:p>
        </w:tc>
        <w:tc>
          <w:tcPr>
            <w:tcW w:w="992" w:type="dxa"/>
            <w:noWrap w:val="0"/>
            <w:vAlign w:val="center"/>
          </w:tcPr>
          <w:p w14:paraId="2783615E">
            <w:pPr>
              <w:widowControl/>
              <w:jc w:val="center"/>
              <w:rPr>
                <w:color w:val="auto"/>
                <w:sz w:val="18"/>
                <w:szCs w:val="18"/>
                <w:highlight w:val="none"/>
              </w:rPr>
            </w:pPr>
            <w:r>
              <w:rPr>
                <w:color w:val="auto"/>
                <w:sz w:val="18"/>
                <w:szCs w:val="18"/>
                <w:highlight w:val="none"/>
              </w:rPr>
              <w:t>Y＜300</w:t>
            </w:r>
          </w:p>
        </w:tc>
      </w:tr>
      <w:tr w14:paraId="5E726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052002AC">
            <w:pPr>
              <w:widowControl/>
              <w:jc w:val="left"/>
              <w:rPr>
                <w:color w:val="auto"/>
                <w:sz w:val="18"/>
                <w:szCs w:val="18"/>
                <w:highlight w:val="none"/>
              </w:rPr>
            </w:pPr>
          </w:p>
        </w:tc>
        <w:tc>
          <w:tcPr>
            <w:tcW w:w="1369" w:type="dxa"/>
            <w:noWrap w:val="0"/>
            <w:vAlign w:val="center"/>
          </w:tcPr>
          <w:p w14:paraId="7F02BD70">
            <w:pPr>
              <w:widowControl/>
              <w:spacing w:line="240" w:lineRule="exact"/>
              <w:jc w:val="center"/>
              <w:rPr>
                <w:color w:val="auto"/>
                <w:sz w:val="18"/>
                <w:szCs w:val="18"/>
                <w:highlight w:val="none"/>
              </w:rPr>
            </w:pPr>
            <w:r>
              <w:rPr>
                <w:color w:val="auto"/>
                <w:sz w:val="18"/>
                <w:szCs w:val="18"/>
                <w:highlight w:val="none"/>
              </w:rPr>
              <w:t>资产总额(Z)</w:t>
            </w:r>
          </w:p>
        </w:tc>
        <w:tc>
          <w:tcPr>
            <w:tcW w:w="709" w:type="dxa"/>
            <w:noWrap w:val="0"/>
            <w:vAlign w:val="center"/>
          </w:tcPr>
          <w:p w14:paraId="6654415E">
            <w:pPr>
              <w:widowControl/>
              <w:jc w:val="center"/>
              <w:rPr>
                <w:color w:val="auto"/>
                <w:sz w:val="18"/>
                <w:szCs w:val="18"/>
                <w:highlight w:val="none"/>
              </w:rPr>
            </w:pPr>
            <w:r>
              <w:rPr>
                <w:color w:val="auto"/>
                <w:sz w:val="18"/>
                <w:szCs w:val="18"/>
                <w:highlight w:val="none"/>
              </w:rPr>
              <w:t>万元</w:t>
            </w:r>
          </w:p>
        </w:tc>
        <w:tc>
          <w:tcPr>
            <w:tcW w:w="1125" w:type="dxa"/>
            <w:noWrap w:val="0"/>
            <w:vAlign w:val="center"/>
          </w:tcPr>
          <w:p w14:paraId="52604579">
            <w:pPr>
              <w:widowControl/>
              <w:jc w:val="center"/>
              <w:rPr>
                <w:color w:val="auto"/>
                <w:sz w:val="18"/>
                <w:szCs w:val="18"/>
                <w:highlight w:val="none"/>
              </w:rPr>
            </w:pPr>
            <w:r>
              <w:rPr>
                <w:color w:val="auto"/>
                <w:sz w:val="18"/>
                <w:szCs w:val="18"/>
                <w:highlight w:val="none"/>
              </w:rPr>
              <w:t>Z≥80000</w:t>
            </w:r>
          </w:p>
        </w:tc>
        <w:tc>
          <w:tcPr>
            <w:tcW w:w="1701" w:type="dxa"/>
            <w:noWrap w:val="0"/>
            <w:vAlign w:val="center"/>
          </w:tcPr>
          <w:p w14:paraId="379512B2">
            <w:pPr>
              <w:widowControl/>
              <w:jc w:val="center"/>
              <w:rPr>
                <w:color w:val="auto"/>
                <w:sz w:val="18"/>
                <w:szCs w:val="18"/>
                <w:highlight w:val="none"/>
              </w:rPr>
            </w:pPr>
            <w:r>
              <w:rPr>
                <w:color w:val="auto"/>
                <w:sz w:val="18"/>
                <w:szCs w:val="18"/>
                <w:highlight w:val="none"/>
              </w:rPr>
              <w:t>5000≤Z＜80000</w:t>
            </w:r>
          </w:p>
        </w:tc>
        <w:tc>
          <w:tcPr>
            <w:tcW w:w="1426" w:type="dxa"/>
            <w:noWrap w:val="0"/>
            <w:vAlign w:val="center"/>
          </w:tcPr>
          <w:p w14:paraId="727A2657">
            <w:pPr>
              <w:widowControl/>
              <w:jc w:val="center"/>
              <w:rPr>
                <w:color w:val="auto"/>
                <w:sz w:val="18"/>
                <w:szCs w:val="18"/>
                <w:highlight w:val="none"/>
              </w:rPr>
            </w:pPr>
            <w:r>
              <w:rPr>
                <w:color w:val="auto"/>
                <w:sz w:val="18"/>
                <w:szCs w:val="18"/>
                <w:highlight w:val="none"/>
              </w:rPr>
              <w:t>300≤Z＜5000</w:t>
            </w:r>
          </w:p>
        </w:tc>
        <w:tc>
          <w:tcPr>
            <w:tcW w:w="992" w:type="dxa"/>
            <w:noWrap w:val="0"/>
            <w:vAlign w:val="center"/>
          </w:tcPr>
          <w:p w14:paraId="390746DD">
            <w:pPr>
              <w:widowControl/>
              <w:jc w:val="center"/>
              <w:rPr>
                <w:color w:val="auto"/>
                <w:sz w:val="18"/>
                <w:szCs w:val="18"/>
                <w:highlight w:val="none"/>
              </w:rPr>
            </w:pPr>
            <w:r>
              <w:rPr>
                <w:color w:val="auto"/>
                <w:sz w:val="18"/>
                <w:szCs w:val="18"/>
                <w:highlight w:val="none"/>
              </w:rPr>
              <w:t>Z＜300</w:t>
            </w:r>
          </w:p>
        </w:tc>
      </w:tr>
      <w:tr w14:paraId="4137F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480F7FC1">
            <w:pPr>
              <w:widowControl/>
              <w:spacing w:line="240" w:lineRule="exact"/>
              <w:jc w:val="left"/>
              <w:rPr>
                <w:color w:val="auto"/>
                <w:sz w:val="18"/>
                <w:szCs w:val="18"/>
                <w:highlight w:val="none"/>
              </w:rPr>
            </w:pPr>
            <w:r>
              <w:rPr>
                <w:color w:val="auto"/>
                <w:sz w:val="18"/>
                <w:szCs w:val="18"/>
                <w:highlight w:val="none"/>
              </w:rPr>
              <w:t>批发业</w:t>
            </w:r>
          </w:p>
        </w:tc>
        <w:tc>
          <w:tcPr>
            <w:tcW w:w="1369" w:type="dxa"/>
            <w:noWrap w:val="0"/>
            <w:vAlign w:val="center"/>
          </w:tcPr>
          <w:p w14:paraId="5C1CB3F8">
            <w:pPr>
              <w:widowControl/>
              <w:jc w:val="center"/>
              <w:rPr>
                <w:color w:val="auto"/>
                <w:sz w:val="18"/>
                <w:szCs w:val="18"/>
                <w:highlight w:val="none"/>
              </w:rPr>
            </w:pPr>
            <w:r>
              <w:rPr>
                <w:color w:val="auto"/>
                <w:sz w:val="18"/>
                <w:szCs w:val="18"/>
                <w:highlight w:val="none"/>
              </w:rPr>
              <w:t>从业人员(X)</w:t>
            </w:r>
          </w:p>
        </w:tc>
        <w:tc>
          <w:tcPr>
            <w:tcW w:w="709" w:type="dxa"/>
            <w:noWrap w:val="0"/>
            <w:vAlign w:val="center"/>
          </w:tcPr>
          <w:p w14:paraId="165B6A59">
            <w:pPr>
              <w:widowControl/>
              <w:jc w:val="center"/>
              <w:rPr>
                <w:color w:val="auto"/>
                <w:sz w:val="18"/>
                <w:szCs w:val="18"/>
                <w:highlight w:val="none"/>
              </w:rPr>
            </w:pPr>
            <w:r>
              <w:rPr>
                <w:color w:val="auto"/>
                <w:sz w:val="18"/>
                <w:szCs w:val="18"/>
                <w:highlight w:val="none"/>
              </w:rPr>
              <w:t>人</w:t>
            </w:r>
          </w:p>
        </w:tc>
        <w:tc>
          <w:tcPr>
            <w:tcW w:w="1125" w:type="dxa"/>
            <w:noWrap w:val="0"/>
            <w:vAlign w:val="center"/>
          </w:tcPr>
          <w:p w14:paraId="55565902">
            <w:pPr>
              <w:widowControl/>
              <w:jc w:val="center"/>
              <w:rPr>
                <w:color w:val="auto"/>
                <w:sz w:val="18"/>
                <w:szCs w:val="18"/>
                <w:highlight w:val="none"/>
              </w:rPr>
            </w:pPr>
            <w:r>
              <w:rPr>
                <w:color w:val="auto"/>
                <w:sz w:val="18"/>
                <w:szCs w:val="18"/>
                <w:highlight w:val="none"/>
              </w:rPr>
              <w:t>X≥200</w:t>
            </w:r>
          </w:p>
        </w:tc>
        <w:tc>
          <w:tcPr>
            <w:tcW w:w="1701" w:type="dxa"/>
            <w:noWrap w:val="0"/>
            <w:vAlign w:val="center"/>
          </w:tcPr>
          <w:p w14:paraId="17E44ED0">
            <w:pPr>
              <w:widowControl/>
              <w:jc w:val="center"/>
              <w:rPr>
                <w:color w:val="auto"/>
                <w:sz w:val="18"/>
                <w:szCs w:val="18"/>
                <w:highlight w:val="none"/>
              </w:rPr>
            </w:pPr>
            <w:r>
              <w:rPr>
                <w:color w:val="auto"/>
                <w:sz w:val="18"/>
                <w:szCs w:val="18"/>
                <w:highlight w:val="none"/>
              </w:rPr>
              <w:t>20≤X＜200</w:t>
            </w:r>
          </w:p>
        </w:tc>
        <w:tc>
          <w:tcPr>
            <w:tcW w:w="1426" w:type="dxa"/>
            <w:noWrap w:val="0"/>
            <w:vAlign w:val="center"/>
          </w:tcPr>
          <w:p w14:paraId="7394BDD3">
            <w:pPr>
              <w:widowControl/>
              <w:jc w:val="center"/>
              <w:rPr>
                <w:color w:val="auto"/>
                <w:sz w:val="18"/>
                <w:szCs w:val="18"/>
                <w:highlight w:val="none"/>
              </w:rPr>
            </w:pPr>
            <w:r>
              <w:rPr>
                <w:color w:val="auto"/>
                <w:sz w:val="18"/>
                <w:szCs w:val="18"/>
                <w:highlight w:val="none"/>
              </w:rPr>
              <w:t>5≤X＜20</w:t>
            </w:r>
          </w:p>
        </w:tc>
        <w:tc>
          <w:tcPr>
            <w:tcW w:w="992" w:type="dxa"/>
            <w:noWrap w:val="0"/>
            <w:vAlign w:val="center"/>
          </w:tcPr>
          <w:p w14:paraId="0BB1BD88">
            <w:pPr>
              <w:widowControl/>
              <w:jc w:val="center"/>
              <w:rPr>
                <w:color w:val="auto"/>
                <w:sz w:val="18"/>
                <w:szCs w:val="18"/>
                <w:highlight w:val="none"/>
              </w:rPr>
            </w:pPr>
            <w:r>
              <w:rPr>
                <w:color w:val="auto"/>
                <w:sz w:val="18"/>
                <w:szCs w:val="18"/>
                <w:highlight w:val="none"/>
              </w:rPr>
              <w:t>X＜5</w:t>
            </w:r>
          </w:p>
        </w:tc>
      </w:tr>
      <w:tr w14:paraId="1A610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06D58AAD">
            <w:pPr>
              <w:widowControl/>
              <w:jc w:val="left"/>
              <w:rPr>
                <w:color w:val="auto"/>
                <w:sz w:val="18"/>
                <w:szCs w:val="18"/>
                <w:highlight w:val="none"/>
              </w:rPr>
            </w:pPr>
          </w:p>
        </w:tc>
        <w:tc>
          <w:tcPr>
            <w:tcW w:w="1369" w:type="dxa"/>
            <w:noWrap w:val="0"/>
            <w:vAlign w:val="center"/>
          </w:tcPr>
          <w:p w14:paraId="0542A98C">
            <w:pPr>
              <w:widowControl/>
              <w:spacing w:line="240" w:lineRule="exact"/>
              <w:jc w:val="center"/>
              <w:rPr>
                <w:color w:val="auto"/>
                <w:sz w:val="18"/>
                <w:szCs w:val="18"/>
                <w:highlight w:val="none"/>
              </w:rPr>
            </w:pPr>
            <w:r>
              <w:rPr>
                <w:color w:val="auto"/>
                <w:sz w:val="18"/>
                <w:szCs w:val="18"/>
                <w:highlight w:val="none"/>
              </w:rPr>
              <w:t>营业收入(Y)</w:t>
            </w:r>
          </w:p>
        </w:tc>
        <w:tc>
          <w:tcPr>
            <w:tcW w:w="709" w:type="dxa"/>
            <w:noWrap w:val="0"/>
            <w:vAlign w:val="center"/>
          </w:tcPr>
          <w:p w14:paraId="28B35710">
            <w:pPr>
              <w:widowControl/>
              <w:jc w:val="center"/>
              <w:rPr>
                <w:color w:val="auto"/>
                <w:sz w:val="18"/>
                <w:szCs w:val="18"/>
                <w:highlight w:val="none"/>
              </w:rPr>
            </w:pPr>
            <w:r>
              <w:rPr>
                <w:color w:val="auto"/>
                <w:sz w:val="18"/>
                <w:szCs w:val="18"/>
                <w:highlight w:val="none"/>
              </w:rPr>
              <w:t>万元</w:t>
            </w:r>
          </w:p>
        </w:tc>
        <w:tc>
          <w:tcPr>
            <w:tcW w:w="1125" w:type="dxa"/>
            <w:noWrap w:val="0"/>
            <w:vAlign w:val="center"/>
          </w:tcPr>
          <w:p w14:paraId="11F1792D">
            <w:pPr>
              <w:widowControl/>
              <w:jc w:val="center"/>
              <w:rPr>
                <w:color w:val="auto"/>
                <w:sz w:val="18"/>
                <w:szCs w:val="18"/>
                <w:highlight w:val="none"/>
              </w:rPr>
            </w:pPr>
            <w:r>
              <w:rPr>
                <w:color w:val="auto"/>
                <w:sz w:val="18"/>
                <w:szCs w:val="18"/>
                <w:highlight w:val="none"/>
              </w:rPr>
              <w:t>Y≥40000</w:t>
            </w:r>
          </w:p>
        </w:tc>
        <w:tc>
          <w:tcPr>
            <w:tcW w:w="1701" w:type="dxa"/>
            <w:noWrap w:val="0"/>
            <w:vAlign w:val="center"/>
          </w:tcPr>
          <w:p w14:paraId="56E6D605">
            <w:pPr>
              <w:widowControl/>
              <w:jc w:val="center"/>
              <w:rPr>
                <w:color w:val="auto"/>
                <w:sz w:val="18"/>
                <w:szCs w:val="18"/>
                <w:highlight w:val="none"/>
              </w:rPr>
            </w:pPr>
            <w:r>
              <w:rPr>
                <w:color w:val="auto"/>
                <w:sz w:val="18"/>
                <w:szCs w:val="18"/>
                <w:highlight w:val="none"/>
              </w:rPr>
              <w:t>5000≤Y＜40000</w:t>
            </w:r>
          </w:p>
        </w:tc>
        <w:tc>
          <w:tcPr>
            <w:tcW w:w="1426" w:type="dxa"/>
            <w:noWrap w:val="0"/>
            <w:vAlign w:val="center"/>
          </w:tcPr>
          <w:p w14:paraId="29C59C9E">
            <w:pPr>
              <w:widowControl/>
              <w:ind w:left="-1" w:hanging="1"/>
              <w:jc w:val="center"/>
              <w:rPr>
                <w:color w:val="auto"/>
                <w:sz w:val="18"/>
                <w:szCs w:val="18"/>
                <w:highlight w:val="none"/>
              </w:rPr>
            </w:pPr>
            <w:r>
              <w:rPr>
                <w:color w:val="auto"/>
                <w:sz w:val="18"/>
                <w:szCs w:val="18"/>
                <w:highlight w:val="none"/>
              </w:rPr>
              <w:t>1000≤Y＜5000</w:t>
            </w:r>
          </w:p>
        </w:tc>
        <w:tc>
          <w:tcPr>
            <w:tcW w:w="992" w:type="dxa"/>
            <w:noWrap w:val="0"/>
            <w:vAlign w:val="center"/>
          </w:tcPr>
          <w:p w14:paraId="193B3946">
            <w:pPr>
              <w:widowControl/>
              <w:jc w:val="center"/>
              <w:rPr>
                <w:color w:val="auto"/>
                <w:sz w:val="18"/>
                <w:szCs w:val="18"/>
                <w:highlight w:val="none"/>
              </w:rPr>
            </w:pPr>
            <w:r>
              <w:rPr>
                <w:color w:val="auto"/>
                <w:sz w:val="18"/>
                <w:szCs w:val="18"/>
                <w:highlight w:val="none"/>
              </w:rPr>
              <w:t>Y＜1000</w:t>
            </w:r>
          </w:p>
        </w:tc>
      </w:tr>
      <w:tr w14:paraId="53F8D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18C2BDEB">
            <w:pPr>
              <w:widowControl/>
              <w:spacing w:line="240" w:lineRule="exact"/>
              <w:jc w:val="left"/>
              <w:rPr>
                <w:color w:val="auto"/>
                <w:sz w:val="18"/>
                <w:szCs w:val="18"/>
                <w:highlight w:val="none"/>
              </w:rPr>
            </w:pPr>
            <w:r>
              <w:rPr>
                <w:color w:val="auto"/>
                <w:sz w:val="18"/>
                <w:szCs w:val="18"/>
                <w:highlight w:val="none"/>
              </w:rPr>
              <w:t>零售业</w:t>
            </w:r>
          </w:p>
        </w:tc>
        <w:tc>
          <w:tcPr>
            <w:tcW w:w="1369" w:type="dxa"/>
            <w:noWrap w:val="0"/>
            <w:vAlign w:val="center"/>
          </w:tcPr>
          <w:p w14:paraId="1B4944E7">
            <w:pPr>
              <w:widowControl/>
              <w:jc w:val="center"/>
              <w:rPr>
                <w:color w:val="auto"/>
                <w:sz w:val="18"/>
                <w:szCs w:val="18"/>
                <w:highlight w:val="none"/>
              </w:rPr>
            </w:pPr>
            <w:r>
              <w:rPr>
                <w:color w:val="auto"/>
                <w:sz w:val="18"/>
                <w:szCs w:val="18"/>
                <w:highlight w:val="none"/>
              </w:rPr>
              <w:t>从业人员(X)</w:t>
            </w:r>
          </w:p>
        </w:tc>
        <w:tc>
          <w:tcPr>
            <w:tcW w:w="709" w:type="dxa"/>
            <w:noWrap w:val="0"/>
            <w:vAlign w:val="center"/>
          </w:tcPr>
          <w:p w14:paraId="28ECDA2E">
            <w:pPr>
              <w:widowControl/>
              <w:jc w:val="center"/>
              <w:rPr>
                <w:color w:val="auto"/>
                <w:sz w:val="18"/>
                <w:szCs w:val="18"/>
                <w:highlight w:val="none"/>
              </w:rPr>
            </w:pPr>
            <w:r>
              <w:rPr>
                <w:color w:val="auto"/>
                <w:sz w:val="18"/>
                <w:szCs w:val="18"/>
                <w:highlight w:val="none"/>
              </w:rPr>
              <w:t>人</w:t>
            </w:r>
          </w:p>
        </w:tc>
        <w:tc>
          <w:tcPr>
            <w:tcW w:w="1125" w:type="dxa"/>
            <w:noWrap w:val="0"/>
            <w:vAlign w:val="center"/>
          </w:tcPr>
          <w:p w14:paraId="6313661D">
            <w:pPr>
              <w:widowControl/>
              <w:jc w:val="center"/>
              <w:rPr>
                <w:color w:val="auto"/>
                <w:sz w:val="18"/>
                <w:szCs w:val="18"/>
                <w:highlight w:val="none"/>
              </w:rPr>
            </w:pPr>
            <w:r>
              <w:rPr>
                <w:color w:val="auto"/>
                <w:sz w:val="18"/>
                <w:szCs w:val="18"/>
                <w:highlight w:val="none"/>
              </w:rPr>
              <w:t>X≥300</w:t>
            </w:r>
          </w:p>
        </w:tc>
        <w:tc>
          <w:tcPr>
            <w:tcW w:w="1701" w:type="dxa"/>
            <w:noWrap w:val="0"/>
            <w:vAlign w:val="center"/>
          </w:tcPr>
          <w:p w14:paraId="1D7E0C8A">
            <w:pPr>
              <w:widowControl/>
              <w:jc w:val="center"/>
              <w:rPr>
                <w:color w:val="auto"/>
                <w:sz w:val="18"/>
                <w:szCs w:val="18"/>
                <w:highlight w:val="none"/>
              </w:rPr>
            </w:pPr>
            <w:r>
              <w:rPr>
                <w:color w:val="auto"/>
                <w:sz w:val="18"/>
                <w:szCs w:val="18"/>
                <w:highlight w:val="none"/>
              </w:rPr>
              <w:t>50≤X＜300</w:t>
            </w:r>
          </w:p>
        </w:tc>
        <w:tc>
          <w:tcPr>
            <w:tcW w:w="1426" w:type="dxa"/>
            <w:noWrap w:val="0"/>
            <w:vAlign w:val="center"/>
          </w:tcPr>
          <w:p w14:paraId="0748C73C">
            <w:pPr>
              <w:widowControl/>
              <w:ind w:left="-1" w:hanging="1"/>
              <w:jc w:val="center"/>
              <w:rPr>
                <w:color w:val="auto"/>
                <w:sz w:val="18"/>
                <w:szCs w:val="18"/>
                <w:highlight w:val="none"/>
              </w:rPr>
            </w:pPr>
            <w:r>
              <w:rPr>
                <w:color w:val="auto"/>
                <w:sz w:val="18"/>
                <w:szCs w:val="18"/>
                <w:highlight w:val="none"/>
              </w:rPr>
              <w:t xml:space="preserve">10≤X＜50 </w:t>
            </w:r>
          </w:p>
        </w:tc>
        <w:tc>
          <w:tcPr>
            <w:tcW w:w="992" w:type="dxa"/>
            <w:noWrap w:val="0"/>
            <w:vAlign w:val="center"/>
          </w:tcPr>
          <w:p w14:paraId="60ECC0A6">
            <w:pPr>
              <w:widowControl/>
              <w:jc w:val="center"/>
              <w:rPr>
                <w:color w:val="auto"/>
                <w:sz w:val="18"/>
                <w:szCs w:val="18"/>
                <w:highlight w:val="none"/>
              </w:rPr>
            </w:pPr>
            <w:r>
              <w:rPr>
                <w:color w:val="auto"/>
                <w:sz w:val="18"/>
                <w:szCs w:val="18"/>
                <w:highlight w:val="none"/>
              </w:rPr>
              <w:t>X＜10</w:t>
            </w:r>
          </w:p>
        </w:tc>
      </w:tr>
      <w:tr w14:paraId="02EF2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5CCA11E0">
            <w:pPr>
              <w:widowControl/>
              <w:jc w:val="left"/>
              <w:rPr>
                <w:color w:val="auto"/>
                <w:sz w:val="18"/>
                <w:szCs w:val="18"/>
                <w:highlight w:val="none"/>
              </w:rPr>
            </w:pPr>
          </w:p>
        </w:tc>
        <w:tc>
          <w:tcPr>
            <w:tcW w:w="1369" w:type="dxa"/>
            <w:noWrap w:val="0"/>
            <w:vAlign w:val="center"/>
          </w:tcPr>
          <w:p w14:paraId="327FD045">
            <w:pPr>
              <w:widowControl/>
              <w:spacing w:line="240" w:lineRule="exact"/>
              <w:jc w:val="center"/>
              <w:rPr>
                <w:color w:val="auto"/>
                <w:sz w:val="18"/>
                <w:szCs w:val="18"/>
                <w:highlight w:val="none"/>
              </w:rPr>
            </w:pPr>
            <w:r>
              <w:rPr>
                <w:color w:val="auto"/>
                <w:sz w:val="18"/>
                <w:szCs w:val="18"/>
                <w:highlight w:val="none"/>
              </w:rPr>
              <w:t>营业收入(Y)</w:t>
            </w:r>
          </w:p>
        </w:tc>
        <w:tc>
          <w:tcPr>
            <w:tcW w:w="709" w:type="dxa"/>
            <w:noWrap w:val="0"/>
            <w:vAlign w:val="center"/>
          </w:tcPr>
          <w:p w14:paraId="56D4CACB">
            <w:pPr>
              <w:widowControl/>
              <w:jc w:val="center"/>
              <w:rPr>
                <w:color w:val="auto"/>
                <w:sz w:val="18"/>
                <w:szCs w:val="18"/>
                <w:highlight w:val="none"/>
              </w:rPr>
            </w:pPr>
            <w:r>
              <w:rPr>
                <w:color w:val="auto"/>
                <w:sz w:val="18"/>
                <w:szCs w:val="18"/>
                <w:highlight w:val="none"/>
              </w:rPr>
              <w:t>万元</w:t>
            </w:r>
          </w:p>
        </w:tc>
        <w:tc>
          <w:tcPr>
            <w:tcW w:w="1125" w:type="dxa"/>
            <w:noWrap w:val="0"/>
            <w:vAlign w:val="center"/>
          </w:tcPr>
          <w:p w14:paraId="464A1750">
            <w:pPr>
              <w:widowControl/>
              <w:jc w:val="center"/>
              <w:rPr>
                <w:color w:val="auto"/>
                <w:sz w:val="18"/>
                <w:szCs w:val="18"/>
                <w:highlight w:val="none"/>
              </w:rPr>
            </w:pPr>
            <w:r>
              <w:rPr>
                <w:color w:val="auto"/>
                <w:sz w:val="18"/>
                <w:szCs w:val="18"/>
                <w:highlight w:val="none"/>
              </w:rPr>
              <w:t>Y≥20000</w:t>
            </w:r>
          </w:p>
        </w:tc>
        <w:tc>
          <w:tcPr>
            <w:tcW w:w="1701" w:type="dxa"/>
            <w:noWrap w:val="0"/>
            <w:vAlign w:val="center"/>
          </w:tcPr>
          <w:p w14:paraId="72D3EE6F">
            <w:pPr>
              <w:widowControl/>
              <w:jc w:val="center"/>
              <w:rPr>
                <w:color w:val="auto"/>
                <w:sz w:val="18"/>
                <w:szCs w:val="18"/>
                <w:highlight w:val="none"/>
              </w:rPr>
            </w:pPr>
            <w:r>
              <w:rPr>
                <w:color w:val="auto"/>
                <w:sz w:val="18"/>
                <w:szCs w:val="18"/>
                <w:highlight w:val="none"/>
              </w:rPr>
              <w:t>500≤Y＜20000</w:t>
            </w:r>
          </w:p>
        </w:tc>
        <w:tc>
          <w:tcPr>
            <w:tcW w:w="1426" w:type="dxa"/>
            <w:noWrap w:val="0"/>
            <w:vAlign w:val="center"/>
          </w:tcPr>
          <w:p w14:paraId="13EFD032">
            <w:pPr>
              <w:widowControl/>
              <w:ind w:left="-1" w:hanging="1"/>
              <w:jc w:val="center"/>
              <w:rPr>
                <w:color w:val="auto"/>
                <w:sz w:val="18"/>
                <w:szCs w:val="18"/>
                <w:highlight w:val="none"/>
              </w:rPr>
            </w:pPr>
            <w:r>
              <w:rPr>
                <w:color w:val="auto"/>
                <w:sz w:val="18"/>
                <w:szCs w:val="18"/>
                <w:highlight w:val="none"/>
              </w:rPr>
              <w:t>100≤Y＜500</w:t>
            </w:r>
          </w:p>
        </w:tc>
        <w:tc>
          <w:tcPr>
            <w:tcW w:w="992" w:type="dxa"/>
            <w:noWrap w:val="0"/>
            <w:vAlign w:val="center"/>
          </w:tcPr>
          <w:p w14:paraId="3310A8DC">
            <w:pPr>
              <w:widowControl/>
              <w:jc w:val="center"/>
              <w:rPr>
                <w:color w:val="auto"/>
                <w:sz w:val="18"/>
                <w:szCs w:val="18"/>
                <w:highlight w:val="none"/>
              </w:rPr>
            </w:pPr>
            <w:r>
              <w:rPr>
                <w:color w:val="auto"/>
                <w:sz w:val="18"/>
                <w:szCs w:val="18"/>
                <w:highlight w:val="none"/>
              </w:rPr>
              <w:t>Y＜100</w:t>
            </w:r>
          </w:p>
        </w:tc>
      </w:tr>
      <w:tr w14:paraId="3F5C1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1ACC08D7">
            <w:pPr>
              <w:widowControl/>
              <w:spacing w:line="240" w:lineRule="exact"/>
              <w:jc w:val="left"/>
              <w:rPr>
                <w:rFonts w:hint="eastAsia"/>
                <w:color w:val="auto"/>
                <w:sz w:val="18"/>
                <w:szCs w:val="18"/>
                <w:highlight w:val="none"/>
              </w:rPr>
            </w:pPr>
            <w:r>
              <w:rPr>
                <w:color w:val="auto"/>
                <w:sz w:val="18"/>
                <w:szCs w:val="18"/>
                <w:highlight w:val="none"/>
              </w:rPr>
              <w:t>交通运输业</w:t>
            </w:r>
            <w:r>
              <w:rPr>
                <w:rFonts w:hint="eastAsia" w:ascii="宋体" w:hAnsi="宋体" w:cs="宋体"/>
                <w:color w:val="auto"/>
                <w:sz w:val="18"/>
                <w:szCs w:val="18"/>
                <w:highlight w:val="none"/>
              </w:rPr>
              <w:t>※</w:t>
            </w:r>
          </w:p>
        </w:tc>
        <w:tc>
          <w:tcPr>
            <w:tcW w:w="1369" w:type="dxa"/>
            <w:noWrap w:val="0"/>
            <w:vAlign w:val="center"/>
          </w:tcPr>
          <w:p w14:paraId="71E7D00C">
            <w:pPr>
              <w:widowControl/>
              <w:jc w:val="center"/>
              <w:rPr>
                <w:color w:val="auto"/>
                <w:sz w:val="18"/>
                <w:szCs w:val="18"/>
                <w:highlight w:val="none"/>
              </w:rPr>
            </w:pPr>
            <w:r>
              <w:rPr>
                <w:color w:val="auto"/>
                <w:sz w:val="18"/>
                <w:szCs w:val="18"/>
                <w:highlight w:val="none"/>
              </w:rPr>
              <w:t>从业人员(X)</w:t>
            </w:r>
          </w:p>
        </w:tc>
        <w:tc>
          <w:tcPr>
            <w:tcW w:w="709" w:type="dxa"/>
            <w:noWrap w:val="0"/>
            <w:vAlign w:val="center"/>
          </w:tcPr>
          <w:p w14:paraId="424CF5A8">
            <w:pPr>
              <w:widowControl/>
              <w:jc w:val="center"/>
              <w:rPr>
                <w:color w:val="auto"/>
                <w:sz w:val="18"/>
                <w:szCs w:val="18"/>
                <w:highlight w:val="none"/>
              </w:rPr>
            </w:pPr>
            <w:r>
              <w:rPr>
                <w:color w:val="auto"/>
                <w:sz w:val="18"/>
                <w:szCs w:val="18"/>
                <w:highlight w:val="none"/>
              </w:rPr>
              <w:t>人</w:t>
            </w:r>
          </w:p>
        </w:tc>
        <w:tc>
          <w:tcPr>
            <w:tcW w:w="1125" w:type="dxa"/>
            <w:noWrap w:val="0"/>
            <w:vAlign w:val="center"/>
          </w:tcPr>
          <w:p w14:paraId="5F79350D">
            <w:pPr>
              <w:widowControl/>
              <w:jc w:val="center"/>
              <w:rPr>
                <w:color w:val="auto"/>
                <w:sz w:val="18"/>
                <w:szCs w:val="18"/>
                <w:highlight w:val="none"/>
              </w:rPr>
            </w:pPr>
            <w:r>
              <w:rPr>
                <w:color w:val="auto"/>
                <w:sz w:val="18"/>
                <w:szCs w:val="18"/>
                <w:highlight w:val="none"/>
              </w:rPr>
              <w:t>X≥1000</w:t>
            </w:r>
          </w:p>
        </w:tc>
        <w:tc>
          <w:tcPr>
            <w:tcW w:w="1701" w:type="dxa"/>
            <w:noWrap w:val="0"/>
            <w:vAlign w:val="center"/>
          </w:tcPr>
          <w:p w14:paraId="5AA3778D">
            <w:pPr>
              <w:widowControl/>
              <w:jc w:val="center"/>
              <w:rPr>
                <w:color w:val="auto"/>
                <w:sz w:val="18"/>
                <w:szCs w:val="18"/>
                <w:highlight w:val="none"/>
              </w:rPr>
            </w:pPr>
            <w:r>
              <w:rPr>
                <w:color w:val="auto"/>
                <w:sz w:val="18"/>
                <w:szCs w:val="18"/>
                <w:highlight w:val="none"/>
              </w:rPr>
              <w:t>300≤X＜1000</w:t>
            </w:r>
          </w:p>
        </w:tc>
        <w:tc>
          <w:tcPr>
            <w:tcW w:w="1426" w:type="dxa"/>
            <w:noWrap w:val="0"/>
            <w:vAlign w:val="center"/>
          </w:tcPr>
          <w:p w14:paraId="233FF484">
            <w:pPr>
              <w:widowControl/>
              <w:jc w:val="center"/>
              <w:rPr>
                <w:color w:val="auto"/>
                <w:sz w:val="18"/>
                <w:szCs w:val="18"/>
                <w:highlight w:val="none"/>
              </w:rPr>
            </w:pPr>
            <w:r>
              <w:rPr>
                <w:color w:val="auto"/>
                <w:sz w:val="18"/>
                <w:szCs w:val="18"/>
                <w:highlight w:val="none"/>
              </w:rPr>
              <w:t>20≤X＜300</w:t>
            </w:r>
          </w:p>
        </w:tc>
        <w:tc>
          <w:tcPr>
            <w:tcW w:w="992" w:type="dxa"/>
            <w:noWrap w:val="0"/>
            <w:vAlign w:val="center"/>
          </w:tcPr>
          <w:p w14:paraId="605A61C6">
            <w:pPr>
              <w:widowControl/>
              <w:jc w:val="center"/>
              <w:rPr>
                <w:color w:val="auto"/>
                <w:sz w:val="18"/>
                <w:szCs w:val="18"/>
                <w:highlight w:val="none"/>
              </w:rPr>
            </w:pPr>
            <w:r>
              <w:rPr>
                <w:color w:val="auto"/>
                <w:sz w:val="18"/>
                <w:szCs w:val="18"/>
                <w:highlight w:val="none"/>
              </w:rPr>
              <w:t>X＜20</w:t>
            </w:r>
          </w:p>
        </w:tc>
      </w:tr>
      <w:tr w14:paraId="5DC6F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17A57F10">
            <w:pPr>
              <w:widowControl/>
              <w:jc w:val="left"/>
              <w:rPr>
                <w:color w:val="auto"/>
                <w:sz w:val="18"/>
                <w:szCs w:val="18"/>
                <w:highlight w:val="none"/>
              </w:rPr>
            </w:pPr>
          </w:p>
        </w:tc>
        <w:tc>
          <w:tcPr>
            <w:tcW w:w="1369" w:type="dxa"/>
            <w:noWrap w:val="0"/>
            <w:vAlign w:val="center"/>
          </w:tcPr>
          <w:p w14:paraId="4A31A94A">
            <w:pPr>
              <w:widowControl/>
              <w:spacing w:line="240" w:lineRule="exact"/>
              <w:jc w:val="center"/>
              <w:rPr>
                <w:color w:val="auto"/>
                <w:sz w:val="18"/>
                <w:szCs w:val="18"/>
                <w:highlight w:val="none"/>
              </w:rPr>
            </w:pPr>
            <w:r>
              <w:rPr>
                <w:color w:val="auto"/>
                <w:sz w:val="18"/>
                <w:szCs w:val="18"/>
                <w:highlight w:val="none"/>
              </w:rPr>
              <w:t>营业收入(Y)</w:t>
            </w:r>
          </w:p>
        </w:tc>
        <w:tc>
          <w:tcPr>
            <w:tcW w:w="709" w:type="dxa"/>
            <w:noWrap w:val="0"/>
            <w:vAlign w:val="center"/>
          </w:tcPr>
          <w:p w14:paraId="3ADFF5CA">
            <w:pPr>
              <w:widowControl/>
              <w:jc w:val="center"/>
              <w:rPr>
                <w:color w:val="auto"/>
                <w:sz w:val="18"/>
                <w:szCs w:val="18"/>
                <w:highlight w:val="none"/>
              </w:rPr>
            </w:pPr>
            <w:r>
              <w:rPr>
                <w:color w:val="auto"/>
                <w:sz w:val="18"/>
                <w:szCs w:val="18"/>
                <w:highlight w:val="none"/>
              </w:rPr>
              <w:t>万元</w:t>
            </w:r>
          </w:p>
        </w:tc>
        <w:tc>
          <w:tcPr>
            <w:tcW w:w="1125" w:type="dxa"/>
            <w:noWrap w:val="0"/>
            <w:vAlign w:val="center"/>
          </w:tcPr>
          <w:p w14:paraId="2A7C808A">
            <w:pPr>
              <w:widowControl/>
              <w:jc w:val="center"/>
              <w:rPr>
                <w:color w:val="auto"/>
                <w:sz w:val="18"/>
                <w:szCs w:val="18"/>
                <w:highlight w:val="none"/>
              </w:rPr>
            </w:pPr>
            <w:r>
              <w:rPr>
                <w:color w:val="auto"/>
                <w:sz w:val="18"/>
                <w:szCs w:val="18"/>
                <w:highlight w:val="none"/>
              </w:rPr>
              <w:t>Y≥30000</w:t>
            </w:r>
          </w:p>
        </w:tc>
        <w:tc>
          <w:tcPr>
            <w:tcW w:w="1701" w:type="dxa"/>
            <w:noWrap w:val="0"/>
            <w:vAlign w:val="center"/>
          </w:tcPr>
          <w:p w14:paraId="71FB0500">
            <w:pPr>
              <w:widowControl/>
              <w:jc w:val="center"/>
              <w:rPr>
                <w:color w:val="auto"/>
                <w:sz w:val="18"/>
                <w:szCs w:val="18"/>
                <w:highlight w:val="none"/>
              </w:rPr>
            </w:pPr>
            <w:r>
              <w:rPr>
                <w:color w:val="auto"/>
                <w:sz w:val="18"/>
                <w:szCs w:val="18"/>
                <w:highlight w:val="none"/>
              </w:rPr>
              <w:t>3000≤Y＜30000</w:t>
            </w:r>
          </w:p>
        </w:tc>
        <w:tc>
          <w:tcPr>
            <w:tcW w:w="1426" w:type="dxa"/>
            <w:noWrap w:val="0"/>
            <w:vAlign w:val="center"/>
          </w:tcPr>
          <w:p w14:paraId="7839C9F4">
            <w:pPr>
              <w:widowControl/>
              <w:jc w:val="center"/>
              <w:rPr>
                <w:color w:val="auto"/>
                <w:sz w:val="18"/>
                <w:szCs w:val="18"/>
                <w:highlight w:val="none"/>
              </w:rPr>
            </w:pPr>
            <w:r>
              <w:rPr>
                <w:color w:val="auto"/>
                <w:sz w:val="18"/>
                <w:szCs w:val="18"/>
                <w:highlight w:val="none"/>
              </w:rPr>
              <w:t>200≤Y＜3000</w:t>
            </w:r>
          </w:p>
        </w:tc>
        <w:tc>
          <w:tcPr>
            <w:tcW w:w="992" w:type="dxa"/>
            <w:noWrap w:val="0"/>
            <w:vAlign w:val="center"/>
          </w:tcPr>
          <w:p w14:paraId="5680CF19">
            <w:pPr>
              <w:widowControl/>
              <w:jc w:val="center"/>
              <w:rPr>
                <w:color w:val="auto"/>
                <w:sz w:val="18"/>
                <w:szCs w:val="18"/>
                <w:highlight w:val="none"/>
              </w:rPr>
            </w:pPr>
            <w:r>
              <w:rPr>
                <w:color w:val="auto"/>
                <w:sz w:val="18"/>
                <w:szCs w:val="18"/>
                <w:highlight w:val="none"/>
              </w:rPr>
              <w:t>Y＜200</w:t>
            </w:r>
          </w:p>
        </w:tc>
      </w:tr>
      <w:tr w14:paraId="3BB05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3214DED9">
            <w:pPr>
              <w:widowControl/>
              <w:spacing w:line="240" w:lineRule="exact"/>
              <w:jc w:val="left"/>
              <w:rPr>
                <w:rFonts w:hint="eastAsia"/>
                <w:color w:val="auto"/>
                <w:sz w:val="18"/>
                <w:szCs w:val="18"/>
                <w:highlight w:val="none"/>
              </w:rPr>
            </w:pPr>
            <w:r>
              <w:rPr>
                <w:color w:val="auto"/>
                <w:sz w:val="18"/>
                <w:szCs w:val="18"/>
                <w:highlight w:val="none"/>
              </w:rPr>
              <w:t>仓储业</w:t>
            </w:r>
            <w:r>
              <w:rPr>
                <w:rFonts w:hint="eastAsia" w:ascii="宋体" w:hAnsi="宋体" w:cs="宋体"/>
                <w:color w:val="auto"/>
                <w:sz w:val="18"/>
                <w:szCs w:val="18"/>
                <w:highlight w:val="none"/>
              </w:rPr>
              <w:t>※</w:t>
            </w:r>
          </w:p>
        </w:tc>
        <w:tc>
          <w:tcPr>
            <w:tcW w:w="1369" w:type="dxa"/>
            <w:noWrap w:val="0"/>
            <w:vAlign w:val="center"/>
          </w:tcPr>
          <w:p w14:paraId="691F0B2C">
            <w:pPr>
              <w:widowControl/>
              <w:jc w:val="center"/>
              <w:rPr>
                <w:color w:val="auto"/>
                <w:sz w:val="18"/>
                <w:szCs w:val="18"/>
                <w:highlight w:val="none"/>
              </w:rPr>
            </w:pPr>
            <w:r>
              <w:rPr>
                <w:color w:val="auto"/>
                <w:sz w:val="18"/>
                <w:szCs w:val="18"/>
                <w:highlight w:val="none"/>
              </w:rPr>
              <w:t>从业人员(X)</w:t>
            </w:r>
          </w:p>
        </w:tc>
        <w:tc>
          <w:tcPr>
            <w:tcW w:w="709" w:type="dxa"/>
            <w:noWrap w:val="0"/>
            <w:vAlign w:val="center"/>
          </w:tcPr>
          <w:p w14:paraId="6F63D13D">
            <w:pPr>
              <w:widowControl/>
              <w:jc w:val="center"/>
              <w:rPr>
                <w:color w:val="auto"/>
                <w:sz w:val="18"/>
                <w:szCs w:val="18"/>
                <w:highlight w:val="none"/>
              </w:rPr>
            </w:pPr>
            <w:r>
              <w:rPr>
                <w:color w:val="auto"/>
                <w:sz w:val="18"/>
                <w:szCs w:val="18"/>
                <w:highlight w:val="none"/>
              </w:rPr>
              <w:t>人</w:t>
            </w:r>
          </w:p>
        </w:tc>
        <w:tc>
          <w:tcPr>
            <w:tcW w:w="1125" w:type="dxa"/>
            <w:noWrap w:val="0"/>
            <w:vAlign w:val="center"/>
          </w:tcPr>
          <w:p w14:paraId="25AB3109">
            <w:pPr>
              <w:widowControl/>
              <w:jc w:val="center"/>
              <w:rPr>
                <w:color w:val="auto"/>
                <w:sz w:val="18"/>
                <w:szCs w:val="18"/>
                <w:highlight w:val="none"/>
              </w:rPr>
            </w:pPr>
            <w:r>
              <w:rPr>
                <w:color w:val="auto"/>
                <w:sz w:val="18"/>
                <w:szCs w:val="18"/>
                <w:highlight w:val="none"/>
              </w:rPr>
              <w:t>X≥200</w:t>
            </w:r>
          </w:p>
        </w:tc>
        <w:tc>
          <w:tcPr>
            <w:tcW w:w="1701" w:type="dxa"/>
            <w:noWrap w:val="0"/>
            <w:vAlign w:val="center"/>
          </w:tcPr>
          <w:p w14:paraId="50F38E57">
            <w:pPr>
              <w:widowControl/>
              <w:ind w:left="1" w:hanging="108"/>
              <w:jc w:val="center"/>
              <w:rPr>
                <w:color w:val="auto"/>
                <w:sz w:val="18"/>
                <w:szCs w:val="18"/>
                <w:highlight w:val="none"/>
              </w:rPr>
            </w:pPr>
            <w:r>
              <w:rPr>
                <w:color w:val="auto"/>
                <w:sz w:val="18"/>
                <w:szCs w:val="18"/>
                <w:highlight w:val="none"/>
              </w:rPr>
              <w:t>100≤X＜200</w:t>
            </w:r>
          </w:p>
        </w:tc>
        <w:tc>
          <w:tcPr>
            <w:tcW w:w="1426" w:type="dxa"/>
            <w:noWrap w:val="0"/>
            <w:vAlign w:val="center"/>
          </w:tcPr>
          <w:p w14:paraId="48BC40E4">
            <w:pPr>
              <w:widowControl/>
              <w:jc w:val="center"/>
              <w:rPr>
                <w:color w:val="auto"/>
                <w:sz w:val="18"/>
                <w:szCs w:val="18"/>
                <w:highlight w:val="none"/>
              </w:rPr>
            </w:pPr>
            <w:r>
              <w:rPr>
                <w:color w:val="auto"/>
                <w:sz w:val="18"/>
                <w:szCs w:val="18"/>
                <w:highlight w:val="none"/>
              </w:rPr>
              <w:t>20≤X＜100</w:t>
            </w:r>
          </w:p>
        </w:tc>
        <w:tc>
          <w:tcPr>
            <w:tcW w:w="992" w:type="dxa"/>
            <w:noWrap w:val="0"/>
            <w:vAlign w:val="center"/>
          </w:tcPr>
          <w:p w14:paraId="387E8EC9">
            <w:pPr>
              <w:widowControl/>
              <w:jc w:val="center"/>
              <w:rPr>
                <w:color w:val="auto"/>
                <w:sz w:val="18"/>
                <w:szCs w:val="18"/>
                <w:highlight w:val="none"/>
              </w:rPr>
            </w:pPr>
            <w:r>
              <w:rPr>
                <w:color w:val="auto"/>
                <w:sz w:val="18"/>
                <w:szCs w:val="18"/>
                <w:highlight w:val="none"/>
              </w:rPr>
              <w:t>X＜20</w:t>
            </w:r>
          </w:p>
        </w:tc>
      </w:tr>
      <w:tr w14:paraId="0D082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7181E76C">
            <w:pPr>
              <w:widowControl/>
              <w:jc w:val="left"/>
              <w:rPr>
                <w:color w:val="auto"/>
                <w:sz w:val="18"/>
                <w:szCs w:val="18"/>
                <w:highlight w:val="none"/>
              </w:rPr>
            </w:pPr>
          </w:p>
        </w:tc>
        <w:tc>
          <w:tcPr>
            <w:tcW w:w="1369" w:type="dxa"/>
            <w:noWrap w:val="0"/>
            <w:vAlign w:val="center"/>
          </w:tcPr>
          <w:p w14:paraId="0F1D4ACD">
            <w:pPr>
              <w:widowControl/>
              <w:spacing w:line="240" w:lineRule="exact"/>
              <w:jc w:val="center"/>
              <w:rPr>
                <w:color w:val="auto"/>
                <w:sz w:val="18"/>
                <w:szCs w:val="18"/>
                <w:highlight w:val="none"/>
              </w:rPr>
            </w:pPr>
            <w:r>
              <w:rPr>
                <w:color w:val="auto"/>
                <w:sz w:val="18"/>
                <w:szCs w:val="18"/>
                <w:highlight w:val="none"/>
              </w:rPr>
              <w:t>营业收入(Y)</w:t>
            </w:r>
          </w:p>
        </w:tc>
        <w:tc>
          <w:tcPr>
            <w:tcW w:w="709" w:type="dxa"/>
            <w:noWrap w:val="0"/>
            <w:vAlign w:val="center"/>
          </w:tcPr>
          <w:p w14:paraId="72503405">
            <w:pPr>
              <w:widowControl/>
              <w:jc w:val="center"/>
              <w:rPr>
                <w:color w:val="auto"/>
                <w:sz w:val="18"/>
                <w:szCs w:val="18"/>
                <w:highlight w:val="none"/>
              </w:rPr>
            </w:pPr>
            <w:r>
              <w:rPr>
                <w:color w:val="auto"/>
                <w:sz w:val="18"/>
                <w:szCs w:val="18"/>
                <w:highlight w:val="none"/>
              </w:rPr>
              <w:t>万元</w:t>
            </w:r>
          </w:p>
        </w:tc>
        <w:tc>
          <w:tcPr>
            <w:tcW w:w="1125" w:type="dxa"/>
            <w:noWrap w:val="0"/>
            <w:vAlign w:val="center"/>
          </w:tcPr>
          <w:p w14:paraId="1CA715DB">
            <w:pPr>
              <w:widowControl/>
              <w:jc w:val="center"/>
              <w:rPr>
                <w:color w:val="auto"/>
                <w:sz w:val="18"/>
                <w:szCs w:val="18"/>
                <w:highlight w:val="none"/>
              </w:rPr>
            </w:pPr>
            <w:r>
              <w:rPr>
                <w:color w:val="auto"/>
                <w:sz w:val="18"/>
                <w:szCs w:val="18"/>
                <w:highlight w:val="none"/>
              </w:rPr>
              <w:t>Y≥30000</w:t>
            </w:r>
          </w:p>
        </w:tc>
        <w:tc>
          <w:tcPr>
            <w:tcW w:w="1701" w:type="dxa"/>
            <w:noWrap w:val="0"/>
            <w:vAlign w:val="center"/>
          </w:tcPr>
          <w:p w14:paraId="5AAE6C8D">
            <w:pPr>
              <w:widowControl/>
              <w:jc w:val="center"/>
              <w:rPr>
                <w:color w:val="auto"/>
                <w:sz w:val="18"/>
                <w:szCs w:val="18"/>
                <w:highlight w:val="none"/>
              </w:rPr>
            </w:pPr>
            <w:r>
              <w:rPr>
                <w:color w:val="auto"/>
                <w:sz w:val="18"/>
                <w:szCs w:val="18"/>
                <w:highlight w:val="none"/>
              </w:rPr>
              <w:t>1000≤Y＜30000</w:t>
            </w:r>
          </w:p>
        </w:tc>
        <w:tc>
          <w:tcPr>
            <w:tcW w:w="1426" w:type="dxa"/>
            <w:noWrap w:val="0"/>
            <w:vAlign w:val="center"/>
          </w:tcPr>
          <w:p w14:paraId="3FAE4B72">
            <w:pPr>
              <w:widowControl/>
              <w:jc w:val="center"/>
              <w:rPr>
                <w:color w:val="auto"/>
                <w:sz w:val="18"/>
                <w:szCs w:val="18"/>
                <w:highlight w:val="none"/>
              </w:rPr>
            </w:pPr>
            <w:r>
              <w:rPr>
                <w:color w:val="auto"/>
                <w:sz w:val="18"/>
                <w:szCs w:val="18"/>
                <w:highlight w:val="none"/>
              </w:rPr>
              <w:t>100≤Y＜1000</w:t>
            </w:r>
          </w:p>
        </w:tc>
        <w:tc>
          <w:tcPr>
            <w:tcW w:w="992" w:type="dxa"/>
            <w:noWrap w:val="0"/>
            <w:vAlign w:val="center"/>
          </w:tcPr>
          <w:p w14:paraId="2C1FE25D">
            <w:pPr>
              <w:widowControl/>
              <w:jc w:val="center"/>
              <w:rPr>
                <w:color w:val="auto"/>
                <w:sz w:val="18"/>
                <w:szCs w:val="18"/>
                <w:highlight w:val="none"/>
              </w:rPr>
            </w:pPr>
            <w:r>
              <w:rPr>
                <w:color w:val="auto"/>
                <w:sz w:val="18"/>
                <w:szCs w:val="18"/>
                <w:highlight w:val="none"/>
              </w:rPr>
              <w:t>Y＜100</w:t>
            </w:r>
          </w:p>
        </w:tc>
      </w:tr>
      <w:tr w14:paraId="38AE8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0A66B718">
            <w:pPr>
              <w:widowControl/>
              <w:spacing w:line="240" w:lineRule="exact"/>
              <w:jc w:val="left"/>
              <w:rPr>
                <w:color w:val="auto"/>
                <w:sz w:val="18"/>
                <w:szCs w:val="18"/>
                <w:highlight w:val="none"/>
              </w:rPr>
            </w:pPr>
            <w:r>
              <w:rPr>
                <w:color w:val="auto"/>
                <w:sz w:val="18"/>
                <w:szCs w:val="18"/>
                <w:highlight w:val="none"/>
              </w:rPr>
              <w:t>邮政业</w:t>
            </w:r>
          </w:p>
        </w:tc>
        <w:tc>
          <w:tcPr>
            <w:tcW w:w="1369" w:type="dxa"/>
            <w:noWrap w:val="0"/>
            <w:vAlign w:val="center"/>
          </w:tcPr>
          <w:p w14:paraId="305C1A16">
            <w:pPr>
              <w:widowControl/>
              <w:jc w:val="center"/>
              <w:rPr>
                <w:color w:val="auto"/>
                <w:sz w:val="18"/>
                <w:szCs w:val="18"/>
                <w:highlight w:val="none"/>
              </w:rPr>
            </w:pPr>
            <w:r>
              <w:rPr>
                <w:color w:val="auto"/>
                <w:sz w:val="18"/>
                <w:szCs w:val="18"/>
                <w:highlight w:val="none"/>
              </w:rPr>
              <w:t>从业人员(X)</w:t>
            </w:r>
          </w:p>
        </w:tc>
        <w:tc>
          <w:tcPr>
            <w:tcW w:w="709" w:type="dxa"/>
            <w:noWrap w:val="0"/>
            <w:vAlign w:val="center"/>
          </w:tcPr>
          <w:p w14:paraId="5AC69CDE">
            <w:pPr>
              <w:widowControl/>
              <w:jc w:val="center"/>
              <w:rPr>
                <w:color w:val="auto"/>
                <w:sz w:val="18"/>
                <w:szCs w:val="18"/>
                <w:highlight w:val="none"/>
              </w:rPr>
            </w:pPr>
            <w:r>
              <w:rPr>
                <w:color w:val="auto"/>
                <w:sz w:val="18"/>
                <w:szCs w:val="18"/>
                <w:highlight w:val="none"/>
              </w:rPr>
              <w:t>人</w:t>
            </w:r>
          </w:p>
        </w:tc>
        <w:tc>
          <w:tcPr>
            <w:tcW w:w="1125" w:type="dxa"/>
            <w:noWrap w:val="0"/>
            <w:vAlign w:val="center"/>
          </w:tcPr>
          <w:p w14:paraId="15C2DAB0">
            <w:pPr>
              <w:widowControl/>
              <w:jc w:val="center"/>
              <w:rPr>
                <w:color w:val="auto"/>
                <w:sz w:val="18"/>
                <w:szCs w:val="18"/>
                <w:highlight w:val="none"/>
              </w:rPr>
            </w:pPr>
            <w:r>
              <w:rPr>
                <w:color w:val="auto"/>
                <w:sz w:val="18"/>
                <w:szCs w:val="18"/>
                <w:highlight w:val="none"/>
              </w:rPr>
              <w:t>X≥1000</w:t>
            </w:r>
          </w:p>
        </w:tc>
        <w:tc>
          <w:tcPr>
            <w:tcW w:w="1701" w:type="dxa"/>
            <w:noWrap w:val="0"/>
            <w:vAlign w:val="center"/>
          </w:tcPr>
          <w:p w14:paraId="76C9F2B0">
            <w:pPr>
              <w:widowControl/>
              <w:jc w:val="center"/>
              <w:rPr>
                <w:color w:val="auto"/>
                <w:sz w:val="18"/>
                <w:szCs w:val="18"/>
                <w:highlight w:val="none"/>
              </w:rPr>
            </w:pPr>
            <w:r>
              <w:rPr>
                <w:color w:val="auto"/>
                <w:sz w:val="18"/>
                <w:szCs w:val="18"/>
                <w:highlight w:val="none"/>
              </w:rPr>
              <w:t>300≤X＜1000</w:t>
            </w:r>
          </w:p>
        </w:tc>
        <w:tc>
          <w:tcPr>
            <w:tcW w:w="1426" w:type="dxa"/>
            <w:noWrap w:val="0"/>
            <w:vAlign w:val="center"/>
          </w:tcPr>
          <w:p w14:paraId="17CA7DCE">
            <w:pPr>
              <w:widowControl/>
              <w:jc w:val="center"/>
              <w:rPr>
                <w:color w:val="auto"/>
                <w:sz w:val="18"/>
                <w:szCs w:val="18"/>
                <w:highlight w:val="none"/>
              </w:rPr>
            </w:pPr>
            <w:r>
              <w:rPr>
                <w:color w:val="auto"/>
                <w:sz w:val="18"/>
                <w:szCs w:val="18"/>
                <w:highlight w:val="none"/>
              </w:rPr>
              <w:t>20≤X＜300</w:t>
            </w:r>
          </w:p>
        </w:tc>
        <w:tc>
          <w:tcPr>
            <w:tcW w:w="992" w:type="dxa"/>
            <w:noWrap w:val="0"/>
            <w:vAlign w:val="center"/>
          </w:tcPr>
          <w:p w14:paraId="622CCEF9">
            <w:pPr>
              <w:widowControl/>
              <w:jc w:val="center"/>
              <w:rPr>
                <w:color w:val="auto"/>
                <w:sz w:val="18"/>
                <w:szCs w:val="18"/>
                <w:highlight w:val="none"/>
              </w:rPr>
            </w:pPr>
            <w:r>
              <w:rPr>
                <w:color w:val="auto"/>
                <w:sz w:val="18"/>
                <w:szCs w:val="18"/>
                <w:highlight w:val="none"/>
              </w:rPr>
              <w:t>X＜20</w:t>
            </w:r>
          </w:p>
        </w:tc>
      </w:tr>
      <w:tr w14:paraId="582B9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6884114C">
            <w:pPr>
              <w:widowControl/>
              <w:jc w:val="left"/>
              <w:rPr>
                <w:color w:val="auto"/>
                <w:sz w:val="18"/>
                <w:szCs w:val="18"/>
                <w:highlight w:val="none"/>
              </w:rPr>
            </w:pPr>
          </w:p>
        </w:tc>
        <w:tc>
          <w:tcPr>
            <w:tcW w:w="1369" w:type="dxa"/>
            <w:noWrap w:val="0"/>
            <w:vAlign w:val="center"/>
          </w:tcPr>
          <w:p w14:paraId="39499C3F">
            <w:pPr>
              <w:widowControl/>
              <w:spacing w:line="240" w:lineRule="exact"/>
              <w:jc w:val="center"/>
              <w:rPr>
                <w:color w:val="auto"/>
                <w:sz w:val="18"/>
                <w:szCs w:val="18"/>
                <w:highlight w:val="none"/>
              </w:rPr>
            </w:pPr>
            <w:r>
              <w:rPr>
                <w:color w:val="auto"/>
                <w:sz w:val="18"/>
                <w:szCs w:val="18"/>
                <w:highlight w:val="none"/>
              </w:rPr>
              <w:t>营业收入(Y)</w:t>
            </w:r>
          </w:p>
        </w:tc>
        <w:tc>
          <w:tcPr>
            <w:tcW w:w="709" w:type="dxa"/>
            <w:noWrap w:val="0"/>
            <w:vAlign w:val="center"/>
          </w:tcPr>
          <w:p w14:paraId="0291CF9E">
            <w:pPr>
              <w:widowControl/>
              <w:jc w:val="center"/>
              <w:rPr>
                <w:color w:val="auto"/>
                <w:sz w:val="18"/>
                <w:szCs w:val="18"/>
                <w:highlight w:val="none"/>
              </w:rPr>
            </w:pPr>
            <w:r>
              <w:rPr>
                <w:color w:val="auto"/>
                <w:sz w:val="18"/>
                <w:szCs w:val="18"/>
                <w:highlight w:val="none"/>
              </w:rPr>
              <w:t>万元</w:t>
            </w:r>
          </w:p>
        </w:tc>
        <w:tc>
          <w:tcPr>
            <w:tcW w:w="1125" w:type="dxa"/>
            <w:noWrap w:val="0"/>
            <w:vAlign w:val="center"/>
          </w:tcPr>
          <w:p w14:paraId="2CC44849">
            <w:pPr>
              <w:widowControl/>
              <w:jc w:val="center"/>
              <w:rPr>
                <w:color w:val="auto"/>
                <w:sz w:val="18"/>
                <w:szCs w:val="18"/>
                <w:highlight w:val="none"/>
              </w:rPr>
            </w:pPr>
            <w:r>
              <w:rPr>
                <w:color w:val="auto"/>
                <w:sz w:val="18"/>
                <w:szCs w:val="18"/>
                <w:highlight w:val="none"/>
              </w:rPr>
              <w:t>Y≥30000</w:t>
            </w:r>
          </w:p>
        </w:tc>
        <w:tc>
          <w:tcPr>
            <w:tcW w:w="1701" w:type="dxa"/>
            <w:noWrap w:val="0"/>
            <w:vAlign w:val="center"/>
          </w:tcPr>
          <w:p w14:paraId="7270D06A">
            <w:pPr>
              <w:widowControl/>
              <w:jc w:val="center"/>
              <w:rPr>
                <w:color w:val="auto"/>
                <w:sz w:val="18"/>
                <w:szCs w:val="18"/>
                <w:highlight w:val="none"/>
              </w:rPr>
            </w:pPr>
            <w:r>
              <w:rPr>
                <w:color w:val="auto"/>
                <w:sz w:val="18"/>
                <w:szCs w:val="18"/>
                <w:highlight w:val="none"/>
              </w:rPr>
              <w:t>2000≤Y＜30000</w:t>
            </w:r>
          </w:p>
        </w:tc>
        <w:tc>
          <w:tcPr>
            <w:tcW w:w="1426" w:type="dxa"/>
            <w:noWrap w:val="0"/>
            <w:vAlign w:val="center"/>
          </w:tcPr>
          <w:p w14:paraId="15874D0A">
            <w:pPr>
              <w:widowControl/>
              <w:jc w:val="center"/>
              <w:rPr>
                <w:color w:val="auto"/>
                <w:sz w:val="18"/>
                <w:szCs w:val="18"/>
                <w:highlight w:val="none"/>
              </w:rPr>
            </w:pPr>
            <w:r>
              <w:rPr>
                <w:color w:val="auto"/>
                <w:sz w:val="18"/>
                <w:szCs w:val="18"/>
                <w:highlight w:val="none"/>
              </w:rPr>
              <w:t>100≤Y＜2000</w:t>
            </w:r>
          </w:p>
        </w:tc>
        <w:tc>
          <w:tcPr>
            <w:tcW w:w="992" w:type="dxa"/>
            <w:noWrap w:val="0"/>
            <w:vAlign w:val="center"/>
          </w:tcPr>
          <w:p w14:paraId="244CC364">
            <w:pPr>
              <w:widowControl/>
              <w:jc w:val="center"/>
              <w:rPr>
                <w:color w:val="auto"/>
                <w:sz w:val="18"/>
                <w:szCs w:val="18"/>
                <w:highlight w:val="none"/>
              </w:rPr>
            </w:pPr>
            <w:r>
              <w:rPr>
                <w:color w:val="auto"/>
                <w:sz w:val="18"/>
                <w:szCs w:val="18"/>
                <w:highlight w:val="none"/>
              </w:rPr>
              <w:t>Y＜100</w:t>
            </w:r>
          </w:p>
        </w:tc>
      </w:tr>
      <w:tr w14:paraId="6CFBA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5750C58F">
            <w:pPr>
              <w:widowControl/>
              <w:spacing w:line="240" w:lineRule="exact"/>
              <w:jc w:val="left"/>
              <w:rPr>
                <w:color w:val="auto"/>
                <w:sz w:val="18"/>
                <w:szCs w:val="18"/>
                <w:highlight w:val="none"/>
              </w:rPr>
            </w:pPr>
            <w:r>
              <w:rPr>
                <w:color w:val="auto"/>
                <w:sz w:val="18"/>
                <w:szCs w:val="18"/>
                <w:highlight w:val="none"/>
              </w:rPr>
              <w:t>住宿业</w:t>
            </w:r>
          </w:p>
        </w:tc>
        <w:tc>
          <w:tcPr>
            <w:tcW w:w="1369" w:type="dxa"/>
            <w:noWrap w:val="0"/>
            <w:vAlign w:val="center"/>
          </w:tcPr>
          <w:p w14:paraId="7DE573DA">
            <w:pPr>
              <w:widowControl/>
              <w:jc w:val="center"/>
              <w:rPr>
                <w:color w:val="auto"/>
                <w:sz w:val="18"/>
                <w:szCs w:val="18"/>
                <w:highlight w:val="none"/>
              </w:rPr>
            </w:pPr>
            <w:r>
              <w:rPr>
                <w:color w:val="auto"/>
                <w:sz w:val="18"/>
                <w:szCs w:val="18"/>
                <w:highlight w:val="none"/>
              </w:rPr>
              <w:t>从业人员(X)</w:t>
            </w:r>
          </w:p>
        </w:tc>
        <w:tc>
          <w:tcPr>
            <w:tcW w:w="709" w:type="dxa"/>
            <w:noWrap w:val="0"/>
            <w:vAlign w:val="center"/>
          </w:tcPr>
          <w:p w14:paraId="6B4C55EF">
            <w:pPr>
              <w:widowControl/>
              <w:jc w:val="center"/>
              <w:rPr>
                <w:color w:val="auto"/>
                <w:sz w:val="18"/>
                <w:szCs w:val="18"/>
                <w:highlight w:val="none"/>
              </w:rPr>
            </w:pPr>
            <w:r>
              <w:rPr>
                <w:color w:val="auto"/>
                <w:sz w:val="18"/>
                <w:szCs w:val="18"/>
                <w:highlight w:val="none"/>
              </w:rPr>
              <w:t>人</w:t>
            </w:r>
          </w:p>
        </w:tc>
        <w:tc>
          <w:tcPr>
            <w:tcW w:w="1125" w:type="dxa"/>
            <w:noWrap w:val="0"/>
            <w:vAlign w:val="center"/>
          </w:tcPr>
          <w:p w14:paraId="53D0935A">
            <w:pPr>
              <w:widowControl/>
              <w:jc w:val="center"/>
              <w:rPr>
                <w:color w:val="auto"/>
                <w:sz w:val="18"/>
                <w:szCs w:val="18"/>
                <w:highlight w:val="none"/>
              </w:rPr>
            </w:pPr>
            <w:r>
              <w:rPr>
                <w:color w:val="auto"/>
                <w:sz w:val="18"/>
                <w:szCs w:val="18"/>
                <w:highlight w:val="none"/>
              </w:rPr>
              <w:t>X≥300</w:t>
            </w:r>
          </w:p>
        </w:tc>
        <w:tc>
          <w:tcPr>
            <w:tcW w:w="1701" w:type="dxa"/>
            <w:noWrap w:val="0"/>
            <w:vAlign w:val="center"/>
          </w:tcPr>
          <w:p w14:paraId="55FC80D1">
            <w:pPr>
              <w:widowControl/>
              <w:ind w:left="1" w:hanging="108"/>
              <w:jc w:val="center"/>
              <w:rPr>
                <w:color w:val="auto"/>
                <w:sz w:val="18"/>
                <w:szCs w:val="18"/>
                <w:highlight w:val="none"/>
              </w:rPr>
            </w:pPr>
            <w:r>
              <w:rPr>
                <w:color w:val="auto"/>
                <w:sz w:val="18"/>
                <w:szCs w:val="18"/>
                <w:highlight w:val="none"/>
              </w:rPr>
              <w:t>100≤X＜300</w:t>
            </w:r>
          </w:p>
        </w:tc>
        <w:tc>
          <w:tcPr>
            <w:tcW w:w="1426" w:type="dxa"/>
            <w:noWrap w:val="0"/>
            <w:vAlign w:val="center"/>
          </w:tcPr>
          <w:p w14:paraId="0ED6E819">
            <w:pPr>
              <w:widowControl/>
              <w:jc w:val="center"/>
              <w:rPr>
                <w:color w:val="auto"/>
                <w:sz w:val="18"/>
                <w:szCs w:val="18"/>
                <w:highlight w:val="none"/>
              </w:rPr>
            </w:pPr>
            <w:r>
              <w:rPr>
                <w:color w:val="auto"/>
                <w:sz w:val="18"/>
                <w:szCs w:val="18"/>
                <w:highlight w:val="none"/>
              </w:rPr>
              <w:t>10≤X＜100</w:t>
            </w:r>
          </w:p>
        </w:tc>
        <w:tc>
          <w:tcPr>
            <w:tcW w:w="992" w:type="dxa"/>
            <w:noWrap w:val="0"/>
            <w:vAlign w:val="center"/>
          </w:tcPr>
          <w:p w14:paraId="26F30734">
            <w:pPr>
              <w:widowControl/>
              <w:jc w:val="center"/>
              <w:rPr>
                <w:color w:val="auto"/>
                <w:sz w:val="18"/>
                <w:szCs w:val="18"/>
                <w:highlight w:val="none"/>
              </w:rPr>
            </w:pPr>
            <w:r>
              <w:rPr>
                <w:color w:val="auto"/>
                <w:sz w:val="18"/>
                <w:szCs w:val="18"/>
                <w:highlight w:val="none"/>
              </w:rPr>
              <w:t>X＜10</w:t>
            </w:r>
          </w:p>
        </w:tc>
      </w:tr>
      <w:tr w14:paraId="1B954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1EB7204E">
            <w:pPr>
              <w:widowControl/>
              <w:jc w:val="left"/>
              <w:rPr>
                <w:color w:val="auto"/>
                <w:sz w:val="18"/>
                <w:szCs w:val="18"/>
                <w:highlight w:val="none"/>
              </w:rPr>
            </w:pPr>
          </w:p>
        </w:tc>
        <w:tc>
          <w:tcPr>
            <w:tcW w:w="1369" w:type="dxa"/>
            <w:noWrap w:val="0"/>
            <w:vAlign w:val="center"/>
          </w:tcPr>
          <w:p w14:paraId="1D9BC393">
            <w:pPr>
              <w:widowControl/>
              <w:spacing w:line="240" w:lineRule="exact"/>
              <w:jc w:val="center"/>
              <w:rPr>
                <w:color w:val="auto"/>
                <w:sz w:val="18"/>
                <w:szCs w:val="18"/>
                <w:highlight w:val="none"/>
              </w:rPr>
            </w:pPr>
            <w:r>
              <w:rPr>
                <w:color w:val="auto"/>
                <w:sz w:val="18"/>
                <w:szCs w:val="18"/>
                <w:highlight w:val="none"/>
              </w:rPr>
              <w:t>营业收入(Y)</w:t>
            </w:r>
          </w:p>
        </w:tc>
        <w:tc>
          <w:tcPr>
            <w:tcW w:w="709" w:type="dxa"/>
            <w:noWrap w:val="0"/>
            <w:vAlign w:val="center"/>
          </w:tcPr>
          <w:p w14:paraId="02FDF53F">
            <w:pPr>
              <w:widowControl/>
              <w:jc w:val="center"/>
              <w:rPr>
                <w:color w:val="auto"/>
                <w:sz w:val="18"/>
                <w:szCs w:val="18"/>
                <w:highlight w:val="none"/>
              </w:rPr>
            </w:pPr>
            <w:r>
              <w:rPr>
                <w:color w:val="auto"/>
                <w:sz w:val="18"/>
                <w:szCs w:val="18"/>
                <w:highlight w:val="none"/>
              </w:rPr>
              <w:t>万元</w:t>
            </w:r>
          </w:p>
        </w:tc>
        <w:tc>
          <w:tcPr>
            <w:tcW w:w="1125" w:type="dxa"/>
            <w:noWrap w:val="0"/>
            <w:vAlign w:val="center"/>
          </w:tcPr>
          <w:p w14:paraId="44035932">
            <w:pPr>
              <w:widowControl/>
              <w:jc w:val="center"/>
              <w:rPr>
                <w:color w:val="auto"/>
                <w:sz w:val="18"/>
                <w:szCs w:val="18"/>
                <w:highlight w:val="none"/>
              </w:rPr>
            </w:pPr>
            <w:r>
              <w:rPr>
                <w:color w:val="auto"/>
                <w:sz w:val="18"/>
                <w:szCs w:val="18"/>
                <w:highlight w:val="none"/>
              </w:rPr>
              <w:t>Y≥10000</w:t>
            </w:r>
          </w:p>
        </w:tc>
        <w:tc>
          <w:tcPr>
            <w:tcW w:w="1701" w:type="dxa"/>
            <w:noWrap w:val="0"/>
            <w:vAlign w:val="center"/>
          </w:tcPr>
          <w:p w14:paraId="0157BB81">
            <w:pPr>
              <w:widowControl/>
              <w:jc w:val="center"/>
              <w:rPr>
                <w:color w:val="auto"/>
                <w:sz w:val="18"/>
                <w:szCs w:val="18"/>
                <w:highlight w:val="none"/>
              </w:rPr>
            </w:pPr>
            <w:r>
              <w:rPr>
                <w:color w:val="auto"/>
                <w:sz w:val="18"/>
                <w:szCs w:val="18"/>
                <w:highlight w:val="none"/>
              </w:rPr>
              <w:t>2000≤Y＜10000</w:t>
            </w:r>
          </w:p>
        </w:tc>
        <w:tc>
          <w:tcPr>
            <w:tcW w:w="1426" w:type="dxa"/>
            <w:noWrap w:val="0"/>
            <w:vAlign w:val="center"/>
          </w:tcPr>
          <w:p w14:paraId="3EC119D2">
            <w:pPr>
              <w:widowControl/>
              <w:jc w:val="center"/>
              <w:rPr>
                <w:color w:val="auto"/>
                <w:sz w:val="18"/>
                <w:szCs w:val="18"/>
                <w:highlight w:val="none"/>
              </w:rPr>
            </w:pPr>
            <w:r>
              <w:rPr>
                <w:color w:val="auto"/>
                <w:sz w:val="18"/>
                <w:szCs w:val="18"/>
                <w:highlight w:val="none"/>
              </w:rPr>
              <w:t>100≤Y＜2000</w:t>
            </w:r>
          </w:p>
        </w:tc>
        <w:tc>
          <w:tcPr>
            <w:tcW w:w="992" w:type="dxa"/>
            <w:noWrap w:val="0"/>
            <w:vAlign w:val="center"/>
          </w:tcPr>
          <w:p w14:paraId="0E033C5B">
            <w:pPr>
              <w:widowControl/>
              <w:jc w:val="center"/>
              <w:rPr>
                <w:color w:val="auto"/>
                <w:sz w:val="18"/>
                <w:szCs w:val="18"/>
                <w:highlight w:val="none"/>
              </w:rPr>
            </w:pPr>
            <w:r>
              <w:rPr>
                <w:color w:val="auto"/>
                <w:sz w:val="18"/>
                <w:szCs w:val="18"/>
                <w:highlight w:val="none"/>
              </w:rPr>
              <w:t>Y＜100</w:t>
            </w:r>
          </w:p>
        </w:tc>
      </w:tr>
      <w:tr w14:paraId="16D85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1D9AE87B">
            <w:pPr>
              <w:widowControl/>
              <w:spacing w:line="240" w:lineRule="exact"/>
              <w:jc w:val="left"/>
              <w:rPr>
                <w:color w:val="auto"/>
                <w:sz w:val="18"/>
                <w:szCs w:val="18"/>
                <w:highlight w:val="none"/>
              </w:rPr>
            </w:pPr>
            <w:r>
              <w:rPr>
                <w:color w:val="auto"/>
                <w:sz w:val="18"/>
                <w:szCs w:val="18"/>
                <w:highlight w:val="none"/>
              </w:rPr>
              <w:t>餐饮业</w:t>
            </w:r>
          </w:p>
        </w:tc>
        <w:tc>
          <w:tcPr>
            <w:tcW w:w="1369" w:type="dxa"/>
            <w:noWrap w:val="0"/>
            <w:vAlign w:val="center"/>
          </w:tcPr>
          <w:p w14:paraId="5239185C">
            <w:pPr>
              <w:widowControl/>
              <w:jc w:val="center"/>
              <w:rPr>
                <w:color w:val="auto"/>
                <w:sz w:val="18"/>
                <w:szCs w:val="18"/>
                <w:highlight w:val="none"/>
              </w:rPr>
            </w:pPr>
            <w:r>
              <w:rPr>
                <w:color w:val="auto"/>
                <w:sz w:val="18"/>
                <w:szCs w:val="18"/>
                <w:highlight w:val="none"/>
              </w:rPr>
              <w:t>从业人员(X)</w:t>
            </w:r>
          </w:p>
        </w:tc>
        <w:tc>
          <w:tcPr>
            <w:tcW w:w="709" w:type="dxa"/>
            <w:noWrap w:val="0"/>
            <w:vAlign w:val="center"/>
          </w:tcPr>
          <w:p w14:paraId="4748A99B">
            <w:pPr>
              <w:widowControl/>
              <w:jc w:val="center"/>
              <w:rPr>
                <w:color w:val="auto"/>
                <w:sz w:val="18"/>
                <w:szCs w:val="18"/>
                <w:highlight w:val="none"/>
              </w:rPr>
            </w:pPr>
            <w:r>
              <w:rPr>
                <w:color w:val="auto"/>
                <w:sz w:val="18"/>
                <w:szCs w:val="18"/>
                <w:highlight w:val="none"/>
              </w:rPr>
              <w:t>人</w:t>
            </w:r>
          </w:p>
        </w:tc>
        <w:tc>
          <w:tcPr>
            <w:tcW w:w="1125" w:type="dxa"/>
            <w:noWrap w:val="0"/>
            <w:vAlign w:val="center"/>
          </w:tcPr>
          <w:p w14:paraId="4D4C135D">
            <w:pPr>
              <w:widowControl/>
              <w:jc w:val="center"/>
              <w:rPr>
                <w:color w:val="auto"/>
                <w:sz w:val="18"/>
                <w:szCs w:val="18"/>
                <w:highlight w:val="none"/>
              </w:rPr>
            </w:pPr>
            <w:r>
              <w:rPr>
                <w:color w:val="auto"/>
                <w:sz w:val="18"/>
                <w:szCs w:val="18"/>
                <w:highlight w:val="none"/>
              </w:rPr>
              <w:t>X≥300</w:t>
            </w:r>
          </w:p>
        </w:tc>
        <w:tc>
          <w:tcPr>
            <w:tcW w:w="1701" w:type="dxa"/>
            <w:noWrap w:val="0"/>
            <w:vAlign w:val="center"/>
          </w:tcPr>
          <w:p w14:paraId="287FD4C1">
            <w:pPr>
              <w:widowControl/>
              <w:ind w:left="1" w:hanging="108"/>
              <w:jc w:val="center"/>
              <w:rPr>
                <w:color w:val="auto"/>
                <w:sz w:val="18"/>
                <w:szCs w:val="18"/>
                <w:highlight w:val="none"/>
              </w:rPr>
            </w:pPr>
            <w:r>
              <w:rPr>
                <w:color w:val="auto"/>
                <w:sz w:val="18"/>
                <w:szCs w:val="18"/>
                <w:highlight w:val="none"/>
              </w:rPr>
              <w:t xml:space="preserve">100≤X＜300 </w:t>
            </w:r>
          </w:p>
        </w:tc>
        <w:tc>
          <w:tcPr>
            <w:tcW w:w="1426" w:type="dxa"/>
            <w:noWrap w:val="0"/>
            <w:vAlign w:val="center"/>
          </w:tcPr>
          <w:p w14:paraId="1FDEA7CB">
            <w:pPr>
              <w:widowControl/>
              <w:jc w:val="center"/>
              <w:rPr>
                <w:color w:val="auto"/>
                <w:sz w:val="18"/>
                <w:szCs w:val="18"/>
                <w:highlight w:val="none"/>
              </w:rPr>
            </w:pPr>
            <w:r>
              <w:rPr>
                <w:color w:val="auto"/>
                <w:sz w:val="18"/>
                <w:szCs w:val="18"/>
                <w:highlight w:val="none"/>
              </w:rPr>
              <w:t>10≤X＜100</w:t>
            </w:r>
          </w:p>
        </w:tc>
        <w:tc>
          <w:tcPr>
            <w:tcW w:w="992" w:type="dxa"/>
            <w:noWrap w:val="0"/>
            <w:vAlign w:val="center"/>
          </w:tcPr>
          <w:p w14:paraId="3D8EF10E">
            <w:pPr>
              <w:widowControl/>
              <w:jc w:val="center"/>
              <w:rPr>
                <w:color w:val="auto"/>
                <w:sz w:val="18"/>
                <w:szCs w:val="18"/>
                <w:highlight w:val="none"/>
              </w:rPr>
            </w:pPr>
            <w:r>
              <w:rPr>
                <w:color w:val="auto"/>
                <w:sz w:val="18"/>
                <w:szCs w:val="18"/>
                <w:highlight w:val="none"/>
              </w:rPr>
              <w:t>X＜10</w:t>
            </w:r>
          </w:p>
        </w:tc>
      </w:tr>
      <w:tr w14:paraId="28017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27B2F9CC">
            <w:pPr>
              <w:widowControl/>
              <w:jc w:val="left"/>
              <w:rPr>
                <w:color w:val="auto"/>
                <w:sz w:val="18"/>
                <w:szCs w:val="18"/>
                <w:highlight w:val="none"/>
              </w:rPr>
            </w:pPr>
          </w:p>
        </w:tc>
        <w:tc>
          <w:tcPr>
            <w:tcW w:w="1369" w:type="dxa"/>
            <w:noWrap w:val="0"/>
            <w:vAlign w:val="center"/>
          </w:tcPr>
          <w:p w14:paraId="68410B05">
            <w:pPr>
              <w:widowControl/>
              <w:spacing w:line="240" w:lineRule="exact"/>
              <w:jc w:val="center"/>
              <w:rPr>
                <w:color w:val="auto"/>
                <w:sz w:val="18"/>
                <w:szCs w:val="18"/>
                <w:highlight w:val="none"/>
              </w:rPr>
            </w:pPr>
            <w:r>
              <w:rPr>
                <w:color w:val="auto"/>
                <w:sz w:val="18"/>
                <w:szCs w:val="18"/>
                <w:highlight w:val="none"/>
              </w:rPr>
              <w:t>营业收入(Y)</w:t>
            </w:r>
          </w:p>
        </w:tc>
        <w:tc>
          <w:tcPr>
            <w:tcW w:w="709" w:type="dxa"/>
            <w:noWrap w:val="0"/>
            <w:vAlign w:val="center"/>
          </w:tcPr>
          <w:p w14:paraId="39997700">
            <w:pPr>
              <w:widowControl/>
              <w:jc w:val="center"/>
              <w:rPr>
                <w:color w:val="auto"/>
                <w:sz w:val="18"/>
                <w:szCs w:val="18"/>
                <w:highlight w:val="none"/>
              </w:rPr>
            </w:pPr>
            <w:r>
              <w:rPr>
                <w:color w:val="auto"/>
                <w:sz w:val="18"/>
                <w:szCs w:val="18"/>
                <w:highlight w:val="none"/>
              </w:rPr>
              <w:t>万元</w:t>
            </w:r>
          </w:p>
        </w:tc>
        <w:tc>
          <w:tcPr>
            <w:tcW w:w="1125" w:type="dxa"/>
            <w:noWrap w:val="0"/>
            <w:vAlign w:val="center"/>
          </w:tcPr>
          <w:p w14:paraId="1E9F555A">
            <w:pPr>
              <w:widowControl/>
              <w:jc w:val="center"/>
              <w:rPr>
                <w:color w:val="auto"/>
                <w:sz w:val="18"/>
                <w:szCs w:val="18"/>
                <w:highlight w:val="none"/>
              </w:rPr>
            </w:pPr>
            <w:r>
              <w:rPr>
                <w:color w:val="auto"/>
                <w:sz w:val="18"/>
                <w:szCs w:val="18"/>
                <w:highlight w:val="none"/>
              </w:rPr>
              <w:t>Y≥10000</w:t>
            </w:r>
          </w:p>
        </w:tc>
        <w:tc>
          <w:tcPr>
            <w:tcW w:w="1701" w:type="dxa"/>
            <w:noWrap w:val="0"/>
            <w:vAlign w:val="center"/>
          </w:tcPr>
          <w:p w14:paraId="608BBC5B">
            <w:pPr>
              <w:widowControl/>
              <w:jc w:val="center"/>
              <w:rPr>
                <w:color w:val="auto"/>
                <w:sz w:val="18"/>
                <w:szCs w:val="18"/>
                <w:highlight w:val="none"/>
              </w:rPr>
            </w:pPr>
            <w:r>
              <w:rPr>
                <w:color w:val="auto"/>
                <w:sz w:val="18"/>
                <w:szCs w:val="18"/>
                <w:highlight w:val="none"/>
              </w:rPr>
              <w:t>2000≤Y＜10000</w:t>
            </w:r>
          </w:p>
        </w:tc>
        <w:tc>
          <w:tcPr>
            <w:tcW w:w="1426" w:type="dxa"/>
            <w:noWrap w:val="0"/>
            <w:vAlign w:val="center"/>
          </w:tcPr>
          <w:p w14:paraId="6A015B46">
            <w:pPr>
              <w:widowControl/>
              <w:jc w:val="center"/>
              <w:rPr>
                <w:color w:val="auto"/>
                <w:sz w:val="18"/>
                <w:szCs w:val="18"/>
                <w:highlight w:val="none"/>
              </w:rPr>
            </w:pPr>
            <w:r>
              <w:rPr>
                <w:color w:val="auto"/>
                <w:sz w:val="18"/>
                <w:szCs w:val="18"/>
                <w:highlight w:val="none"/>
              </w:rPr>
              <w:t>100≤Y＜2000</w:t>
            </w:r>
          </w:p>
        </w:tc>
        <w:tc>
          <w:tcPr>
            <w:tcW w:w="992" w:type="dxa"/>
            <w:noWrap w:val="0"/>
            <w:vAlign w:val="center"/>
          </w:tcPr>
          <w:p w14:paraId="73342BD7">
            <w:pPr>
              <w:widowControl/>
              <w:jc w:val="center"/>
              <w:rPr>
                <w:color w:val="auto"/>
                <w:sz w:val="18"/>
                <w:szCs w:val="18"/>
                <w:highlight w:val="none"/>
              </w:rPr>
            </w:pPr>
            <w:r>
              <w:rPr>
                <w:color w:val="auto"/>
                <w:sz w:val="18"/>
                <w:szCs w:val="18"/>
                <w:highlight w:val="none"/>
              </w:rPr>
              <w:t>Y＜100</w:t>
            </w:r>
          </w:p>
        </w:tc>
      </w:tr>
      <w:tr w14:paraId="36D3E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1D687528">
            <w:pPr>
              <w:widowControl/>
              <w:spacing w:line="240" w:lineRule="exact"/>
              <w:jc w:val="left"/>
              <w:rPr>
                <w:rFonts w:hint="eastAsia"/>
                <w:color w:val="auto"/>
                <w:sz w:val="18"/>
                <w:szCs w:val="18"/>
                <w:highlight w:val="none"/>
              </w:rPr>
            </w:pPr>
            <w:r>
              <w:rPr>
                <w:color w:val="auto"/>
                <w:sz w:val="18"/>
                <w:szCs w:val="18"/>
                <w:highlight w:val="none"/>
              </w:rPr>
              <w:t>信息传输业</w:t>
            </w:r>
            <w:r>
              <w:rPr>
                <w:rFonts w:hint="eastAsia" w:ascii="宋体" w:hAnsi="宋体" w:cs="宋体"/>
                <w:color w:val="auto"/>
                <w:sz w:val="18"/>
                <w:szCs w:val="18"/>
                <w:highlight w:val="none"/>
              </w:rPr>
              <w:t>※</w:t>
            </w:r>
          </w:p>
        </w:tc>
        <w:tc>
          <w:tcPr>
            <w:tcW w:w="1369" w:type="dxa"/>
            <w:noWrap w:val="0"/>
            <w:vAlign w:val="center"/>
          </w:tcPr>
          <w:p w14:paraId="49473EC1">
            <w:pPr>
              <w:widowControl/>
              <w:jc w:val="center"/>
              <w:rPr>
                <w:color w:val="auto"/>
                <w:sz w:val="18"/>
                <w:szCs w:val="18"/>
                <w:highlight w:val="none"/>
              </w:rPr>
            </w:pPr>
            <w:r>
              <w:rPr>
                <w:color w:val="auto"/>
                <w:sz w:val="18"/>
                <w:szCs w:val="18"/>
                <w:highlight w:val="none"/>
              </w:rPr>
              <w:t>从业人员(X)</w:t>
            </w:r>
          </w:p>
        </w:tc>
        <w:tc>
          <w:tcPr>
            <w:tcW w:w="709" w:type="dxa"/>
            <w:noWrap w:val="0"/>
            <w:vAlign w:val="center"/>
          </w:tcPr>
          <w:p w14:paraId="5B0A2ED3">
            <w:pPr>
              <w:widowControl/>
              <w:jc w:val="center"/>
              <w:rPr>
                <w:color w:val="auto"/>
                <w:sz w:val="18"/>
                <w:szCs w:val="18"/>
                <w:highlight w:val="none"/>
              </w:rPr>
            </w:pPr>
            <w:r>
              <w:rPr>
                <w:color w:val="auto"/>
                <w:sz w:val="18"/>
                <w:szCs w:val="18"/>
                <w:highlight w:val="none"/>
              </w:rPr>
              <w:t>人</w:t>
            </w:r>
          </w:p>
        </w:tc>
        <w:tc>
          <w:tcPr>
            <w:tcW w:w="1125" w:type="dxa"/>
            <w:noWrap w:val="0"/>
            <w:vAlign w:val="center"/>
          </w:tcPr>
          <w:p w14:paraId="08EDED9E">
            <w:pPr>
              <w:widowControl/>
              <w:jc w:val="center"/>
              <w:rPr>
                <w:color w:val="auto"/>
                <w:sz w:val="18"/>
                <w:szCs w:val="18"/>
                <w:highlight w:val="none"/>
              </w:rPr>
            </w:pPr>
            <w:r>
              <w:rPr>
                <w:color w:val="auto"/>
                <w:sz w:val="18"/>
                <w:szCs w:val="18"/>
                <w:highlight w:val="none"/>
              </w:rPr>
              <w:t>X≥2000</w:t>
            </w:r>
          </w:p>
        </w:tc>
        <w:tc>
          <w:tcPr>
            <w:tcW w:w="1701" w:type="dxa"/>
            <w:noWrap w:val="0"/>
            <w:vAlign w:val="center"/>
          </w:tcPr>
          <w:p w14:paraId="07D59D25">
            <w:pPr>
              <w:widowControl/>
              <w:jc w:val="center"/>
              <w:rPr>
                <w:color w:val="auto"/>
                <w:sz w:val="18"/>
                <w:szCs w:val="18"/>
                <w:highlight w:val="none"/>
              </w:rPr>
            </w:pPr>
            <w:r>
              <w:rPr>
                <w:color w:val="auto"/>
                <w:sz w:val="18"/>
                <w:szCs w:val="18"/>
                <w:highlight w:val="none"/>
              </w:rPr>
              <w:t>100≤X＜2000</w:t>
            </w:r>
          </w:p>
        </w:tc>
        <w:tc>
          <w:tcPr>
            <w:tcW w:w="1426" w:type="dxa"/>
            <w:noWrap w:val="0"/>
            <w:vAlign w:val="center"/>
          </w:tcPr>
          <w:p w14:paraId="1D8258ED">
            <w:pPr>
              <w:widowControl/>
              <w:jc w:val="center"/>
              <w:rPr>
                <w:color w:val="auto"/>
                <w:sz w:val="18"/>
                <w:szCs w:val="18"/>
                <w:highlight w:val="none"/>
              </w:rPr>
            </w:pPr>
            <w:r>
              <w:rPr>
                <w:color w:val="auto"/>
                <w:sz w:val="18"/>
                <w:szCs w:val="18"/>
                <w:highlight w:val="none"/>
              </w:rPr>
              <w:t>10≤X＜100</w:t>
            </w:r>
          </w:p>
        </w:tc>
        <w:tc>
          <w:tcPr>
            <w:tcW w:w="992" w:type="dxa"/>
            <w:noWrap w:val="0"/>
            <w:vAlign w:val="center"/>
          </w:tcPr>
          <w:p w14:paraId="5CE90FC4">
            <w:pPr>
              <w:widowControl/>
              <w:jc w:val="center"/>
              <w:rPr>
                <w:color w:val="auto"/>
                <w:sz w:val="18"/>
                <w:szCs w:val="18"/>
                <w:highlight w:val="none"/>
              </w:rPr>
            </w:pPr>
            <w:r>
              <w:rPr>
                <w:color w:val="auto"/>
                <w:sz w:val="18"/>
                <w:szCs w:val="18"/>
                <w:highlight w:val="none"/>
              </w:rPr>
              <w:t>X＜10</w:t>
            </w:r>
          </w:p>
        </w:tc>
      </w:tr>
      <w:tr w14:paraId="3007D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62DE47BE">
            <w:pPr>
              <w:widowControl/>
              <w:jc w:val="left"/>
              <w:rPr>
                <w:color w:val="auto"/>
                <w:sz w:val="18"/>
                <w:szCs w:val="18"/>
                <w:highlight w:val="none"/>
              </w:rPr>
            </w:pPr>
          </w:p>
        </w:tc>
        <w:tc>
          <w:tcPr>
            <w:tcW w:w="1369" w:type="dxa"/>
            <w:noWrap w:val="0"/>
            <w:vAlign w:val="center"/>
          </w:tcPr>
          <w:p w14:paraId="6A2AD657">
            <w:pPr>
              <w:widowControl/>
              <w:spacing w:line="240" w:lineRule="exact"/>
              <w:jc w:val="center"/>
              <w:rPr>
                <w:color w:val="auto"/>
                <w:sz w:val="18"/>
                <w:szCs w:val="18"/>
                <w:highlight w:val="none"/>
              </w:rPr>
            </w:pPr>
            <w:r>
              <w:rPr>
                <w:color w:val="auto"/>
                <w:sz w:val="18"/>
                <w:szCs w:val="18"/>
                <w:highlight w:val="none"/>
              </w:rPr>
              <w:t>营业收入(Y)</w:t>
            </w:r>
          </w:p>
        </w:tc>
        <w:tc>
          <w:tcPr>
            <w:tcW w:w="709" w:type="dxa"/>
            <w:noWrap w:val="0"/>
            <w:vAlign w:val="center"/>
          </w:tcPr>
          <w:p w14:paraId="4F861C11">
            <w:pPr>
              <w:widowControl/>
              <w:jc w:val="center"/>
              <w:rPr>
                <w:color w:val="auto"/>
                <w:sz w:val="18"/>
                <w:szCs w:val="18"/>
                <w:highlight w:val="none"/>
              </w:rPr>
            </w:pPr>
            <w:r>
              <w:rPr>
                <w:color w:val="auto"/>
                <w:sz w:val="18"/>
                <w:szCs w:val="18"/>
                <w:highlight w:val="none"/>
              </w:rPr>
              <w:t>万元</w:t>
            </w:r>
          </w:p>
        </w:tc>
        <w:tc>
          <w:tcPr>
            <w:tcW w:w="1125" w:type="dxa"/>
            <w:noWrap w:val="0"/>
            <w:vAlign w:val="center"/>
          </w:tcPr>
          <w:p w14:paraId="33342038">
            <w:pPr>
              <w:widowControl/>
              <w:jc w:val="center"/>
              <w:rPr>
                <w:color w:val="auto"/>
                <w:sz w:val="18"/>
                <w:szCs w:val="18"/>
                <w:highlight w:val="none"/>
              </w:rPr>
            </w:pPr>
            <w:r>
              <w:rPr>
                <w:color w:val="auto"/>
                <w:sz w:val="18"/>
                <w:szCs w:val="18"/>
                <w:highlight w:val="none"/>
              </w:rPr>
              <w:t>Y≥100000</w:t>
            </w:r>
          </w:p>
        </w:tc>
        <w:tc>
          <w:tcPr>
            <w:tcW w:w="1701" w:type="dxa"/>
            <w:noWrap w:val="0"/>
            <w:vAlign w:val="center"/>
          </w:tcPr>
          <w:p w14:paraId="230AB193">
            <w:pPr>
              <w:widowControl/>
              <w:jc w:val="center"/>
              <w:rPr>
                <w:color w:val="auto"/>
                <w:sz w:val="18"/>
                <w:szCs w:val="18"/>
                <w:highlight w:val="none"/>
              </w:rPr>
            </w:pPr>
            <w:r>
              <w:rPr>
                <w:color w:val="auto"/>
                <w:sz w:val="18"/>
                <w:szCs w:val="18"/>
                <w:highlight w:val="none"/>
              </w:rPr>
              <w:t>1000≤Y＜100000</w:t>
            </w:r>
          </w:p>
        </w:tc>
        <w:tc>
          <w:tcPr>
            <w:tcW w:w="1426" w:type="dxa"/>
            <w:noWrap w:val="0"/>
            <w:vAlign w:val="center"/>
          </w:tcPr>
          <w:p w14:paraId="039AEE59">
            <w:pPr>
              <w:widowControl/>
              <w:jc w:val="center"/>
              <w:rPr>
                <w:color w:val="auto"/>
                <w:sz w:val="18"/>
                <w:szCs w:val="18"/>
                <w:highlight w:val="none"/>
              </w:rPr>
            </w:pPr>
            <w:r>
              <w:rPr>
                <w:color w:val="auto"/>
                <w:sz w:val="18"/>
                <w:szCs w:val="18"/>
                <w:highlight w:val="none"/>
              </w:rPr>
              <w:t>100≤Y＜1000</w:t>
            </w:r>
          </w:p>
        </w:tc>
        <w:tc>
          <w:tcPr>
            <w:tcW w:w="992" w:type="dxa"/>
            <w:noWrap w:val="0"/>
            <w:vAlign w:val="center"/>
          </w:tcPr>
          <w:p w14:paraId="1296B22C">
            <w:pPr>
              <w:widowControl/>
              <w:jc w:val="center"/>
              <w:rPr>
                <w:color w:val="auto"/>
                <w:sz w:val="18"/>
                <w:szCs w:val="18"/>
                <w:highlight w:val="none"/>
              </w:rPr>
            </w:pPr>
            <w:r>
              <w:rPr>
                <w:color w:val="auto"/>
                <w:sz w:val="18"/>
                <w:szCs w:val="18"/>
                <w:highlight w:val="none"/>
              </w:rPr>
              <w:t>Y＜100</w:t>
            </w:r>
          </w:p>
        </w:tc>
      </w:tr>
      <w:tr w14:paraId="1B7CE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6C259EC2">
            <w:pPr>
              <w:widowControl/>
              <w:spacing w:line="240" w:lineRule="exact"/>
              <w:jc w:val="left"/>
              <w:rPr>
                <w:color w:val="auto"/>
                <w:spacing w:val="-12"/>
                <w:sz w:val="18"/>
                <w:szCs w:val="18"/>
                <w:highlight w:val="none"/>
              </w:rPr>
            </w:pPr>
            <w:r>
              <w:rPr>
                <w:color w:val="auto"/>
                <w:spacing w:val="-12"/>
                <w:sz w:val="18"/>
                <w:szCs w:val="18"/>
                <w:highlight w:val="none"/>
              </w:rPr>
              <w:t>软件和信息技术服</w:t>
            </w:r>
            <w:r>
              <w:rPr>
                <w:color w:val="auto"/>
                <w:sz w:val="18"/>
                <w:szCs w:val="18"/>
                <w:highlight w:val="none"/>
              </w:rPr>
              <w:t>务业</w:t>
            </w:r>
          </w:p>
        </w:tc>
        <w:tc>
          <w:tcPr>
            <w:tcW w:w="1369" w:type="dxa"/>
            <w:noWrap w:val="0"/>
            <w:vAlign w:val="center"/>
          </w:tcPr>
          <w:p w14:paraId="7C74CB3C">
            <w:pPr>
              <w:widowControl/>
              <w:jc w:val="center"/>
              <w:rPr>
                <w:color w:val="auto"/>
                <w:sz w:val="18"/>
                <w:szCs w:val="18"/>
                <w:highlight w:val="none"/>
              </w:rPr>
            </w:pPr>
            <w:r>
              <w:rPr>
                <w:color w:val="auto"/>
                <w:sz w:val="18"/>
                <w:szCs w:val="18"/>
                <w:highlight w:val="none"/>
              </w:rPr>
              <w:t>从业人员(X)</w:t>
            </w:r>
          </w:p>
        </w:tc>
        <w:tc>
          <w:tcPr>
            <w:tcW w:w="709" w:type="dxa"/>
            <w:noWrap w:val="0"/>
            <w:vAlign w:val="center"/>
          </w:tcPr>
          <w:p w14:paraId="2C2ABEC6">
            <w:pPr>
              <w:widowControl/>
              <w:jc w:val="center"/>
              <w:rPr>
                <w:color w:val="auto"/>
                <w:sz w:val="18"/>
                <w:szCs w:val="18"/>
                <w:highlight w:val="none"/>
              </w:rPr>
            </w:pPr>
            <w:r>
              <w:rPr>
                <w:color w:val="auto"/>
                <w:sz w:val="18"/>
                <w:szCs w:val="18"/>
                <w:highlight w:val="none"/>
              </w:rPr>
              <w:t>人</w:t>
            </w:r>
          </w:p>
        </w:tc>
        <w:tc>
          <w:tcPr>
            <w:tcW w:w="1125" w:type="dxa"/>
            <w:noWrap w:val="0"/>
            <w:vAlign w:val="center"/>
          </w:tcPr>
          <w:p w14:paraId="43F231A4">
            <w:pPr>
              <w:widowControl/>
              <w:jc w:val="center"/>
              <w:rPr>
                <w:color w:val="auto"/>
                <w:sz w:val="18"/>
                <w:szCs w:val="18"/>
                <w:highlight w:val="none"/>
              </w:rPr>
            </w:pPr>
            <w:r>
              <w:rPr>
                <w:color w:val="auto"/>
                <w:sz w:val="18"/>
                <w:szCs w:val="18"/>
                <w:highlight w:val="none"/>
              </w:rPr>
              <w:t>X≥300</w:t>
            </w:r>
          </w:p>
        </w:tc>
        <w:tc>
          <w:tcPr>
            <w:tcW w:w="1701" w:type="dxa"/>
            <w:noWrap w:val="0"/>
            <w:vAlign w:val="center"/>
          </w:tcPr>
          <w:p w14:paraId="3DA3169A">
            <w:pPr>
              <w:widowControl/>
              <w:ind w:left="1" w:hanging="108"/>
              <w:jc w:val="center"/>
              <w:rPr>
                <w:color w:val="auto"/>
                <w:sz w:val="18"/>
                <w:szCs w:val="18"/>
                <w:highlight w:val="none"/>
              </w:rPr>
            </w:pPr>
            <w:r>
              <w:rPr>
                <w:color w:val="auto"/>
                <w:sz w:val="18"/>
                <w:szCs w:val="18"/>
                <w:highlight w:val="none"/>
              </w:rPr>
              <w:t xml:space="preserve">100≤X＜300 </w:t>
            </w:r>
          </w:p>
        </w:tc>
        <w:tc>
          <w:tcPr>
            <w:tcW w:w="1426" w:type="dxa"/>
            <w:noWrap w:val="0"/>
            <w:vAlign w:val="center"/>
          </w:tcPr>
          <w:p w14:paraId="4999647D">
            <w:pPr>
              <w:widowControl/>
              <w:jc w:val="center"/>
              <w:rPr>
                <w:color w:val="auto"/>
                <w:sz w:val="18"/>
                <w:szCs w:val="18"/>
                <w:highlight w:val="none"/>
              </w:rPr>
            </w:pPr>
            <w:r>
              <w:rPr>
                <w:color w:val="auto"/>
                <w:sz w:val="18"/>
                <w:szCs w:val="18"/>
                <w:highlight w:val="none"/>
              </w:rPr>
              <w:t>10≤X＜100</w:t>
            </w:r>
          </w:p>
        </w:tc>
        <w:tc>
          <w:tcPr>
            <w:tcW w:w="992" w:type="dxa"/>
            <w:noWrap w:val="0"/>
            <w:vAlign w:val="center"/>
          </w:tcPr>
          <w:p w14:paraId="5EDC5756">
            <w:pPr>
              <w:widowControl/>
              <w:jc w:val="center"/>
              <w:rPr>
                <w:color w:val="auto"/>
                <w:sz w:val="18"/>
                <w:szCs w:val="18"/>
                <w:highlight w:val="none"/>
              </w:rPr>
            </w:pPr>
            <w:r>
              <w:rPr>
                <w:color w:val="auto"/>
                <w:sz w:val="18"/>
                <w:szCs w:val="18"/>
                <w:highlight w:val="none"/>
              </w:rPr>
              <w:t>X＜10</w:t>
            </w:r>
          </w:p>
        </w:tc>
      </w:tr>
      <w:tr w14:paraId="62DB6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37DCF02F">
            <w:pPr>
              <w:widowControl/>
              <w:jc w:val="left"/>
              <w:rPr>
                <w:color w:val="auto"/>
                <w:spacing w:val="-12"/>
                <w:sz w:val="18"/>
                <w:szCs w:val="18"/>
                <w:highlight w:val="none"/>
              </w:rPr>
            </w:pPr>
          </w:p>
        </w:tc>
        <w:tc>
          <w:tcPr>
            <w:tcW w:w="1369" w:type="dxa"/>
            <w:noWrap w:val="0"/>
            <w:vAlign w:val="center"/>
          </w:tcPr>
          <w:p w14:paraId="01787113">
            <w:pPr>
              <w:widowControl/>
              <w:jc w:val="center"/>
              <w:rPr>
                <w:color w:val="auto"/>
                <w:sz w:val="18"/>
                <w:szCs w:val="18"/>
                <w:highlight w:val="none"/>
              </w:rPr>
            </w:pPr>
            <w:r>
              <w:rPr>
                <w:color w:val="auto"/>
                <w:sz w:val="18"/>
                <w:szCs w:val="18"/>
                <w:highlight w:val="none"/>
              </w:rPr>
              <w:t>营业收入(Y)</w:t>
            </w:r>
          </w:p>
        </w:tc>
        <w:tc>
          <w:tcPr>
            <w:tcW w:w="709" w:type="dxa"/>
            <w:noWrap w:val="0"/>
            <w:vAlign w:val="center"/>
          </w:tcPr>
          <w:p w14:paraId="1659F34E">
            <w:pPr>
              <w:widowControl/>
              <w:jc w:val="center"/>
              <w:rPr>
                <w:color w:val="auto"/>
                <w:sz w:val="18"/>
                <w:szCs w:val="18"/>
                <w:highlight w:val="none"/>
              </w:rPr>
            </w:pPr>
            <w:r>
              <w:rPr>
                <w:color w:val="auto"/>
                <w:sz w:val="18"/>
                <w:szCs w:val="18"/>
                <w:highlight w:val="none"/>
              </w:rPr>
              <w:t>万元</w:t>
            </w:r>
          </w:p>
        </w:tc>
        <w:tc>
          <w:tcPr>
            <w:tcW w:w="1125" w:type="dxa"/>
            <w:noWrap w:val="0"/>
            <w:vAlign w:val="center"/>
          </w:tcPr>
          <w:p w14:paraId="2D9976E8">
            <w:pPr>
              <w:widowControl/>
              <w:jc w:val="center"/>
              <w:rPr>
                <w:color w:val="auto"/>
                <w:sz w:val="18"/>
                <w:szCs w:val="18"/>
                <w:highlight w:val="none"/>
              </w:rPr>
            </w:pPr>
            <w:r>
              <w:rPr>
                <w:color w:val="auto"/>
                <w:sz w:val="18"/>
                <w:szCs w:val="18"/>
                <w:highlight w:val="none"/>
              </w:rPr>
              <w:t>Y≥10000</w:t>
            </w:r>
          </w:p>
        </w:tc>
        <w:tc>
          <w:tcPr>
            <w:tcW w:w="1701" w:type="dxa"/>
            <w:noWrap w:val="0"/>
            <w:vAlign w:val="center"/>
          </w:tcPr>
          <w:p w14:paraId="1956BECF">
            <w:pPr>
              <w:widowControl/>
              <w:jc w:val="center"/>
              <w:rPr>
                <w:color w:val="auto"/>
                <w:sz w:val="18"/>
                <w:szCs w:val="18"/>
                <w:highlight w:val="none"/>
              </w:rPr>
            </w:pPr>
            <w:r>
              <w:rPr>
                <w:color w:val="auto"/>
                <w:sz w:val="18"/>
                <w:szCs w:val="18"/>
                <w:highlight w:val="none"/>
              </w:rPr>
              <w:t>1000≤Y＜10000</w:t>
            </w:r>
          </w:p>
        </w:tc>
        <w:tc>
          <w:tcPr>
            <w:tcW w:w="1426" w:type="dxa"/>
            <w:noWrap w:val="0"/>
            <w:vAlign w:val="center"/>
          </w:tcPr>
          <w:p w14:paraId="480D3D0E">
            <w:pPr>
              <w:widowControl/>
              <w:jc w:val="center"/>
              <w:rPr>
                <w:color w:val="auto"/>
                <w:sz w:val="18"/>
                <w:szCs w:val="18"/>
                <w:highlight w:val="none"/>
              </w:rPr>
            </w:pPr>
            <w:r>
              <w:rPr>
                <w:color w:val="auto"/>
                <w:sz w:val="18"/>
                <w:szCs w:val="18"/>
                <w:highlight w:val="none"/>
              </w:rPr>
              <w:t>50≤Y＜1000</w:t>
            </w:r>
          </w:p>
        </w:tc>
        <w:tc>
          <w:tcPr>
            <w:tcW w:w="992" w:type="dxa"/>
            <w:noWrap w:val="0"/>
            <w:vAlign w:val="center"/>
          </w:tcPr>
          <w:p w14:paraId="4B7DFA5B">
            <w:pPr>
              <w:widowControl/>
              <w:jc w:val="center"/>
              <w:rPr>
                <w:color w:val="auto"/>
                <w:sz w:val="18"/>
                <w:szCs w:val="18"/>
                <w:highlight w:val="none"/>
              </w:rPr>
            </w:pPr>
            <w:r>
              <w:rPr>
                <w:color w:val="auto"/>
                <w:sz w:val="18"/>
                <w:szCs w:val="18"/>
                <w:highlight w:val="none"/>
              </w:rPr>
              <w:t>Y＜50</w:t>
            </w:r>
          </w:p>
        </w:tc>
      </w:tr>
      <w:tr w14:paraId="36E5E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4AA6A2F5">
            <w:pPr>
              <w:widowControl/>
              <w:spacing w:line="240" w:lineRule="exact"/>
              <w:jc w:val="left"/>
              <w:rPr>
                <w:color w:val="auto"/>
                <w:sz w:val="18"/>
                <w:szCs w:val="18"/>
                <w:highlight w:val="none"/>
              </w:rPr>
            </w:pPr>
            <w:r>
              <w:rPr>
                <w:color w:val="auto"/>
                <w:sz w:val="18"/>
                <w:szCs w:val="18"/>
                <w:highlight w:val="none"/>
              </w:rPr>
              <w:t>房地产开发经营</w:t>
            </w:r>
          </w:p>
        </w:tc>
        <w:tc>
          <w:tcPr>
            <w:tcW w:w="1369" w:type="dxa"/>
            <w:noWrap w:val="0"/>
            <w:vAlign w:val="center"/>
          </w:tcPr>
          <w:p w14:paraId="78AE228A">
            <w:pPr>
              <w:widowControl/>
              <w:jc w:val="center"/>
              <w:rPr>
                <w:color w:val="auto"/>
                <w:sz w:val="18"/>
                <w:szCs w:val="18"/>
                <w:highlight w:val="none"/>
              </w:rPr>
            </w:pPr>
            <w:r>
              <w:rPr>
                <w:color w:val="auto"/>
                <w:sz w:val="18"/>
                <w:szCs w:val="18"/>
                <w:highlight w:val="none"/>
              </w:rPr>
              <w:t>营业收入(Y)</w:t>
            </w:r>
          </w:p>
        </w:tc>
        <w:tc>
          <w:tcPr>
            <w:tcW w:w="709" w:type="dxa"/>
            <w:noWrap w:val="0"/>
            <w:vAlign w:val="center"/>
          </w:tcPr>
          <w:p w14:paraId="06D75341">
            <w:pPr>
              <w:widowControl/>
              <w:jc w:val="center"/>
              <w:rPr>
                <w:color w:val="auto"/>
                <w:sz w:val="18"/>
                <w:szCs w:val="18"/>
                <w:highlight w:val="none"/>
              </w:rPr>
            </w:pPr>
            <w:r>
              <w:rPr>
                <w:color w:val="auto"/>
                <w:sz w:val="18"/>
                <w:szCs w:val="18"/>
                <w:highlight w:val="none"/>
              </w:rPr>
              <w:t>万元</w:t>
            </w:r>
          </w:p>
        </w:tc>
        <w:tc>
          <w:tcPr>
            <w:tcW w:w="1125" w:type="dxa"/>
            <w:noWrap w:val="0"/>
            <w:vAlign w:val="center"/>
          </w:tcPr>
          <w:p w14:paraId="6D4C5910">
            <w:pPr>
              <w:widowControl/>
              <w:jc w:val="center"/>
              <w:rPr>
                <w:color w:val="auto"/>
                <w:sz w:val="18"/>
                <w:szCs w:val="18"/>
                <w:highlight w:val="none"/>
              </w:rPr>
            </w:pPr>
            <w:r>
              <w:rPr>
                <w:color w:val="auto"/>
                <w:sz w:val="18"/>
                <w:szCs w:val="18"/>
                <w:highlight w:val="none"/>
              </w:rPr>
              <w:t>Y≥200000</w:t>
            </w:r>
          </w:p>
        </w:tc>
        <w:tc>
          <w:tcPr>
            <w:tcW w:w="1701" w:type="dxa"/>
            <w:noWrap w:val="0"/>
            <w:vAlign w:val="center"/>
          </w:tcPr>
          <w:p w14:paraId="22501857">
            <w:pPr>
              <w:widowControl/>
              <w:jc w:val="center"/>
              <w:rPr>
                <w:color w:val="auto"/>
                <w:sz w:val="18"/>
                <w:szCs w:val="18"/>
                <w:highlight w:val="none"/>
              </w:rPr>
            </w:pPr>
            <w:r>
              <w:rPr>
                <w:color w:val="auto"/>
                <w:sz w:val="18"/>
                <w:szCs w:val="18"/>
                <w:highlight w:val="none"/>
              </w:rPr>
              <w:t>1000≤Y＜200000</w:t>
            </w:r>
          </w:p>
        </w:tc>
        <w:tc>
          <w:tcPr>
            <w:tcW w:w="1426" w:type="dxa"/>
            <w:noWrap w:val="0"/>
            <w:vAlign w:val="center"/>
          </w:tcPr>
          <w:p w14:paraId="5FD9DE0E">
            <w:pPr>
              <w:widowControl/>
              <w:jc w:val="center"/>
              <w:rPr>
                <w:color w:val="auto"/>
                <w:sz w:val="18"/>
                <w:szCs w:val="18"/>
                <w:highlight w:val="none"/>
              </w:rPr>
            </w:pPr>
            <w:r>
              <w:rPr>
                <w:color w:val="auto"/>
                <w:sz w:val="18"/>
                <w:szCs w:val="18"/>
                <w:highlight w:val="none"/>
              </w:rPr>
              <w:t>100≤Y＜1000</w:t>
            </w:r>
          </w:p>
        </w:tc>
        <w:tc>
          <w:tcPr>
            <w:tcW w:w="992" w:type="dxa"/>
            <w:noWrap w:val="0"/>
            <w:vAlign w:val="center"/>
          </w:tcPr>
          <w:p w14:paraId="0AAC3758">
            <w:pPr>
              <w:widowControl/>
              <w:jc w:val="center"/>
              <w:rPr>
                <w:color w:val="auto"/>
                <w:sz w:val="18"/>
                <w:szCs w:val="18"/>
                <w:highlight w:val="none"/>
              </w:rPr>
            </w:pPr>
            <w:r>
              <w:rPr>
                <w:color w:val="auto"/>
                <w:sz w:val="18"/>
                <w:szCs w:val="18"/>
                <w:highlight w:val="none"/>
              </w:rPr>
              <w:t>Y＜100</w:t>
            </w:r>
          </w:p>
        </w:tc>
      </w:tr>
      <w:tr w14:paraId="4FA82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36A67A3C">
            <w:pPr>
              <w:widowControl/>
              <w:jc w:val="left"/>
              <w:rPr>
                <w:color w:val="auto"/>
                <w:sz w:val="18"/>
                <w:szCs w:val="18"/>
                <w:highlight w:val="none"/>
              </w:rPr>
            </w:pPr>
          </w:p>
        </w:tc>
        <w:tc>
          <w:tcPr>
            <w:tcW w:w="1369" w:type="dxa"/>
            <w:noWrap w:val="0"/>
            <w:vAlign w:val="center"/>
          </w:tcPr>
          <w:p w14:paraId="1DCF6320">
            <w:pPr>
              <w:widowControl/>
              <w:spacing w:line="240" w:lineRule="exact"/>
              <w:jc w:val="center"/>
              <w:rPr>
                <w:color w:val="auto"/>
                <w:sz w:val="18"/>
                <w:szCs w:val="18"/>
                <w:highlight w:val="none"/>
              </w:rPr>
            </w:pPr>
            <w:r>
              <w:rPr>
                <w:color w:val="auto"/>
                <w:sz w:val="18"/>
                <w:szCs w:val="18"/>
                <w:highlight w:val="none"/>
              </w:rPr>
              <w:t>资产总额(Z)</w:t>
            </w:r>
          </w:p>
        </w:tc>
        <w:tc>
          <w:tcPr>
            <w:tcW w:w="709" w:type="dxa"/>
            <w:noWrap w:val="0"/>
            <w:vAlign w:val="center"/>
          </w:tcPr>
          <w:p w14:paraId="5563D818">
            <w:pPr>
              <w:widowControl/>
              <w:jc w:val="center"/>
              <w:rPr>
                <w:color w:val="auto"/>
                <w:sz w:val="18"/>
                <w:szCs w:val="18"/>
                <w:highlight w:val="none"/>
              </w:rPr>
            </w:pPr>
            <w:r>
              <w:rPr>
                <w:color w:val="auto"/>
                <w:sz w:val="18"/>
                <w:szCs w:val="18"/>
                <w:highlight w:val="none"/>
              </w:rPr>
              <w:t>万元</w:t>
            </w:r>
          </w:p>
        </w:tc>
        <w:tc>
          <w:tcPr>
            <w:tcW w:w="1125" w:type="dxa"/>
            <w:noWrap w:val="0"/>
            <w:vAlign w:val="center"/>
          </w:tcPr>
          <w:p w14:paraId="77F17FA1">
            <w:pPr>
              <w:widowControl/>
              <w:jc w:val="center"/>
              <w:rPr>
                <w:color w:val="auto"/>
                <w:sz w:val="18"/>
                <w:szCs w:val="18"/>
                <w:highlight w:val="none"/>
              </w:rPr>
            </w:pPr>
            <w:r>
              <w:rPr>
                <w:color w:val="auto"/>
                <w:sz w:val="18"/>
                <w:szCs w:val="18"/>
                <w:highlight w:val="none"/>
              </w:rPr>
              <w:t>Z≥10000</w:t>
            </w:r>
          </w:p>
        </w:tc>
        <w:tc>
          <w:tcPr>
            <w:tcW w:w="1701" w:type="dxa"/>
            <w:noWrap w:val="0"/>
            <w:vAlign w:val="center"/>
          </w:tcPr>
          <w:p w14:paraId="4F32DB5C">
            <w:pPr>
              <w:widowControl/>
              <w:jc w:val="center"/>
              <w:rPr>
                <w:color w:val="auto"/>
                <w:sz w:val="18"/>
                <w:szCs w:val="18"/>
                <w:highlight w:val="none"/>
              </w:rPr>
            </w:pPr>
            <w:r>
              <w:rPr>
                <w:color w:val="auto"/>
                <w:sz w:val="18"/>
                <w:szCs w:val="18"/>
                <w:highlight w:val="none"/>
              </w:rPr>
              <w:t>5000≤Z＜10000</w:t>
            </w:r>
          </w:p>
        </w:tc>
        <w:tc>
          <w:tcPr>
            <w:tcW w:w="1426" w:type="dxa"/>
            <w:noWrap w:val="0"/>
            <w:vAlign w:val="center"/>
          </w:tcPr>
          <w:p w14:paraId="66887C77">
            <w:pPr>
              <w:widowControl/>
              <w:jc w:val="center"/>
              <w:rPr>
                <w:color w:val="auto"/>
                <w:sz w:val="18"/>
                <w:szCs w:val="18"/>
                <w:highlight w:val="none"/>
              </w:rPr>
            </w:pPr>
            <w:r>
              <w:rPr>
                <w:color w:val="auto"/>
                <w:sz w:val="18"/>
                <w:szCs w:val="18"/>
                <w:highlight w:val="none"/>
              </w:rPr>
              <w:t>2000≤Z＜5000</w:t>
            </w:r>
          </w:p>
        </w:tc>
        <w:tc>
          <w:tcPr>
            <w:tcW w:w="992" w:type="dxa"/>
            <w:noWrap w:val="0"/>
            <w:vAlign w:val="center"/>
          </w:tcPr>
          <w:p w14:paraId="29511625">
            <w:pPr>
              <w:widowControl/>
              <w:jc w:val="center"/>
              <w:rPr>
                <w:color w:val="auto"/>
                <w:sz w:val="18"/>
                <w:szCs w:val="18"/>
                <w:highlight w:val="none"/>
              </w:rPr>
            </w:pPr>
            <w:r>
              <w:rPr>
                <w:color w:val="auto"/>
                <w:sz w:val="18"/>
                <w:szCs w:val="18"/>
                <w:highlight w:val="none"/>
              </w:rPr>
              <w:t>Z＜2000</w:t>
            </w:r>
          </w:p>
        </w:tc>
      </w:tr>
      <w:tr w14:paraId="7A0C1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4BDFB803">
            <w:pPr>
              <w:widowControl/>
              <w:spacing w:line="240" w:lineRule="exact"/>
              <w:jc w:val="left"/>
              <w:rPr>
                <w:color w:val="auto"/>
                <w:sz w:val="18"/>
                <w:szCs w:val="18"/>
                <w:highlight w:val="none"/>
              </w:rPr>
            </w:pPr>
            <w:r>
              <w:rPr>
                <w:color w:val="auto"/>
                <w:sz w:val="18"/>
                <w:szCs w:val="18"/>
                <w:highlight w:val="none"/>
              </w:rPr>
              <w:t>物业管理</w:t>
            </w:r>
          </w:p>
        </w:tc>
        <w:tc>
          <w:tcPr>
            <w:tcW w:w="1369" w:type="dxa"/>
            <w:noWrap w:val="0"/>
            <w:vAlign w:val="center"/>
          </w:tcPr>
          <w:p w14:paraId="72D69E71">
            <w:pPr>
              <w:widowControl/>
              <w:jc w:val="center"/>
              <w:rPr>
                <w:color w:val="auto"/>
                <w:sz w:val="18"/>
                <w:szCs w:val="18"/>
                <w:highlight w:val="none"/>
              </w:rPr>
            </w:pPr>
            <w:r>
              <w:rPr>
                <w:color w:val="auto"/>
                <w:sz w:val="18"/>
                <w:szCs w:val="18"/>
                <w:highlight w:val="none"/>
              </w:rPr>
              <w:t>从业人员(X)</w:t>
            </w:r>
          </w:p>
        </w:tc>
        <w:tc>
          <w:tcPr>
            <w:tcW w:w="709" w:type="dxa"/>
            <w:noWrap w:val="0"/>
            <w:vAlign w:val="center"/>
          </w:tcPr>
          <w:p w14:paraId="00ED3A87">
            <w:pPr>
              <w:widowControl/>
              <w:jc w:val="center"/>
              <w:rPr>
                <w:color w:val="auto"/>
                <w:sz w:val="18"/>
                <w:szCs w:val="18"/>
                <w:highlight w:val="none"/>
              </w:rPr>
            </w:pPr>
            <w:r>
              <w:rPr>
                <w:color w:val="auto"/>
                <w:sz w:val="18"/>
                <w:szCs w:val="18"/>
                <w:highlight w:val="none"/>
              </w:rPr>
              <w:t>人</w:t>
            </w:r>
          </w:p>
        </w:tc>
        <w:tc>
          <w:tcPr>
            <w:tcW w:w="1125" w:type="dxa"/>
            <w:noWrap w:val="0"/>
            <w:vAlign w:val="center"/>
          </w:tcPr>
          <w:p w14:paraId="1E4950E1">
            <w:pPr>
              <w:widowControl/>
              <w:jc w:val="center"/>
              <w:rPr>
                <w:color w:val="auto"/>
                <w:sz w:val="18"/>
                <w:szCs w:val="18"/>
                <w:highlight w:val="none"/>
              </w:rPr>
            </w:pPr>
            <w:r>
              <w:rPr>
                <w:color w:val="auto"/>
                <w:sz w:val="18"/>
                <w:szCs w:val="18"/>
                <w:highlight w:val="none"/>
              </w:rPr>
              <w:t>X≥1000</w:t>
            </w:r>
          </w:p>
        </w:tc>
        <w:tc>
          <w:tcPr>
            <w:tcW w:w="1701" w:type="dxa"/>
            <w:noWrap w:val="0"/>
            <w:vAlign w:val="center"/>
          </w:tcPr>
          <w:p w14:paraId="6E008EFB">
            <w:pPr>
              <w:widowControl/>
              <w:jc w:val="center"/>
              <w:rPr>
                <w:color w:val="auto"/>
                <w:sz w:val="18"/>
                <w:szCs w:val="18"/>
                <w:highlight w:val="none"/>
              </w:rPr>
            </w:pPr>
            <w:r>
              <w:rPr>
                <w:color w:val="auto"/>
                <w:sz w:val="18"/>
                <w:szCs w:val="18"/>
                <w:highlight w:val="none"/>
              </w:rPr>
              <w:t>300≤X＜1000</w:t>
            </w:r>
          </w:p>
        </w:tc>
        <w:tc>
          <w:tcPr>
            <w:tcW w:w="1426" w:type="dxa"/>
            <w:noWrap w:val="0"/>
            <w:vAlign w:val="center"/>
          </w:tcPr>
          <w:p w14:paraId="784385B0">
            <w:pPr>
              <w:widowControl/>
              <w:jc w:val="center"/>
              <w:rPr>
                <w:color w:val="auto"/>
                <w:sz w:val="18"/>
                <w:szCs w:val="18"/>
                <w:highlight w:val="none"/>
              </w:rPr>
            </w:pPr>
            <w:r>
              <w:rPr>
                <w:color w:val="auto"/>
                <w:sz w:val="18"/>
                <w:szCs w:val="18"/>
                <w:highlight w:val="none"/>
              </w:rPr>
              <w:t>100≤X＜300</w:t>
            </w:r>
          </w:p>
        </w:tc>
        <w:tc>
          <w:tcPr>
            <w:tcW w:w="992" w:type="dxa"/>
            <w:noWrap w:val="0"/>
            <w:vAlign w:val="center"/>
          </w:tcPr>
          <w:p w14:paraId="7DF95362">
            <w:pPr>
              <w:widowControl/>
              <w:jc w:val="center"/>
              <w:rPr>
                <w:color w:val="auto"/>
                <w:sz w:val="18"/>
                <w:szCs w:val="18"/>
                <w:highlight w:val="none"/>
              </w:rPr>
            </w:pPr>
            <w:r>
              <w:rPr>
                <w:color w:val="auto"/>
                <w:sz w:val="18"/>
                <w:szCs w:val="18"/>
                <w:highlight w:val="none"/>
              </w:rPr>
              <w:t>X＜100</w:t>
            </w:r>
          </w:p>
        </w:tc>
      </w:tr>
      <w:tr w14:paraId="156A7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7D49B99F">
            <w:pPr>
              <w:widowControl/>
              <w:jc w:val="left"/>
              <w:rPr>
                <w:color w:val="auto"/>
                <w:sz w:val="18"/>
                <w:szCs w:val="18"/>
                <w:highlight w:val="none"/>
              </w:rPr>
            </w:pPr>
          </w:p>
        </w:tc>
        <w:tc>
          <w:tcPr>
            <w:tcW w:w="1369" w:type="dxa"/>
            <w:noWrap w:val="0"/>
            <w:vAlign w:val="center"/>
          </w:tcPr>
          <w:p w14:paraId="4FF7834F">
            <w:pPr>
              <w:widowControl/>
              <w:spacing w:line="240" w:lineRule="exact"/>
              <w:jc w:val="center"/>
              <w:rPr>
                <w:color w:val="auto"/>
                <w:sz w:val="18"/>
                <w:szCs w:val="18"/>
                <w:highlight w:val="none"/>
              </w:rPr>
            </w:pPr>
            <w:r>
              <w:rPr>
                <w:color w:val="auto"/>
                <w:sz w:val="18"/>
                <w:szCs w:val="18"/>
                <w:highlight w:val="none"/>
              </w:rPr>
              <w:t>营业收入(Y)</w:t>
            </w:r>
          </w:p>
        </w:tc>
        <w:tc>
          <w:tcPr>
            <w:tcW w:w="709" w:type="dxa"/>
            <w:noWrap w:val="0"/>
            <w:vAlign w:val="center"/>
          </w:tcPr>
          <w:p w14:paraId="1EC5DECE">
            <w:pPr>
              <w:widowControl/>
              <w:jc w:val="center"/>
              <w:rPr>
                <w:color w:val="auto"/>
                <w:sz w:val="18"/>
                <w:szCs w:val="18"/>
                <w:highlight w:val="none"/>
              </w:rPr>
            </w:pPr>
            <w:r>
              <w:rPr>
                <w:color w:val="auto"/>
                <w:sz w:val="18"/>
                <w:szCs w:val="18"/>
                <w:highlight w:val="none"/>
              </w:rPr>
              <w:t>万元</w:t>
            </w:r>
          </w:p>
        </w:tc>
        <w:tc>
          <w:tcPr>
            <w:tcW w:w="1125" w:type="dxa"/>
            <w:noWrap w:val="0"/>
            <w:vAlign w:val="center"/>
          </w:tcPr>
          <w:p w14:paraId="42FF1E21">
            <w:pPr>
              <w:widowControl/>
              <w:jc w:val="center"/>
              <w:rPr>
                <w:color w:val="auto"/>
                <w:sz w:val="18"/>
                <w:szCs w:val="18"/>
                <w:highlight w:val="none"/>
              </w:rPr>
            </w:pPr>
            <w:r>
              <w:rPr>
                <w:color w:val="auto"/>
                <w:sz w:val="18"/>
                <w:szCs w:val="18"/>
                <w:highlight w:val="none"/>
              </w:rPr>
              <w:t>Y≥5000</w:t>
            </w:r>
          </w:p>
        </w:tc>
        <w:tc>
          <w:tcPr>
            <w:tcW w:w="1701" w:type="dxa"/>
            <w:noWrap w:val="0"/>
            <w:vAlign w:val="center"/>
          </w:tcPr>
          <w:p w14:paraId="72508331">
            <w:pPr>
              <w:widowControl/>
              <w:ind w:left="1" w:hanging="108"/>
              <w:jc w:val="center"/>
              <w:rPr>
                <w:color w:val="auto"/>
                <w:sz w:val="18"/>
                <w:szCs w:val="18"/>
                <w:highlight w:val="none"/>
              </w:rPr>
            </w:pPr>
            <w:r>
              <w:rPr>
                <w:color w:val="auto"/>
                <w:sz w:val="18"/>
                <w:szCs w:val="18"/>
                <w:highlight w:val="none"/>
              </w:rPr>
              <w:t>1000≤Y＜5000</w:t>
            </w:r>
          </w:p>
        </w:tc>
        <w:tc>
          <w:tcPr>
            <w:tcW w:w="1426" w:type="dxa"/>
            <w:noWrap w:val="0"/>
            <w:vAlign w:val="center"/>
          </w:tcPr>
          <w:p w14:paraId="6023195A">
            <w:pPr>
              <w:widowControl/>
              <w:jc w:val="center"/>
              <w:rPr>
                <w:color w:val="auto"/>
                <w:sz w:val="18"/>
                <w:szCs w:val="18"/>
                <w:highlight w:val="none"/>
              </w:rPr>
            </w:pPr>
            <w:r>
              <w:rPr>
                <w:color w:val="auto"/>
                <w:sz w:val="18"/>
                <w:szCs w:val="18"/>
                <w:highlight w:val="none"/>
              </w:rPr>
              <w:t>500≤Y＜1000</w:t>
            </w:r>
          </w:p>
        </w:tc>
        <w:tc>
          <w:tcPr>
            <w:tcW w:w="992" w:type="dxa"/>
            <w:noWrap w:val="0"/>
            <w:vAlign w:val="center"/>
          </w:tcPr>
          <w:p w14:paraId="75EFE945">
            <w:pPr>
              <w:widowControl/>
              <w:jc w:val="center"/>
              <w:rPr>
                <w:color w:val="auto"/>
                <w:sz w:val="18"/>
                <w:szCs w:val="18"/>
                <w:highlight w:val="none"/>
              </w:rPr>
            </w:pPr>
            <w:r>
              <w:rPr>
                <w:color w:val="auto"/>
                <w:sz w:val="18"/>
                <w:szCs w:val="18"/>
                <w:highlight w:val="none"/>
              </w:rPr>
              <w:t>Y＜500</w:t>
            </w:r>
          </w:p>
        </w:tc>
      </w:tr>
      <w:tr w14:paraId="0CC98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6C5CD148">
            <w:pPr>
              <w:widowControl/>
              <w:spacing w:line="240" w:lineRule="exact"/>
              <w:jc w:val="left"/>
              <w:rPr>
                <w:color w:val="auto"/>
                <w:sz w:val="18"/>
                <w:szCs w:val="18"/>
                <w:highlight w:val="none"/>
              </w:rPr>
            </w:pPr>
            <w:r>
              <w:rPr>
                <w:color w:val="auto"/>
                <w:sz w:val="18"/>
                <w:szCs w:val="18"/>
                <w:highlight w:val="none"/>
              </w:rPr>
              <w:t>租赁和商务服务业</w:t>
            </w:r>
          </w:p>
        </w:tc>
        <w:tc>
          <w:tcPr>
            <w:tcW w:w="1369" w:type="dxa"/>
            <w:noWrap w:val="0"/>
            <w:vAlign w:val="center"/>
          </w:tcPr>
          <w:p w14:paraId="0ECC3F22">
            <w:pPr>
              <w:widowControl/>
              <w:jc w:val="center"/>
              <w:rPr>
                <w:color w:val="auto"/>
                <w:sz w:val="18"/>
                <w:szCs w:val="18"/>
                <w:highlight w:val="none"/>
              </w:rPr>
            </w:pPr>
            <w:r>
              <w:rPr>
                <w:color w:val="auto"/>
                <w:sz w:val="18"/>
                <w:szCs w:val="18"/>
                <w:highlight w:val="none"/>
              </w:rPr>
              <w:t>从业人员(X)</w:t>
            </w:r>
          </w:p>
        </w:tc>
        <w:tc>
          <w:tcPr>
            <w:tcW w:w="709" w:type="dxa"/>
            <w:noWrap w:val="0"/>
            <w:vAlign w:val="center"/>
          </w:tcPr>
          <w:p w14:paraId="1E7A19F9">
            <w:pPr>
              <w:widowControl/>
              <w:jc w:val="center"/>
              <w:rPr>
                <w:color w:val="auto"/>
                <w:sz w:val="18"/>
                <w:szCs w:val="18"/>
                <w:highlight w:val="none"/>
              </w:rPr>
            </w:pPr>
            <w:r>
              <w:rPr>
                <w:color w:val="auto"/>
                <w:sz w:val="18"/>
                <w:szCs w:val="18"/>
                <w:highlight w:val="none"/>
              </w:rPr>
              <w:t>人</w:t>
            </w:r>
          </w:p>
        </w:tc>
        <w:tc>
          <w:tcPr>
            <w:tcW w:w="1125" w:type="dxa"/>
            <w:noWrap w:val="0"/>
            <w:vAlign w:val="center"/>
          </w:tcPr>
          <w:p w14:paraId="71D57F7E">
            <w:pPr>
              <w:widowControl/>
              <w:jc w:val="center"/>
              <w:rPr>
                <w:color w:val="auto"/>
                <w:sz w:val="18"/>
                <w:szCs w:val="18"/>
                <w:highlight w:val="none"/>
              </w:rPr>
            </w:pPr>
            <w:r>
              <w:rPr>
                <w:color w:val="auto"/>
                <w:sz w:val="18"/>
                <w:szCs w:val="18"/>
                <w:highlight w:val="none"/>
              </w:rPr>
              <w:t>X≥300</w:t>
            </w:r>
          </w:p>
        </w:tc>
        <w:tc>
          <w:tcPr>
            <w:tcW w:w="1701" w:type="dxa"/>
            <w:noWrap w:val="0"/>
            <w:vAlign w:val="center"/>
          </w:tcPr>
          <w:p w14:paraId="478BCE11">
            <w:pPr>
              <w:widowControl/>
              <w:ind w:left="1" w:hanging="108"/>
              <w:jc w:val="center"/>
              <w:rPr>
                <w:color w:val="auto"/>
                <w:sz w:val="18"/>
                <w:szCs w:val="18"/>
                <w:highlight w:val="none"/>
              </w:rPr>
            </w:pPr>
            <w:r>
              <w:rPr>
                <w:color w:val="auto"/>
                <w:sz w:val="18"/>
                <w:szCs w:val="18"/>
                <w:highlight w:val="none"/>
              </w:rPr>
              <w:t>100≤X＜300</w:t>
            </w:r>
          </w:p>
        </w:tc>
        <w:tc>
          <w:tcPr>
            <w:tcW w:w="1426" w:type="dxa"/>
            <w:noWrap w:val="0"/>
            <w:vAlign w:val="center"/>
          </w:tcPr>
          <w:p w14:paraId="43CC73CD">
            <w:pPr>
              <w:widowControl/>
              <w:jc w:val="center"/>
              <w:rPr>
                <w:color w:val="auto"/>
                <w:sz w:val="18"/>
                <w:szCs w:val="18"/>
                <w:highlight w:val="none"/>
              </w:rPr>
            </w:pPr>
            <w:r>
              <w:rPr>
                <w:color w:val="auto"/>
                <w:sz w:val="18"/>
                <w:szCs w:val="18"/>
                <w:highlight w:val="none"/>
              </w:rPr>
              <w:t>10≤X＜100</w:t>
            </w:r>
          </w:p>
        </w:tc>
        <w:tc>
          <w:tcPr>
            <w:tcW w:w="992" w:type="dxa"/>
            <w:noWrap w:val="0"/>
            <w:vAlign w:val="center"/>
          </w:tcPr>
          <w:p w14:paraId="4E247D95">
            <w:pPr>
              <w:widowControl/>
              <w:jc w:val="center"/>
              <w:rPr>
                <w:color w:val="auto"/>
                <w:sz w:val="18"/>
                <w:szCs w:val="18"/>
                <w:highlight w:val="none"/>
              </w:rPr>
            </w:pPr>
            <w:r>
              <w:rPr>
                <w:color w:val="auto"/>
                <w:sz w:val="18"/>
                <w:szCs w:val="18"/>
                <w:highlight w:val="none"/>
              </w:rPr>
              <w:t>X＜10</w:t>
            </w:r>
          </w:p>
        </w:tc>
      </w:tr>
      <w:tr w14:paraId="53F68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73B53153">
            <w:pPr>
              <w:widowControl/>
              <w:jc w:val="left"/>
              <w:rPr>
                <w:color w:val="auto"/>
                <w:sz w:val="18"/>
                <w:szCs w:val="18"/>
                <w:highlight w:val="none"/>
              </w:rPr>
            </w:pPr>
          </w:p>
        </w:tc>
        <w:tc>
          <w:tcPr>
            <w:tcW w:w="1369" w:type="dxa"/>
            <w:noWrap w:val="0"/>
            <w:vAlign w:val="center"/>
          </w:tcPr>
          <w:p w14:paraId="503E889F">
            <w:pPr>
              <w:widowControl/>
              <w:spacing w:line="240" w:lineRule="exact"/>
              <w:jc w:val="center"/>
              <w:rPr>
                <w:color w:val="auto"/>
                <w:sz w:val="18"/>
                <w:szCs w:val="18"/>
                <w:highlight w:val="none"/>
              </w:rPr>
            </w:pPr>
            <w:r>
              <w:rPr>
                <w:color w:val="auto"/>
                <w:sz w:val="18"/>
                <w:szCs w:val="18"/>
                <w:highlight w:val="none"/>
              </w:rPr>
              <w:t>资产总额(Z)</w:t>
            </w:r>
          </w:p>
        </w:tc>
        <w:tc>
          <w:tcPr>
            <w:tcW w:w="709" w:type="dxa"/>
            <w:noWrap w:val="0"/>
            <w:vAlign w:val="center"/>
          </w:tcPr>
          <w:p w14:paraId="6CBA618E">
            <w:pPr>
              <w:widowControl/>
              <w:jc w:val="center"/>
              <w:rPr>
                <w:color w:val="auto"/>
                <w:sz w:val="18"/>
                <w:szCs w:val="18"/>
                <w:highlight w:val="none"/>
              </w:rPr>
            </w:pPr>
            <w:r>
              <w:rPr>
                <w:color w:val="auto"/>
                <w:sz w:val="18"/>
                <w:szCs w:val="18"/>
                <w:highlight w:val="none"/>
              </w:rPr>
              <w:t>万元</w:t>
            </w:r>
          </w:p>
        </w:tc>
        <w:tc>
          <w:tcPr>
            <w:tcW w:w="1125" w:type="dxa"/>
            <w:noWrap w:val="0"/>
            <w:vAlign w:val="center"/>
          </w:tcPr>
          <w:p w14:paraId="73CB472E">
            <w:pPr>
              <w:widowControl/>
              <w:jc w:val="center"/>
              <w:rPr>
                <w:color w:val="auto"/>
                <w:sz w:val="18"/>
                <w:szCs w:val="18"/>
                <w:highlight w:val="none"/>
              </w:rPr>
            </w:pPr>
            <w:r>
              <w:rPr>
                <w:color w:val="auto"/>
                <w:sz w:val="18"/>
                <w:szCs w:val="18"/>
                <w:highlight w:val="none"/>
              </w:rPr>
              <w:t>Z≥120000</w:t>
            </w:r>
          </w:p>
        </w:tc>
        <w:tc>
          <w:tcPr>
            <w:tcW w:w="1701" w:type="dxa"/>
            <w:noWrap w:val="0"/>
            <w:vAlign w:val="center"/>
          </w:tcPr>
          <w:p w14:paraId="2BD66C65">
            <w:pPr>
              <w:widowControl/>
              <w:jc w:val="center"/>
              <w:rPr>
                <w:color w:val="auto"/>
                <w:sz w:val="18"/>
                <w:szCs w:val="18"/>
                <w:highlight w:val="none"/>
              </w:rPr>
            </w:pPr>
            <w:r>
              <w:rPr>
                <w:color w:val="auto"/>
                <w:sz w:val="18"/>
                <w:szCs w:val="18"/>
                <w:highlight w:val="none"/>
              </w:rPr>
              <w:t>8000≤Z＜120000</w:t>
            </w:r>
          </w:p>
        </w:tc>
        <w:tc>
          <w:tcPr>
            <w:tcW w:w="1426" w:type="dxa"/>
            <w:noWrap w:val="0"/>
            <w:vAlign w:val="center"/>
          </w:tcPr>
          <w:p w14:paraId="5E14FD15">
            <w:pPr>
              <w:widowControl/>
              <w:jc w:val="center"/>
              <w:rPr>
                <w:color w:val="auto"/>
                <w:sz w:val="18"/>
                <w:szCs w:val="18"/>
                <w:highlight w:val="none"/>
              </w:rPr>
            </w:pPr>
            <w:r>
              <w:rPr>
                <w:color w:val="auto"/>
                <w:sz w:val="18"/>
                <w:szCs w:val="18"/>
                <w:highlight w:val="none"/>
              </w:rPr>
              <w:t>100≤Z＜8000</w:t>
            </w:r>
          </w:p>
        </w:tc>
        <w:tc>
          <w:tcPr>
            <w:tcW w:w="992" w:type="dxa"/>
            <w:noWrap w:val="0"/>
            <w:vAlign w:val="center"/>
          </w:tcPr>
          <w:p w14:paraId="66378968">
            <w:pPr>
              <w:widowControl/>
              <w:jc w:val="center"/>
              <w:rPr>
                <w:color w:val="auto"/>
                <w:sz w:val="18"/>
                <w:szCs w:val="18"/>
                <w:highlight w:val="none"/>
              </w:rPr>
            </w:pPr>
            <w:r>
              <w:rPr>
                <w:color w:val="auto"/>
                <w:sz w:val="18"/>
                <w:szCs w:val="18"/>
                <w:highlight w:val="none"/>
              </w:rPr>
              <w:t>Z＜100</w:t>
            </w:r>
          </w:p>
        </w:tc>
      </w:tr>
      <w:tr w14:paraId="41C48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14:paraId="4D1CCF16">
            <w:pPr>
              <w:widowControl/>
              <w:spacing w:line="240" w:lineRule="exact"/>
              <w:jc w:val="left"/>
              <w:rPr>
                <w:rFonts w:hint="eastAsia"/>
                <w:color w:val="auto"/>
                <w:sz w:val="18"/>
                <w:szCs w:val="18"/>
                <w:highlight w:val="none"/>
              </w:rPr>
            </w:pPr>
            <w:r>
              <w:rPr>
                <w:color w:val="auto"/>
                <w:sz w:val="18"/>
                <w:szCs w:val="18"/>
                <w:highlight w:val="none"/>
              </w:rPr>
              <w:t>其他未列明行业</w:t>
            </w:r>
            <w:r>
              <w:rPr>
                <w:rFonts w:hint="eastAsia" w:ascii="宋体" w:hAnsi="宋体" w:cs="宋体"/>
                <w:color w:val="auto"/>
                <w:sz w:val="18"/>
                <w:szCs w:val="18"/>
                <w:highlight w:val="none"/>
              </w:rPr>
              <w:t>※</w:t>
            </w:r>
          </w:p>
        </w:tc>
        <w:tc>
          <w:tcPr>
            <w:tcW w:w="1369" w:type="dxa"/>
            <w:noWrap w:val="0"/>
            <w:vAlign w:val="center"/>
          </w:tcPr>
          <w:p w14:paraId="6324B80E">
            <w:pPr>
              <w:widowControl/>
              <w:jc w:val="center"/>
              <w:rPr>
                <w:color w:val="auto"/>
                <w:sz w:val="18"/>
                <w:szCs w:val="18"/>
                <w:highlight w:val="none"/>
              </w:rPr>
            </w:pPr>
            <w:r>
              <w:rPr>
                <w:color w:val="auto"/>
                <w:sz w:val="18"/>
                <w:szCs w:val="18"/>
                <w:highlight w:val="none"/>
              </w:rPr>
              <w:t>从业人员(X)</w:t>
            </w:r>
          </w:p>
        </w:tc>
        <w:tc>
          <w:tcPr>
            <w:tcW w:w="709" w:type="dxa"/>
            <w:noWrap w:val="0"/>
            <w:vAlign w:val="center"/>
          </w:tcPr>
          <w:p w14:paraId="68694217">
            <w:pPr>
              <w:widowControl/>
              <w:jc w:val="center"/>
              <w:rPr>
                <w:color w:val="auto"/>
                <w:sz w:val="18"/>
                <w:szCs w:val="18"/>
                <w:highlight w:val="none"/>
              </w:rPr>
            </w:pPr>
            <w:r>
              <w:rPr>
                <w:color w:val="auto"/>
                <w:sz w:val="18"/>
                <w:szCs w:val="18"/>
                <w:highlight w:val="none"/>
              </w:rPr>
              <w:t>人</w:t>
            </w:r>
          </w:p>
        </w:tc>
        <w:tc>
          <w:tcPr>
            <w:tcW w:w="1125" w:type="dxa"/>
            <w:noWrap w:val="0"/>
            <w:vAlign w:val="center"/>
          </w:tcPr>
          <w:p w14:paraId="4352B8F3">
            <w:pPr>
              <w:widowControl/>
              <w:jc w:val="center"/>
              <w:rPr>
                <w:color w:val="auto"/>
                <w:sz w:val="18"/>
                <w:szCs w:val="18"/>
                <w:highlight w:val="none"/>
              </w:rPr>
            </w:pPr>
            <w:r>
              <w:rPr>
                <w:color w:val="auto"/>
                <w:sz w:val="18"/>
                <w:szCs w:val="18"/>
                <w:highlight w:val="none"/>
              </w:rPr>
              <w:t>X≥300</w:t>
            </w:r>
          </w:p>
        </w:tc>
        <w:tc>
          <w:tcPr>
            <w:tcW w:w="1701" w:type="dxa"/>
            <w:noWrap w:val="0"/>
            <w:vAlign w:val="center"/>
          </w:tcPr>
          <w:p w14:paraId="2876728D">
            <w:pPr>
              <w:widowControl/>
              <w:ind w:left="1" w:hanging="108"/>
              <w:jc w:val="center"/>
              <w:rPr>
                <w:color w:val="auto"/>
                <w:sz w:val="18"/>
                <w:szCs w:val="18"/>
                <w:highlight w:val="none"/>
              </w:rPr>
            </w:pPr>
            <w:r>
              <w:rPr>
                <w:color w:val="auto"/>
                <w:sz w:val="18"/>
                <w:szCs w:val="18"/>
                <w:highlight w:val="none"/>
              </w:rPr>
              <w:t>100≤X＜300</w:t>
            </w:r>
          </w:p>
        </w:tc>
        <w:tc>
          <w:tcPr>
            <w:tcW w:w="1426" w:type="dxa"/>
            <w:noWrap w:val="0"/>
            <w:vAlign w:val="center"/>
          </w:tcPr>
          <w:p w14:paraId="0D69C2C3">
            <w:pPr>
              <w:widowControl/>
              <w:jc w:val="center"/>
              <w:rPr>
                <w:color w:val="auto"/>
                <w:sz w:val="18"/>
                <w:szCs w:val="18"/>
                <w:highlight w:val="none"/>
              </w:rPr>
            </w:pPr>
            <w:r>
              <w:rPr>
                <w:color w:val="auto"/>
                <w:sz w:val="18"/>
                <w:szCs w:val="18"/>
                <w:highlight w:val="none"/>
              </w:rPr>
              <w:t>10≤X＜100</w:t>
            </w:r>
          </w:p>
        </w:tc>
        <w:tc>
          <w:tcPr>
            <w:tcW w:w="992" w:type="dxa"/>
            <w:noWrap w:val="0"/>
            <w:vAlign w:val="center"/>
          </w:tcPr>
          <w:p w14:paraId="12533FD6">
            <w:pPr>
              <w:widowControl/>
              <w:jc w:val="center"/>
              <w:rPr>
                <w:color w:val="auto"/>
                <w:sz w:val="18"/>
                <w:szCs w:val="18"/>
                <w:highlight w:val="none"/>
              </w:rPr>
            </w:pPr>
            <w:r>
              <w:rPr>
                <w:color w:val="auto"/>
                <w:sz w:val="18"/>
                <w:szCs w:val="18"/>
                <w:highlight w:val="none"/>
              </w:rPr>
              <w:t>X＜10</w:t>
            </w:r>
          </w:p>
        </w:tc>
      </w:tr>
    </w:tbl>
    <w:p w14:paraId="5862D9BB">
      <w:pPr>
        <w:widowControl/>
        <w:spacing w:line="540" w:lineRule="exact"/>
        <w:rPr>
          <w:rFonts w:hint="eastAsia" w:ascii="宋体" w:hAnsi="宋体" w:cs="宋体"/>
          <w:color w:val="auto"/>
          <w:spacing w:val="8"/>
          <w:sz w:val="24"/>
          <w:highlight w:val="none"/>
        </w:rPr>
      </w:pPr>
    </w:p>
    <w:p w14:paraId="2F3CB6F8">
      <w:pPr>
        <w:widowControl/>
        <w:spacing w:line="540" w:lineRule="exact"/>
        <w:rPr>
          <w:rFonts w:hint="eastAsia" w:ascii="宋体" w:hAnsi="宋体" w:cs="宋体"/>
          <w:color w:val="auto"/>
          <w:spacing w:val="8"/>
          <w:sz w:val="24"/>
          <w:highlight w:val="none"/>
        </w:rPr>
      </w:pPr>
      <w:r>
        <w:rPr>
          <w:rFonts w:hint="eastAsia" w:ascii="宋体" w:hAnsi="宋体" w:cs="宋体"/>
          <w:color w:val="auto"/>
          <w:spacing w:val="8"/>
          <w:sz w:val="24"/>
          <w:highlight w:val="none"/>
        </w:rPr>
        <w:t>说明：</w:t>
      </w:r>
    </w:p>
    <w:p w14:paraId="6A4B5EB8">
      <w:pPr>
        <w:pStyle w:val="21"/>
        <w:spacing w:line="380" w:lineRule="exact"/>
        <w:ind w:firstLine="512"/>
        <w:contextualSpacing/>
        <w:rPr>
          <w:rFonts w:hint="eastAsia" w:hAnsi="宋体" w:cs="宋体"/>
          <w:color w:val="auto"/>
          <w:spacing w:val="8"/>
          <w:sz w:val="24"/>
          <w:szCs w:val="24"/>
          <w:highlight w:val="none"/>
        </w:rPr>
      </w:pPr>
      <w:r>
        <w:rPr>
          <w:rFonts w:hint="eastAsia" w:hAnsi="宋体" w:cs="宋体"/>
          <w:color w:val="auto"/>
          <w:spacing w:val="8"/>
          <w:sz w:val="24"/>
          <w:szCs w:val="24"/>
          <w:highlight w:val="none"/>
        </w:rPr>
        <w:t>1.大型、中型和小型企业须同时满足所列指标的下限，否则下划一档；微型企业只须满足所列指标中的一项即可。</w:t>
      </w:r>
    </w:p>
    <w:p w14:paraId="4F7CC168">
      <w:pPr>
        <w:pStyle w:val="21"/>
        <w:spacing w:line="380" w:lineRule="exact"/>
        <w:ind w:firstLine="512"/>
        <w:contextualSpacing/>
        <w:rPr>
          <w:rFonts w:hint="eastAsia" w:hAnsi="宋体" w:cs="宋体"/>
          <w:color w:val="auto"/>
          <w:spacing w:val="8"/>
          <w:sz w:val="24"/>
          <w:szCs w:val="24"/>
          <w:highlight w:val="none"/>
        </w:rPr>
      </w:pPr>
      <w:r>
        <w:rPr>
          <w:rFonts w:hint="eastAsia" w:hAnsi="宋体" w:cs="宋体"/>
          <w:color w:val="auto"/>
          <w:spacing w:val="8"/>
          <w:sz w:val="24"/>
          <w:szCs w:val="24"/>
          <w:highlight w:val="none"/>
        </w:rPr>
        <w:t>2.附表中各行业的范围以《国民经济行业分类》（GB/T4754-2017）为准。带</w:t>
      </w:r>
      <w:r>
        <w:rPr>
          <w:rFonts w:hint="eastAsia" w:hAnsi="宋体" w:cs="宋体"/>
          <w:color w:val="auto"/>
          <w:sz w:val="18"/>
          <w:szCs w:val="18"/>
          <w:highlight w:val="none"/>
        </w:rPr>
        <w:t>※</w:t>
      </w:r>
      <w:r>
        <w:rPr>
          <w:rFonts w:hint="eastAsia" w:hAnsi="宋体" w:cs="宋体"/>
          <w:color w:val="auto"/>
          <w:spacing w:val="8"/>
          <w:sz w:val="24"/>
          <w:szCs w:val="24"/>
          <w:highlight w:val="none"/>
        </w:rPr>
        <w:t>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hAnsi="宋体" w:cs="宋体"/>
          <w:color w:val="auto"/>
          <w:spacing w:val="8"/>
          <w:sz w:val="24"/>
          <w:szCs w:val="24"/>
          <w:highlight w:val="none"/>
          <w:lang w:eastAsia="zh-CN"/>
        </w:rPr>
        <w:t>；</w:t>
      </w:r>
      <w:r>
        <w:rPr>
          <w:rFonts w:hint="eastAsia" w:hAnsi="宋体" w:cs="宋体"/>
          <w:color w:val="auto"/>
          <w:spacing w:val="8"/>
          <w:sz w:val="24"/>
          <w:szCs w:val="24"/>
          <w:highlight w:val="none"/>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4DD0CE54">
      <w:pPr>
        <w:pStyle w:val="21"/>
        <w:spacing w:line="380" w:lineRule="exact"/>
        <w:ind w:firstLine="512"/>
        <w:rPr>
          <w:rFonts w:hint="eastAsia" w:hAnsi="宋体" w:cs="宋体"/>
          <w:color w:val="auto"/>
          <w:spacing w:val="8"/>
          <w:sz w:val="24"/>
          <w:szCs w:val="24"/>
          <w:highlight w:val="none"/>
        </w:rPr>
      </w:pPr>
      <w:r>
        <w:rPr>
          <w:rFonts w:hint="eastAsia" w:hAnsi="宋体" w:cs="宋体"/>
          <w:color w:val="auto"/>
          <w:spacing w:val="8"/>
          <w:sz w:val="24"/>
          <w:szCs w:val="24"/>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0F0EC7C7">
      <w:pPr>
        <w:pStyle w:val="12"/>
        <w:rPr>
          <w:rFonts w:hint="eastAsia" w:ascii="仿宋_GB2312" w:hAnsi="Times New Roman" w:eastAsia="仿宋_GB2312" w:cs="宋体"/>
          <w:color w:val="auto"/>
          <w:spacing w:val="8"/>
          <w:sz w:val="24"/>
          <w:highlight w:val="none"/>
        </w:rPr>
      </w:pPr>
    </w:p>
    <w:p w14:paraId="6A812AFD">
      <w:pPr>
        <w:rPr>
          <w:rFonts w:hint="eastAsia" w:ascii="仿宋_GB2312" w:hAnsi="Times New Roman" w:eastAsia="仿宋_GB2312" w:cs="宋体"/>
          <w:color w:val="auto"/>
          <w:spacing w:val="8"/>
          <w:sz w:val="24"/>
          <w:highlight w:val="none"/>
        </w:rPr>
      </w:pPr>
    </w:p>
    <w:p w14:paraId="140824B3">
      <w:pPr>
        <w:pStyle w:val="18"/>
        <w:rPr>
          <w:rFonts w:hint="eastAsia" w:ascii="仿宋_GB2312" w:hAnsi="Times New Roman" w:eastAsia="仿宋_GB2312" w:cs="宋体"/>
          <w:color w:val="auto"/>
          <w:spacing w:val="8"/>
          <w:sz w:val="24"/>
          <w:highlight w:val="none"/>
        </w:rPr>
      </w:pPr>
    </w:p>
    <w:p w14:paraId="63B89D83">
      <w:pPr>
        <w:rPr>
          <w:rFonts w:hint="eastAsia" w:ascii="仿宋_GB2312" w:hAnsi="Times New Roman" w:eastAsia="仿宋_GB2312" w:cs="宋体"/>
          <w:color w:val="auto"/>
          <w:spacing w:val="8"/>
          <w:sz w:val="24"/>
          <w:highlight w:val="none"/>
        </w:rPr>
      </w:pPr>
    </w:p>
    <w:p w14:paraId="3EFE45EF">
      <w:pPr>
        <w:pStyle w:val="18"/>
        <w:rPr>
          <w:rFonts w:hint="eastAsia" w:ascii="仿宋_GB2312" w:hAnsi="Times New Roman" w:eastAsia="仿宋_GB2312" w:cs="宋体"/>
          <w:color w:val="auto"/>
          <w:spacing w:val="8"/>
          <w:sz w:val="24"/>
          <w:highlight w:val="none"/>
        </w:rPr>
      </w:pPr>
    </w:p>
    <w:p w14:paraId="673FB05A">
      <w:pPr>
        <w:rPr>
          <w:rFonts w:hint="eastAsia" w:ascii="仿宋_GB2312" w:hAnsi="Times New Roman" w:eastAsia="仿宋_GB2312" w:cs="宋体"/>
          <w:color w:val="auto"/>
          <w:spacing w:val="8"/>
          <w:sz w:val="24"/>
          <w:highlight w:val="none"/>
        </w:rPr>
      </w:pPr>
    </w:p>
    <w:p w14:paraId="02D1BFCB">
      <w:pPr>
        <w:pStyle w:val="18"/>
        <w:rPr>
          <w:rFonts w:hint="eastAsia" w:ascii="仿宋_GB2312" w:hAnsi="Times New Roman" w:eastAsia="仿宋_GB2312" w:cs="宋体"/>
          <w:color w:val="auto"/>
          <w:spacing w:val="8"/>
          <w:sz w:val="24"/>
          <w:highlight w:val="none"/>
        </w:rPr>
      </w:pPr>
    </w:p>
    <w:p w14:paraId="25D36B2D">
      <w:pPr>
        <w:rPr>
          <w:rFonts w:hint="eastAsia" w:ascii="仿宋_GB2312" w:hAnsi="Times New Roman" w:eastAsia="仿宋_GB2312" w:cs="宋体"/>
          <w:color w:val="auto"/>
          <w:spacing w:val="8"/>
          <w:sz w:val="24"/>
          <w:highlight w:val="none"/>
        </w:rPr>
      </w:pPr>
    </w:p>
    <w:p w14:paraId="085C6C98">
      <w:pPr>
        <w:rPr>
          <w:rFonts w:hint="eastAsia" w:ascii="仿宋_GB2312" w:hAnsi="Times New Roman" w:eastAsia="仿宋_GB2312" w:cs="宋体"/>
          <w:color w:val="auto"/>
          <w:spacing w:val="8"/>
          <w:sz w:val="24"/>
          <w:highlight w:val="none"/>
        </w:rPr>
      </w:pPr>
    </w:p>
    <w:p w14:paraId="5DF18B5E">
      <w:pPr>
        <w:rPr>
          <w:rFonts w:hint="eastAsia" w:ascii="仿宋_GB2312" w:hAnsi="Times New Roman" w:eastAsia="仿宋_GB2312" w:cs="宋体"/>
          <w:color w:val="auto"/>
          <w:spacing w:val="8"/>
          <w:sz w:val="24"/>
          <w:highlight w:val="none"/>
        </w:rPr>
      </w:pPr>
    </w:p>
    <w:p w14:paraId="259332D9">
      <w:pPr>
        <w:rPr>
          <w:rFonts w:hint="eastAsia" w:ascii="仿宋_GB2312" w:hAnsi="Times New Roman" w:eastAsia="仿宋_GB2312" w:cs="宋体"/>
          <w:color w:val="auto"/>
          <w:spacing w:val="8"/>
          <w:sz w:val="24"/>
          <w:highlight w:val="none"/>
        </w:rPr>
      </w:pPr>
    </w:p>
    <w:p w14:paraId="3B4DADF4">
      <w:pPr>
        <w:rPr>
          <w:rFonts w:hint="eastAsia" w:ascii="仿宋_GB2312" w:hAnsi="Times New Roman" w:eastAsia="仿宋_GB2312" w:cs="宋体"/>
          <w:color w:val="auto"/>
          <w:spacing w:val="8"/>
          <w:sz w:val="24"/>
          <w:highlight w:val="none"/>
        </w:rPr>
      </w:pPr>
    </w:p>
    <w:p w14:paraId="45A41898">
      <w:pPr>
        <w:rPr>
          <w:rFonts w:hint="eastAsia" w:ascii="仿宋_GB2312" w:hAnsi="Times New Roman" w:eastAsia="仿宋_GB2312" w:cs="宋体"/>
          <w:color w:val="auto"/>
          <w:spacing w:val="8"/>
          <w:sz w:val="24"/>
          <w:highlight w:val="none"/>
        </w:rPr>
      </w:pPr>
    </w:p>
    <w:p w14:paraId="150F183D">
      <w:pPr>
        <w:rPr>
          <w:rFonts w:hint="eastAsia" w:ascii="仿宋_GB2312" w:hAnsi="Times New Roman" w:eastAsia="仿宋_GB2312" w:cs="宋体"/>
          <w:color w:val="auto"/>
          <w:spacing w:val="8"/>
          <w:sz w:val="24"/>
          <w:highlight w:val="none"/>
        </w:rPr>
      </w:pPr>
    </w:p>
    <w:p w14:paraId="0F128B8A">
      <w:pPr>
        <w:rPr>
          <w:rFonts w:hint="eastAsia" w:ascii="仿宋_GB2312" w:hAnsi="Times New Roman" w:eastAsia="仿宋_GB2312" w:cs="宋体"/>
          <w:color w:val="auto"/>
          <w:spacing w:val="8"/>
          <w:sz w:val="24"/>
          <w:highlight w:val="none"/>
        </w:rPr>
      </w:pPr>
    </w:p>
    <w:p w14:paraId="6CE51EE5">
      <w:pPr>
        <w:rPr>
          <w:rFonts w:hint="eastAsia" w:ascii="仿宋_GB2312" w:hAnsi="Times New Roman" w:eastAsia="仿宋_GB2312" w:cs="宋体"/>
          <w:color w:val="auto"/>
          <w:spacing w:val="8"/>
          <w:sz w:val="24"/>
          <w:highlight w:val="none"/>
        </w:rPr>
      </w:pPr>
    </w:p>
    <w:p w14:paraId="5222025C">
      <w:pPr>
        <w:rPr>
          <w:rFonts w:hint="eastAsia" w:ascii="仿宋_GB2312" w:hAnsi="Times New Roman" w:eastAsia="仿宋_GB2312" w:cs="宋体"/>
          <w:color w:val="auto"/>
          <w:spacing w:val="8"/>
          <w:sz w:val="24"/>
          <w:highlight w:val="none"/>
        </w:rPr>
      </w:pPr>
    </w:p>
    <w:p w14:paraId="0A7795C4">
      <w:pPr>
        <w:rPr>
          <w:rFonts w:hint="eastAsia" w:ascii="仿宋_GB2312" w:hAnsi="Times New Roman" w:eastAsia="仿宋_GB2312" w:cs="宋体"/>
          <w:color w:val="auto"/>
          <w:spacing w:val="8"/>
          <w:sz w:val="24"/>
          <w:highlight w:val="none"/>
        </w:rPr>
      </w:pPr>
    </w:p>
    <w:p w14:paraId="09A95074">
      <w:pPr>
        <w:pStyle w:val="18"/>
        <w:rPr>
          <w:rFonts w:hint="eastAsia"/>
          <w:color w:val="auto"/>
          <w:highlight w:val="none"/>
        </w:rPr>
      </w:pPr>
    </w:p>
    <w:p w14:paraId="69CE9D70">
      <w:pPr>
        <w:rPr>
          <w:rFonts w:hint="eastAsia"/>
          <w:color w:val="auto"/>
          <w:highlight w:val="none"/>
        </w:rPr>
      </w:pPr>
    </w:p>
    <w:p w14:paraId="28AD34E1">
      <w:pPr>
        <w:rPr>
          <w:rFonts w:hint="eastAsia" w:ascii="宋体" w:hAnsi="宋体" w:cs="宋体"/>
          <w:color w:val="auto"/>
          <w:sz w:val="32"/>
          <w:szCs w:val="32"/>
          <w:highlight w:val="none"/>
        </w:rPr>
      </w:pPr>
      <w:bookmarkStart w:id="591" w:name="_Toc18722"/>
      <w:bookmarkStart w:id="592" w:name="_Toc21513"/>
      <w:bookmarkStart w:id="593" w:name="_Toc22269"/>
      <w:bookmarkStart w:id="594" w:name="_Toc22007"/>
      <w:bookmarkStart w:id="595" w:name="_Toc19630"/>
    </w:p>
    <w:p w14:paraId="789BDD50">
      <w:pPr>
        <w:rPr>
          <w:rFonts w:hint="eastAsia" w:ascii="宋体" w:hAnsi="宋体" w:cs="宋体"/>
          <w:b/>
          <w:bCs/>
          <w:color w:val="auto"/>
          <w:sz w:val="32"/>
          <w:szCs w:val="32"/>
          <w:highlight w:val="none"/>
        </w:rPr>
      </w:pPr>
      <w:bookmarkStart w:id="596" w:name="_Toc9140"/>
      <w:bookmarkStart w:id="597" w:name="_Toc15823"/>
      <w:bookmarkStart w:id="598" w:name="_Toc12573"/>
      <w:bookmarkStart w:id="599" w:name="_Toc24417"/>
      <w:bookmarkStart w:id="600" w:name="_Toc23805"/>
      <w:bookmarkStart w:id="601" w:name="_Toc27271"/>
      <w:bookmarkStart w:id="602" w:name="_Toc1199"/>
      <w:r>
        <w:rPr>
          <w:rFonts w:hint="eastAsia" w:ascii="宋体" w:hAnsi="宋体" w:cs="宋体"/>
          <w:b/>
          <w:bCs/>
          <w:color w:val="auto"/>
          <w:sz w:val="32"/>
          <w:szCs w:val="32"/>
          <w:highlight w:val="none"/>
        </w:rPr>
        <w:br w:type="page"/>
      </w:r>
    </w:p>
    <w:p w14:paraId="16D208C3">
      <w:pPr>
        <w:jc w:val="center"/>
        <w:outlineLvl w:val="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第五章  采购合同（合同主要条款及格式）</w:t>
      </w:r>
      <w:bookmarkEnd w:id="583"/>
      <w:bookmarkEnd w:id="591"/>
      <w:bookmarkEnd w:id="592"/>
      <w:bookmarkEnd w:id="593"/>
      <w:bookmarkEnd w:id="594"/>
      <w:bookmarkEnd w:id="595"/>
      <w:bookmarkEnd w:id="596"/>
      <w:bookmarkEnd w:id="597"/>
      <w:bookmarkEnd w:id="598"/>
      <w:bookmarkEnd w:id="599"/>
      <w:bookmarkEnd w:id="600"/>
      <w:bookmarkEnd w:id="601"/>
      <w:bookmarkEnd w:id="602"/>
    </w:p>
    <w:p w14:paraId="61E63B04">
      <w:pPr>
        <w:spacing w:line="38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AI数智语言综合实训中心</w:t>
      </w:r>
    </w:p>
    <w:p w14:paraId="44A04695">
      <w:pPr>
        <w:spacing w:line="38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GXZC2026-J1-002254-GLSZ</w:t>
      </w:r>
    </w:p>
    <w:p w14:paraId="790EA37B">
      <w:pPr>
        <w:tabs>
          <w:tab w:val="left" w:pos="8767"/>
        </w:tabs>
        <w:spacing w:line="380" w:lineRule="exact"/>
        <w:rPr>
          <w:rFonts w:hint="eastAsia" w:ascii="宋体" w:hAnsi="宋体" w:cs="宋体"/>
          <w:color w:val="auto"/>
          <w:highlight w:val="none"/>
        </w:rPr>
      </w:pPr>
      <w:r>
        <w:rPr>
          <w:rFonts w:hint="eastAsia" w:ascii="宋体" w:hAnsi="宋体" w:cs="宋体"/>
          <w:color w:val="auto"/>
          <w:highlight w:val="none"/>
        </w:rPr>
        <w:t>甲方：</w:t>
      </w:r>
      <w:r>
        <w:rPr>
          <w:rFonts w:hint="eastAsia" w:ascii="宋体" w:hAnsi="宋体" w:cs="宋体"/>
          <w:color w:val="auto"/>
          <w:highlight w:val="none"/>
          <w:u w:val="single"/>
        </w:rPr>
        <w:t xml:space="preserve">                                        </w:t>
      </w:r>
      <w:r>
        <w:rPr>
          <w:rFonts w:hint="eastAsia" w:ascii="宋体" w:hAnsi="宋体" w:cs="宋体"/>
          <w:color w:val="auto"/>
          <w:highlight w:val="none"/>
        </w:rPr>
        <w:t>（采购人）</w:t>
      </w:r>
      <w:r>
        <w:rPr>
          <w:rFonts w:hint="eastAsia" w:ascii="宋体" w:hAnsi="宋体" w:cs="宋体"/>
          <w:color w:val="auto"/>
          <w:highlight w:val="none"/>
        </w:rPr>
        <w:tab/>
      </w:r>
    </w:p>
    <w:p w14:paraId="354E6E6F">
      <w:pPr>
        <w:spacing w:line="380" w:lineRule="exact"/>
        <w:rPr>
          <w:rFonts w:hint="eastAsia" w:ascii="宋体" w:hAnsi="宋体" w:cs="宋体"/>
          <w:color w:val="auto"/>
          <w:highlight w:val="none"/>
        </w:rPr>
      </w:pPr>
      <w:r>
        <w:rPr>
          <w:rFonts w:hint="eastAsia" w:ascii="宋体" w:hAnsi="宋体" w:cs="宋体"/>
          <w:color w:val="auto"/>
          <w:highlight w:val="none"/>
        </w:rPr>
        <w:t>乙方：</w:t>
      </w:r>
      <w:r>
        <w:rPr>
          <w:rFonts w:hint="eastAsia" w:ascii="宋体" w:hAnsi="宋体" w:cs="宋体"/>
          <w:color w:val="auto"/>
          <w:highlight w:val="none"/>
          <w:u w:val="single"/>
        </w:rPr>
        <w:t xml:space="preserve">                                     </w:t>
      </w:r>
      <w:r>
        <w:rPr>
          <w:rFonts w:hint="eastAsia" w:ascii="宋体" w:hAnsi="宋体" w:cs="宋体"/>
          <w:color w:val="auto"/>
          <w:highlight w:val="none"/>
        </w:rPr>
        <w:t>（成交供应商）</w:t>
      </w:r>
    </w:p>
    <w:p w14:paraId="066A30F5">
      <w:pPr>
        <w:spacing w:line="380" w:lineRule="exact"/>
        <w:ind w:firstLine="420"/>
        <w:rPr>
          <w:rFonts w:hint="eastAsia" w:ascii="宋体" w:hAnsi="宋体" w:cs="宋体"/>
          <w:color w:val="auto"/>
          <w:highlight w:val="none"/>
        </w:rPr>
      </w:pPr>
      <w:r>
        <w:rPr>
          <w:rFonts w:hint="eastAsia" w:ascii="宋体" w:hAnsi="宋体" w:cs="宋体"/>
          <w:color w:val="auto"/>
          <w:highlight w:val="none"/>
        </w:rPr>
        <w:t>根据《中华人民共和国政府采购法》《中华人民共和国政府采购法实施条例》《中华人民共和国民法典》等法律、法规规定，按照竞争性谈判文件（以下简称谈判文件）、响应文件规定条款和成交供应商的承诺、甲乙双方签订本采购合同。</w:t>
      </w:r>
    </w:p>
    <w:p w14:paraId="3C035048">
      <w:pPr>
        <w:pStyle w:val="3"/>
        <w:spacing w:line="380" w:lineRule="exact"/>
        <w:ind w:left="554" w:hanging="147"/>
        <w:rPr>
          <w:rFonts w:hint="eastAsia" w:ascii="宋体" w:hAnsi="宋体" w:cs="宋体"/>
          <w:b/>
          <w:bCs w:val="0"/>
          <w:color w:val="auto"/>
          <w:sz w:val="21"/>
          <w:szCs w:val="21"/>
          <w:highlight w:val="none"/>
        </w:rPr>
      </w:pPr>
      <w:bookmarkStart w:id="603" w:name="_Toc13049"/>
      <w:bookmarkStart w:id="604" w:name="_Toc28049"/>
      <w:bookmarkStart w:id="605" w:name="_Toc29742"/>
      <w:bookmarkStart w:id="606" w:name="_Toc10614"/>
      <w:bookmarkStart w:id="607" w:name="_Toc12151"/>
      <w:bookmarkStart w:id="608" w:name="_Toc21587"/>
      <w:bookmarkStart w:id="609" w:name="_Toc13393"/>
      <w:bookmarkStart w:id="610" w:name="_Toc21389"/>
      <w:bookmarkStart w:id="611" w:name="_Toc31695"/>
      <w:bookmarkStart w:id="612" w:name="_Toc5085"/>
      <w:bookmarkStart w:id="613" w:name="_Toc16019"/>
      <w:bookmarkStart w:id="614" w:name="_Toc28931"/>
      <w:r>
        <w:rPr>
          <w:rFonts w:hint="eastAsia" w:ascii="宋体" w:hAnsi="宋体" w:cs="宋体"/>
          <w:b/>
          <w:bCs w:val="0"/>
          <w:color w:val="auto"/>
          <w:sz w:val="21"/>
          <w:szCs w:val="21"/>
          <w:highlight w:val="none"/>
        </w:rPr>
        <w:t>第一条</w:t>
      </w:r>
      <w:r>
        <w:rPr>
          <w:rFonts w:hint="eastAsia" w:ascii="宋体" w:hAnsi="宋体" w:cs="宋体"/>
          <w:b/>
          <w:bCs w:val="0"/>
          <w:color w:val="auto"/>
          <w:sz w:val="21"/>
          <w:szCs w:val="21"/>
          <w:highlight w:val="none"/>
          <w:lang w:val="en-US"/>
        </w:rPr>
        <w:t xml:space="preserve"> </w:t>
      </w:r>
      <w:r>
        <w:rPr>
          <w:rFonts w:hint="eastAsia" w:ascii="宋体" w:hAnsi="宋体" w:cs="宋体"/>
          <w:b/>
          <w:bCs w:val="0"/>
          <w:color w:val="auto"/>
          <w:sz w:val="21"/>
          <w:szCs w:val="21"/>
          <w:highlight w:val="none"/>
        </w:rPr>
        <w:t>合同标的及合同金额</w:t>
      </w:r>
      <w:bookmarkEnd w:id="603"/>
      <w:bookmarkEnd w:id="604"/>
      <w:bookmarkEnd w:id="605"/>
      <w:bookmarkEnd w:id="606"/>
      <w:bookmarkEnd w:id="607"/>
      <w:bookmarkEnd w:id="608"/>
      <w:bookmarkEnd w:id="609"/>
      <w:bookmarkEnd w:id="610"/>
      <w:bookmarkEnd w:id="611"/>
      <w:bookmarkEnd w:id="612"/>
      <w:bookmarkEnd w:id="613"/>
      <w:bookmarkEnd w:id="614"/>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32"/>
        <w:gridCol w:w="1445"/>
        <w:gridCol w:w="1483"/>
        <w:gridCol w:w="1073"/>
        <w:gridCol w:w="714"/>
        <w:gridCol w:w="1545"/>
        <w:gridCol w:w="1575"/>
      </w:tblGrid>
      <w:tr w14:paraId="1C153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jc w:val="center"/>
        </w:trPr>
        <w:tc>
          <w:tcPr>
            <w:tcW w:w="709" w:type="dxa"/>
            <w:shd w:val="clear" w:color="auto" w:fill="8DB3E2"/>
            <w:noWrap w:val="0"/>
            <w:vAlign w:val="center"/>
          </w:tcPr>
          <w:p w14:paraId="1DBE82F8">
            <w:pPr>
              <w:spacing w:line="280" w:lineRule="exact"/>
              <w:jc w:val="center"/>
              <w:rPr>
                <w:rFonts w:ascii="宋体" w:hAnsi="宋体" w:cs="宋体"/>
                <w:b/>
                <w:color w:val="auto"/>
                <w:szCs w:val="21"/>
                <w:highlight w:val="none"/>
              </w:rPr>
            </w:pPr>
            <w:r>
              <w:rPr>
                <w:rFonts w:hint="eastAsia" w:ascii="宋体" w:hAnsi="宋体" w:cs="宋体"/>
                <w:b/>
                <w:color w:val="auto"/>
                <w:szCs w:val="21"/>
                <w:highlight w:val="none"/>
              </w:rPr>
              <w:t>项号</w:t>
            </w:r>
          </w:p>
        </w:tc>
        <w:tc>
          <w:tcPr>
            <w:tcW w:w="1232" w:type="dxa"/>
            <w:shd w:val="clear" w:color="auto" w:fill="8DB3E2"/>
            <w:noWrap w:val="0"/>
            <w:vAlign w:val="center"/>
          </w:tcPr>
          <w:p w14:paraId="3952ABED">
            <w:pPr>
              <w:spacing w:line="280" w:lineRule="exact"/>
              <w:jc w:val="center"/>
              <w:rPr>
                <w:rFonts w:ascii="宋体" w:hAnsi="宋体" w:cs="宋体"/>
                <w:b/>
                <w:color w:val="auto"/>
                <w:szCs w:val="21"/>
                <w:highlight w:val="none"/>
              </w:rPr>
            </w:pPr>
            <w:r>
              <w:rPr>
                <w:rFonts w:hint="eastAsia" w:ascii="宋体" w:hAnsi="宋体" w:cs="宋体"/>
                <w:b/>
                <w:color w:val="auto"/>
                <w:szCs w:val="21"/>
                <w:highlight w:val="none"/>
              </w:rPr>
              <w:t>标的名称</w:t>
            </w:r>
          </w:p>
        </w:tc>
        <w:tc>
          <w:tcPr>
            <w:tcW w:w="1445" w:type="dxa"/>
            <w:shd w:val="clear" w:color="auto" w:fill="8DB3E2"/>
            <w:noWrap w:val="0"/>
            <w:vAlign w:val="center"/>
          </w:tcPr>
          <w:p w14:paraId="69D999D8">
            <w:pPr>
              <w:spacing w:line="280" w:lineRule="exact"/>
              <w:jc w:val="center"/>
              <w:rPr>
                <w:rFonts w:ascii="宋体" w:hAnsi="宋体" w:cs="宋体"/>
                <w:b/>
                <w:color w:val="auto"/>
                <w:szCs w:val="21"/>
                <w:highlight w:val="none"/>
              </w:rPr>
            </w:pPr>
            <w:r>
              <w:rPr>
                <w:rFonts w:hint="eastAsia" w:ascii="宋体" w:hAnsi="宋体" w:cs="宋体"/>
                <w:b/>
                <w:color w:val="auto"/>
                <w:szCs w:val="30"/>
                <w:highlight w:val="none"/>
              </w:rPr>
              <w:t>生产厂家、品牌、规格型号</w:t>
            </w:r>
          </w:p>
        </w:tc>
        <w:tc>
          <w:tcPr>
            <w:tcW w:w="1483" w:type="dxa"/>
            <w:shd w:val="clear" w:color="auto" w:fill="8DB3E2"/>
            <w:noWrap w:val="0"/>
            <w:vAlign w:val="center"/>
          </w:tcPr>
          <w:p w14:paraId="3894233A">
            <w:pPr>
              <w:spacing w:line="280" w:lineRule="exact"/>
              <w:jc w:val="center"/>
              <w:rPr>
                <w:rFonts w:ascii="宋体" w:hAnsi="宋体" w:cs="宋体"/>
                <w:b/>
                <w:color w:val="auto"/>
                <w:szCs w:val="21"/>
                <w:highlight w:val="none"/>
              </w:rPr>
            </w:pPr>
            <w:r>
              <w:rPr>
                <w:rFonts w:hint="eastAsia" w:ascii="宋体" w:hAnsi="宋体" w:cs="宋体"/>
                <w:b/>
                <w:color w:val="auto"/>
                <w:szCs w:val="21"/>
                <w:highlight w:val="none"/>
              </w:rPr>
              <w:t>技术参数</w:t>
            </w:r>
          </w:p>
        </w:tc>
        <w:tc>
          <w:tcPr>
            <w:tcW w:w="1073" w:type="dxa"/>
            <w:shd w:val="clear" w:color="auto" w:fill="8DB3E2"/>
            <w:noWrap w:val="0"/>
            <w:vAlign w:val="center"/>
          </w:tcPr>
          <w:p w14:paraId="57987481">
            <w:pPr>
              <w:spacing w:line="280" w:lineRule="exact"/>
              <w:jc w:val="center"/>
              <w:rPr>
                <w:rFonts w:ascii="宋体" w:hAnsi="宋体" w:cs="宋体"/>
                <w:b/>
                <w:color w:val="auto"/>
                <w:szCs w:val="21"/>
                <w:highlight w:val="none"/>
              </w:rPr>
            </w:pPr>
            <w:r>
              <w:rPr>
                <w:rFonts w:hint="eastAsia" w:ascii="宋体" w:hAnsi="宋体" w:cs="宋体"/>
                <w:b/>
                <w:color w:val="auto"/>
                <w:szCs w:val="21"/>
                <w:highlight w:val="none"/>
              </w:rPr>
              <w:t>数量</w:t>
            </w:r>
          </w:p>
          <w:p w14:paraId="45D2C02D">
            <w:pPr>
              <w:spacing w:line="280" w:lineRule="exact"/>
              <w:jc w:val="center"/>
              <w:rPr>
                <w:rFonts w:ascii="宋体" w:hAnsi="宋体" w:cs="宋体"/>
                <w:b/>
                <w:color w:val="auto"/>
                <w:szCs w:val="21"/>
                <w:highlight w:val="none"/>
              </w:rPr>
            </w:pPr>
            <w:r>
              <w:rPr>
                <w:rFonts w:hint="eastAsia" w:ascii="宋体" w:hAnsi="宋体" w:cs="宋体"/>
                <w:b/>
                <w:color w:val="auto"/>
                <w:szCs w:val="21"/>
                <w:highlight w:val="none"/>
              </w:rPr>
              <w:t>①</w:t>
            </w:r>
          </w:p>
        </w:tc>
        <w:tc>
          <w:tcPr>
            <w:tcW w:w="714" w:type="dxa"/>
            <w:shd w:val="clear" w:color="auto" w:fill="8DB3E2"/>
            <w:noWrap w:val="0"/>
            <w:vAlign w:val="center"/>
          </w:tcPr>
          <w:p w14:paraId="6966ED09">
            <w:pPr>
              <w:spacing w:line="280" w:lineRule="exact"/>
              <w:jc w:val="center"/>
              <w:rPr>
                <w:rFonts w:ascii="宋体" w:hAnsi="宋体" w:cs="宋体"/>
                <w:b/>
                <w:color w:val="auto"/>
                <w:szCs w:val="21"/>
                <w:highlight w:val="none"/>
              </w:rPr>
            </w:pPr>
            <w:r>
              <w:rPr>
                <w:rFonts w:hint="eastAsia" w:ascii="宋体" w:hAnsi="宋体" w:cs="宋体"/>
                <w:b/>
                <w:color w:val="auto"/>
                <w:szCs w:val="21"/>
                <w:highlight w:val="none"/>
              </w:rPr>
              <w:t>单位</w:t>
            </w:r>
          </w:p>
        </w:tc>
        <w:tc>
          <w:tcPr>
            <w:tcW w:w="1545" w:type="dxa"/>
            <w:shd w:val="clear" w:color="auto" w:fill="8DB3E2"/>
            <w:noWrap w:val="0"/>
            <w:vAlign w:val="center"/>
          </w:tcPr>
          <w:p w14:paraId="77C02EF7">
            <w:pPr>
              <w:spacing w:line="280" w:lineRule="exact"/>
              <w:jc w:val="center"/>
              <w:rPr>
                <w:rFonts w:ascii="宋体" w:hAnsi="宋体" w:cs="宋体"/>
                <w:b/>
                <w:color w:val="auto"/>
                <w:szCs w:val="21"/>
                <w:highlight w:val="none"/>
              </w:rPr>
            </w:pPr>
            <w:r>
              <w:rPr>
                <w:rFonts w:hint="eastAsia" w:ascii="宋体" w:hAnsi="宋体" w:cs="宋体"/>
                <w:b/>
                <w:color w:val="auto"/>
                <w:szCs w:val="21"/>
                <w:highlight w:val="none"/>
              </w:rPr>
              <w:t>单价（元）</w:t>
            </w:r>
          </w:p>
          <w:p w14:paraId="0F5555EA">
            <w:pPr>
              <w:spacing w:line="280" w:lineRule="exact"/>
              <w:jc w:val="center"/>
              <w:rPr>
                <w:rFonts w:ascii="宋体" w:hAnsi="宋体" w:cs="宋体"/>
                <w:b/>
                <w:color w:val="auto"/>
                <w:szCs w:val="21"/>
                <w:highlight w:val="none"/>
              </w:rPr>
            </w:pPr>
            <w:r>
              <w:rPr>
                <w:rFonts w:hint="eastAsia" w:ascii="宋体" w:hAnsi="宋体" w:cs="宋体"/>
                <w:b/>
                <w:color w:val="auto"/>
                <w:szCs w:val="21"/>
                <w:highlight w:val="none"/>
              </w:rPr>
              <w:t>②</w:t>
            </w:r>
          </w:p>
        </w:tc>
        <w:tc>
          <w:tcPr>
            <w:tcW w:w="1575" w:type="dxa"/>
            <w:shd w:val="clear" w:color="auto" w:fill="8DB3E2"/>
            <w:noWrap w:val="0"/>
            <w:vAlign w:val="center"/>
          </w:tcPr>
          <w:p w14:paraId="353EC193">
            <w:pPr>
              <w:spacing w:line="280" w:lineRule="exact"/>
              <w:jc w:val="center"/>
              <w:rPr>
                <w:rFonts w:ascii="宋体" w:hAnsi="宋体" w:cs="宋体"/>
                <w:b/>
                <w:color w:val="auto"/>
                <w:szCs w:val="21"/>
                <w:highlight w:val="none"/>
              </w:rPr>
            </w:pPr>
            <w:r>
              <w:rPr>
                <w:rFonts w:hint="eastAsia" w:ascii="宋体" w:hAnsi="宋体" w:cs="宋体"/>
                <w:b/>
                <w:color w:val="auto"/>
                <w:szCs w:val="21"/>
                <w:highlight w:val="none"/>
              </w:rPr>
              <w:t>单项合计金额（元）</w:t>
            </w:r>
          </w:p>
          <w:p w14:paraId="7F651E7A">
            <w:pPr>
              <w:spacing w:line="280" w:lineRule="exact"/>
              <w:jc w:val="center"/>
              <w:rPr>
                <w:rFonts w:ascii="宋体" w:hAnsi="宋体" w:cs="宋体"/>
                <w:b/>
                <w:color w:val="auto"/>
                <w:szCs w:val="21"/>
                <w:highlight w:val="none"/>
              </w:rPr>
            </w:pPr>
            <w:r>
              <w:rPr>
                <w:rFonts w:hint="eastAsia" w:ascii="宋体" w:hAnsi="宋体" w:cs="宋体"/>
                <w:b/>
                <w:color w:val="auto"/>
                <w:szCs w:val="21"/>
                <w:highlight w:val="none"/>
              </w:rPr>
              <w:t>③＝①</w:t>
            </w:r>
            <w:r>
              <w:rPr>
                <w:rFonts w:hint="eastAsia" w:ascii="宋体" w:hAnsi="宋体" w:cs="宋体"/>
                <w:b/>
                <w:color w:val="auto"/>
                <w:szCs w:val="21"/>
                <w:highlight w:val="none"/>
                <w:lang w:eastAsia="zh-CN"/>
              </w:rPr>
              <w:t>×</w:t>
            </w:r>
            <w:r>
              <w:rPr>
                <w:rFonts w:hint="eastAsia" w:ascii="宋体" w:hAnsi="宋体" w:cs="宋体"/>
                <w:b/>
                <w:color w:val="auto"/>
                <w:szCs w:val="21"/>
                <w:highlight w:val="none"/>
              </w:rPr>
              <w:t>②</w:t>
            </w:r>
          </w:p>
        </w:tc>
      </w:tr>
      <w:tr w14:paraId="077D9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09" w:type="dxa"/>
            <w:noWrap w:val="0"/>
            <w:vAlign w:val="center"/>
          </w:tcPr>
          <w:p w14:paraId="01CD2E23">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w:t>
            </w:r>
          </w:p>
        </w:tc>
        <w:tc>
          <w:tcPr>
            <w:tcW w:w="1232" w:type="dxa"/>
            <w:noWrap w:val="0"/>
            <w:vAlign w:val="center"/>
          </w:tcPr>
          <w:p w14:paraId="0EE7BDDF">
            <w:pPr>
              <w:spacing w:line="400" w:lineRule="exact"/>
              <w:jc w:val="center"/>
              <w:rPr>
                <w:rFonts w:ascii="宋体" w:hAnsi="宋体" w:cs="宋体"/>
                <w:color w:val="auto"/>
                <w:szCs w:val="21"/>
                <w:highlight w:val="none"/>
              </w:rPr>
            </w:pPr>
          </w:p>
        </w:tc>
        <w:tc>
          <w:tcPr>
            <w:tcW w:w="1445" w:type="dxa"/>
            <w:noWrap w:val="0"/>
            <w:vAlign w:val="center"/>
          </w:tcPr>
          <w:p w14:paraId="581C4609">
            <w:pPr>
              <w:spacing w:line="400" w:lineRule="exact"/>
              <w:jc w:val="center"/>
              <w:rPr>
                <w:rFonts w:ascii="宋体" w:hAnsi="宋体" w:cs="宋体"/>
                <w:color w:val="auto"/>
                <w:szCs w:val="21"/>
                <w:highlight w:val="none"/>
              </w:rPr>
            </w:pPr>
          </w:p>
        </w:tc>
        <w:tc>
          <w:tcPr>
            <w:tcW w:w="1483" w:type="dxa"/>
            <w:noWrap w:val="0"/>
            <w:vAlign w:val="center"/>
          </w:tcPr>
          <w:p w14:paraId="1E75FEB2">
            <w:pPr>
              <w:spacing w:line="400" w:lineRule="exact"/>
              <w:jc w:val="center"/>
              <w:rPr>
                <w:rFonts w:ascii="宋体" w:hAnsi="宋体" w:cs="宋体"/>
                <w:color w:val="auto"/>
                <w:szCs w:val="21"/>
                <w:highlight w:val="none"/>
              </w:rPr>
            </w:pPr>
          </w:p>
        </w:tc>
        <w:tc>
          <w:tcPr>
            <w:tcW w:w="1073" w:type="dxa"/>
            <w:noWrap w:val="0"/>
            <w:vAlign w:val="center"/>
          </w:tcPr>
          <w:p w14:paraId="2F125A4B">
            <w:pPr>
              <w:spacing w:line="400" w:lineRule="exact"/>
              <w:jc w:val="center"/>
              <w:rPr>
                <w:rFonts w:ascii="宋体" w:hAnsi="宋体" w:cs="宋体"/>
                <w:color w:val="auto"/>
                <w:szCs w:val="21"/>
                <w:highlight w:val="none"/>
              </w:rPr>
            </w:pPr>
          </w:p>
        </w:tc>
        <w:tc>
          <w:tcPr>
            <w:tcW w:w="714" w:type="dxa"/>
            <w:noWrap w:val="0"/>
            <w:vAlign w:val="center"/>
          </w:tcPr>
          <w:p w14:paraId="186CE7F0">
            <w:pPr>
              <w:spacing w:line="400" w:lineRule="exact"/>
              <w:jc w:val="center"/>
              <w:rPr>
                <w:rFonts w:ascii="宋体" w:hAnsi="宋体" w:cs="宋体"/>
                <w:color w:val="auto"/>
                <w:szCs w:val="21"/>
                <w:highlight w:val="none"/>
              </w:rPr>
            </w:pPr>
          </w:p>
        </w:tc>
        <w:tc>
          <w:tcPr>
            <w:tcW w:w="1545" w:type="dxa"/>
            <w:noWrap w:val="0"/>
            <w:vAlign w:val="center"/>
          </w:tcPr>
          <w:p w14:paraId="1A8F8DF8">
            <w:pPr>
              <w:spacing w:line="400" w:lineRule="exact"/>
              <w:jc w:val="center"/>
              <w:rPr>
                <w:rFonts w:ascii="宋体" w:hAnsi="宋体" w:cs="宋体"/>
                <w:color w:val="auto"/>
                <w:szCs w:val="21"/>
                <w:highlight w:val="none"/>
              </w:rPr>
            </w:pPr>
          </w:p>
        </w:tc>
        <w:tc>
          <w:tcPr>
            <w:tcW w:w="1575" w:type="dxa"/>
            <w:noWrap w:val="0"/>
            <w:vAlign w:val="center"/>
          </w:tcPr>
          <w:p w14:paraId="3D04FC58">
            <w:pPr>
              <w:spacing w:line="400" w:lineRule="exact"/>
              <w:jc w:val="center"/>
              <w:rPr>
                <w:rFonts w:ascii="宋体" w:hAnsi="宋体" w:cs="宋体"/>
                <w:color w:val="auto"/>
                <w:szCs w:val="21"/>
                <w:highlight w:val="none"/>
              </w:rPr>
            </w:pPr>
          </w:p>
        </w:tc>
      </w:tr>
      <w:tr w14:paraId="7E521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09" w:type="dxa"/>
            <w:noWrap w:val="0"/>
            <w:vAlign w:val="center"/>
          </w:tcPr>
          <w:p w14:paraId="520C4249">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2</w:t>
            </w:r>
          </w:p>
        </w:tc>
        <w:tc>
          <w:tcPr>
            <w:tcW w:w="1232" w:type="dxa"/>
            <w:noWrap w:val="0"/>
            <w:vAlign w:val="center"/>
          </w:tcPr>
          <w:p w14:paraId="460CD410">
            <w:pPr>
              <w:spacing w:line="400" w:lineRule="exact"/>
              <w:jc w:val="center"/>
              <w:rPr>
                <w:rFonts w:ascii="宋体" w:hAnsi="宋体" w:cs="宋体"/>
                <w:color w:val="auto"/>
                <w:szCs w:val="21"/>
                <w:highlight w:val="none"/>
              </w:rPr>
            </w:pPr>
          </w:p>
        </w:tc>
        <w:tc>
          <w:tcPr>
            <w:tcW w:w="1445" w:type="dxa"/>
            <w:noWrap w:val="0"/>
            <w:vAlign w:val="center"/>
          </w:tcPr>
          <w:p w14:paraId="73CB3B90">
            <w:pPr>
              <w:spacing w:line="400" w:lineRule="exact"/>
              <w:jc w:val="center"/>
              <w:rPr>
                <w:rFonts w:ascii="宋体" w:hAnsi="宋体" w:cs="宋体"/>
                <w:color w:val="auto"/>
                <w:szCs w:val="21"/>
                <w:highlight w:val="none"/>
              </w:rPr>
            </w:pPr>
          </w:p>
        </w:tc>
        <w:tc>
          <w:tcPr>
            <w:tcW w:w="1483" w:type="dxa"/>
            <w:noWrap w:val="0"/>
            <w:vAlign w:val="center"/>
          </w:tcPr>
          <w:p w14:paraId="28E0A7BD">
            <w:pPr>
              <w:spacing w:line="400" w:lineRule="exact"/>
              <w:jc w:val="center"/>
              <w:rPr>
                <w:rFonts w:ascii="宋体" w:hAnsi="宋体" w:cs="宋体"/>
                <w:color w:val="auto"/>
                <w:szCs w:val="21"/>
                <w:highlight w:val="none"/>
              </w:rPr>
            </w:pPr>
          </w:p>
        </w:tc>
        <w:tc>
          <w:tcPr>
            <w:tcW w:w="1073" w:type="dxa"/>
            <w:noWrap w:val="0"/>
            <w:vAlign w:val="center"/>
          </w:tcPr>
          <w:p w14:paraId="117B90DC">
            <w:pPr>
              <w:spacing w:line="400" w:lineRule="exact"/>
              <w:jc w:val="center"/>
              <w:rPr>
                <w:rFonts w:ascii="宋体" w:hAnsi="宋体" w:cs="宋体"/>
                <w:color w:val="auto"/>
                <w:szCs w:val="21"/>
                <w:highlight w:val="none"/>
              </w:rPr>
            </w:pPr>
          </w:p>
        </w:tc>
        <w:tc>
          <w:tcPr>
            <w:tcW w:w="714" w:type="dxa"/>
            <w:noWrap w:val="0"/>
            <w:vAlign w:val="center"/>
          </w:tcPr>
          <w:p w14:paraId="16E2FC34">
            <w:pPr>
              <w:spacing w:line="400" w:lineRule="exact"/>
              <w:jc w:val="center"/>
              <w:rPr>
                <w:rFonts w:ascii="宋体" w:hAnsi="宋体" w:cs="宋体"/>
                <w:color w:val="auto"/>
                <w:szCs w:val="21"/>
                <w:highlight w:val="none"/>
              </w:rPr>
            </w:pPr>
          </w:p>
        </w:tc>
        <w:tc>
          <w:tcPr>
            <w:tcW w:w="1545" w:type="dxa"/>
            <w:noWrap w:val="0"/>
            <w:vAlign w:val="center"/>
          </w:tcPr>
          <w:p w14:paraId="6C786A97">
            <w:pPr>
              <w:spacing w:line="400" w:lineRule="exact"/>
              <w:jc w:val="center"/>
              <w:rPr>
                <w:rFonts w:ascii="宋体" w:hAnsi="宋体" w:cs="宋体"/>
                <w:color w:val="auto"/>
                <w:szCs w:val="21"/>
                <w:highlight w:val="none"/>
              </w:rPr>
            </w:pPr>
          </w:p>
        </w:tc>
        <w:tc>
          <w:tcPr>
            <w:tcW w:w="1575" w:type="dxa"/>
            <w:noWrap w:val="0"/>
            <w:vAlign w:val="center"/>
          </w:tcPr>
          <w:p w14:paraId="5D22EB87">
            <w:pPr>
              <w:spacing w:line="400" w:lineRule="exact"/>
              <w:jc w:val="center"/>
              <w:rPr>
                <w:rFonts w:ascii="宋体" w:hAnsi="宋体" w:cs="宋体"/>
                <w:color w:val="auto"/>
                <w:szCs w:val="21"/>
                <w:highlight w:val="none"/>
              </w:rPr>
            </w:pPr>
          </w:p>
        </w:tc>
      </w:tr>
      <w:tr w14:paraId="49AB0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09" w:type="dxa"/>
            <w:noWrap w:val="0"/>
            <w:vAlign w:val="center"/>
          </w:tcPr>
          <w:p w14:paraId="5810D732">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w:t>
            </w:r>
          </w:p>
        </w:tc>
        <w:tc>
          <w:tcPr>
            <w:tcW w:w="1232" w:type="dxa"/>
            <w:noWrap w:val="0"/>
            <w:vAlign w:val="center"/>
          </w:tcPr>
          <w:p w14:paraId="28C4D938">
            <w:pPr>
              <w:spacing w:line="400" w:lineRule="exact"/>
              <w:jc w:val="center"/>
              <w:rPr>
                <w:rFonts w:ascii="宋体" w:hAnsi="宋体" w:cs="宋体"/>
                <w:color w:val="auto"/>
                <w:szCs w:val="21"/>
                <w:highlight w:val="none"/>
              </w:rPr>
            </w:pPr>
          </w:p>
        </w:tc>
        <w:tc>
          <w:tcPr>
            <w:tcW w:w="1445" w:type="dxa"/>
            <w:noWrap w:val="0"/>
            <w:vAlign w:val="center"/>
          </w:tcPr>
          <w:p w14:paraId="1E50E00C">
            <w:pPr>
              <w:spacing w:line="400" w:lineRule="exact"/>
              <w:jc w:val="center"/>
              <w:rPr>
                <w:rFonts w:ascii="宋体" w:hAnsi="宋体" w:cs="宋体"/>
                <w:color w:val="auto"/>
                <w:szCs w:val="21"/>
                <w:highlight w:val="none"/>
              </w:rPr>
            </w:pPr>
          </w:p>
        </w:tc>
        <w:tc>
          <w:tcPr>
            <w:tcW w:w="1483" w:type="dxa"/>
            <w:noWrap w:val="0"/>
            <w:vAlign w:val="center"/>
          </w:tcPr>
          <w:p w14:paraId="6B8608E3">
            <w:pPr>
              <w:spacing w:line="400" w:lineRule="exact"/>
              <w:jc w:val="center"/>
              <w:rPr>
                <w:rFonts w:ascii="宋体" w:hAnsi="宋体" w:cs="宋体"/>
                <w:color w:val="auto"/>
                <w:szCs w:val="21"/>
                <w:highlight w:val="none"/>
              </w:rPr>
            </w:pPr>
          </w:p>
        </w:tc>
        <w:tc>
          <w:tcPr>
            <w:tcW w:w="1073" w:type="dxa"/>
            <w:noWrap w:val="0"/>
            <w:vAlign w:val="center"/>
          </w:tcPr>
          <w:p w14:paraId="00C59EB9">
            <w:pPr>
              <w:spacing w:line="400" w:lineRule="exact"/>
              <w:jc w:val="center"/>
              <w:rPr>
                <w:rFonts w:ascii="宋体" w:hAnsi="宋体" w:cs="宋体"/>
                <w:color w:val="auto"/>
                <w:szCs w:val="21"/>
                <w:highlight w:val="none"/>
              </w:rPr>
            </w:pPr>
          </w:p>
        </w:tc>
        <w:tc>
          <w:tcPr>
            <w:tcW w:w="714" w:type="dxa"/>
            <w:noWrap w:val="0"/>
            <w:vAlign w:val="center"/>
          </w:tcPr>
          <w:p w14:paraId="0B09EDBE">
            <w:pPr>
              <w:spacing w:line="400" w:lineRule="exact"/>
              <w:jc w:val="center"/>
              <w:rPr>
                <w:rFonts w:ascii="宋体" w:hAnsi="宋体" w:cs="宋体"/>
                <w:color w:val="auto"/>
                <w:szCs w:val="21"/>
                <w:highlight w:val="none"/>
              </w:rPr>
            </w:pPr>
          </w:p>
        </w:tc>
        <w:tc>
          <w:tcPr>
            <w:tcW w:w="1545" w:type="dxa"/>
            <w:noWrap w:val="0"/>
            <w:vAlign w:val="center"/>
          </w:tcPr>
          <w:p w14:paraId="4650D3C0">
            <w:pPr>
              <w:spacing w:line="400" w:lineRule="exact"/>
              <w:jc w:val="center"/>
              <w:rPr>
                <w:rFonts w:ascii="宋体" w:hAnsi="宋体" w:cs="宋体"/>
                <w:color w:val="auto"/>
                <w:szCs w:val="21"/>
                <w:highlight w:val="none"/>
              </w:rPr>
            </w:pPr>
          </w:p>
        </w:tc>
        <w:tc>
          <w:tcPr>
            <w:tcW w:w="1575" w:type="dxa"/>
            <w:noWrap w:val="0"/>
            <w:vAlign w:val="center"/>
          </w:tcPr>
          <w:p w14:paraId="508D4352">
            <w:pPr>
              <w:spacing w:line="400" w:lineRule="exact"/>
              <w:jc w:val="center"/>
              <w:rPr>
                <w:rFonts w:ascii="宋体" w:hAnsi="宋体" w:cs="宋体"/>
                <w:color w:val="auto"/>
                <w:szCs w:val="21"/>
                <w:highlight w:val="none"/>
              </w:rPr>
            </w:pPr>
          </w:p>
        </w:tc>
      </w:tr>
      <w:tr w14:paraId="762EE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8201" w:type="dxa"/>
            <w:gridSpan w:val="7"/>
            <w:noWrap w:val="0"/>
            <w:vAlign w:val="center"/>
          </w:tcPr>
          <w:p w14:paraId="165CC925">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                                                               合     计</w:t>
            </w:r>
          </w:p>
        </w:tc>
        <w:tc>
          <w:tcPr>
            <w:tcW w:w="1575" w:type="dxa"/>
            <w:noWrap w:val="0"/>
            <w:vAlign w:val="center"/>
          </w:tcPr>
          <w:p w14:paraId="3F0D91AB">
            <w:pPr>
              <w:spacing w:line="400" w:lineRule="exact"/>
              <w:rPr>
                <w:rFonts w:ascii="宋体" w:hAnsi="宋体" w:cs="宋体"/>
                <w:color w:val="auto"/>
                <w:szCs w:val="21"/>
                <w:highlight w:val="none"/>
              </w:rPr>
            </w:pPr>
          </w:p>
        </w:tc>
      </w:tr>
    </w:tbl>
    <w:p w14:paraId="52697EF3">
      <w:pPr>
        <w:spacing w:line="38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根据《成交通知书》的成交内容，合同的总金额为：</w:t>
      </w:r>
      <w:r>
        <w:rPr>
          <w:rFonts w:hint="eastAsia" w:ascii="宋体" w:hAnsi="宋体" w:cs="宋体"/>
          <w:color w:val="auto"/>
          <w:szCs w:val="21"/>
          <w:highlight w:val="none"/>
          <w:u w:val="single"/>
        </w:rPr>
        <w:t xml:space="preserve">人民币 （大写）       </w:t>
      </w:r>
      <w:r>
        <w:rPr>
          <w:rFonts w:hint="eastAsia" w:ascii="宋体" w:hAnsi="宋体" w:cs="宋体"/>
          <w:color w:val="auto"/>
          <w:szCs w:val="21"/>
          <w:highlight w:val="none"/>
        </w:rPr>
        <w:t>（¥：</w:t>
      </w:r>
      <w:r>
        <w:rPr>
          <w:rFonts w:hint="eastAsia" w:ascii="宋体" w:hAnsi="宋体" w:cs="宋体"/>
          <w:color w:val="auto"/>
          <w:szCs w:val="21"/>
          <w:highlight w:val="none"/>
          <w:u w:val="single"/>
        </w:rPr>
        <w:t>（小写）       元</w:t>
      </w:r>
      <w:r>
        <w:rPr>
          <w:rFonts w:hint="eastAsia" w:ascii="宋体" w:hAnsi="宋体" w:cs="宋体"/>
          <w:color w:val="auto"/>
          <w:szCs w:val="21"/>
          <w:highlight w:val="none"/>
        </w:rPr>
        <w:t>）。</w:t>
      </w:r>
    </w:p>
    <w:p w14:paraId="5AD604EC">
      <w:pPr>
        <w:spacing w:line="400" w:lineRule="exact"/>
        <w:ind w:firstLine="411"/>
        <w:outlineLvl w:val="1"/>
        <w:rPr>
          <w:rFonts w:ascii="宋体" w:hAnsi="宋体" w:cs="宋体"/>
          <w:b/>
          <w:color w:val="auto"/>
          <w:szCs w:val="21"/>
          <w:highlight w:val="none"/>
        </w:rPr>
      </w:pPr>
      <w:bookmarkStart w:id="615" w:name="_Toc32426"/>
      <w:bookmarkStart w:id="616" w:name="_Toc30418"/>
      <w:bookmarkStart w:id="617" w:name="_Toc6841"/>
      <w:bookmarkStart w:id="618" w:name="_Toc18423"/>
      <w:bookmarkStart w:id="619" w:name="_Toc27091"/>
      <w:bookmarkStart w:id="620" w:name="_Toc495841769"/>
      <w:bookmarkStart w:id="621" w:name="_Toc1690"/>
      <w:bookmarkStart w:id="622" w:name="_Toc15874"/>
      <w:bookmarkStart w:id="623" w:name="_Toc13560"/>
      <w:bookmarkStart w:id="624" w:name="_Toc15939"/>
      <w:bookmarkStart w:id="625" w:name="_Toc14635"/>
      <w:bookmarkStart w:id="626" w:name="_Toc19435"/>
      <w:bookmarkStart w:id="627" w:name="_Toc12330"/>
      <w:bookmarkStart w:id="628" w:name="_Toc31579"/>
      <w:bookmarkStart w:id="629" w:name="_Toc23870"/>
      <w:bookmarkStart w:id="630" w:name="_Toc31851"/>
      <w:bookmarkStart w:id="631" w:name="_Toc20020"/>
      <w:bookmarkStart w:id="632" w:name="_Toc15249"/>
      <w:bookmarkStart w:id="633" w:name="_Toc13833"/>
      <w:bookmarkStart w:id="634" w:name="_Toc6786"/>
      <w:bookmarkStart w:id="635" w:name="_Toc495841772"/>
      <w:bookmarkStart w:id="636" w:name="_Toc23348"/>
      <w:bookmarkStart w:id="637" w:name="_Toc15633"/>
      <w:bookmarkStart w:id="638" w:name="_Toc27721"/>
      <w:bookmarkStart w:id="639" w:name="_Toc23816"/>
      <w:bookmarkStart w:id="640" w:name="_Toc20835"/>
      <w:bookmarkStart w:id="641" w:name="_Toc4692"/>
      <w:bookmarkStart w:id="642" w:name="_Toc11830"/>
      <w:bookmarkStart w:id="643" w:name="_Toc23736"/>
      <w:bookmarkStart w:id="644" w:name="_Toc11773"/>
      <w:r>
        <w:rPr>
          <w:rFonts w:hint="eastAsia" w:ascii="宋体" w:hAnsi="宋体" w:cs="宋体"/>
          <w:b/>
          <w:color w:val="auto"/>
          <w:szCs w:val="21"/>
          <w:highlight w:val="none"/>
        </w:rPr>
        <w:t>第二条  质量保证</w:t>
      </w:r>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p>
    <w:p w14:paraId="0783C465">
      <w:pPr>
        <w:spacing w:line="400" w:lineRule="exact"/>
        <w:ind w:firstLine="411"/>
        <w:rPr>
          <w:rFonts w:ascii="宋体" w:hAnsi="宋体" w:cs="宋体"/>
          <w:color w:val="auto"/>
          <w:szCs w:val="21"/>
          <w:highlight w:val="none"/>
        </w:rPr>
      </w:pPr>
      <w:r>
        <w:rPr>
          <w:rFonts w:hint="eastAsia" w:ascii="宋体" w:hAnsi="宋体" w:cs="宋体"/>
          <w:color w:val="auto"/>
          <w:szCs w:val="21"/>
          <w:highlight w:val="none"/>
        </w:rPr>
        <w:t>1.乙方应按</w:t>
      </w:r>
      <w:r>
        <w:rPr>
          <w:color w:val="auto"/>
          <w:highlight w:val="none"/>
        </w:rPr>
        <w:t>响应文件</w:t>
      </w:r>
      <w:r>
        <w:rPr>
          <w:rFonts w:hint="eastAsia" w:ascii="宋体" w:hAnsi="宋体" w:cs="宋体"/>
          <w:color w:val="auto"/>
          <w:szCs w:val="21"/>
          <w:highlight w:val="none"/>
        </w:rPr>
        <w:t>承诺的货物规格型号、技术参数、质量标准等向甲方提供未经使用的全新原装产品，且在正常安装使用和保养条件下，其使用寿命期内各项指标均达到质量标准。</w:t>
      </w:r>
    </w:p>
    <w:p w14:paraId="47507FB0">
      <w:pPr>
        <w:spacing w:line="400" w:lineRule="exact"/>
        <w:ind w:firstLine="435"/>
        <w:rPr>
          <w:rFonts w:ascii="宋体" w:hAnsi="宋体" w:cs="宋体"/>
          <w:color w:val="auto"/>
          <w:szCs w:val="21"/>
          <w:highlight w:val="none"/>
        </w:rPr>
      </w:pPr>
      <w:r>
        <w:rPr>
          <w:rFonts w:hint="eastAsia" w:ascii="宋体" w:hAnsi="宋体" w:cs="宋体"/>
          <w:color w:val="auto"/>
          <w:szCs w:val="21"/>
          <w:highlight w:val="none"/>
        </w:rPr>
        <w:t>2.乙方提供货物的质量保证期为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厂家规定质保期超过一年的，按厂家规定，“采购需求”有规定的，按规定执行）。在质保期内因货物本身的质量问题发生故障，乙方应负责免费修理和更换零部件。对达不到技术要求者，根据实际情况，经双方协商，可按以下第（1）款办法处理：</w:t>
      </w:r>
    </w:p>
    <w:p w14:paraId="1B7856B1">
      <w:pPr>
        <w:spacing w:line="400" w:lineRule="exact"/>
        <w:ind w:firstLine="435"/>
        <w:rPr>
          <w:rFonts w:ascii="宋体" w:hAnsi="宋体" w:cs="宋体"/>
          <w:color w:val="auto"/>
          <w:szCs w:val="21"/>
          <w:highlight w:val="none"/>
        </w:rPr>
      </w:pPr>
      <w:r>
        <w:rPr>
          <w:rFonts w:hint="eastAsia" w:ascii="宋体" w:hAnsi="宋体" w:cs="宋体"/>
          <w:color w:val="auto"/>
          <w:szCs w:val="21"/>
          <w:highlight w:val="none"/>
        </w:rPr>
        <w:t>（1）更换：由乙方承担所有发生的全部费用。</w:t>
      </w:r>
    </w:p>
    <w:p w14:paraId="7DCE7235">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（2）贬值处理：由甲乙双方合议定价。</w:t>
      </w:r>
    </w:p>
    <w:p w14:paraId="4A394931">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（3）退货处理：乙方应退还甲方支付的合同款，同时应承担该货物的直接费用（运输、保险、检验、贷款利息及银行手续费等）。</w:t>
      </w:r>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p>
    <w:p w14:paraId="385B9947">
      <w:pPr>
        <w:spacing w:line="400" w:lineRule="exact"/>
        <w:ind w:firstLine="411"/>
        <w:outlineLvl w:val="1"/>
        <w:rPr>
          <w:rFonts w:ascii="宋体" w:hAnsi="宋体" w:cs="宋体"/>
          <w:b/>
          <w:color w:val="auto"/>
          <w:szCs w:val="21"/>
          <w:highlight w:val="none"/>
        </w:rPr>
      </w:pPr>
      <w:bookmarkStart w:id="645" w:name="_Toc28469"/>
      <w:bookmarkStart w:id="646" w:name="_Toc18076"/>
      <w:bookmarkStart w:id="647" w:name="_Toc495841770"/>
      <w:bookmarkStart w:id="648" w:name="_Toc4456"/>
      <w:bookmarkStart w:id="649" w:name="_Toc17443"/>
      <w:bookmarkStart w:id="650" w:name="_Toc19396"/>
      <w:bookmarkStart w:id="651" w:name="_Toc12962"/>
      <w:bookmarkStart w:id="652" w:name="_Toc13729"/>
      <w:bookmarkStart w:id="653" w:name="_Toc26643"/>
      <w:bookmarkStart w:id="654" w:name="_Toc22527"/>
      <w:bookmarkStart w:id="655" w:name="_Toc8883"/>
      <w:bookmarkStart w:id="656" w:name="_Toc16341"/>
      <w:bookmarkStart w:id="657" w:name="_Toc5104"/>
      <w:bookmarkStart w:id="658" w:name="_Toc28745"/>
      <w:bookmarkStart w:id="659" w:name="_Toc8191"/>
      <w:bookmarkStart w:id="660" w:name="_Toc26784"/>
      <w:bookmarkStart w:id="661" w:name="_Toc24161"/>
      <w:bookmarkStart w:id="662" w:name="_Toc19042"/>
      <w:bookmarkStart w:id="663" w:name="_Toc29168"/>
      <w:bookmarkStart w:id="664" w:name="_Toc9369"/>
      <w:bookmarkStart w:id="665" w:name="_Toc16945"/>
      <w:bookmarkStart w:id="666" w:name="_Toc19392"/>
      <w:bookmarkStart w:id="667" w:name="_Toc23778"/>
      <w:bookmarkStart w:id="668" w:name="_Toc18880"/>
      <w:bookmarkStart w:id="669" w:name="_Toc9311"/>
      <w:bookmarkStart w:id="670" w:name="_Toc9270"/>
      <w:bookmarkStart w:id="671" w:name="_Toc20654"/>
      <w:bookmarkStart w:id="672" w:name="_Toc1104"/>
      <w:bookmarkStart w:id="673" w:name="_Toc2830"/>
      <w:bookmarkStart w:id="674" w:name="_Toc495841778"/>
      <w:bookmarkStart w:id="675" w:name="_Toc31045"/>
      <w:r>
        <w:rPr>
          <w:rFonts w:hint="eastAsia" w:ascii="宋体" w:hAnsi="宋体" w:cs="宋体"/>
          <w:b/>
          <w:color w:val="auto"/>
          <w:szCs w:val="21"/>
          <w:highlight w:val="none"/>
        </w:rPr>
        <w:t>第三条  权利保证</w:t>
      </w:r>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p>
    <w:p w14:paraId="77D027D8">
      <w:pPr>
        <w:spacing w:line="400" w:lineRule="exact"/>
        <w:ind w:firstLine="411"/>
        <w:rPr>
          <w:rFonts w:ascii="宋体" w:hAnsi="宋体" w:cs="宋体"/>
          <w:color w:val="auto"/>
          <w:szCs w:val="21"/>
          <w:highlight w:val="none"/>
        </w:rPr>
      </w:pPr>
      <w:r>
        <w:rPr>
          <w:rFonts w:hint="eastAsia" w:ascii="宋体" w:hAnsi="宋体" w:cs="宋体"/>
          <w:color w:val="auto"/>
          <w:szCs w:val="21"/>
          <w:highlight w:val="none"/>
        </w:rPr>
        <w:t>1.乙方应保证所提供货物在使用时不会侵犯任何第三方的专利权、商标权、工业设计权或其他权利。</w:t>
      </w:r>
    </w:p>
    <w:p w14:paraId="50F80AD7">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2.乙方应按</w:t>
      </w:r>
      <w:r>
        <w:rPr>
          <w:color w:val="auto"/>
          <w:highlight w:val="none"/>
        </w:rPr>
        <w:t>竞争性谈判文件</w:t>
      </w:r>
      <w:r>
        <w:rPr>
          <w:rFonts w:hint="eastAsia" w:ascii="宋体" w:hAnsi="宋体" w:cs="宋体"/>
          <w:color w:val="auto"/>
          <w:szCs w:val="21"/>
          <w:highlight w:val="none"/>
        </w:rPr>
        <w:t>规定的时间向甲方提供使用货物的有关技术资料。</w:t>
      </w:r>
    </w:p>
    <w:p w14:paraId="5E9EB7B0">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3.乙方保证所交付的货物的所有权完全属于乙方且无任何抵押、质押、查封等产权瑕疵。</w:t>
      </w:r>
    </w:p>
    <w:p w14:paraId="3785F89C">
      <w:pPr>
        <w:spacing w:line="400" w:lineRule="exact"/>
        <w:ind w:firstLine="411"/>
        <w:outlineLvl w:val="1"/>
        <w:rPr>
          <w:rFonts w:ascii="宋体" w:hAnsi="宋体" w:cs="宋体"/>
          <w:b/>
          <w:color w:val="auto"/>
          <w:szCs w:val="21"/>
          <w:highlight w:val="none"/>
        </w:rPr>
      </w:pPr>
      <w:bookmarkStart w:id="676" w:name="_Toc32209"/>
      <w:bookmarkStart w:id="677" w:name="_Toc4219"/>
      <w:bookmarkStart w:id="678" w:name="_Toc3865"/>
      <w:bookmarkStart w:id="679" w:name="_Toc23367"/>
      <w:bookmarkStart w:id="680" w:name="_Toc21407"/>
      <w:bookmarkStart w:id="681" w:name="_Toc26938"/>
      <w:bookmarkStart w:id="682" w:name="_Toc1643"/>
      <w:bookmarkStart w:id="683" w:name="_Toc17138"/>
      <w:bookmarkStart w:id="684" w:name="_Toc21712"/>
      <w:bookmarkStart w:id="685" w:name="_Toc7468"/>
      <w:bookmarkStart w:id="686" w:name="_Toc7189"/>
      <w:bookmarkStart w:id="687" w:name="_Toc24662"/>
      <w:bookmarkStart w:id="688" w:name="_Toc11016"/>
      <w:bookmarkStart w:id="689" w:name="_Toc29457"/>
      <w:bookmarkStart w:id="690" w:name="_Toc7985"/>
      <w:bookmarkStart w:id="691" w:name="_Toc495841771"/>
      <w:r>
        <w:rPr>
          <w:rFonts w:hint="eastAsia" w:ascii="宋体" w:hAnsi="宋体" w:cs="宋体"/>
          <w:b/>
          <w:color w:val="auto"/>
          <w:szCs w:val="21"/>
          <w:highlight w:val="none"/>
        </w:rPr>
        <w:t>第四条  货物包装、运输</w:t>
      </w:r>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p>
    <w:p w14:paraId="1D4A2106">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1.乙方应在货物发运前对其进行满足运输距离、防潮、防震、防锈和防破损装卸等要求包装，以保证货物安全运达甲方指定地点。</w:t>
      </w:r>
    </w:p>
    <w:p w14:paraId="153BD1C3">
      <w:pPr>
        <w:spacing w:line="400" w:lineRule="exact"/>
        <w:ind w:left="420"/>
        <w:rPr>
          <w:rFonts w:ascii="宋体" w:hAnsi="宋体" w:cs="宋体"/>
          <w:color w:val="auto"/>
          <w:szCs w:val="21"/>
          <w:highlight w:val="none"/>
        </w:rPr>
      </w:pPr>
      <w:r>
        <w:rPr>
          <w:rFonts w:hint="eastAsia" w:ascii="宋体" w:hAnsi="宋体" w:cs="宋体"/>
          <w:color w:val="auto"/>
          <w:szCs w:val="21"/>
          <w:highlight w:val="none"/>
        </w:rPr>
        <w:t>2.使用中文说明书（货物属于进口产品的，供货时应同时附上中文使用说明书）、质量检验证明书、</w:t>
      </w:r>
    </w:p>
    <w:p w14:paraId="223B16CC">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随配附件和工具以及清单一并附于货物内。</w:t>
      </w:r>
    </w:p>
    <w:p w14:paraId="5B0E6D75">
      <w:pPr>
        <w:pStyle w:val="18"/>
        <w:rPr>
          <w:color w:val="auto"/>
          <w:highlight w:val="none"/>
        </w:rPr>
      </w:pPr>
      <w:r>
        <w:rPr>
          <w:rFonts w:hint="eastAsia" w:ascii="宋体" w:hAnsi="宋体" w:cs="宋体"/>
          <w:color w:val="auto"/>
          <w:szCs w:val="21"/>
          <w:highlight w:val="none"/>
        </w:rPr>
        <w:t xml:space="preserve">    </w:t>
      </w:r>
      <w:r>
        <w:rPr>
          <w:rFonts w:hint="eastAsia" w:ascii="宋体" w:hAnsi="宋体" w:cs="宋体"/>
          <w:b/>
          <w:bCs/>
          <w:color w:val="auto"/>
          <w:szCs w:val="21"/>
          <w:highlight w:val="none"/>
        </w:rPr>
        <w:t>本项目货物不接受进口产品（即通过中国海关报关验放进入中国境内且产自关境外的产品）。</w:t>
      </w:r>
    </w:p>
    <w:p w14:paraId="7191E3D1">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3.乙方在货物发运手续办理完毕后二十四小时内或货到甲方四十八小时前通知甲方，以准备接货。</w:t>
      </w:r>
    </w:p>
    <w:p w14:paraId="2BD5E210">
      <w:pPr>
        <w:spacing w:line="400" w:lineRule="exact"/>
        <w:ind w:left="420" w:firstLine="0"/>
        <w:outlineLvl w:val="9"/>
        <w:rPr>
          <w:rFonts w:hint="eastAsia" w:ascii="宋体" w:hAnsi="宋体" w:cs="宋体"/>
          <w:b/>
          <w:color w:val="auto"/>
          <w:szCs w:val="21"/>
          <w:highlight w:val="none"/>
        </w:rPr>
      </w:pPr>
      <w:bookmarkStart w:id="692" w:name="_Toc26281"/>
      <w:bookmarkStart w:id="693" w:name="_Toc12843"/>
      <w:bookmarkStart w:id="694" w:name="_Toc9813"/>
      <w:bookmarkStart w:id="695" w:name="_Toc28940"/>
      <w:bookmarkStart w:id="696" w:name="_Toc29389"/>
      <w:r>
        <w:rPr>
          <w:rFonts w:hint="eastAsia" w:ascii="宋体" w:hAnsi="宋体" w:cs="宋体"/>
          <w:color w:val="auto"/>
          <w:szCs w:val="21"/>
          <w:highlight w:val="none"/>
        </w:rPr>
        <w:t>4.货物在交付甲方前发生的风险均由乙方负责。</w:t>
      </w:r>
      <w:bookmarkEnd w:id="692"/>
      <w:bookmarkEnd w:id="693"/>
      <w:bookmarkEnd w:id="694"/>
      <w:bookmarkEnd w:id="695"/>
      <w:bookmarkEnd w:id="696"/>
      <w:r>
        <w:rPr>
          <w:rFonts w:hint="eastAsia" w:ascii="宋体" w:hAnsi="宋体" w:cs="宋体"/>
          <w:color w:val="auto"/>
          <w:szCs w:val="21"/>
          <w:highlight w:val="none"/>
        </w:rPr>
        <w:t xml:space="preserve"> </w:t>
      </w:r>
      <w:bookmarkStart w:id="697" w:name="_Toc581"/>
      <w:bookmarkStart w:id="698" w:name="_Toc11141"/>
      <w:bookmarkStart w:id="699" w:name="_Toc21631"/>
      <w:bookmarkStart w:id="700" w:name="_Toc14038"/>
      <w:bookmarkStart w:id="701" w:name="_Toc26071"/>
      <w:bookmarkStart w:id="702" w:name="_Toc23280"/>
      <w:bookmarkStart w:id="703" w:name="_Toc28926"/>
      <w:bookmarkStart w:id="704" w:name="_Toc11718"/>
      <w:bookmarkStart w:id="705" w:name="_Toc2705"/>
      <w:bookmarkStart w:id="706" w:name="_Toc9226"/>
      <w:bookmarkStart w:id="707" w:name="_Toc21814"/>
      <w:bookmarkStart w:id="708" w:name="_Toc10470"/>
      <w:bookmarkStart w:id="709" w:name="_Toc7050"/>
      <w:bookmarkStart w:id="710" w:name="_Toc25828"/>
    </w:p>
    <w:p w14:paraId="1D0C0087">
      <w:pPr>
        <w:spacing w:line="400" w:lineRule="exact"/>
        <w:ind w:firstLine="420"/>
        <w:outlineLvl w:val="1"/>
        <w:rPr>
          <w:rFonts w:hint="eastAsia" w:ascii="宋体" w:hAnsi="宋体" w:cs="宋体"/>
          <w:b/>
          <w:color w:val="auto"/>
          <w:szCs w:val="21"/>
          <w:highlight w:val="none"/>
        </w:rPr>
      </w:pPr>
      <w:r>
        <w:rPr>
          <w:rFonts w:hint="eastAsia" w:ascii="宋体" w:hAnsi="宋体" w:cs="宋体"/>
          <w:b/>
          <w:color w:val="auto"/>
          <w:szCs w:val="21"/>
          <w:highlight w:val="none"/>
        </w:rPr>
        <w:t>第五条  交付</w:t>
      </w:r>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p>
    <w:p w14:paraId="6671EB91">
      <w:pPr>
        <w:spacing w:line="400" w:lineRule="exact"/>
        <w:ind w:firstLine="420"/>
        <w:rPr>
          <w:rFonts w:hint="eastAsia" w:ascii="宋体" w:hAnsi="宋体" w:eastAsia="宋体" w:cs="宋体"/>
          <w:color w:val="auto"/>
          <w:szCs w:val="21"/>
          <w:highlight w:val="none"/>
          <w:lang w:val="en-US"/>
        </w:rPr>
      </w:pPr>
      <w:bookmarkStart w:id="711" w:name="_Toc30287"/>
      <w:bookmarkStart w:id="712" w:name="_Toc495841773"/>
      <w:bookmarkStart w:id="713" w:name="_Toc15755"/>
      <w:bookmarkStart w:id="714" w:name="_Toc2045"/>
      <w:bookmarkStart w:id="715" w:name="_Toc14073"/>
      <w:bookmarkStart w:id="716" w:name="_Toc8876"/>
      <w:bookmarkStart w:id="717" w:name="_Toc10335"/>
      <w:bookmarkStart w:id="718" w:name="_Toc28826"/>
      <w:bookmarkStart w:id="719" w:name="_Toc9705"/>
      <w:bookmarkStart w:id="720" w:name="_Toc26488"/>
      <w:bookmarkStart w:id="721" w:name="_Toc4383"/>
      <w:bookmarkStart w:id="722" w:name="_Toc4833"/>
      <w:bookmarkStart w:id="723" w:name="_Toc13380"/>
      <w:bookmarkStart w:id="724" w:name="_Toc17672"/>
      <w:bookmarkStart w:id="725" w:name="_Toc100"/>
      <w:bookmarkStart w:id="726" w:name="_Toc14427"/>
      <w:r>
        <w:rPr>
          <w:rFonts w:hint="eastAsia" w:ascii="宋体" w:hAnsi="宋体" w:eastAsia="宋体" w:cs="宋体"/>
          <w:color w:val="auto"/>
          <w:szCs w:val="21"/>
          <w:highlight w:val="none"/>
          <w:lang w:val="en-US" w:eastAsia="zh-CN"/>
        </w:rPr>
        <w:t>1</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lang w:val="en-US"/>
        </w:rPr>
        <w:t>交付使用时间：自</w:t>
      </w:r>
      <w:r>
        <w:rPr>
          <w:rFonts w:hint="eastAsia" w:ascii="宋体" w:hAnsi="宋体" w:eastAsia="宋体" w:cs="宋体"/>
          <w:color w:val="auto"/>
          <w:szCs w:val="21"/>
          <w:highlight w:val="none"/>
          <w:lang w:val="en-US" w:eastAsia="zh-CN"/>
        </w:rPr>
        <w:t>收到采购人交付通知</w:t>
      </w:r>
      <w:r>
        <w:rPr>
          <w:rFonts w:hint="eastAsia" w:ascii="宋体" w:hAnsi="宋体" w:eastAsia="宋体" w:cs="宋体"/>
          <w:color w:val="auto"/>
          <w:szCs w:val="21"/>
          <w:highlight w:val="none"/>
          <w:lang w:val="en-US"/>
        </w:rPr>
        <w:t>之日起20天内交货并安装调试合格交付使用。</w:t>
      </w:r>
    </w:p>
    <w:p w14:paraId="0065AE0E">
      <w:pPr>
        <w:spacing w:line="400" w:lineRule="exact"/>
        <w:ind w:firstLine="42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rPr>
        <w:t>2</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lang w:val="en-US"/>
        </w:rPr>
        <w:t>服务地点：桂林市采购人指定地点</w:t>
      </w:r>
      <w:r>
        <w:rPr>
          <w:rFonts w:hint="eastAsia" w:ascii="宋体" w:hAnsi="宋体" w:cs="宋体"/>
          <w:color w:val="auto"/>
          <w:szCs w:val="21"/>
          <w:highlight w:val="none"/>
          <w:lang w:val="en-US" w:eastAsia="zh-CN"/>
        </w:rPr>
        <w:t>。</w:t>
      </w:r>
    </w:p>
    <w:p w14:paraId="5E5F0021">
      <w:pPr>
        <w:spacing w:line="40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rPr>
        <w:t>3</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lang w:val="en-US"/>
        </w:rPr>
        <w:t>交付方式：</w:t>
      </w:r>
      <w:r>
        <w:rPr>
          <w:rFonts w:hint="eastAsia" w:ascii="宋体" w:hAnsi="宋体" w:eastAsia="宋体" w:cs="宋体"/>
          <w:color w:val="auto"/>
          <w:szCs w:val="21"/>
          <w:highlight w:val="none"/>
          <w:lang w:val="en-US" w:eastAsia="zh-CN"/>
        </w:rPr>
        <w:t>现场交付</w:t>
      </w:r>
      <w:r>
        <w:rPr>
          <w:rFonts w:hint="eastAsia" w:ascii="宋体" w:hAnsi="宋体" w:eastAsia="宋体" w:cs="宋体"/>
          <w:color w:val="auto"/>
          <w:szCs w:val="21"/>
          <w:highlight w:val="none"/>
          <w:lang w:val="en-US"/>
        </w:rPr>
        <w:t>。</w:t>
      </w:r>
    </w:p>
    <w:p w14:paraId="495B8F12">
      <w:pPr>
        <w:spacing w:line="400" w:lineRule="exact"/>
        <w:ind w:firstLine="420"/>
        <w:outlineLvl w:val="1"/>
        <w:rPr>
          <w:rFonts w:hint="eastAsia" w:ascii="宋体" w:hAnsi="宋体" w:cs="宋体"/>
          <w:b/>
          <w:color w:val="auto"/>
          <w:szCs w:val="21"/>
          <w:highlight w:val="none"/>
        </w:rPr>
      </w:pPr>
      <w:r>
        <w:rPr>
          <w:rFonts w:hint="eastAsia" w:ascii="宋体" w:hAnsi="宋体" w:cs="宋体"/>
          <w:b/>
          <w:color w:val="auto"/>
          <w:szCs w:val="21"/>
          <w:highlight w:val="none"/>
        </w:rPr>
        <w:t>第六条  验收</w:t>
      </w:r>
      <w:bookmarkEnd w:id="711"/>
      <w:bookmarkEnd w:id="712"/>
      <w:bookmarkEnd w:id="713"/>
      <w:bookmarkEnd w:id="714"/>
      <w:bookmarkEnd w:id="715"/>
      <w:r>
        <w:rPr>
          <w:rFonts w:hint="eastAsia" w:ascii="宋体" w:hAnsi="宋体" w:cs="宋体"/>
          <w:b/>
          <w:color w:val="auto"/>
          <w:szCs w:val="21"/>
          <w:highlight w:val="none"/>
        </w:rPr>
        <w:t>方式</w:t>
      </w:r>
      <w:bookmarkEnd w:id="716"/>
      <w:bookmarkEnd w:id="717"/>
      <w:bookmarkEnd w:id="718"/>
      <w:bookmarkEnd w:id="719"/>
      <w:bookmarkEnd w:id="720"/>
      <w:bookmarkEnd w:id="721"/>
      <w:bookmarkEnd w:id="722"/>
      <w:bookmarkEnd w:id="723"/>
      <w:bookmarkEnd w:id="724"/>
      <w:bookmarkEnd w:id="725"/>
      <w:bookmarkEnd w:id="726"/>
    </w:p>
    <w:p w14:paraId="3488195A">
      <w:pPr>
        <w:keepNext w:val="0"/>
        <w:keepLines w:val="0"/>
        <w:pageBreakBefore w:val="0"/>
        <w:kinsoku/>
        <w:wordWrap/>
        <w:overflowPunct/>
        <w:topLinePunct w:val="0"/>
        <w:autoSpaceDE/>
        <w:autoSpaceDN/>
        <w:bidi w:val="0"/>
        <w:adjustRightInd/>
        <w:snapToGrid/>
        <w:spacing w:line="380" w:lineRule="exact"/>
        <w:ind w:left="0" w:leftChars="0" w:right="111" w:firstLine="420" w:firstLineChars="0"/>
        <w:textAlignment w:val="auto"/>
        <w:rPr>
          <w:rFonts w:hint="eastAsia" w:ascii="宋体" w:hAnsi="宋体" w:eastAsia="宋体" w:cs="宋体"/>
          <w:b w:val="0"/>
          <w:bCs w:val="0"/>
          <w:color w:val="auto"/>
          <w:sz w:val="21"/>
          <w:szCs w:val="21"/>
          <w:highlight w:val="none"/>
          <w:lang w:val="en-US"/>
        </w:rPr>
      </w:pPr>
      <w:bookmarkStart w:id="727" w:name="_Toc21836"/>
      <w:bookmarkStart w:id="728" w:name="_Toc24752"/>
      <w:bookmarkStart w:id="729" w:name="_Toc29074"/>
      <w:bookmarkStart w:id="730" w:name="_Toc13484"/>
      <w:bookmarkStart w:id="731" w:name="_Toc11427"/>
      <w:bookmarkStart w:id="732" w:name="_Toc17861"/>
      <w:bookmarkStart w:id="733" w:name="_Toc15721"/>
      <w:bookmarkStart w:id="734" w:name="_Toc32587"/>
      <w:bookmarkStart w:id="735" w:name="_Toc5747"/>
      <w:bookmarkStart w:id="736" w:name="_Toc25541"/>
      <w:bookmarkStart w:id="737" w:name="_Toc495841774"/>
      <w:bookmarkStart w:id="738" w:name="_Toc32229"/>
      <w:bookmarkStart w:id="739" w:name="_Toc724"/>
      <w:bookmarkStart w:id="740" w:name="_Toc11054"/>
      <w:bookmarkStart w:id="741" w:name="_Toc8109"/>
      <w:bookmarkStart w:id="742" w:name="_Toc30431"/>
      <w:r>
        <w:rPr>
          <w:rFonts w:hint="eastAsia" w:ascii="宋体" w:hAnsi="宋体" w:eastAsia="宋体" w:cs="宋体"/>
          <w:b w:val="0"/>
          <w:bCs w:val="0"/>
          <w:color w:val="auto"/>
          <w:sz w:val="21"/>
          <w:szCs w:val="21"/>
          <w:highlight w:val="none"/>
          <w:lang w:val="en-US"/>
        </w:rPr>
        <w:t>1</w:t>
      </w:r>
      <w:r>
        <w:rPr>
          <w:rFonts w:hint="eastAsia" w:ascii="宋体" w:hAnsi="宋体" w:cs="宋体"/>
          <w:b w:val="0"/>
          <w:bCs w:val="0"/>
          <w:color w:val="auto"/>
          <w:sz w:val="21"/>
          <w:szCs w:val="21"/>
          <w:highlight w:val="none"/>
          <w:lang w:val="en-US" w:eastAsia="zh-CN"/>
        </w:rPr>
        <w:t>.</w:t>
      </w:r>
      <w:r>
        <w:rPr>
          <w:rFonts w:hint="eastAsia" w:ascii="宋体" w:hAnsi="宋体" w:cs="宋体"/>
          <w:b w:val="0"/>
          <w:bCs w:val="0"/>
          <w:color w:val="auto"/>
          <w:szCs w:val="21"/>
          <w:highlight w:val="none"/>
        </w:rPr>
        <w:t>设备安装前，采购人现场根据竞争性谈判文件要求及响应文件承诺逐条对应进行核验，核验不合格的，采购人有权终止合同执行并全部退货，同时上报政府采购监督管理部门。采购人依法追偿该成交供应商所造成的损失</w:t>
      </w:r>
      <w:r>
        <w:rPr>
          <w:rFonts w:hint="eastAsia" w:ascii="宋体" w:hAnsi="宋体" w:eastAsia="宋体" w:cs="宋体"/>
          <w:b w:val="0"/>
          <w:bCs w:val="0"/>
          <w:color w:val="auto"/>
          <w:sz w:val="21"/>
          <w:szCs w:val="21"/>
          <w:highlight w:val="none"/>
          <w:lang w:val="en-US"/>
        </w:rPr>
        <w:t>。</w:t>
      </w:r>
    </w:p>
    <w:p w14:paraId="3930ABE5">
      <w:pPr>
        <w:spacing w:line="380" w:lineRule="exact"/>
        <w:ind w:right="111" w:firstLine="420" w:firstLineChars="0"/>
        <w:rPr>
          <w:rFonts w:hint="eastAsia" w:ascii="宋体" w:hAnsi="宋体" w:eastAsia="宋体" w:cs="宋体"/>
          <w:b w:val="0"/>
          <w:bCs w:val="0"/>
          <w:color w:val="auto"/>
          <w:szCs w:val="21"/>
          <w:highlight w:val="none"/>
          <w:lang w:eastAsia="zh-CN"/>
        </w:rPr>
      </w:pPr>
      <w:r>
        <w:rPr>
          <w:rFonts w:hint="eastAsia" w:ascii="宋体" w:hAnsi="宋体" w:eastAsia="宋体" w:cs="宋体"/>
          <w:b w:val="0"/>
          <w:bCs w:val="0"/>
          <w:color w:val="auto"/>
          <w:sz w:val="21"/>
          <w:szCs w:val="21"/>
          <w:highlight w:val="none"/>
          <w:lang w:val="en-US"/>
        </w:rPr>
        <w:t>2</w:t>
      </w:r>
      <w:r>
        <w:rPr>
          <w:rFonts w:hint="eastAsia" w:ascii="宋体" w:hAnsi="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rPr>
        <w:t>采购人如需要原厂原件存档，相关获取成本、沟通协调工作由供应商自行承担。供应商若无法提供原厂原件的，须提供原厂官方可核验电子版、官网查询路径，并出具加盖自身公章的兜底服务承诺，保证原厂同等质保效力，否则不予验收</w:t>
      </w:r>
      <w:r>
        <w:rPr>
          <w:rFonts w:hint="eastAsia" w:ascii="宋体" w:hAnsi="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rPr>
        <w:t>在保修期内如发现货物有其它潜在缺陷及用户使用后发现存在不符合投标承诺的标准的，采购人有权退货或向成交供应商索赔</w:t>
      </w:r>
      <w:r>
        <w:rPr>
          <w:rFonts w:hint="eastAsia" w:ascii="宋体" w:hAnsi="宋体" w:eastAsia="宋体" w:cs="宋体"/>
          <w:b w:val="0"/>
          <w:bCs w:val="0"/>
          <w:color w:val="auto"/>
          <w:szCs w:val="21"/>
          <w:highlight w:val="none"/>
          <w:lang w:eastAsia="zh-CN"/>
        </w:rPr>
        <w:t>。</w:t>
      </w:r>
    </w:p>
    <w:p w14:paraId="0AA4DC00">
      <w:pPr>
        <w:spacing w:line="400" w:lineRule="exact"/>
        <w:ind w:firstLine="420"/>
        <w:outlineLvl w:val="1"/>
        <w:rPr>
          <w:rFonts w:ascii="宋体" w:hAnsi="宋体" w:cs="宋体"/>
          <w:b/>
          <w:color w:val="auto"/>
          <w:szCs w:val="21"/>
          <w:highlight w:val="none"/>
        </w:rPr>
      </w:pPr>
      <w:r>
        <w:rPr>
          <w:rFonts w:hint="eastAsia" w:ascii="宋体" w:hAnsi="宋体" w:cs="宋体"/>
          <w:b/>
          <w:color w:val="auto"/>
          <w:szCs w:val="21"/>
          <w:highlight w:val="none"/>
        </w:rPr>
        <w:t>第七条  安装和培训</w:t>
      </w:r>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p>
    <w:p w14:paraId="14BAAE1C">
      <w:pPr>
        <w:tabs>
          <w:tab w:val="left" w:pos="0"/>
        </w:tabs>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1.甲方应提供必要安装条件（如场地、电源、水源等）。</w:t>
      </w:r>
    </w:p>
    <w:p w14:paraId="0C190D1D">
      <w:pPr>
        <w:tabs>
          <w:tab w:val="left" w:pos="0"/>
        </w:tabs>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2.乙方负责甲方有关人员的培训。培训时间、地点：</w:t>
      </w:r>
      <w:r>
        <w:rPr>
          <w:rFonts w:hint="eastAsia" w:ascii="宋体" w:hAnsi="宋体" w:cs="宋体"/>
          <w:bCs/>
          <w:color w:val="auto"/>
          <w:szCs w:val="21"/>
          <w:highlight w:val="none"/>
        </w:rPr>
        <w:t>采购人指定地点。</w:t>
      </w:r>
    </w:p>
    <w:p w14:paraId="6BF380F5">
      <w:pPr>
        <w:spacing w:line="400" w:lineRule="exact"/>
        <w:ind w:firstLine="420"/>
        <w:outlineLvl w:val="1"/>
        <w:rPr>
          <w:rFonts w:ascii="宋体" w:hAnsi="宋体" w:cs="宋体"/>
          <w:b/>
          <w:color w:val="auto"/>
          <w:szCs w:val="21"/>
          <w:highlight w:val="none"/>
        </w:rPr>
      </w:pPr>
      <w:bookmarkStart w:id="743" w:name="_Toc23366"/>
      <w:bookmarkStart w:id="744" w:name="_Toc18456"/>
      <w:bookmarkStart w:id="745" w:name="_Toc29406"/>
      <w:bookmarkStart w:id="746" w:name="_Toc14415"/>
      <w:bookmarkStart w:id="747" w:name="_Toc13114"/>
      <w:bookmarkStart w:id="748" w:name="_Toc14816"/>
      <w:bookmarkStart w:id="749" w:name="_Toc29236"/>
      <w:bookmarkStart w:id="750" w:name="_Toc21827"/>
      <w:bookmarkStart w:id="751" w:name="_Toc15"/>
      <w:bookmarkStart w:id="752" w:name="_Toc29939"/>
      <w:bookmarkStart w:id="753" w:name="_Toc27580"/>
      <w:bookmarkStart w:id="754" w:name="_Toc1691"/>
      <w:bookmarkStart w:id="755" w:name="_Toc7422"/>
      <w:bookmarkStart w:id="756" w:name="_Toc27949"/>
      <w:bookmarkStart w:id="757" w:name="_Toc495841775"/>
      <w:bookmarkStart w:id="758" w:name="_Toc13642"/>
      <w:r>
        <w:rPr>
          <w:rFonts w:hint="eastAsia" w:ascii="宋体" w:hAnsi="宋体" w:cs="宋体"/>
          <w:b/>
          <w:color w:val="auto"/>
          <w:szCs w:val="21"/>
          <w:highlight w:val="none"/>
        </w:rPr>
        <w:t xml:space="preserve">第八条  </w:t>
      </w:r>
      <w:r>
        <w:rPr>
          <w:rFonts w:hint="eastAsia" w:ascii="宋体" w:hAnsi="宋体" w:cs="宋体"/>
          <w:b/>
          <w:color w:val="auto"/>
          <w:szCs w:val="21"/>
          <w:highlight w:val="none"/>
          <w:lang w:eastAsia="zh-CN"/>
        </w:rPr>
        <w:t>售后</w:t>
      </w:r>
      <w:r>
        <w:rPr>
          <w:rFonts w:hint="eastAsia" w:ascii="宋体" w:hAnsi="宋体" w:cs="宋体"/>
          <w:b/>
          <w:color w:val="auto"/>
          <w:szCs w:val="21"/>
          <w:highlight w:val="none"/>
        </w:rPr>
        <w:t>服务要求及免费保修期</w:t>
      </w:r>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p>
    <w:p w14:paraId="07F6994F">
      <w:pPr>
        <w:spacing w:line="380" w:lineRule="exact"/>
        <w:ind w:left="0" w:leftChars="0" w:right="111" w:firstLine="420" w:firstLineChars="0"/>
        <w:rPr>
          <w:rFonts w:hint="eastAsia" w:ascii="宋体" w:hAnsi="宋体" w:eastAsia="宋体" w:cs="宋体"/>
          <w:color w:val="auto"/>
          <w:szCs w:val="21"/>
          <w:highlight w:val="none"/>
          <w:lang w:eastAsia="zh-CN"/>
        </w:rPr>
      </w:pPr>
      <w:bookmarkStart w:id="759" w:name="_Toc12595"/>
      <w:bookmarkStart w:id="760" w:name="_Toc18235"/>
      <w:bookmarkStart w:id="761" w:name="_Toc495841776"/>
      <w:bookmarkStart w:id="762" w:name="_Toc9412"/>
      <w:bookmarkStart w:id="763" w:name="_Toc29143"/>
      <w:bookmarkStart w:id="764" w:name="_Toc30799"/>
      <w:bookmarkStart w:id="765" w:name="_Toc6967"/>
      <w:bookmarkStart w:id="766" w:name="_Toc13287"/>
      <w:bookmarkStart w:id="767" w:name="_Toc31479"/>
      <w:bookmarkStart w:id="768" w:name="_Toc20967"/>
      <w:bookmarkStart w:id="769" w:name="_Toc19807"/>
      <w:bookmarkStart w:id="770" w:name="_Toc3729"/>
      <w:bookmarkStart w:id="771" w:name="_Toc7762"/>
      <w:bookmarkStart w:id="772" w:name="_Toc15324"/>
      <w:bookmarkStart w:id="773" w:name="_Toc30961"/>
      <w:bookmarkStart w:id="774" w:name="_Toc29956"/>
      <w:r>
        <w:rPr>
          <w:rFonts w:hint="eastAsia" w:ascii="宋体" w:hAnsi="宋体" w:eastAsia="宋体" w:cs="宋体"/>
          <w:color w:val="auto"/>
          <w:szCs w:val="21"/>
          <w:highlight w:val="none"/>
          <w:lang w:eastAsia="zh-CN"/>
        </w:rPr>
        <w:t>1</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lang w:eastAsia="zh-CN"/>
        </w:rPr>
        <w:t>免费质保期（软件维护或升级期）：按国家有关产品“三包”规定执行“三包”，免费质保期（软件维护或升级期）最短不得少于3年。自验收合格之日算起。免费质保期（软件维护或升级期）内免一切费用进行上门维修、配件更换、升级、维护等服务。提供终身维修维护服务（只收配件费）。</w:t>
      </w:r>
    </w:p>
    <w:p w14:paraId="63CF01EF">
      <w:pPr>
        <w:spacing w:line="380" w:lineRule="exact"/>
        <w:ind w:left="0" w:leftChars="0" w:right="111" w:firstLine="420" w:firstLineChars="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2</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lang w:eastAsia="zh-CN"/>
        </w:rPr>
        <w:t>免费送货上门、免费安装调试合格，免费对采购人进行系统操作培训，直至采购单位的技术人员能熟练独立工作并能简单的进行故障排除为止。</w:t>
      </w:r>
    </w:p>
    <w:p w14:paraId="1943B457">
      <w:pPr>
        <w:spacing w:line="380" w:lineRule="exact"/>
        <w:ind w:left="0" w:leftChars="0" w:right="111" w:firstLine="420" w:firstLineChars="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3</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lang w:eastAsia="zh-CN"/>
        </w:rPr>
        <w:t>需提供7×24小时的电话技术支持服务，接到采购人报障电话后2小时内响应，8小时内派技术人员到达采购人指定地点解决问题，所有问题均需在24小时内解决。24小时内无法修复必须立即提供不低于同档次产品配置的备用设备供采购方正常使用。提供终身免费技术支持服务。</w:t>
      </w:r>
    </w:p>
    <w:p w14:paraId="57DB5940">
      <w:pPr>
        <w:spacing w:line="380" w:lineRule="exact"/>
        <w:ind w:left="0" w:leftChars="0" w:right="111" w:firstLine="420" w:firstLineChars="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4</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lang w:eastAsia="zh-CN"/>
        </w:rPr>
        <w:t>提供完整的产品（软件）配套的产品资料，包括系统安装使用手册、系统功能模块说明书、用户使用手册、帮助文档等。</w:t>
      </w:r>
    </w:p>
    <w:p w14:paraId="59174007">
      <w:pPr>
        <w:spacing w:line="400" w:lineRule="exact"/>
        <w:ind w:firstLine="411"/>
        <w:outlineLvl w:val="1"/>
        <w:rPr>
          <w:rFonts w:ascii="宋体" w:hAnsi="宋体" w:cs="宋体"/>
          <w:b/>
          <w:color w:val="auto"/>
          <w:szCs w:val="21"/>
          <w:highlight w:val="none"/>
        </w:rPr>
      </w:pPr>
      <w:r>
        <w:rPr>
          <w:rFonts w:hint="eastAsia" w:ascii="宋体" w:hAnsi="宋体" w:cs="宋体"/>
          <w:b/>
          <w:color w:val="auto"/>
          <w:szCs w:val="21"/>
          <w:highlight w:val="none"/>
        </w:rPr>
        <w:t>第九条  税费</w:t>
      </w:r>
      <w:bookmarkEnd w:id="759"/>
      <w:bookmarkEnd w:id="760"/>
      <w:bookmarkEnd w:id="761"/>
      <w:bookmarkEnd w:id="762"/>
      <w:bookmarkEnd w:id="763"/>
      <w:r>
        <w:rPr>
          <w:rFonts w:hint="eastAsia" w:ascii="宋体" w:hAnsi="宋体" w:cs="宋体"/>
          <w:b/>
          <w:color w:val="auto"/>
          <w:szCs w:val="21"/>
          <w:highlight w:val="none"/>
        </w:rPr>
        <w:t>等要求</w:t>
      </w:r>
      <w:bookmarkEnd w:id="764"/>
      <w:bookmarkEnd w:id="765"/>
      <w:bookmarkEnd w:id="766"/>
      <w:bookmarkEnd w:id="767"/>
      <w:bookmarkEnd w:id="768"/>
      <w:bookmarkEnd w:id="769"/>
      <w:bookmarkEnd w:id="770"/>
      <w:bookmarkEnd w:id="771"/>
      <w:bookmarkEnd w:id="772"/>
      <w:bookmarkEnd w:id="773"/>
      <w:bookmarkEnd w:id="774"/>
    </w:p>
    <w:p w14:paraId="33AF5455">
      <w:pPr>
        <w:spacing w:line="400" w:lineRule="exact"/>
        <w:ind w:firstLine="411"/>
        <w:rPr>
          <w:rFonts w:ascii="宋体" w:hAnsi="宋体" w:cs="宋体"/>
          <w:color w:val="auto"/>
          <w:szCs w:val="21"/>
          <w:highlight w:val="none"/>
        </w:rPr>
      </w:pPr>
      <w:r>
        <w:rPr>
          <w:rFonts w:hint="eastAsia" w:ascii="宋体" w:hAnsi="宋体" w:cs="宋体"/>
          <w:color w:val="auto"/>
          <w:szCs w:val="21"/>
          <w:highlight w:val="none"/>
        </w:rPr>
        <w:t>本合同执行中相关的一切税费均由乙方负担。</w:t>
      </w:r>
    </w:p>
    <w:p w14:paraId="430F417B">
      <w:pPr>
        <w:spacing w:line="400" w:lineRule="exact"/>
        <w:ind w:firstLine="411"/>
        <w:outlineLvl w:val="1"/>
        <w:rPr>
          <w:rFonts w:ascii="宋体" w:hAnsi="宋体" w:cs="宋体"/>
          <w:b/>
          <w:color w:val="auto"/>
          <w:szCs w:val="21"/>
          <w:highlight w:val="none"/>
        </w:rPr>
      </w:pPr>
      <w:bookmarkStart w:id="775" w:name="_Toc6765"/>
      <w:bookmarkStart w:id="776" w:name="_Toc12037"/>
      <w:bookmarkStart w:id="777" w:name="_Toc23641"/>
      <w:bookmarkStart w:id="778" w:name="_Toc11319"/>
      <w:bookmarkStart w:id="779" w:name="_Toc30473"/>
      <w:bookmarkStart w:id="780" w:name="_Toc17338"/>
      <w:bookmarkStart w:id="781" w:name="_Toc495841777"/>
      <w:bookmarkStart w:id="782" w:name="_Toc8637"/>
      <w:bookmarkStart w:id="783" w:name="_Toc18692"/>
      <w:bookmarkStart w:id="784" w:name="_Toc1005"/>
      <w:bookmarkStart w:id="785" w:name="_Toc14572"/>
      <w:bookmarkStart w:id="786" w:name="_Toc24201"/>
      <w:bookmarkStart w:id="787" w:name="_Toc4808"/>
      <w:bookmarkStart w:id="788" w:name="_Toc25686"/>
      <w:bookmarkStart w:id="789" w:name="_Toc18828"/>
      <w:bookmarkStart w:id="790" w:name="_Toc416"/>
      <w:r>
        <w:rPr>
          <w:rFonts w:hint="eastAsia" w:ascii="宋体" w:hAnsi="宋体" w:cs="宋体"/>
          <w:b/>
          <w:color w:val="auto"/>
          <w:szCs w:val="21"/>
          <w:highlight w:val="none"/>
        </w:rPr>
        <w:t>第十条  付款方式</w:t>
      </w:r>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p>
    <w:p w14:paraId="7791C564">
      <w:pPr>
        <w:spacing w:line="380" w:lineRule="exact"/>
        <w:ind w:left="0" w:leftChars="0" w:right="111" w:firstLine="420" w:firstLineChars="0"/>
        <w:rPr>
          <w:rFonts w:hint="eastAsia" w:ascii="宋体" w:hAnsi="宋体" w:cs="宋体"/>
          <w:color w:val="auto"/>
          <w:szCs w:val="21"/>
          <w:highlight w:val="none"/>
        </w:rPr>
      </w:pPr>
      <w:bookmarkStart w:id="791" w:name="_Toc7604"/>
      <w:bookmarkStart w:id="792" w:name="_Toc4446"/>
      <w:bookmarkStart w:id="793" w:name="_Toc8727"/>
      <w:bookmarkStart w:id="794" w:name="_Toc11630"/>
      <w:bookmarkStart w:id="795" w:name="_Toc21622"/>
      <w:bookmarkStart w:id="796" w:name="_Toc27459"/>
      <w:bookmarkStart w:id="797" w:name="_Toc28715"/>
      <w:bookmarkStart w:id="798" w:name="_Toc5565"/>
      <w:bookmarkStart w:id="799" w:name="_Toc1499"/>
      <w:bookmarkStart w:id="800" w:name="_Toc634"/>
      <w:bookmarkStart w:id="801" w:name="_Toc31968"/>
      <w:bookmarkStart w:id="802" w:name="_Toc10487"/>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预付款支付：采购合同签订之日起10个工作日内，中标（成交）供应商向采购人开具与合同总价款30%等额的保函（保函有效期需覆盖项目履约全周期）和发票，采购人收到合规保函并审核无误后，向中标（成交）供应商支付合同总价款30%的预付款。</w:t>
      </w:r>
    </w:p>
    <w:p w14:paraId="2804DC64">
      <w:pPr>
        <w:spacing w:line="380" w:lineRule="exact"/>
        <w:ind w:left="0" w:leftChars="0" w:right="111" w:firstLine="420" w:firstLineChars="0"/>
        <w:rPr>
          <w:rFonts w:hint="eastAsia" w:ascii="宋体" w:hAnsi="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结算款支付：项目所有货物完成安装调试、试运行状态正常，经采购人组织验收合格并完成确认手续后10个工作日内，采购人向中标（成交）供应商支付剩余合同款项（即合同总价款的70%）。</w:t>
      </w:r>
    </w:p>
    <w:p w14:paraId="7D0C819C">
      <w:pPr>
        <w:spacing w:line="380" w:lineRule="exact"/>
        <w:ind w:left="0" w:leftChars="0" w:right="111" w:firstLine="420" w:firstLineChars="0"/>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3</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开票要求：中标（成交）供应商须按规定开具增值税专用发票，发票信息需真实、完整、合规，项目名称、金额、税号等内容与采购合同、验收资料保持一致，作为财务结算入账的必备凭证。</w:t>
      </w:r>
    </w:p>
    <w:p w14:paraId="35F8D783">
      <w:pPr>
        <w:spacing w:line="400" w:lineRule="exact"/>
        <w:ind w:firstLine="411"/>
        <w:outlineLvl w:val="1"/>
        <w:rPr>
          <w:rFonts w:hint="eastAsia" w:ascii="宋体" w:hAnsi="宋体" w:cs="宋体"/>
          <w:b/>
          <w:color w:val="auto"/>
          <w:szCs w:val="21"/>
          <w:highlight w:val="none"/>
        </w:rPr>
      </w:pPr>
      <w:r>
        <w:rPr>
          <w:rFonts w:hint="eastAsia" w:ascii="宋体" w:hAnsi="宋体" w:cs="宋体"/>
          <w:b/>
          <w:color w:val="auto"/>
          <w:szCs w:val="21"/>
          <w:highlight w:val="none"/>
        </w:rPr>
        <w:t>第十一条  违约责任</w:t>
      </w:r>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791"/>
      <w:bookmarkEnd w:id="792"/>
      <w:bookmarkEnd w:id="793"/>
      <w:bookmarkEnd w:id="794"/>
      <w:bookmarkEnd w:id="795"/>
      <w:bookmarkEnd w:id="796"/>
      <w:bookmarkEnd w:id="797"/>
      <w:bookmarkEnd w:id="798"/>
      <w:bookmarkEnd w:id="799"/>
      <w:bookmarkEnd w:id="800"/>
      <w:bookmarkEnd w:id="801"/>
      <w:bookmarkEnd w:id="802"/>
    </w:p>
    <w:p w14:paraId="531123C9">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1.乙方所提供的货物规格、技术标准、材料等质量不合格的，应及时更换，更换不及时的按逾期交货处罚，乙方应向甲方支付合同金额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%违约金并赔偿甲方经济损失。</w:t>
      </w:r>
    </w:p>
    <w:p w14:paraId="2C519CEF">
      <w:pPr>
        <w:spacing w:line="360" w:lineRule="exact"/>
        <w:ind w:firstLine="411" w:firstLineChars="196"/>
        <w:rPr>
          <w:rFonts w:ascii="宋体" w:hAnsi="宋体" w:cs="宋体"/>
          <w:color w:val="auto"/>
          <w:szCs w:val="21"/>
          <w:highlight w:val="none"/>
        </w:rPr>
      </w:pPr>
      <w:r>
        <w:rPr>
          <w:rFonts w:hint="eastAsia" w:ascii="宋体" w:hAnsi="宋体" w:cs="宋体"/>
          <w:color w:val="auto"/>
          <w:szCs w:val="21"/>
          <w:highlight w:val="none"/>
        </w:rPr>
        <w:t>2.乙方提供的货物如果侵犯了第三方合法权益而引发的任何纠纷或诉讼，均由乙方负责交涉并承担全部责任。</w:t>
      </w:r>
    </w:p>
    <w:p w14:paraId="6EA75910">
      <w:pPr>
        <w:spacing w:line="360" w:lineRule="exact"/>
        <w:ind w:firstLine="411" w:firstLineChars="196"/>
        <w:outlineLvl w:val="9"/>
        <w:rPr>
          <w:rFonts w:ascii="宋体" w:hAnsi="宋体" w:cs="宋体"/>
          <w:color w:val="auto"/>
          <w:szCs w:val="21"/>
          <w:highlight w:val="none"/>
        </w:rPr>
      </w:pPr>
      <w:bookmarkStart w:id="803" w:name="_Toc19389"/>
      <w:bookmarkStart w:id="804" w:name="_Toc27083"/>
      <w:r>
        <w:rPr>
          <w:rFonts w:hint="eastAsia" w:ascii="宋体" w:hAnsi="宋体" w:cs="宋体"/>
          <w:color w:val="auto"/>
          <w:szCs w:val="21"/>
          <w:highlight w:val="none"/>
        </w:rPr>
        <w:t>3.因包装、运输引起的货物损坏，按质量不合格处理。</w:t>
      </w:r>
      <w:bookmarkEnd w:id="803"/>
      <w:bookmarkEnd w:id="804"/>
    </w:p>
    <w:p w14:paraId="2F0803F8">
      <w:pPr>
        <w:spacing w:line="360" w:lineRule="exact"/>
        <w:ind w:firstLine="411" w:firstLineChars="196"/>
        <w:rPr>
          <w:rFonts w:ascii="宋体" w:hAnsi="宋体" w:cs="宋体"/>
          <w:color w:val="auto"/>
          <w:szCs w:val="21"/>
          <w:highlight w:val="none"/>
        </w:rPr>
      </w:pPr>
      <w:r>
        <w:rPr>
          <w:rFonts w:hint="eastAsia" w:ascii="宋体" w:hAnsi="宋体" w:cs="宋体"/>
          <w:color w:val="auto"/>
          <w:szCs w:val="21"/>
          <w:highlight w:val="none"/>
        </w:rPr>
        <w:t>4.甲方无故延期接收货物、乙方逾期交货的，每天向对方偿付违约货款额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违约金，但违约金累计不得超过违约货款额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，超过</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天对方有权解除合同，违约方承担因此给对方造成经济损失；甲方延期付货款的，每天向乙方偿付延期货款额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‰滞纳金，但滞纳金累计不得超过延期货款额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6DE12ADA">
      <w:pPr>
        <w:spacing w:line="360" w:lineRule="exact"/>
        <w:ind w:firstLine="411" w:firstLineChars="196"/>
        <w:rPr>
          <w:rFonts w:ascii="宋体" w:hAnsi="宋体" w:cs="宋体"/>
          <w:color w:val="auto"/>
          <w:szCs w:val="21"/>
          <w:highlight w:val="none"/>
        </w:rPr>
      </w:pPr>
      <w:r>
        <w:rPr>
          <w:rFonts w:hint="eastAsia" w:ascii="宋体" w:hAnsi="宋体" w:cs="宋体"/>
          <w:color w:val="auto"/>
          <w:szCs w:val="21"/>
          <w:highlight w:val="none"/>
        </w:rPr>
        <w:t>5.乙方未按本合同和</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文件中规定的服务承诺提供售后服务的，乙方应按本合同合同金额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%向甲方支付违约金。</w:t>
      </w:r>
    </w:p>
    <w:p w14:paraId="039BC6AC">
      <w:pPr>
        <w:spacing w:line="360" w:lineRule="exact"/>
        <w:ind w:firstLine="411" w:firstLineChars="196"/>
        <w:rPr>
          <w:rFonts w:ascii="宋体" w:hAnsi="宋体" w:cs="宋体"/>
          <w:color w:val="auto"/>
          <w:szCs w:val="21"/>
          <w:highlight w:val="none"/>
        </w:rPr>
      </w:pPr>
      <w:r>
        <w:rPr>
          <w:rFonts w:hint="eastAsia" w:ascii="宋体" w:hAnsi="宋体" w:cs="宋体"/>
          <w:color w:val="auto"/>
          <w:szCs w:val="21"/>
          <w:highlight w:val="none"/>
        </w:rPr>
        <w:t>6.乙方提供的货物在质保期内，因设计、工艺或材料的缺陷和其他质量原因造成的问题，由乙方负责。</w:t>
      </w:r>
    </w:p>
    <w:p w14:paraId="112F4F7B">
      <w:pPr>
        <w:spacing w:line="38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7.其他违约行为按违约货款额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%收取违约金并赔偿经济损失。</w:t>
      </w:r>
    </w:p>
    <w:p w14:paraId="79FF0DC9">
      <w:pPr>
        <w:spacing w:line="380" w:lineRule="exact"/>
        <w:ind w:firstLine="411"/>
        <w:outlineLvl w:val="1"/>
        <w:rPr>
          <w:rFonts w:hint="eastAsia" w:ascii="宋体" w:hAnsi="宋体" w:cs="宋体"/>
          <w:b/>
          <w:color w:val="auto"/>
          <w:szCs w:val="21"/>
          <w:highlight w:val="none"/>
        </w:rPr>
      </w:pPr>
      <w:bookmarkStart w:id="805" w:name="_Toc16076"/>
      <w:bookmarkStart w:id="806" w:name="_Toc19117"/>
      <w:bookmarkStart w:id="807" w:name="_Toc26162"/>
      <w:bookmarkStart w:id="808" w:name="_Toc13502"/>
      <w:bookmarkStart w:id="809" w:name="_Toc16225"/>
      <w:bookmarkStart w:id="810" w:name="_Toc15595"/>
      <w:bookmarkStart w:id="811" w:name="_Toc24236"/>
      <w:bookmarkStart w:id="812" w:name="_Toc415"/>
      <w:bookmarkStart w:id="813" w:name="_Toc5808"/>
      <w:bookmarkStart w:id="814" w:name="_Toc27837"/>
      <w:bookmarkStart w:id="815" w:name="_Toc3965"/>
      <w:bookmarkStart w:id="816" w:name="_Toc31351"/>
      <w:bookmarkStart w:id="817" w:name="_Toc12124"/>
      <w:bookmarkStart w:id="818" w:name="_Toc21774"/>
      <w:bookmarkStart w:id="819" w:name="_Toc583"/>
      <w:bookmarkStart w:id="820" w:name="_Toc13104"/>
      <w:bookmarkStart w:id="821" w:name="_Toc24844"/>
      <w:bookmarkStart w:id="822" w:name="_Toc25695"/>
      <w:bookmarkStart w:id="823" w:name="_Toc26465"/>
      <w:bookmarkStart w:id="824" w:name="_Toc26415"/>
      <w:bookmarkStart w:id="825" w:name="_Toc10393"/>
      <w:bookmarkStart w:id="826" w:name="_Toc28543"/>
      <w:bookmarkStart w:id="827" w:name="_Toc18541"/>
      <w:bookmarkStart w:id="828" w:name="_Toc10840"/>
      <w:bookmarkStart w:id="829" w:name="_Toc31099"/>
      <w:bookmarkStart w:id="830" w:name="_Toc20057"/>
      <w:bookmarkStart w:id="831" w:name="_Toc495841779"/>
      <w:r>
        <w:rPr>
          <w:rFonts w:hint="eastAsia" w:ascii="宋体" w:hAnsi="宋体" w:cs="宋体"/>
          <w:b/>
          <w:color w:val="auto"/>
          <w:szCs w:val="21"/>
          <w:highlight w:val="none"/>
        </w:rPr>
        <w:t>第十二条  不可抗力事件处理</w:t>
      </w:r>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p>
    <w:p w14:paraId="68648BF8">
      <w:pPr>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1.在合同有效期内，乙方因不可抗力事件导致不能履行合同，则合同履行期可延长，其延长期与不可抗力影响期相同。</w:t>
      </w:r>
    </w:p>
    <w:p w14:paraId="12B8C90E">
      <w:pPr>
        <w:spacing w:line="380" w:lineRule="exact"/>
        <w:ind w:left="420"/>
        <w:rPr>
          <w:rFonts w:hint="eastAsia" w:ascii="宋体" w:hAnsi="宋体" w:cs="宋体"/>
          <w:color w:val="auto"/>
          <w:szCs w:val="21"/>
          <w:highlight w:val="none"/>
        </w:rPr>
      </w:pPr>
      <w:r>
        <w:rPr>
          <w:rFonts w:hint="eastAsia" w:ascii="宋体" w:hAnsi="宋体" w:cs="宋体"/>
          <w:color w:val="auto"/>
          <w:szCs w:val="21"/>
          <w:highlight w:val="none"/>
        </w:rPr>
        <w:t>2.不可抗力事件发生后，应立即通知对方，并寄送有关权威机构出具的证明。</w:t>
      </w:r>
    </w:p>
    <w:p w14:paraId="7383FA30">
      <w:pPr>
        <w:spacing w:line="380" w:lineRule="exact"/>
        <w:ind w:left="420"/>
        <w:rPr>
          <w:rFonts w:hint="eastAsia" w:ascii="宋体" w:hAnsi="宋体" w:cs="宋体"/>
          <w:color w:val="auto"/>
          <w:szCs w:val="21"/>
          <w:highlight w:val="none"/>
        </w:rPr>
      </w:pPr>
      <w:r>
        <w:rPr>
          <w:rFonts w:hint="eastAsia" w:ascii="宋体" w:hAnsi="宋体" w:cs="宋体"/>
          <w:color w:val="auto"/>
          <w:szCs w:val="21"/>
          <w:highlight w:val="none"/>
        </w:rPr>
        <w:t>3.不可抗力事件延续一百二十天以上，双方应通过友好协商，确定是否继续履行合同。</w:t>
      </w:r>
    </w:p>
    <w:p w14:paraId="18924BA4">
      <w:pPr>
        <w:spacing w:line="380" w:lineRule="exact"/>
        <w:ind w:firstLine="411"/>
        <w:outlineLvl w:val="1"/>
        <w:rPr>
          <w:rFonts w:hint="eastAsia" w:ascii="宋体" w:hAnsi="宋体" w:cs="宋体"/>
          <w:b/>
          <w:color w:val="auto"/>
          <w:szCs w:val="21"/>
          <w:highlight w:val="none"/>
        </w:rPr>
      </w:pPr>
      <w:bookmarkStart w:id="832" w:name="_Toc6737"/>
      <w:bookmarkStart w:id="833" w:name="_Toc11559"/>
      <w:bookmarkStart w:id="834" w:name="_Toc2850"/>
      <w:bookmarkStart w:id="835" w:name="_Toc14366"/>
      <w:bookmarkStart w:id="836" w:name="_Toc4428"/>
      <w:bookmarkStart w:id="837" w:name="_Toc28369"/>
      <w:bookmarkStart w:id="838" w:name="_Toc495841780"/>
      <w:bookmarkStart w:id="839" w:name="_Toc3675"/>
      <w:bookmarkStart w:id="840" w:name="_Toc1190"/>
      <w:bookmarkStart w:id="841" w:name="_Toc9"/>
      <w:bookmarkStart w:id="842" w:name="_Toc28778"/>
      <w:bookmarkStart w:id="843" w:name="_Toc10613"/>
      <w:bookmarkStart w:id="844" w:name="_Toc12106"/>
      <w:bookmarkStart w:id="845" w:name="_Toc20918"/>
      <w:bookmarkStart w:id="846" w:name="_Toc7458"/>
      <w:bookmarkStart w:id="847" w:name="_Toc9593"/>
      <w:bookmarkStart w:id="848" w:name="_Toc12091"/>
      <w:bookmarkStart w:id="849" w:name="_Toc20796"/>
      <w:bookmarkStart w:id="850" w:name="_Toc17451"/>
      <w:bookmarkStart w:id="851" w:name="_Toc17782"/>
      <w:bookmarkStart w:id="852" w:name="_Toc5847"/>
      <w:bookmarkStart w:id="853" w:name="_Toc9513"/>
      <w:bookmarkStart w:id="854" w:name="_Toc22031"/>
      <w:bookmarkStart w:id="855" w:name="_Toc6977"/>
      <w:bookmarkStart w:id="856" w:name="_Toc15232"/>
      <w:bookmarkStart w:id="857" w:name="_Toc903"/>
      <w:bookmarkStart w:id="858" w:name="_Toc26005"/>
      <w:r>
        <w:rPr>
          <w:rFonts w:hint="eastAsia" w:ascii="宋体" w:hAnsi="宋体" w:cs="宋体"/>
          <w:b/>
          <w:color w:val="auto"/>
          <w:szCs w:val="21"/>
          <w:highlight w:val="none"/>
        </w:rPr>
        <w:t>第十三条  合同争议解决</w:t>
      </w:r>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p>
    <w:p w14:paraId="478AED97">
      <w:pPr>
        <w:spacing w:line="380" w:lineRule="exact"/>
        <w:ind w:firstLine="420"/>
        <w:rPr>
          <w:rFonts w:hint="eastAsia" w:ascii="宋体" w:hAnsi="宋体" w:cs="宋体"/>
          <w:color w:val="auto"/>
          <w:szCs w:val="21"/>
          <w:highlight w:val="none"/>
        </w:rPr>
      </w:pPr>
      <w:bookmarkStart w:id="859" w:name="_Toc26915"/>
      <w:bookmarkStart w:id="860" w:name="_Toc495841781"/>
      <w:r>
        <w:rPr>
          <w:rFonts w:hint="eastAsia" w:ascii="宋体" w:hAnsi="宋体" w:cs="宋体"/>
          <w:color w:val="auto"/>
          <w:szCs w:val="21"/>
          <w:highlight w:val="none"/>
        </w:rPr>
        <w:t>1.因服务问题发生争议的，应邀请国家认可的相关机构进行鉴定。服务符合要求的，鉴定费由采购人承担；服务不符合要求的，鉴定费由成交供应商承担。</w:t>
      </w:r>
    </w:p>
    <w:p w14:paraId="4A31B00B">
      <w:pPr>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2.因履行本合同引起的或与本合同有关的争议，甲乙双方应首先通过友好协商解决，如果协商不能解决，可向</w:t>
      </w:r>
      <w:r>
        <w:rPr>
          <w:rFonts w:hint="eastAsia" w:ascii="宋体" w:hAnsi="宋体" w:eastAsia="宋体" w:cs="宋体"/>
          <w:b w:val="0"/>
          <w:bCs w:val="0"/>
          <w:color w:val="auto"/>
          <w:sz w:val="21"/>
          <w:szCs w:val="21"/>
          <w:highlight w:val="none"/>
          <w:lang w:val="en-US" w:eastAsia="zh-CN"/>
        </w:rPr>
        <w:t>甲方所在地有管辖权的人民法院</w:t>
      </w:r>
      <w:r>
        <w:rPr>
          <w:rFonts w:hint="eastAsia" w:ascii="宋体" w:hAnsi="宋体" w:cs="宋体"/>
          <w:color w:val="auto"/>
          <w:szCs w:val="21"/>
          <w:highlight w:val="none"/>
        </w:rPr>
        <w:t>提起诉讼。</w:t>
      </w:r>
    </w:p>
    <w:p w14:paraId="4806723E">
      <w:pPr>
        <w:spacing w:line="380" w:lineRule="exact"/>
        <w:ind w:left="435"/>
        <w:rPr>
          <w:rFonts w:hint="eastAsia" w:ascii="宋体" w:hAnsi="宋体" w:cs="宋体"/>
          <w:color w:val="auto"/>
          <w:szCs w:val="21"/>
          <w:highlight w:val="none"/>
        </w:rPr>
      </w:pPr>
      <w:r>
        <w:rPr>
          <w:rFonts w:hint="eastAsia" w:ascii="宋体" w:hAnsi="宋体" w:cs="宋体"/>
          <w:color w:val="auto"/>
          <w:szCs w:val="21"/>
          <w:highlight w:val="none"/>
        </w:rPr>
        <w:t>3.诉讼期间，本合同继续履行。</w:t>
      </w:r>
    </w:p>
    <w:p w14:paraId="00E78763">
      <w:pPr>
        <w:spacing w:line="380" w:lineRule="exact"/>
        <w:ind w:firstLine="411"/>
        <w:outlineLvl w:val="1"/>
        <w:rPr>
          <w:rFonts w:hint="eastAsia" w:ascii="宋体" w:hAnsi="宋体" w:cs="宋体"/>
          <w:b/>
          <w:color w:val="auto"/>
          <w:szCs w:val="21"/>
          <w:highlight w:val="none"/>
        </w:rPr>
      </w:pPr>
      <w:bookmarkStart w:id="861" w:name="_Toc8733"/>
      <w:bookmarkStart w:id="862" w:name="_Toc21285"/>
      <w:bookmarkStart w:id="863" w:name="_Toc7748"/>
      <w:bookmarkStart w:id="864" w:name="_Toc29835"/>
      <w:bookmarkStart w:id="865" w:name="_Toc9426"/>
      <w:bookmarkStart w:id="866" w:name="_Toc19098"/>
      <w:bookmarkStart w:id="867" w:name="_Toc3719"/>
      <w:bookmarkStart w:id="868" w:name="_Toc21506"/>
      <w:bookmarkStart w:id="869" w:name="_Toc20402"/>
      <w:bookmarkStart w:id="870" w:name="_Toc869"/>
      <w:bookmarkStart w:id="871" w:name="_Toc6185"/>
      <w:bookmarkStart w:id="872" w:name="_Toc16028"/>
      <w:bookmarkStart w:id="873" w:name="_Toc6654"/>
      <w:bookmarkStart w:id="874" w:name="_Toc11735"/>
      <w:bookmarkStart w:id="875" w:name="_Toc29227"/>
      <w:bookmarkStart w:id="876" w:name="_Toc21111"/>
      <w:bookmarkStart w:id="877" w:name="_Toc30073"/>
      <w:bookmarkStart w:id="878" w:name="_Toc7636"/>
      <w:bookmarkStart w:id="879" w:name="_Toc7309"/>
      <w:bookmarkStart w:id="880" w:name="_Toc6511"/>
      <w:bookmarkStart w:id="881" w:name="_Toc12703"/>
      <w:bookmarkStart w:id="882" w:name="_Toc24483"/>
      <w:bookmarkStart w:id="883" w:name="_Toc22717"/>
      <w:bookmarkStart w:id="884" w:name="_Toc28082"/>
      <w:bookmarkStart w:id="885" w:name="_Toc26569"/>
      <w:r>
        <w:rPr>
          <w:rFonts w:hint="eastAsia" w:ascii="宋体" w:hAnsi="宋体" w:cs="宋体"/>
          <w:b/>
          <w:color w:val="auto"/>
          <w:szCs w:val="21"/>
          <w:highlight w:val="none"/>
        </w:rPr>
        <w:t>第十四条  合同生效及其它</w:t>
      </w:r>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p>
    <w:p w14:paraId="69FA07ED">
      <w:pPr>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1.合同经甲乙双方法定代表人、负责人、自然人或相应的授权代表签字并加盖公章后生效。</w:t>
      </w:r>
    </w:p>
    <w:p w14:paraId="784B33F5">
      <w:pPr>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2.合同执行中涉及采购资金和采购内容修改或补充的，需经本级财政部门审批，并签订书面补充协议报本级财政部门备案，方可作为主合同不可分割的一部分。</w:t>
      </w:r>
    </w:p>
    <w:p w14:paraId="109C02D7">
      <w:pPr>
        <w:spacing w:line="380" w:lineRule="exact"/>
        <w:ind w:left="435"/>
        <w:rPr>
          <w:rFonts w:hint="eastAsia" w:ascii="宋体" w:hAnsi="宋体" w:cs="宋体"/>
          <w:color w:val="auto"/>
          <w:szCs w:val="21"/>
          <w:highlight w:val="none"/>
        </w:rPr>
      </w:pPr>
      <w:r>
        <w:rPr>
          <w:rFonts w:hint="eastAsia" w:ascii="宋体" w:hAnsi="宋体" w:cs="宋体"/>
          <w:color w:val="auto"/>
          <w:szCs w:val="21"/>
          <w:highlight w:val="none"/>
        </w:rPr>
        <w:t>3.本合同未尽事宜，遵照《中华人民共和国民法典》有关条文执行。</w:t>
      </w:r>
    </w:p>
    <w:p w14:paraId="7FF84963">
      <w:pPr>
        <w:spacing w:line="380" w:lineRule="exact"/>
        <w:ind w:firstLine="411"/>
        <w:outlineLvl w:val="1"/>
        <w:rPr>
          <w:rFonts w:hint="eastAsia" w:ascii="宋体" w:hAnsi="宋体" w:cs="宋体"/>
          <w:b/>
          <w:color w:val="auto"/>
          <w:szCs w:val="21"/>
          <w:highlight w:val="none"/>
        </w:rPr>
      </w:pPr>
      <w:bookmarkStart w:id="886" w:name="_Toc8427"/>
      <w:bookmarkStart w:id="887" w:name="_Toc14392"/>
      <w:bookmarkStart w:id="888" w:name="_Toc25970"/>
      <w:bookmarkStart w:id="889" w:name="_Toc25677"/>
      <w:bookmarkStart w:id="890" w:name="_Toc10933"/>
      <w:bookmarkStart w:id="891" w:name="_Toc14850"/>
      <w:bookmarkStart w:id="892" w:name="_Toc12949"/>
      <w:bookmarkStart w:id="893" w:name="_Toc5794"/>
      <w:bookmarkStart w:id="894" w:name="_Toc5670"/>
      <w:bookmarkStart w:id="895" w:name="_Toc13964"/>
      <w:bookmarkStart w:id="896" w:name="_Toc21080"/>
      <w:bookmarkStart w:id="897" w:name="_Toc16419"/>
      <w:bookmarkStart w:id="898" w:name="_Toc7137"/>
      <w:bookmarkStart w:id="899" w:name="_Toc2489"/>
      <w:bookmarkStart w:id="900" w:name="_Toc24784"/>
      <w:bookmarkStart w:id="901" w:name="_Toc13260"/>
      <w:bookmarkStart w:id="902" w:name="_Toc14733"/>
      <w:bookmarkStart w:id="903" w:name="_Toc2494"/>
      <w:bookmarkStart w:id="904" w:name="_Toc31589"/>
      <w:bookmarkStart w:id="905" w:name="_Toc5655"/>
      <w:bookmarkStart w:id="906" w:name="_Toc495841782"/>
      <w:bookmarkStart w:id="907" w:name="_Toc20803"/>
      <w:bookmarkStart w:id="908" w:name="_Toc31869"/>
      <w:bookmarkStart w:id="909" w:name="_Toc10983"/>
      <w:bookmarkStart w:id="910" w:name="_Toc20115"/>
      <w:bookmarkStart w:id="911" w:name="_Toc24577"/>
      <w:bookmarkStart w:id="912" w:name="_Toc16310"/>
      <w:r>
        <w:rPr>
          <w:rFonts w:hint="eastAsia" w:ascii="宋体" w:hAnsi="宋体" w:cs="宋体"/>
          <w:b/>
          <w:color w:val="auto"/>
          <w:szCs w:val="21"/>
          <w:highlight w:val="none"/>
        </w:rPr>
        <w:t>第十五条  合同的变更、终止与转让</w:t>
      </w:r>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p>
    <w:p w14:paraId="1CDD158A">
      <w:pPr>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1.除《中华人民共和国政府采购法》第五十条规定的情形外，本合同一经签订，甲乙双方不得擅自变更，中止或终止。</w:t>
      </w:r>
    </w:p>
    <w:p w14:paraId="4E369E18">
      <w:pPr>
        <w:spacing w:line="380" w:lineRule="exact"/>
        <w:ind w:left="420"/>
        <w:rPr>
          <w:rFonts w:hint="eastAsia" w:ascii="宋体" w:hAnsi="宋体" w:cs="宋体"/>
          <w:color w:val="auto"/>
          <w:szCs w:val="21"/>
          <w:highlight w:val="none"/>
        </w:rPr>
      </w:pPr>
      <w:r>
        <w:rPr>
          <w:rFonts w:hint="eastAsia" w:ascii="宋体" w:hAnsi="宋体" w:cs="宋体"/>
          <w:color w:val="auto"/>
          <w:szCs w:val="21"/>
          <w:highlight w:val="none"/>
        </w:rPr>
        <w:t>2.乙方不得擅自转让(无进口资格的供应商委托进口货物除外)其应履行的合同义务。</w:t>
      </w:r>
    </w:p>
    <w:p w14:paraId="61BA2988">
      <w:pPr>
        <w:spacing w:line="380" w:lineRule="exact"/>
        <w:ind w:firstLine="411"/>
        <w:outlineLvl w:val="1"/>
        <w:rPr>
          <w:rFonts w:hint="eastAsia" w:ascii="宋体" w:hAnsi="宋体" w:cs="宋体"/>
          <w:b/>
          <w:color w:val="auto"/>
          <w:szCs w:val="21"/>
          <w:highlight w:val="none"/>
        </w:rPr>
      </w:pPr>
      <w:bookmarkStart w:id="913" w:name="_Toc16691"/>
      <w:bookmarkStart w:id="914" w:name="_Toc15545"/>
      <w:bookmarkStart w:id="915" w:name="_Toc19322"/>
      <w:bookmarkStart w:id="916" w:name="_Toc3766"/>
      <w:bookmarkStart w:id="917" w:name="_Toc2849"/>
      <w:bookmarkStart w:id="918" w:name="_Toc28306"/>
      <w:bookmarkStart w:id="919" w:name="_Toc19767"/>
      <w:bookmarkStart w:id="920" w:name="_Toc5360"/>
      <w:bookmarkStart w:id="921" w:name="_Toc23580"/>
      <w:bookmarkStart w:id="922" w:name="_Toc27304"/>
      <w:bookmarkStart w:id="923" w:name="_Toc11402"/>
      <w:bookmarkStart w:id="924" w:name="_Toc27020"/>
      <w:bookmarkStart w:id="925" w:name="_Toc30417"/>
      <w:bookmarkStart w:id="926" w:name="_Toc16104"/>
      <w:bookmarkStart w:id="927" w:name="_Toc22404"/>
      <w:bookmarkStart w:id="928" w:name="_Toc9575"/>
      <w:bookmarkStart w:id="929" w:name="_Toc24448"/>
      <w:bookmarkStart w:id="930" w:name="_Toc495841783"/>
      <w:bookmarkStart w:id="931" w:name="_Toc2939"/>
      <w:bookmarkStart w:id="932" w:name="_Toc1023"/>
      <w:bookmarkStart w:id="933" w:name="_Toc19588"/>
      <w:bookmarkStart w:id="934" w:name="_Toc17074"/>
      <w:bookmarkStart w:id="935" w:name="_Toc570"/>
      <w:bookmarkStart w:id="936" w:name="_Toc12652"/>
      <w:bookmarkStart w:id="937" w:name="_Toc11079"/>
      <w:bookmarkStart w:id="938" w:name="_Toc25942"/>
      <w:bookmarkStart w:id="939" w:name="_Toc5468"/>
      <w:r>
        <w:rPr>
          <w:rFonts w:hint="eastAsia" w:ascii="宋体" w:hAnsi="宋体" w:cs="宋体"/>
          <w:b/>
          <w:color w:val="auto"/>
          <w:szCs w:val="21"/>
          <w:highlight w:val="none"/>
        </w:rPr>
        <w:t>第十六条  签订本合同依据</w:t>
      </w:r>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p>
    <w:p w14:paraId="3BD79C39">
      <w:pPr>
        <w:spacing w:line="380" w:lineRule="exact"/>
        <w:ind w:left="420"/>
        <w:rPr>
          <w:rFonts w:hint="eastAsia" w:ascii="宋体" w:hAnsi="宋体" w:cs="宋体"/>
          <w:color w:val="auto"/>
          <w:szCs w:val="21"/>
          <w:highlight w:val="none"/>
        </w:rPr>
      </w:pPr>
      <w:r>
        <w:rPr>
          <w:rFonts w:hint="eastAsia" w:ascii="宋体" w:hAnsi="宋体" w:cs="宋体"/>
          <w:color w:val="auto"/>
          <w:szCs w:val="21"/>
          <w:highlight w:val="none"/>
        </w:rPr>
        <w:t>1.竞争性谈判文件；</w:t>
      </w:r>
    </w:p>
    <w:p w14:paraId="30814622">
      <w:pPr>
        <w:spacing w:line="380" w:lineRule="exact"/>
        <w:ind w:left="420"/>
        <w:rPr>
          <w:rFonts w:hint="eastAsia" w:ascii="宋体" w:hAnsi="宋体" w:cs="宋体"/>
          <w:color w:val="auto"/>
          <w:szCs w:val="21"/>
          <w:highlight w:val="none"/>
        </w:rPr>
      </w:pPr>
      <w:r>
        <w:rPr>
          <w:rFonts w:hint="eastAsia" w:ascii="宋体" w:hAnsi="宋体" w:cs="宋体"/>
          <w:color w:val="auto"/>
          <w:szCs w:val="21"/>
          <w:highlight w:val="none"/>
        </w:rPr>
        <w:t>2.乙方提供的响应（或应答）文件；</w:t>
      </w:r>
    </w:p>
    <w:p w14:paraId="27015505">
      <w:pPr>
        <w:spacing w:line="380" w:lineRule="exact"/>
        <w:ind w:left="420"/>
        <w:rPr>
          <w:rFonts w:hint="eastAsia" w:ascii="宋体" w:hAnsi="宋体" w:cs="宋体"/>
          <w:color w:val="auto"/>
          <w:szCs w:val="21"/>
          <w:highlight w:val="none"/>
        </w:rPr>
      </w:pPr>
      <w:r>
        <w:rPr>
          <w:rFonts w:hint="eastAsia" w:ascii="宋体" w:hAnsi="宋体" w:cs="宋体"/>
          <w:color w:val="auto"/>
          <w:szCs w:val="21"/>
          <w:highlight w:val="none"/>
        </w:rPr>
        <w:t>3.服务承诺书；</w:t>
      </w:r>
    </w:p>
    <w:p w14:paraId="5CEF02A7">
      <w:pPr>
        <w:spacing w:line="380" w:lineRule="exact"/>
        <w:ind w:left="420"/>
        <w:rPr>
          <w:rFonts w:hint="eastAsia" w:ascii="宋体" w:hAnsi="宋体" w:cs="宋体"/>
          <w:color w:val="auto"/>
          <w:szCs w:val="21"/>
          <w:highlight w:val="none"/>
        </w:rPr>
      </w:pPr>
      <w:r>
        <w:rPr>
          <w:rFonts w:hint="eastAsia" w:ascii="宋体" w:hAnsi="宋体" w:cs="宋体"/>
          <w:color w:val="auto"/>
          <w:szCs w:val="21"/>
          <w:highlight w:val="none"/>
        </w:rPr>
        <w:t>4.成交通知书。</w:t>
      </w:r>
    </w:p>
    <w:p w14:paraId="4411F6B2">
      <w:pPr>
        <w:spacing w:line="420" w:lineRule="exact"/>
        <w:ind w:firstLine="420"/>
        <w:jc w:val="left"/>
        <w:rPr>
          <w:rFonts w:hint="eastAsia" w:ascii="宋体" w:hAnsi="宋体" w:cs="宋体"/>
          <w:b/>
          <w:bCs/>
          <w:color w:val="auto"/>
          <w:szCs w:val="21"/>
          <w:highlight w:val="none"/>
        </w:rPr>
      </w:pPr>
      <w:r>
        <w:rPr>
          <w:rFonts w:hint="eastAsia" w:ascii="宋体" w:hAnsi="宋体" w:cs="宋体"/>
          <w:b/>
          <w:bCs/>
          <w:color w:val="auto"/>
          <w:szCs w:val="21"/>
          <w:highlight w:val="none"/>
        </w:rPr>
        <w:t>第十七条  合同文件</w:t>
      </w:r>
    </w:p>
    <w:p w14:paraId="7F70251A">
      <w:pPr>
        <w:spacing w:line="420" w:lineRule="exact"/>
        <w:ind w:firstLine="420"/>
        <w:jc w:val="left"/>
        <w:rPr>
          <w:rFonts w:hint="eastAsia" w:ascii="宋体" w:hAnsi="宋体" w:cs="宋体"/>
          <w:color w:val="auto"/>
          <w:szCs w:val="21"/>
          <w:highlight w:val="none"/>
        </w:rPr>
      </w:pPr>
      <w:r>
        <w:rPr>
          <w:rFonts w:hint="eastAsia" w:ascii="宋体" w:hAnsi="宋体" w:cs="宋体"/>
          <w:color w:val="auto"/>
          <w:szCs w:val="21"/>
          <w:highlight w:val="none"/>
        </w:rPr>
        <w:t>本合同所附下列文件是构成本合同不可分割的部分：</w:t>
      </w:r>
    </w:p>
    <w:p w14:paraId="59B1DC39">
      <w:pPr>
        <w:spacing w:line="420" w:lineRule="exact"/>
        <w:ind w:firstLine="420"/>
        <w:jc w:val="left"/>
        <w:rPr>
          <w:rFonts w:hint="eastAsia" w:ascii="宋体" w:hAnsi="宋体" w:cs="宋体"/>
          <w:color w:val="auto"/>
          <w:szCs w:val="21"/>
          <w:highlight w:val="none"/>
        </w:rPr>
      </w:pPr>
      <w:r>
        <w:rPr>
          <w:rFonts w:hint="eastAsia" w:ascii="宋体" w:hAnsi="宋体" w:cs="宋体"/>
          <w:color w:val="auto"/>
          <w:szCs w:val="21"/>
          <w:highlight w:val="none"/>
        </w:rPr>
        <w:t>1.竞争性谈判文件；</w:t>
      </w:r>
    </w:p>
    <w:p w14:paraId="24C78016">
      <w:pPr>
        <w:spacing w:line="420" w:lineRule="exact"/>
        <w:ind w:firstLine="420"/>
        <w:jc w:val="left"/>
        <w:rPr>
          <w:rFonts w:hint="eastAsia" w:ascii="宋体" w:hAnsi="宋体" w:cs="宋体"/>
          <w:color w:val="auto"/>
          <w:szCs w:val="21"/>
          <w:highlight w:val="none"/>
        </w:rPr>
      </w:pPr>
      <w:r>
        <w:rPr>
          <w:rFonts w:hint="eastAsia" w:ascii="宋体" w:hAnsi="宋体" w:cs="宋体"/>
          <w:color w:val="auto"/>
          <w:szCs w:val="21"/>
          <w:highlight w:val="none"/>
        </w:rPr>
        <w:t>2.乙方提供的响应（或应答）文件；</w:t>
      </w:r>
    </w:p>
    <w:p w14:paraId="525B269E">
      <w:pPr>
        <w:spacing w:line="420" w:lineRule="exact"/>
        <w:ind w:firstLine="420"/>
        <w:jc w:val="left"/>
        <w:rPr>
          <w:rFonts w:hint="eastAsia" w:ascii="宋体" w:hAnsi="宋体" w:cs="宋体"/>
          <w:color w:val="auto"/>
          <w:szCs w:val="21"/>
          <w:highlight w:val="none"/>
        </w:rPr>
      </w:pPr>
      <w:r>
        <w:rPr>
          <w:rFonts w:hint="eastAsia" w:ascii="宋体" w:hAnsi="宋体" w:cs="宋体"/>
          <w:color w:val="auto"/>
          <w:szCs w:val="21"/>
          <w:highlight w:val="none"/>
        </w:rPr>
        <w:t>3.成交通知书；</w:t>
      </w:r>
    </w:p>
    <w:p w14:paraId="5C52FCA1">
      <w:pPr>
        <w:pStyle w:val="41"/>
        <w:ind w:left="0"/>
        <w:rPr>
          <w:rFonts w:hint="eastAsia"/>
          <w:color w:val="auto"/>
          <w:highlight w:val="none"/>
        </w:rPr>
      </w:pPr>
      <w:r>
        <w:rPr>
          <w:rFonts w:hint="eastAsia" w:ascii="宋体" w:hAnsi="宋体" w:cs="宋体"/>
          <w:color w:val="auto"/>
          <w:szCs w:val="21"/>
          <w:highlight w:val="none"/>
        </w:rPr>
        <w:t>4.本合同协议书及有关补充资料。</w:t>
      </w:r>
    </w:p>
    <w:p w14:paraId="458C9A04">
      <w:pPr>
        <w:spacing w:line="40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政府采购合同双方自签订之日起将自动存档于“广西政府采购云平台”平台上</w:t>
      </w:r>
      <w:r>
        <w:rPr>
          <w:rFonts w:hint="eastAsia" w:ascii="宋体" w:hAnsi="宋体" w:cs="宋体"/>
          <w:color w:val="auto"/>
          <w:szCs w:val="21"/>
          <w:highlight w:val="none"/>
          <w:lang w:eastAsia="zh-CN"/>
        </w:rPr>
        <w:t>。</w:t>
      </w:r>
    </w:p>
    <w:p w14:paraId="00B97DD1">
      <w:pPr>
        <w:spacing w:line="380" w:lineRule="exact"/>
        <w:rPr>
          <w:rFonts w:hint="eastAsia" w:ascii="宋体" w:hAnsi="宋体" w:cs="宋体"/>
          <w:color w:val="auto"/>
          <w:szCs w:val="21"/>
          <w:highlight w:val="none"/>
        </w:rPr>
      </w:pPr>
    </w:p>
    <w:p w14:paraId="58966FC3">
      <w:pPr>
        <w:spacing w:line="380" w:lineRule="exact"/>
        <w:rPr>
          <w:rFonts w:hint="eastAsia" w:ascii="宋体" w:hAnsi="宋体" w:cs="宋体"/>
          <w:color w:val="auto"/>
          <w:szCs w:val="21"/>
          <w:highlight w:val="none"/>
        </w:rPr>
      </w:pPr>
    </w:p>
    <w:p w14:paraId="6839E1FC">
      <w:pPr>
        <w:spacing w:line="380" w:lineRule="exact"/>
        <w:rPr>
          <w:rFonts w:hint="eastAsia" w:ascii="宋体" w:hAnsi="宋体" w:cs="宋体"/>
          <w:color w:val="auto"/>
          <w:szCs w:val="21"/>
          <w:highlight w:val="none"/>
          <w:u w:val="single"/>
        </w:rPr>
      </w:pPr>
      <w:r>
        <w:rPr>
          <w:rFonts w:hint="eastAsia" w:ascii="宋体" w:hAnsi="宋体" w:cs="宋体"/>
          <w:color w:val="auto"/>
          <w:szCs w:val="21"/>
          <w:highlight w:val="none"/>
        </w:rPr>
        <w:t>甲方（公章）：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乙方（公章，自然人除外）：</w:t>
      </w:r>
      <w:r>
        <w:rPr>
          <w:rFonts w:hint="eastAsia" w:ascii="宋体" w:hAnsi="宋体" w:cs="宋体"/>
          <w:color w:val="auto"/>
          <w:szCs w:val="21"/>
          <w:highlight w:val="none"/>
          <w:u w:val="single"/>
        </w:rPr>
        <w:t xml:space="preserve">                        </w:t>
      </w:r>
    </w:p>
    <w:p w14:paraId="28DEE36E">
      <w:pPr>
        <w:spacing w:line="380" w:lineRule="exact"/>
        <w:ind w:left="4620" w:hanging="4620"/>
        <w:rPr>
          <w:rFonts w:hint="eastAsia" w:ascii="宋体" w:hAnsi="宋体" w:cs="宋体"/>
          <w:color w:val="auto"/>
          <w:szCs w:val="21"/>
          <w:highlight w:val="none"/>
          <w:u w:val="single"/>
        </w:rPr>
      </w:pPr>
      <w:r>
        <w:rPr>
          <w:rFonts w:hint="eastAsia" w:ascii="宋体" w:hAnsi="宋体" w:cs="宋体"/>
          <w:color w:val="auto"/>
          <w:szCs w:val="21"/>
          <w:highlight w:val="none"/>
        </w:rPr>
        <w:t>法定代表人签字：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法定代表人（负责人、自然人）签字（属自然人的应在签名处加盖大拇指指印）：</w:t>
      </w:r>
      <w:r>
        <w:rPr>
          <w:rFonts w:hint="eastAsia" w:ascii="宋体" w:hAnsi="宋体" w:cs="宋体"/>
          <w:color w:val="auto"/>
          <w:szCs w:val="21"/>
          <w:highlight w:val="none"/>
          <w:u w:val="single"/>
        </w:rPr>
        <w:t xml:space="preserve">                          </w:t>
      </w:r>
    </w:p>
    <w:p w14:paraId="4B31B9FC">
      <w:pPr>
        <w:tabs>
          <w:tab w:val="left" w:pos="4680"/>
        </w:tabs>
        <w:spacing w:line="380" w:lineRule="exact"/>
        <w:rPr>
          <w:rFonts w:hint="eastAsia" w:ascii="宋体" w:hAnsi="宋体" w:cs="宋体"/>
          <w:color w:val="auto"/>
          <w:szCs w:val="21"/>
          <w:highlight w:val="none"/>
          <w:u w:val="single"/>
        </w:rPr>
      </w:pPr>
      <w:r>
        <w:rPr>
          <w:rFonts w:hint="eastAsia" w:ascii="宋体" w:hAnsi="宋体" w:cs="宋体"/>
          <w:color w:val="auto"/>
          <w:szCs w:val="21"/>
          <w:highlight w:val="none"/>
        </w:rPr>
        <w:t>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委托代理人：</w:t>
      </w:r>
      <w:r>
        <w:rPr>
          <w:rFonts w:hint="eastAsia" w:ascii="宋体" w:hAnsi="宋体" w:cs="宋体"/>
          <w:color w:val="auto"/>
          <w:szCs w:val="21"/>
          <w:highlight w:val="none"/>
          <w:u w:val="single"/>
        </w:rPr>
        <w:t xml:space="preserve">                                     </w:t>
      </w:r>
    </w:p>
    <w:p w14:paraId="6DF8B862">
      <w:pPr>
        <w:tabs>
          <w:tab w:val="left" w:pos="5040"/>
        </w:tabs>
        <w:spacing w:line="380" w:lineRule="exact"/>
        <w:rPr>
          <w:rFonts w:hint="eastAsia" w:ascii="宋体" w:hAnsi="宋体" w:cs="宋体"/>
          <w:color w:val="auto"/>
          <w:szCs w:val="21"/>
          <w:highlight w:val="none"/>
          <w:u w:val="single"/>
        </w:rPr>
      </w:pPr>
      <w:r>
        <w:rPr>
          <w:rFonts w:hint="eastAsia" w:ascii="宋体" w:hAnsi="宋体" w:cs="宋体"/>
          <w:color w:val="auto"/>
          <w:szCs w:val="21"/>
          <w:highlight w:val="none"/>
        </w:rPr>
        <w:t>电  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电   话： </w:t>
      </w:r>
      <w:r>
        <w:rPr>
          <w:rFonts w:hint="eastAsia" w:ascii="宋体" w:hAnsi="宋体" w:cs="宋体"/>
          <w:color w:val="auto"/>
          <w:szCs w:val="21"/>
          <w:highlight w:val="none"/>
          <w:u w:val="single"/>
        </w:rPr>
        <w:t xml:space="preserve">                                       </w:t>
      </w:r>
    </w:p>
    <w:p w14:paraId="02FF6BEE">
      <w:pPr>
        <w:tabs>
          <w:tab w:val="left" w:pos="5040"/>
        </w:tabs>
        <w:spacing w:line="380" w:lineRule="exact"/>
        <w:rPr>
          <w:rFonts w:hint="eastAsia" w:ascii="宋体" w:hAnsi="宋体" w:cs="宋体"/>
          <w:color w:val="auto"/>
          <w:szCs w:val="21"/>
          <w:highlight w:val="none"/>
        </w:rPr>
      </w:pPr>
      <w:r>
        <w:rPr>
          <w:rFonts w:hint="eastAsia" w:ascii="宋体" w:hAnsi="宋体" w:cs="宋体"/>
          <w:color w:val="auto"/>
          <w:szCs w:val="21"/>
          <w:highlight w:val="none"/>
        </w:rPr>
        <w:t>开户名称：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开户名称：</w:t>
      </w:r>
      <w:r>
        <w:rPr>
          <w:rFonts w:hint="eastAsia" w:ascii="宋体" w:hAnsi="宋体" w:cs="宋体"/>
          <w:color w:val="auto"/>
          <w:szCs w:val="21"/>
          <w:highlight w:val="none"/>
          <w:u w:val="single"/>
        </w:rPr>
        <w:t xml:space="preserve">                                       </w:t>
      </w:r>
    </w:p>
    <w:p w14:paraId="78DDC1FB">
      <w:pPr>
        <w:tabs>
          <w:tab w:val="left" w:pos="5040"/>
        </w:tabs>
        <w:spacing w:line="380" w:lineRule="exact"/>
        <w:rPr>
          <w:rFonts w:hint="eastAsia" w:ascii="宋体" w:hAnsi="宋体" w:cs="宋体"/>
          <w:color w:val="auto"/>
          <w:szCs w:val="21"/>
          <w:highlight w:val="none"/>
        </w:rPr>
      </w:pPr>
      <w:r>
        <w:rPr>
          <w:rFonts w:hint="eastAsia" w:ascii="宋体" w:hAnsi="宋体" w:cs="宋体"/>
          <w:color w:val="auto"/>
          <w:szCs w:val="21"/>
          <w:highlight w:val="none"/>
        </w:rPr>
        <w:t>开户银行：</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开户银行：</w:t>
      </w:r>
      <w:r>
        <w:rPr>
          <w:rFonts w:hint="eastAsia" w:ascii="宋体" w:hAnsi="宋体" w:cs="宋体"/>
          <w:color w:val="auto"/>
          <w:szCs w:val="21"/>
          <w:highlight w:val="none"/>
          <w:u w:val="single"/>
        </w:rPr>
        <w:t xml:space="preserve">                                       </w:t>
      </w:r>
    </w:p>
    <w:p w14:paraId="365B1016">
      <w:pPr>
        <w:tabs>
          <w:tab w:val="left" w:pos="5040"/>
        </w:tabs>
        <w:spacing w:line="380" w:lineRule="exact"/>
        <w:rPr>
          <w:rFonts w:hint="eastAsia" w:ascii="宋体" w:hAnsi="宋体" w:cs="宋体"/>
          <w:color w:val="auto"/>
          <w:szCs w:val="21"/>
          <w:highlight w:val="none"/>
        </w:rPr>
      </w:pPr>
      <w:r>
        <w:rPr>
          <w:rFonts w:hint="eastAsia" w:ascii="宋体" w:hAnsi="宋体" w:cs="宋体"/>
          <w:color w:val="auto"/>
          <w:szCs w:val="21"/>
          <w:highlight w:val="none"/>
        </w:rPr>
        <w:t>银行账号：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银行账号：</w:t>
      </w:r>
      <w:r>
        <w:rPr>
          <w:rFonts w:hint="eastAsia" w:ascii="宋体" w:hAnsi="宋体" w:cs="宋体"/>
          <w:color w:val="auto"/>
          <w:szCs w:val="21"/>
          <w:highlight w:val="none"/>
          <w:u w:val="single"/>
        </w:rPr>
        <w:t xml:space="preserve">                                       </w:t>
      </w:r>
    </w:p>
    <w:p w14:paraId="4D9A9ECD">
      <w:pPr>
        <w:tabs>
          <w:tab w:val="left" w:pos="5040"/>
        </w:tabs>
        <w:spacing w:line="380" w:lineRule="exact"/>
        <w:rPr>
          <w:rFonts w:hint="eastAsia" w:ascii="宋体" w:hAnsi="宋体" w:cs="宋体"/>
          <w:color w:val="auto"/>
          <w:szCs w:val="21"/>
          <w:highlight w:val="none"/>
          <w:u w:val="single"/>
        </w:rPr>
      </w:pPr>
      <w:r>
        <w:rPr>
          <w:rFonts w:hint="eastAsia" w:ascii="宋体" w:hAnsi="宋体" w:cs="宋体"/>
          <w:color w:val="auto"/>
          <w:szCs w:val="21"/>
          <w:highlight w:val="none"/>
        </w:rPr>
        <w:t>日    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日    期：</w:t>
      </w:r>
      <w:r>
        <w:rPr>
          <w:rFonts w:hint="eastAsia" w:ascii="宋体" w:hAnsi="宋体" w:cs="宋体"/>
          <w:color w:val="auto"/>
          <w:szCs w:val="21"/>
          <w:highlight w:val="none"/>
          <w:u w:val="single"/>
        </w:rPr>
        <w:t xml:space="preserve">                                       </w:t>
      </w:r>
    </w:p>
    <w:p w14:paraId="7E0881F8">
      <w:pPr>
        <w:pStyle w:val="18"/>
        <w:rPr>
          <w:rFonts w:hint="eastAsia" w:ascii="宋体" w:hAnsi="宋体" w:cs="宋体"/>
          <w:color w:val="auto"/>
          <w:szCs w:val="21"/>
          <w:highlight w:val="none"/>
          <w:u w:val="single"/>
        </w:rPr>
      </w:pPr>
    </w:p>
    <w:p w14:paraId="23BBEC7E">
      <w:pPr>
        <w:pStyle w:val="41"/>
        <w:ind w:left="0" w:leftChars="0" w:firstLine="0" w:firstLineChars="0"/>
        <w:rPr>
          <w:rFonts w:hint="eastAsia"/>
          <w:color w:val="auto"/>
          <w:highlight w:val="none"/>
        </w:rPr>
      </w:pPr>
      <w:bookmarkStart w:id="940" w:name="_Toc5228"/>
      <w:bookmarkStart w:id="941" w:name="_Toc22216"/>
      <w:bookmarkStart w:id="942" w:name="_Toc7956"/>
      <w:bookmarkStart w:id="943" w:name="_Toc27191"/>
      <w:bookmarkStart w:id="944" w:name="_Toc20420"/>
      <w:bookmarkStart w:id="945" w:name="_Toc29896"/>
      <w:bookmarkStart w:id="946" w:name="_Toc17359"/>
      <w:bookmarkStart w:id="947" w:name="_Toc30468_WPSOffice_Level1"/>
      <w:bookmarkStart w:id="948" w:name="_Toc3082"/>
      <w:bookmarkStart w:id="949" w:name="_Toc24776"/>
      <w:bookmarkStart w:id="950" w:name="_Toc4866"/>
      <w:bookmarkStart w:id="951" w:name="_Toc30472"/>
      <w:r>
        <w:rPr>
          <w:rFonts w:hint="eastAsia"/>
          <w:color w:val="auto"/>
          <w:highlight w:val="none"/>
        </w:rPr>
        <w:br w:type="page" w:clear="all"/>
      </w:r>
    </w:p>
    <w:p w14:paraId="45E976E1">
      <w:pPr>
        <w:pStyle w:val="2"/>
        <w:spacing w:line="240" w:lineRule="auto"/>
        <w:ind w:firstLine="402"/>
        <w:jc w:val="center"/>
        <w:rPr>
          <w:rFonts w:ascii="宋体" w:cs="宋体"/>
          <w:color w:val="auto"/>
          <w:sz w:val="32"/>
          <w:szCs w:val="32"/>
          <w:highlight w:val="none"/>
        </w:rPr>
      </w:pPr>
      <w:bookmarkStart w:id="952" w:name="_Toc12064"/>
      <w:r>
        <w:rPr>
          <w:rFonts w:hint="eastAsia" w:ascii="宋体" w:cs="宋体"/>
          <w:color w:val="auto"/>
          <w:sz w:val="32"/>
          <w:szCs w:val="32"/>
          <w:highlight w:val="none"/>
        </w:rPr>
        <w:t>第六章　</w:t>
      </w:r>
      <w:r>
        <w:rPr>
          <w:rFonts w:hint="eastAsia" w:ascii="宋体" w:hAnsi="宋体" w:cs="宋体"/>
          <w:color w:val="auto"/>
          <w:sz w:val="32"/>
          <w:szCs w:val="32"/>
          <w:highlight w:val="none"/>
        </w:rPr>
        <w:t>响应</w:t>
      </w:r>
      <w:r>
        <w:rPr>
          <w:rFonts w:hint="eastAsia"/>
          <w:color w:val="auto"/>
          <w:sz w:val="32"/>
          <w:szCs w:val="32"/>
          <w:highlight w:val="none"/>
        </w:rPr>
        <w:t>文件</w:t>
      </w:r>
      <w:r>
        <w:rPr>
          <w:rFonts w:hint="eastAsia" w:ascii="宋体" w:hAnsi="宋体" w:cs="宋体"/>
          <w:color w:val="auto"/>
          <w:sz w:val="32"/>
          <w:szCs w:val="32"/>
          <w:highlight w:val="none"/>
        </w:rPr>
        <w:t>（格式）</w:t>
      </w:r>
      <w:bookmarkEnd w:id="940"/>
      <w:bookmarkEnd w:id="941"/>
      <w:bookmarkEnd w:id="942"/>
      <w:bookmarkEnd w:id="943"/>
      <w:bookmarkEnd w:id="944"/>
      <w:bookmarkEnd w:id="945"/>
      <w:bookmarkEnd w:id="946"/>
      <w:bookmarkEnd w:id="947"/>
      <w:bookmarkEnd w:id="948"/>
      <w:bookmarkEnd w:id="949"/>
      <w:bookmarkEnd w:id="950"/>
      <w:bookmarkEnd w:id="951"/>
      <w:bookmarkEnd w:id="952"/>
    </w:p>
    <w:p w14:paraId="12B727E4">
      <w:pPr>
        <w:rPr>
          <w:color w:val="auto"/>
          <w:highlight w:val="none"/>
        </w:rPr>
      </w:pPr>
    </w:p>
    <w:p w14:paraId="2137997E">
      <w:pPr>
        <w:rPr>
          <w:rFonts w:hint="eastAsia"/>
          <w:b/>
          <w:bCs/>
          <w:color w:val="auto"/>
          <w:sz w:val="32"/>
          <w:szCs w:val="32"/>
          <w:highlight w:val="none"/>
        </w:rPr>
      </w:pPr>
      <w:bookmarkStart w:id="953" w:name="_Toc21496"/>
      <w:bookmarkStart w:id="954" w:name="_Toc497927069"/>
      <w:bookmarkStart w:id="955" w:name="_Toc18351"/>
      <w:r>
        <w:rPr>
          <w:rFonts w:hint="eastAsia"/>
          <w:b/>
          <w:bCs/>
          <w:color w:val="auto"/>
          <w:sz w:val="32"/>
          <w:szCs w:val="32"/>
          <w:highlight w:val="none"/>
        </w:rPr>
        <w:t>一、响应文件</w:t>
      </w:r>
      <w:bookmarkEnd w:id="953"/>
      <w:bookmarkEnd w:id="954"/>
      <w:bookmarkEnd w:id="955"/>
      <w:r>
        <w:rPr>
          <w:rFonts w:hint="eastAsia"/>
          <w:b/>
          <w:bCs/>
          <w:color w:val="auto"/>
          <w:sz w:val="32"/>
          <w:szCs w:val="32"/>
          <w:highlight w:val="none"/>
        </w:rPr>
        <w:t>封面格式</w:t>
      </w:r>
    </w:p>
    <w:p w14:paraId="221F0D78">
      <w:pPr>
        <w:spacing w:before="156" w:after="50"/>
        <w:jc w:val="center"/>
        <w:rPr>
          <w:bCs/>
          <w:color w:val="auto"/>
          <w:sz w:val="32"/>
          <w:szCs w:val="32"/>
          <w:highlight w:val="none"/>
        </w:rPr>
      </w:pPr>
    </w:p>
    <w:p w14:paraId="74DECA3F">
      <w:pPr>
        <w:spacing w:before="156" w:after="50"/>
        <w:jc w:val="center"/>
        <w:rPr>
          <w:rFonts w:hint="eastAsia" w:ascii="宋体" w:hAnsi="宋体" w:cs="宋体"/>
          <w:b/>
          <w:color w:val="auto"/>
          <w:sz w:val="28"/>
          <w:szCs w:val="28"/>
          <w:highlight w:val="none"/>
          <w:u w:val="single"/>
        </w:rPr>
      </w:pPr>
    </w:p>
    <w:p w14:paraId="2227CDC1">
      <w:pPr>
        <w:spacing w:before="156" w:after="50"/>
        <w:jc w:val="center"/>
        <w:rPr>
          <w:rFonts w:hint="eastAsia" w:ascii="宋体" w:hAnsi="宋体" w:cs="宋体"/>
          <w:b/>
          <w:color w:val="auto"/>
          <w:sz w:val="36"/>
          <w:szCs w:val="36"/>
          <w:highlight w:val="none"/>
        </w:rPr>
      </w:pPr>
      <w:r>
        <w:rPr>
          <w:rFonts w:hint="eastAsia" w:ascii="宋体" w:hAnsi="宋体" w:cs="宋体"/>
          <w:b/>
          <w:color w:val="auto"/>
          <w:sz w:val="36"/>
          <w:szCs w:val="36"/>
          <w:highlight w:val="none"/>
        </w:rPr>
        <w:t>响 应 文 件</w:t>
      </w:r>
    </w:p>
    <w:p w14:paraId="3DE2DE36">
      <w:pPr>
        <w:spacing w:before="156" w:after="50"/>
        <w:jc w:val="center"/>
        <w:rPr>
          <w:rFonts w:hint="eastAsia" w:ascii="宋体" w:hAnsi="宋体" w:cs="宋体"/>
          <w:b/>
          <w:color w:val="auto"/>
          <w:sz w:val="28"/>
          <w:szCs w:val="28"/>
          <w:highlight w:val="none"/>
          <w:u w:val="single"/>
        </w:rPr>
      </w:pPr>
    </w:p>
    <w:p w14:paraId="63FA9121">
      <w:pPr>
        <w:spacing w:before="156" w:after="50"/>
        <w:jc w:val="center"/>
        <w:rPr>
          <w:rFonts w:hint="eastAsia" w:ascii="宋体" w:hAnsi="宋体" w:cs="宋体"/>
          <w:b/>
          <w:color w:val="auto"/>
          <w:sz w:val="28"/>
          <w:szCs w:val="28"/>
          <w:highlight w:val="none"/>
          <w:u w:val="single"/>
        </w:rPr>
      </w:pPr>
    </w:p>
    <w:p w14:paraId="0B6B1D95">
      <w:pPr>
        <w:spacing w:before="156" w:after="50"/>
        <w:jc w:val="center"/>
        <w:rPr>
          <w:rFonts w:hint="eastAsia" w:ascii="宋体" w:hAnsi="宋体" w:cs="宋体"/>
          <w:b/>
          <w:color w:val="auto"/>
          <w:sz w:val="28"/>
          <w:szCs w:val="28"/>
          <w:highlight w:val="none"/>
          <w:u w:val="single"/>
        </w:rPr>
      </w:pPr>
    </w:p>
    <w:p w14:paraId="538B394B">
      <w:pPr>
        <w:spacing w:before="156" w:after="50"/>
        <w:jc w:val="center"/>
        <w:rPr>
          <w:rFonts w:hint="eastAsia" w:ascii="宋体" w:hAnsi="宋体" w:cs="宋体"/>
          <w:b/>
          <w:color w:val="auto"/>
          <w:sz w:val="28"/>
          <w:szCs w:val="28"/>
          <w:highlight w:val="none"/>
          <w:u w:val="single"/>
        </w:rPr>
      </w:pPr>
    </w:p>
    <w:p w14:paraId="48616E79">
      <w:pPr>
        <w:spacing w:before="156" w:after="50"/>
        <w:jc w:val="center"/>
        <w:rPr>
          <w:rFonts w:hint="eastAsia" w:ascii="宋体" w:hAnsi="宋体" w:eastAsia="宋体" w:cs="宋体"/>
          <w:b/>
          <w:color w:val="auto"/>
          <w:sz w:val="28"/>
          <w:szCs w:val="28"/>
          <w:highlight w:val="none"/>
          <w:u w:val="single"/>
          <w:lang w:eastAsia="zh-CN"/>
        </w:rPr>
      </w:pPr>
      <w:r>
        <w:rPr>
          <w:rFonts w:hint="eastAsia" w:ascii="宋体" w:hAnsi="宋体" w:cs="宋体"/>
          <w:b/>
          <w:color w:val="auto"/>
          <w:sz w:val="28"/>
          <w:szCs w:val="28"/>
          <w:highlight w:val="none"/>
        </w:rPr>
        <w:t>项目名称：</w:t>
      </w:r>
      <w:r>
        <w:rPr>
          <w:rFonts w:hint="eastAsia" w:ascii="宋体" w:hAnsi="宋体" w:cs="宋体"/>
          <w:b/>
          <w:color w:val="auto"/>
          <w:sz w:val="28"/>
          <w:szCs w:val="28"/>
          <w:highlight w:val="none"/>
          <w:u w:val="single"/>
          <w:lang w:eastAsia="zh-CN"/>
        </w:rPr>
        <w:t>AI数智语言综合实训中心</w:t>
      </w:r>
    </w:p>
    <w:p w14:paraId="6902B6B3">
      <w:pPr>
        <w:spacing w:before="156" w:after="50"/>
        <w:ind w:firstLine="0"/>
        <w:jc w:val="center"/>
        <w:rPr>
          <w:rFonts w:hint="eastAsia" w:ascii="宋体" w:hAnsi="宋体" w:eastAsia="宋体" w:cs="宋体"/>
          <w:b/>
          <w:color w:val="auto"/>
          <w:sz w:val="28"/>
          <w:szCs w:val="28"/>
          <w:highlight w:val="none"/>
          <w:lang w:eastAsia="zh-CN"/>
        </w:rPr>
      </w:pPr>
      <w:r>
        <w:rPr>
          <w:rFonts w:hint="eastAsia" w:ascii="宋体" w:hAnsi="宋体" w:cs="宋体"/>
          <w:b/>
          <w:color w:val="auto"/>
          <w:sz w:val="28"/>
          <w:szCs w:val="28"/>
          <w:highlight w:val="none"/>
        </w:rPr>
        <w:t>项目编号：</w:t>
      </w:r>
      <w:r>
        <w:rPr>
          <w:rFonts w:hint="eastAsia" w:ascii="宋体" w:hAnsi="宋体" w:cs="宋体"/>
          <w:b/>
          <w:color w:val="auto"/>
          <w:sz w:val="28"/>
          <w:szCs w:val="28"/>
          <w:highlight w:val="none"/>
          <w:u w:val="single"/>
          <w:lang w:eastAsia="zh-CN"/>
        </w:rPr>
        <w:t>GXZC2026-J1-002254-GLSZ</w:t>
      </w:r>
    </w:p>
    <w:p w14:paraId="5481B834">
      <w:pPr>
        <w:spacing w:before="156" w:after="50"/>
        <w:jc w:val="center"/>
        <w:rPr>
          <w:rFonts w:hint="eastAsia" w:ascii="宋体" w:hAnsi="宋体" w:cs="宋体"/>
          <w:b/>
          <w:color w:val="auto"/>
          <w:sz w:val="28"/>
          <w:szCs w:val="28"/>
          <w:highlight w:val="none"/>
          <w:u w:val="single"/>
        </w:rPr>
      </w:pPr>
    </w:p>
    <w:p w14:paraId="6A193E60">
      <w:pPr>
        <w:spacing w:before="156" w:after="50"/>
        <w:jc w:val="center"/>
        <w:rPr>
          <w:rFonts w:hint="eastAsia" w:ascii="宋体" w:hAnsi="宋体" w:cs="宋体"/>
          <w:b/>
          <w:color w:val="auto"/>
          <w:sz w:val="28"/>
          <w:szCs w:val="28"/>
          <w:highlight w:val="none"/>
          <w:u w:val="single"/>
        </w:rPr>
      </w:pPr>
    </w:p>
    <w:p w14:paraId="6AD09D5A">
      <w:pPr>
        <w:spacing w:before="156" w:after="50"/>
        <w:jc w:val="center"/>
        <w:rPr>
          <w:rFonts w:hint="eastAsia" w:ascii="宋体" w:hAnsi="宋体" w:cs="宋体"/>
          <w:b/>
          <w:color w:val="auto"/>
          <w:sz w:val="28"/>
          <w:szCs w:val="28"/>
          <w:highlight w:val="none"/>
          <w:u w:val="single"/>
        </w:rPr>
      </w:pPr>
    </w:p>
    <w:p w14:paraId="3D3B7B20">
      <w:pPr>
        <w:spacing w:before="156" w:after="50"/>
        <w:ind w:firstLine="2693"/>
        <w:rPr>
          <w:rFonts w:hint="eastAsia" w:ascii="宋体" w:hAnsi="宋体" w:cs="宋体"/>
          <w:b/>
          <w:color w:val="auto"/>
          <w:sz w:val="28"/>
          <w:szCs w:val="28"/>
          <w:highlight w:val="none"/>
          <w:u w:val="single"/>
        </w:rPr>
      </w:pPr>
      <w:r>
        <w:rPr>
          <w:rFonts w:hint="eastAsia" w:ascii="宋体" w:hAnsi="宋体" w:cs="宋体"/>
          <w:b/>
          <w:color w:val="auto"/>
          <w:sz w:val="28"/>
          <w:szCs w:val="28"/>
          <w:highlight w:val="none"/>
        </w:rPr>
        <w:t>采购代理机构：</w:t>
      </w:r>
      <w:r>
        <w:rPr>
          <w:rFonts w:hint="eastAsia" w:ascii="宋体" w:hAnsi="宋体" w:cs="宋体"/>
          <w:b/>
          <w:color w:val="auto"/>
          <w:sz w:val="28"/>
          <w:szCs w:val="28"/>
          <w:highlight w:val="none"/>
          <w:u w:val="single"/>
        </w:rPr>
        <w:t xml:space="preserve"> 桂林市政府集中采购中心   </w:t>
      </w:r>
    </w:p>
    <w:p w14:paraId="52BCF79B">
      <w:pPr>
        <w:spacing w:before="156" w:after="50"/>
        <w:ind w:firstLine="2693"/>
        <w:rPr>
          <w:rFonts w:hint="eastAsia" w:ascii="宋体" w:hAnsi="宋体" w:cs="宋体"/>
          <w:b/>
          <w:color w:val="auto"/>
          <w:sz w:val="28"/>
          <w:szCs w:val="28"/>
          <w:highlight w:val="none"/>
          <w:u w:val="single"/>
        </w:rPr>
      </w:pPr>
    </w:p>
    <w:p w14:paraId="1233A095">
      <w:pPr>
        <w:spacing w:before="156" w:after="50"/>
        <w:ind w:firstLine="2693"/>
        <w:rPr>
          <w:rFonts w:hint="eastAsia" w:ascii="宋体" w:hAnsi="宋体" w:cs="宋体"/>
          <w:b/>
          <w:color w:val="auto"/>
          <w:sz w:val="28"/>
          <w:szCs w:val="28"/>
          <w:highlight w:val="none"/>
          <w:u w:val="single"/>
        </w:rPr>
      </w:pPr>
    </w:p>
    <w:p w14:paraId="35DF2145">
      <w:pPr>
        <w:pStyle w:val="14"/>
        <w:ind w:left="980" w:hanging="560"/>
        <w:rPr>
          <w:rFonts w:ascii="宋体" w:hAnsi="宋体" w:cs="宋体"/>
          <w:bCs/>
          <w:color w:val="auto"/>
          <w:sz w:val="28"/>
          <w:szCs w:val="28"/>
          <w:highlight w:val="none"/>
        </w:rPr>
      </w:pPr>
      <w:bookmarkStart w:id="956" w:name="_Toc4932_WPSOffice_Level2"/>
      <w:bookmarkStart w:id="957" w:name="_Toc20319_WPSOffice_Level2"/>
      <w:r>
        <w:rPr>
          <w:rFonts w:hint="eastAsia" w:ascii="宋体" w:hAnsi="宋体" w:cs="宋体"/>
          <w:bCs/>
          <w:color w:val="auto"/>
          <w:sz w:val="28"/>
          <w:szCs w:val="28"/>
          <w:highlight w:val="none"/>
        </w:rPr>
        <w:t>供应商[公章(CA签章)、自然人除外]：</w:t>
      </w:r>
      <w:r>
        <w:rPr>
          <w:rFonts w:hint="eastAsia" w:ascii="宋体" w:hAnsi="宋体" w:cs="宋体"/>
          <w:bCs/>
          <w:color w:val="auto"/>
          <w:sz w:val="28"/>
          <w:szCs w:val="28"/>
          <w:highlight w:val="none"/>
          <w:u w:val="single"/>
        </w:rPr>
        <w:t xml:space="preserve">                       </w:t>
      </w:r>
      <w:bookmarkEnd w:id="956"/>
      <w:bookmarkEnd w:id="957"/>
      <w:r>
        <w:rPr>
          <w:rFonts w:hint="eastAsia" w:ascii="宋体" w:hAnsi="宋体" w:cs="宋体"/>
          <w:bCs/>
          <w:color w:val="auto"/>
          <w:sz w:val="28"/>
          <w:szCs w:val="28"/>
          <w:highlight w:val="none"/>
          <w:u w:val="single"/>
        </w:rPr>
        <w:t xml:space="preserve">       </w:t>
      </w:r>
    </w:p>
    <w:p w14:paraId="58374CE7">
      <w:pPr>
        <w:pStyle w:val="21"/>
        <w:spacing w:line="320" w:lineRule="exact"/>
        <w:ind w:firstLine="420"/>
        <w:rPr>
          <w:rFonts w:hint="eastAsia" w:hAnsi="宋体" w:cs="宋体"/>
          <w:color w:val="auto"/>
          <w:sz w:val="28"/>
          <w:szCs w:val="28"/>
          <w:highlight w:val="none"/>
        </w:rPr>
      </w:pPr>
      <w:bookmarkStart w:id="958" w:name="_Toc32056_WPSOffice_Level2"/>
      <w:bookmarkStart w:id="959" w:name="_Toc9622_WPSOffice_Level2"/>
      <w:r>
        <w:rPr>
          <w:rFonts w:hint="eastAsia" w:hAnsi="宋体" w:cs="宋体"/>
          <w:color w:val="auto"/>
          <w:sz w:val="28"/>
          <w:szCs w:val="28"/>
          <w:highlight w:val="none"/>
        </w:rPr>
        <w:t>法定代表人、负责人、自然人或相应的委托代理人签字[或盖章(CA签章)]</w:t>
      </w:r>
    </w:p>
    <w:p w14:paraId="01329C37">
      <w:pPr>
        <w:pStyle w:val="14"/>
        <w:ind w:left="980" w:hanging="560"/>
        <w:rPr>
          <w:rFonts w:hint="eastAsia" w:ascii="宋体" w:hAnsi="宋体" w:cs="宋体"/>
          <w:color w:val="auto"/>
          <w:sz w:val="28"/>
          <w:szCs w:val="28"/>
          <w:highlight w:val="none"/>
          <w:u w:val="single"/>
        </w:rPr>
      </w:pPr>
      <w:r>
        <w:rPr>
          <w:rFonts w:hint="eastAsia" w:ascii="宋体" w:hAnsi="宋体" w:cs="宋体"/>
          <w:color w:val="auto"/>
          <w:sz w:val="28"/>
          <w:szCs w:val="28"/>
          <w:highlight w:val="none"/>
        </w:rPr>
        <w:t>（属自然人的应在签名处加盖大拇指指印或个人CA签章）：</w:t>
      </w:r>
      <w:r>
        <w:rPr>
          <w:rFonts w:hint="eastAsia" w:ascii="宋体" w:hAnsi="宋体" w:cs="宋体"/>
          <w:color w:val="auto"/>
          <w:sz w:val="28"/>
          <w:szCs w:val="28"/>
          <w:highlight w:val="none"/>
          <w:u w:val="single"/>
        </w:rPr>
        <w:t xml:space="preserve">              </w:t>
      </w:r>
    </w:p>
    <w:p w14:paraId="6A1971FB">
      <w:pPr>
        <w:pStyle w:val="14"/>
        <w:ind w:left="980" w:hanging="560"/>
        <w:rPr>
          <w:rFonts w:ascii="宋体" w:hAnsi="宋体" w:cs="宋体"/>
          <w:bCs/>
          <w:color w:val="auto"/>
          <w:sz w:val="28"/>
          <w:szCs w:val="28"/>
          <w:highlight w:val="none"/>
          <w:u w:val="single"/>
        </w:rPr>
      </w:pPr>
      <w:r>
        <w:rPr>
          <w:rFonts w:hint="eastAsia" w:ascii="宋体" w:hAnsi="宋体" w:cs="宋体"/>
          <w:bCs/>
          <w:color w:val="auto"/>
          <w:sz w:val="28"/>
          <w:szCs w:val="28"/>
          <w:highlight w:val="none"/>
        </w:rPr>
        <w:t>联系电话：</w:t>
      </w:r>
      <w:bookmarkEnd w:id="958"/>
      <w:bookmarkEnd w:id="959"/>
      <w:r>
        <w:rPr>
          <w:rFonts w:hint="eastAsia" w:ascii="宋体" w:hAnsi="宋体" w:cs="宋体"/>
          <w:bCs/>
          <w:color w:val="auto"/>
          <w:sz w:val="28"/>
          <w:szCs w:val="28"/>
          <w:highlight w:val="none"/>
          <w:u w:val="single"/>
        </w:rPr>
        <w:t xml:space="preserve">                                                </w:t>
      </w:r>
    </w:p>
    <w:p w14:paraId="3F3A2CF1">
      <w:pPr>
        <w:pStyle w:val="14"/>
        <w:ind w:left="980" w:hanging="560"/>
        <w:rPr>
          <w:rFonts w:hint="eastAsia" w:ascii="宋体" w:hAnsi="宋体" w:cs="宋体"/>
          <w:bCs/>
          <w:color w:val="auto"/>
          <w:sz w:val="28"/>
          <w:szCs w:val="28"/>
          <w:highlight w:val="none"/>
        </w:rPr>
      </w:pPr>
      <w:bookmarkStart w:id="960" w:name="_Toc15933_WPSOffice_Level2"/>
      <w:bookmarkStart w:id="961" w:name="_Toc26465_WPSOffice_Level2"/>
      <w:r>
        <w:rPr>
          <w:rFonts w:hint="eastAsia" w:ascii="宋体" w:hAnsi="宋体" w:cs="宋体"/>
          <w:bCs/>
          <w:color w:val="auto"/>
          <w:sz w:val="28"/>
          <w:szCs w:val="28"/>
          <w:highlight w:val="none"/>
        </w:rPr>
        <w:t>日期：</w:t>
      </w:r>
      <w:r>
        <w:rPr>
          <w:rFonts w:hint="eastAsia" w:ascii="宋体" w:hAnsi="宋体" w:cs="宋体"/>
          <w:bCs/>
          <w:color w:val="auto"/>
          <w:sz w:val="28"/>
          <w:szCs w:val="28"/>
          <w:highlight w:val="none"/>
          <w:u w:val="single"/>
        </w:rPr>
        <w:t xml:space="preserve">              </w:t>
      </w:r>
      <w:r>
        <w:rPr>
          <w:rFonts w:hint="eastAsia" w:ascii="宋体" w:hAnsi="宋体" w:cs="宋体"/>
          <w:bCs/>
          <w:color w:val="auto"/>
          <w:sz w:val="28"/>
          <w:szCs w:val="28"/>
          <w:highlight w:val="none"/>
        </w:rPr>
        <w:t>年</w:t>
      </w:r>
      <w:r>
        <w:rPr>
          <w:rFonts w:hint="eastAsia" w:ascii="宋体" w:hAnsi="宋体" w:cs="宋体"/>
          <w:bCs/>
          <w:color w:val="auto"/>
          <w:sz w:val="28"/>
          <w:szCs w:val="28"/>
          <w:highlight w:val="none"/>
          <w:u w:val="single"/>
        </w:rPr>
        <w:t xml:space="preserve">           </w:t>
      </w:r>
      <w:r>
        <w:rPr>
          <w:rFonts w:hint="eastAsia" w:ascii="宋体" w:hAnsi="宋体" w:cs="宋体"/>
          <w:bCs/>
          <w:color w:val="auto"/>
          <w:sz w:val="28"/>
          <w:szCs w:val="28"/>
          <w:highlight w:val="none"/>
        </w:rPr>
        <w:t>月</w:t>
      </w:r>
      <w:r>
        <w:rPr>
          <w:rFonts w:hint="eastAsia" w:ascii="宋体" w:hAnsi="宋体" w:cs="宋体"/>
          <w:bCs/>
          <w:color w:val="auto"/>
          <w:sz w:val="28"/>
          <w:szCs w:val="28"/>
          <w:highlight w:val="none"/>
          <w:u w:val="single"/>
        </w:rPr>
        <w:t xml:space="preserve">           </w:t>
      </w:r>
      <w:r>
        <w:rPr>
          <w:rFonts w:hint="eastAsia" w:ascii="宋体" w:hAnsi="宋体" w:cs="宋体"/>
          <w:bCs/>
          <w:color w:val="auto"/>
          <w:sz w:val="28"/>
          <w:szCs w:val="28"/>
          <w:highlight w:val="none"/>
        </w:rPr>
        <w:t>日</w:t>
      </w:r>
      <w:bookmarkEnd w:id="960"/>
      <w:bookmarkEnd w:id="961"/>
    </w:p>
    <w:p w14:paraId="03636EEA">
      <w:pPr>
        <w:rPr>
          <w:rFonts w:hint="eastAsia"/>
          <w:b/>
          <w:bCs/>
          <w:color w:val="auto"/>
          <w:sz w:val="32"/>
          <w:szCs w:val="32"/>
          <w:highlight w:val="none"/>
        </w:rPr>
      </w:pPr>
      <w:bookmarkStart w:id="962" w:name="_Toc497927070"/>
      <w:bookmarkStart w:id="963" w:name="_Toc21615"/>
      <w:bookmarkStart w:id="964" w:name="_Toc19430"/>
    </w:p>
    <w:p w14:paraId="48795DEC">
      <w:pPr>
        <w:rPr>
          <w:rFonts w:hint="eastAsia"/>
          <w:b/>
          <w:bCs/>
          <w:color w:val="auto"/>
          <w:sz w:val="32"/>
          <w:szCs w:val="32"/>
          <w:highlight w:val="none"/>
        </w:rPr>
      </w:pPr>
    </w:p>
    <w:p w14:paraId="4DD863D0">
      <w:pPr>
        <w:rPr>
          <w:rFonts w:hint="eastAsia"/>
          <w:b/>
          <w:bCs/>
          <w:color w:val="auto"/>
          <w:sz w:val="32"/>
          <w:szCs w:val="32"/>
          <w:highlight w:val="none"/>
        </w:rPr>
      </w:pPr>
    </w:p>
    <w:p w14:paraId="172E7560">
      <w:pPr>
        <w:rPr>
          <w:rFonts w:hint="eastAsia"/>
          <w:b/>
          <w:bCs/>
          <w:color w:val="auto"/>
          <w:sz w:val="32"/>
          <w:szCs w:val="32"/>
          <w:highlight w:val="none"/>
        </w:rPr>
      </w:pPr>
    </w:p>
    <w:p w14:paraId="0DDBD16D">
      <w:pPr>
        <w:rPr>
          <w:rFonts w:hint="eastAsia"/>
          <w:b/>
          <w:bCs/>
          <w:color w:val="auto"/>
          <w:sz w:val="32"/>
          <w:szCs w:val="32"/>
          <w:highlight w:val="none"/>
        </w:rPr>
      </w:pPr>
    </w:p>
    <w:p w14:paraId="6373B408">
      <w:pPr>
        <w:rPr>
          <w:rFonts w:hint="eastAsia"/>
          <w:b/>
          <w:bCs/>
          <w:color w:val="auto"/>
          <w:sz w:val="32"/>
          <w:szCs w:val="32"/>
          <w:highlight w:val="none"/>
        </w:rPr>
      </w:pPr>
      <w:r>
        <w:rPr>
          <w:rFonts w:hint="eastAsia"/>
          <w:b/>
          <w:bCs/>
          <w:color w:val="auto"/>
          <w:sz w:val="32"/>
          <w:szCs w:val="32"/>
          <w:highlight w:val="none"/>
        </w:rPr>
        <w:t>二、响应文件组成</w:t>
      </w:r>
      <w:bookmarkEnd w:id="962"/>
      <w:bookmarkEnd w:id="963"/>
      <w:bookmarkEnd w:id="964"/>
    </w:p>
    <w:p w14:paraId="72B35B2C">
      <w:pPr>
        <w:spacing w:line="400" w:lineRule="exact"/>
        <w:rPr>
          <w:rFonts w:hint="eastAsia" w:ascii="宋体" w:hAnsi="宋体" w:cs="宋体"/>
          <w:b/>
          <w:bCs/>
          <w:color w:val="auto"/>
          <w:sz w:val="28"/>
          <w:szCs w:val="28"/>
          <w:highlight w:val="none"/>
        </w:rPr>
      </w:pPr>
    </w:p>
    <w:p w14:paraId="011AACD2">
      <w:pPr>
        <w:pStyle w:val="18"/>
        <w:rPr>
          <w:rFonts w:hint="eastAsia"/>
          <w:color w:val="auto"/>
          <w:highlight w:val="none"/>
        </w:rPr>
      </w:pPr>
    </w:p>
    <w:p w14:paraId="5A6D76D1">
      <w:pPr>
        <w:pStyle w:val="18"/>
        <w:rPr>
          <w:rFonts w:hint="eastAsia"/>
          <w:color w:val="auto"/>
          <w:highlight w:val="none"/>
        </w:rPr>
      </w:pPr>
    </w:p>
    <w:p w14:paraId="7DCB0538">
      <w:pPr>
        <w:pStyle w:val="18"/>
        <w:rPr>
          <w:rFonts w:hint="eastAsia"/>
          <w:color w:val="auto"/>
          <w:highlight w:val="none"/>
        </w:rPr>
      </w:pPr>
    </w:p>
    <w:p w14:paraId="3FF1A37C">
      <w:pPr>
        <w:spacing w:line="400" w:lineRule="exact"/>
        <w:ind w:firstLine="565"/>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（一）资格性响应证明材料</w:t>
      </w:r>
    </w:p>
    <w:p w14:paraId="2117834C">
      <w:pPr>
        <w:spacing w:line="400" w:lineRule="exact"/>
        <w:ind w:firstLine="565"/>
        <w:rPr>
          <w:rFonts w:hint="eastAsia" w:ascii="宋体" w:hAnsi="宋体" w:cs="宋体"/>
          <w:b/>
          <w:bCs/>
          <w:color w:val="auto"/>
          <w:sz w:val="28"/>
          <w:szCs w:val="28"/>
          <w:highlight w:val="none"/>
        </w:rPr>
      </w:pPr>
    </w:p>
    <w:p w14:paraId="4BFBA11F">
      <w:pPr>
        <w:spacing w:line="400" w:lineRule="exact"/>
        <w:ind w:firstLine="565"/>
        <w:rPr>
          <w:rFonts w:hint="eastAsia" w:ascii="宋体" w:hAnsi="宋体" w:cs="宋体"/>
          <w:b/>
          <w:bCs/>
          <w:color w:val="auto"/>
          <w:sz w:val="28"/>
          <w:szCs w:val="28"/>
          <w:highlight w:val="none"/>
        </w:rPr>
      </w:pPr>
    </w:p>
    <w:p w14:paraId="074587C3">
      <w:pPr>
        <w:spacing w:line="400" w:lineRule="exact"/>
        <w:ind w:firstLine="565"/>
        <w:rPr>
          <w:rFonts w:hint="eastAsia" w:ascii="宋体" w:hAnsi="宋体" w:cs="宋体"/>
          <w:b/>
          <w:bCs/>
          <w:color w:val="auto"/>
          <w:sz w:val="28"/>
          <w:szCs w:val="28"/>
          <w:highlight w:val="none"/>
        </w:rPr>
      </w:pPr>
    </w:p>
    <w:p w14:paraId="7A5A89EF">
      <w:pPr>
        <w:spacing w:line="400" w:lineRule="exact"/>
        <w:ind w:firstLine="565"/>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（二）符合性响应证明材料</w:t>
      </w:r>
    </w:p>
    <w:p w14:paraId="1710BDA9">
      <w:pPr>
        <w:spacing w:line="400" w:lineRule="exact"/>
        <w:ind w:firstLine="565"/>
        <w:rPr>
          <w:rFonts w:hint="eastAsia" w:ascii="宋体" w:hAnsi="宋体" w:cs="宋体"/>
          <w:b/>
          <w:bCs/>
          <w:color w:val="auto"/>
          <w:sz w:val="28"/>
          <w:szCs w:val="28"/>
          <w:highlight w:val="none"/>
        </w:rPr>
      </w:pPr>
    </w:p>
    <w:p w14:paraId="5ADFD04E">
      <w:pPr>
        <w:spacing w:line="400" w:lineRule="exact"/>
        <w:ind w:firstLine="565"/>
        <w:rPr>
          <w:rFonts w:hint="eastAsia" w:ascii="宋体" w:hAnsi="宋体" w:cs="宋体"/>
          <w:b/>
          <w:bCs/>
          <w:color w:val="auto"/>
          <w:sz w:val="28"/>
          <w:szCs w:val="28"/>
          <w:highlight w:val="none"/>
        </w:rPr>
      </w:pPr>
    </w:p>
    <w:p w14:paraId="0B38C45A">
      <w:pPr>
        <w:spacing w:line="400" w:lineRule="exact"/>
        <w:ind w:firstLine="565"/>
        <w:rPr>
          <w:rFonts w:hint="eastAsia" w:ascii="宋体" w:hAnsi="宋体" w:cs="宋体"/>
          <w:b/>
          <w:bCs/>
          <w:color w:val="auto"/>
          <w:sz w:val="28"/>
          <w:szCs w:val="28"/>
          <w:highlight w:val="none"/>
        </w:rPr>
      </w:pPr>
    </w:p>
    <w:p w14:paraId="2399E067">
      <w:pPr>
        <w:spacing w:line="400" w:lineRule="exact"/>
        <w:ind w:firstLine="565"/>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（三）其他有效证明材料</w:t>
      </w:r>
    </w:p>
    <w:p w14:paraId="08A0C369">
      <w:pPr>
        <w:spacing w:line="400" w:lineRule="exact"/>
        <w:ind w:firstLine="565"/>
        <w:rPr>
          <w:rFonts w:hint="eastAsia" w:ascii="宋体" w:hAnsi="宋体" w:cs="宋体"/>
          <w:b/>
          <w:bCs/>
          <w:color w:val="auto"/>
          <w:sz w:val="28"/>
          <w:szCs w:val="28"/>
          <w:highlight w:val="none"/>
        </w:rPr>
      </w:pPr>
    </w:p>
    <w:p w14:paraId="04E6B38A">
      <w:pPr>
        <w:spacing w:line="400" w:lineRule="exact"/>
        <w:ind w:firstLine="565"/>
        <w:rPr>
          <w:rFonts w:hint="eastAsia" w:ascii="宋体" w:hAnsi="宋体" w:cs="宋体"/>
          <w:b/>
          <w:bCs/>
          <w:color w:val="auto"/>
          <w:sz w:val="28"/>
          <w:szCs w:val="28"/>
          <w:highlight w:val="none"/>
        </w:rPr>
      </w:pPr>
    </w:p>
    <w:p w14:paraId="4535B082">
      <w:pPr>
        <w:spacing w:line="400" w:lineRule="exact"/>
        <w:ind w:firstLine="565"/>
        <w:rPr>
          <w:rFonts w:hint="eastAsia" w:ascii="宋体" w:hAnsi="宋体" w:cs="宋体"/>
          <w:b/>
          <w:bCs/>
          <w:color w:val="auto"/>
          <w:sz w:val="28"/>
          <w:szCs w:val="28"/>
          <w:highlight w:val="none"/>
        </w:rPr>
      </w:pPr>
    </w:p>
    <w:p w14:paraId="49354566">
      <w:pPr>
        <w:spacing w:line="400" w:lineRule="exact"/>
        <w:ind w:firstLine="565"/>
        <w:rPr>
          <w:rFonts w:hint="eastAsia" w:ascii="宋体" w:hAnsi="宋体" w:cs="宋体"/>
          <w:b/>
          <w:bCs/>
          <w:color w:val="auto"/>
          <w:sz w:val="28"/>
          <w:szCs w:val="28"/>
          <w:highlight w:val="none"/>
        </w:rPr>
        <w:sectPr>
          <w:footerReference r:id="rId11" w:type="default"/>
          <w:pgSz w:w="11906" w:h="16838"/>
          <w:pgMar w:top="1440" w:right="935" w:bottom="1440" w:left="779" w:header="851" w:footer="992" w:gutter="0"/>
          <w:pgNumType w:fmt="numberInDash"/>
          <w:cols w:space="720" w:num="1"/>
        </w:sectPr>
      </w:pPr>
    </w:p>
    <w:p w14:paraId="1E08D447">
      <w:pPr>
        <w:ind w:firstLine="420"/>
        <w:jc w:val="center"/>
        <w:outlineLvl w:val="1"/>
        <w:rPr>
          <w:rFonts w:hint="eastAsia"/>
          <w:b/>
          <w:bCs/>
          <w:color w:val="auto"/>
          <w:sz w:val="32"/>
          <w:szCs w:val="32"/>
          <w:highlight w:val="none"/>
        </w:rPr>
      </w:pPr>
      <w:bookmarkStart w:id="965" w:name="_Toc7185"/>
      <w:bookmarkStart w:id="966" w:name="_Toc2851"/>
      <w:bookmarkStart w:id="967" w:name="_Toc4098"/>
      <w:bookmarkStart w:id="968" w:name="_Toc497927071"/>
      <w:bookmarkStart w:id="969" w:name="_Toc11067"/>
      <w:bookmarkStart w:id="970" w:name="_Toc8418"/>
      <w:bookmarkStart w:id="971" w:name="_Toc27760"/>
      <w:bookmarkStart w:id="972" w:name="_Toc5544"/>
      <w:bookmarkStart w:id="973" w:name="_Toc16614"/>
      <w:bookmarkStart w:id="974" w:name="_Toc10295"/>
      <w:r>
        <w:rPr>
          <w:rFonts w:hint="eastAsia"/>
          <w:b/>
          <w:bCs/>
          <w:color w:val="auto"/>
          <w:sz w:val="32"/>
          <w:szCs w:val="32"/>
          <w:highlight w:val="none"/>
        </w:rPr>
        <w:t>（一）资格性响应证明材料目录</w:t>
      </w:r>
      <w:bookmarkEnd w:id="965"/>
      <w:bookmarkEnd w:id="966"/>
      <w:bookmarkEnd w:id="967"/>
      <w:bookmarkEnd w:id="968"/>
      <w:bookmarkEnd w:id="969"/>
      <w:bookmarkEnd w:id="970"/>
      <w:bookmarkEnd w:id="971"/>
      <w:bookmarkEnd w:id="972"/>
      <w:bookmarkEnd w:id="973"/>
      <w:bookmarkEnd w:id="974"/>
    </w:p>
    <w:p w14:paraId="36097AE1">
      <w:pPr>
        <w:spacing w:line="380" w:lineRule="exact"/>
        <w:ind w:firstLine="480"/>
        <w:rPr>
          <w:rFonts w:ascii="宋体" w:cs="宋体"/>
          <w:color w:val="auto"/>
          <w:sz w:val="24"/>
          <w:highlight w:val="none"/>
        </w:rPr>
      </w:pPr>
      <w:r>
        <w:rPr>
          <w:rFonts w:hint="eastAsia" w:ascii="宋体" w:hAnsi="宋体" w:cs="宋体"/>
          <w:color w:val="auto"/>
          <w:sz w:val="24"/>
          <w:highlight w:val="none"/>
        </w:rPr>
        <w:t>1.供应商相应的法定代表人、负责人、自然人身份证正反两面扫描件</w:t>
      </w:r>
      <w:r>
        <w:rPr>
          <w:rFonts w:hint="eastAsia" w:ascii="宋体" w:hAnsi="宋体" w:cs="宋体"/>
          <w:b/>
          <w:bCs/>
          <w:color w:val="auto"/>
          <w:sz w:val="24"/>
          <w:highlight w:val="none"/>
        </w:rPr>
        <w:t>（必须提供）</w:t>
      </w:r>
      <w:r>
        <w:rPr>
          <w:rFonts w:hint="eastAsia" w:ascii="宋体" w:hAnsi="宋体" w:cs="宋体"/>
          <w:color w:val="auto"/>
          <w:sz w:val="24"/>
          <w:highlight w:val="none"/>
        </w:rPr>
        <w:t>；</w:t>
      </w:r>
    </w:p>
    <w:p w14:paraId="6EAFF595">
      <w:pPr>
        <w:spacing w:line="380" w:lineRule="exact"/>
        <w:ind w:firstLine="480"/>
        <w:rPr>
          <w:rFonts w:hint="eastAsia" w:ascii="宋体" w:hAnsi="宋体" w:cs="宋体"/>
          <w:color w:val="auto"/>
          <w:sz w:val="24"/>
          <w:highlight w:val="none"/>
        </w:rPr>
      </w:pPr>
      <w:r>
        <w:rPr>
          <w:rFonts w:hint="eastAsia" w:ascii="宋体" w:hAnsi="宋体" w:cs="宋体"/>
          <w:color w:val="auto"/>
          <w:sz w:val="24"/>
          <w:highlight w:val="none"/>
        </w:rPr>
        <w:t>2.供应商的授权委托书原件、委托代理人身份证正反面扫描件以及由县级以上（含县级）社会养老保险经办机构出具的供应商为委托代理人缴纳的响应文件递交截止时间前三个月内任意一个月养老保险证明扫描件，除供应商为以下四种情形的：</w:t>
      </w:r>
    </w:p>
    <w:p w14:paraId="0557EE7E">
      <w:pPr>
        <w:spacing w:line="380" w:lineRule="exact"/>
        <w:ind w:firstLine="480"/>
        <w:rPr>
          <w:rFonts w:hint="eastAsia" w:ascii="宋体" w:hAnsi="宋体" w:cs="宋体"/>
          <w:color w:val="auto"/>
          <w:sz w:val="24"/>
          <w:highlight w:val="none"/>
        </w:rPr>
      </w:pPr>
      <w:r>
        <w:rPr>
          <w:rFonts w:hint="eastAsia" w:ascii="宋体" w:hAnsi="宋体" w:cs="宋体"/>
          <w:color w:val="auto"/>
          <w:sz w:val="24"/>
          <w:highlight w:val="none"/>
        </w:rPr>
        <w:t>（1） 如供应商为截标时间前60日以内成立的公司，可以提供供应商与委托代理人签订的劳动合同扫描件代替养老保险证明扫描件；</w:t>
      </w:r>
    </w:p>
    <w:p w14:paraId="60CDB48F">
      <w:pPr>
        <w:spacing w:line="380" w:lineRule="exact"/>
        <w:ind w:firstLine="480"/>
        <w:rPr>
          <w:rFonts w:ascii="宋体" w:hAnsi="宋体" w:cs="宋体"/>
          <w:color w:val="auto"/>
          <w:sz w:val="24"/>
          <w:highlight w:val="none"/>
        </w:rPr>
      </w:pPr>
      <w:r>
        <w:rPr>
          <w:rFonts w:hint="eastAsia" w:ascii="宋体" w:hAnsi="宋体" w:cs="宋体"/>
          <w:color w:val="auto"/>
          <w:sz w:val="24"/>
          <w:highlight w:val="none"/>
        </w:rPr>
        <w:t>（2）如供应商为事业单位，可以提供事业单位机构编制管理证扫描件或事业单位机构为其发放工资的工资条扫描件代替养老保险证明扫描件；</w:t>
      </w:r>
    </w:p>
    <w:p w14:paraId="438540CD">
      <w:pPr>
        <w:spacing w:line="380" w:lineRule="exact"/>
        <w:ind w:firstLine="480"/>
        <w:rPr>
          <w:rFonts w:hint="eastAsia" w:ascii="宋体" w:hAnsi="宋体" w:cs="宋体"/>
          <w:color w:val="auto"/>
          <w:sz w:val="24"/>
          <w:highlight w:val="none"/>
        </w:rPr>
      </w:pPr>
      <w:r>
        <w:rPr>
          <w:rFonts w:hint="eastAsia" w:ascii="宋体" w:hAnsi="宋体" w:cs="宋体"/>
          <w:color w:val="auto"/>
          <w:sz w:val="24"/>
          <w:highlight w:val="none"/>
        </w:rPr>
        <w:t>（3）如委托代理人为免缴纳养老保险人员，提供免缴纳养老保险的证明材料扫描件及供应商与委托代理人签订的劳动合同扫描件代替养老保险证明扫描件。</w:t>
      </w:r>
    </w:p>
    <w:p w14:paraId="44D1B4FE">
      <w:pPr>
        <w:pStyle w:val="18"/>
        <w:spacing w:line="380" w:lineRule="exact"/>
        <w:ind w:firstLine="480"/>
        <w:rPr>
          <w:rFonts w:hint="eastAsia"/>
          <w:color w:val="auto"/>
          <w:highlight w:val="none"/>
        </w:rPr>
      </w:pPr>
      <w:r>
        <w:rPr>
          <w:rFonts w:hint="eastAsia" w:ascii="宋体" w:hAnsi="宋体" w:cs="宋体"/>
          <w:color w:val="auto"/>
          <w:sz w:val="24"/>
          <w:highlight w:val="none"/>
        </w:rPr>
        <w:t>（4）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p>
    <w:p w14:paraId="2ABBA6A5">
      <w:pPr>
        <w:spacing w:line="380" w:lineRule="exact"/>
        <w:ind w:firstLine="480"/>
        <w:rPr>
          <w:rFonts w:hint="eastAsia" w:ascii="宋体" w:cs="宋体"/>
          <w:b/>
          <w:bCs/>
          <w:color w:val="auto"/>
          <w:sz w:val="24"/>
          <w:highlight w:val="none"/>
        </w:rPr>
      </w:pPr>
      <w:r>
        <w:rPr>
          <w:rFonts w:hint="eastAsia" w:ascii="宋体" w:hAnsi="宋体" w:cs="宋体"/>
          <w:b/>
          <w:bCs/>
          <w:color w:val="auto"/>
          <w:sz w:val="24"/>
          <w:highlight w:val="none"/>
        </w:rPr>
        <w:t>【属自然人的应提供由县级以上（含县级）社会养老保险经办机构出具的自然人本人及委托代理人所缴纳的响应文件递交截止时间前三个月内任意一个月养老保险证明扫描件，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r>
        <w:rPr>
          <w:rFonts w:hint="eastAsia" w:ascii="宋体" w:hAnsi="宋体" w:cs="宋体"/>
          <w:color w:val="auto"/>
          <w:sz w:val="24"/>
          <w:highlight w:val="none"/>
        </w:rPr>
        <w:t>】</w:t>
      </w:r>
      <w:r>
        <w:rPr>
          <w:rFonts w:hint="eastAsia" w:ascii="宋体" w:hAnsi="宋体" w:cs="宋体"/>
          <w:b/>
          <w:bCs/>
          <w:color w:val="auto"/>
          <w:sz w:val="24"/>
          <w:highlight w:val="none"/>
        </w:rPr>
        <w:t>（委托代理时必须提供；如为联合体的，授权委托书原件须由牵头人出具）；</w:t>
      </w:r>
    </w:p>
    <w:p w14:paraId="32147E1B">
      <w:pPr>
        <w:spacing w:line="380" w:lineRule="exact"/>
        <w:ind w:firstLine="480"/>
        <w:rPr>
          <w:rFonts w:ascii="宋体" w:cs="宋体"/>
          <w:b/>
          <w:bCs/>
          <w:color w:val="auto"/>
          <w:sz w:val="24"/>
          <w:highlight w:val="none"/>
        </w:rPr>
      </w:pPr>
      <w:r>
        <w:rPr>
          <w:rFonts w:hint="eastAsia" w:ascii="宋体" w:hAnsi="宋体" w:cs="宋体"/>
          <w:color w:val="auto"/>
          <w:sz w:val="24"/>
          <w:highlight w:val="none"/>
        </w:rPr>
        <w:t>3.供应商参加政府采购活动前</w:t>
      </w:r>
      <w:r>
        <w:rPr>
          <w:rFonts w:ascii="宋体" w:hAnsi="宋体" w:cs="宋体"/>
          <w:color w:val="auto"/>
          <w:sz w:val="24"/>
          <w:highlight w:val="none"/>
        </w:rPr>
        <w:t>3</w:t>
      </w:r>
      <w:r>
        <w:rPr>
          <w:rFonts w:hint="eastAsia" w:ascii="宋体" w:hAnsi="宋体" w:cs="宋体"/>
          <w:color w:val="auto"/>
          <w:sz w:val="24"/>
          <w:highlight w:val="none"/>
        </w:rPr>
        <w:t>年内在经营活动中没有重大违法记录及有关信用信息的书面声明</w:t>
      </w:r>
      <w:r>
        <w:rPr>
          <w:rFonts w:hint="eastAsia" w:ascii="宋体" w:hAnsi="宋体" w:cs="宋体"/>
          <w:b/>
          <w:bCs/>
          <w:color w:val="auto"/>
          <w:sz w:val="24"/>
          <w:highlight w:val="none"/>
        </w:rPr>
        <w:t>（必须提供，自然人除外）；</w:t>
      </w:r>
    </w:p>
    <w:p w14:paraId="3E94C221">
      <w:pPr>
        <w:spacing w:line="380" w:lineRule="exact"/>
        <w:ind w:firstLine="480"/>
        <w:rPr>
          <w:rFonts w:hint="eastAsia" w:ascii="宋体" w:hAnsi="宋体" w:cs="宋体"/>
          <w:b/>
          <w:bCs/>
          <w:color w:val="auto"/>
          <w:sz w:val="24"/>
          <w:highlight w:val="none"/>
        </w:rPr>
      </w:pPr>
      <w:r>
        <w:rPr>
          <w:rFonts w:hint="eastAsia" w:ascii="宋体" w:hAnsi="宋体" w:cs="宋体"/>
          <w:color w:val="auto"/>
          <w:sz w:val="24"/>
          <w:highlight w:val="none"/>
        </w:rPr>
        <w:t>4.供应商的法人或者其他组织营业执照等证明文件扫描件（</w:t>
      </w:r>
      <w:r>
        <w:rPr>
          <w:rFonts w:hint="eastAsia" w:ascii="宋体" w:hAnsi="宋体" w:cs="宋体"/>
          <w:b/>
          <w:bCs/>
          <w:color w:val="auto"/>
          <w:sz w:val="24"/>
          <w:highlight w:val="none"/>
        </w:rPr>
        <w:t>必须提供，自然人除外）；</w:t>
      </w:r>
    </w:p>
    <w:p w14:paraId="6E17BBE8">
      <w:pPr>
        <w:numPr>
          <w:ilvl w:val="0"/>
          <w:numId w:val="0"/>
        </w:numPr>
        <w:spacing w:line="380" w:lineRule="exact"/>
        <w:ind w:firstLine="480"/>
        <w:rPr>
          <w:rFonts w:hint="eastAsia"/>
          <w:color w:val="auto"/>
          <w:highlight w:val="none"/>
        </w:rPr>
      </w:pPr>
      <w:r>
        <w:rPr>
          <w:rFonts w:hint="eastAsia" w:ascii="宋体" w:hAnsi="宋体" w:cs="宋体"/>
          <w:b/>
          <w:bCs/>
          <w:color w:val="auto"/>
          <w:sz w:val="24"/>
          <w:highlight w:val="none"/>
        </w:rPr>
        <w:t>注：供应商为企业（包括合伙企业），应提供</w:t>
      </w:r>
      <w:r>
        <w:rPr>
          <w:rFonts w:hint="eastAsia" w:ascii="宋体" w:hAnsi="宋体" w:cs="宋体"/>
          <w:b/>
          <w:bCs/>
          <w:color w:val="auto"/>
          <w:sz w:val="24"/>
          <w:highlight w:val="none"/>
          <w:lang w:eastAsia="zh-CN"/>
        </w:rPr>
        <w:t>市场监管部门（登记机关）</w:t>
      </w:r>
      <w:r>
        <w:rPr>
          <w:rFonts w:hint="eastAsia" w:ascii="宋体" w:hAnsi="宋体" w:cs="宋体"/>
          <w:b/>
          <w:bCs/>
          <w:color w:val="auto"/>
          <w:sz w:val="24"/>
          <w:highlight w:val="none"/>
        </w:rPr>
        <w:t>注册的有效“企业法人营业执照”或“营业执照；供应商为事业单位，应提供有效的“事业单位法人证书”；供应商为非企业专业服务机构的，应提供执业许可证等证明文件；供应商为个体工商户，应提供有效的“个体工商户营业执照”。（所需材料均为扫描件）</w:t>
      </w:r>
    </w:p>
    <w:p w14:paraId="5D864415">
      <w:pPr>
        <w:spacing w:line="380" w:lineRule="exact"/>
        <w:ind w:firstLine="480"/>
        <w:rPr>
          <w:rFonts w:hint="eastAsia" w:ascii="宋体" w:hAnsi="宋体" w:cs="宋体"/>
          <w:color w:val="auto"/>
          <w:sz w:val="24"/>
          <w:highlight w:val="none"/>
        </w:rPr>
      </w:pPr>
      <w:r>
        <w:rPr>
          <w:rFonts w:hint="eastAsia" w:ascii="宋体" w:hAnsi="宋体" w:cs="宋体"/>
          <w:color w:val="auto"/>
          <w:sz w:val="24"/>
          <w:highlight w:val="none"/>
        </w:rPr>
        <w:t>5.财务状况报告</w:t>
      </w:r>
      <w:r>
        <w:rPr>
          <w:rFonts w:hint="eastAsia" w:ascii="宋体" w:hAnsi="宋体" w:cs="宋体"/>
          <w:b/>
          <w:bCs/>
          <w:color w:val="auto"/>
          <w:sz w:val="24"/>
          <w:highlight w:val="none"/>
        </w:rPr>
        <w:t>（格式自拟，必须提供）</w:t>
      </w:r>
      <w:r>
        <w:rPr>
          <w:rFonts w:hint="eastAsia" w:ascii="宋体" w:hAnsi="宋体" w:cs="宋体"/>
          <w:color w:val="auto"/>
          <w:sz w:val="24"/>
          <w:highlight w:val="none"/>
        </w:rPr>
        <w:t>；</w:t>
      </w:r>
    </w:p>
    <w:p w14:paraId="09D41C87">
      <w:pPr>
        <w:spacing w:line="380" w:lineRule="exact"/>
        <w:ind w:firstLine="480"/>
        <w:rPr>
          <w:rFonts w:hint="eastAsia" w:ascii="宋体" w:hAnsi="宋体" w:cs="宋体"/>
          <w:color w:val="auto"/>
          <w:sz w:val="24"/>
          <w:highlight w:val="none"/>
        </w:rPr>
      </w:pPr>
      <w:r>
        <w:rPr>
          <w:rFonts w:hint="eastAsia" w:ascii="宋体" w:hAnsi="宋体" w:cs="宋体"/>
          <w:color w:val="auto"/>
          <w:sz w:val="24"/>
          <w:highlight w:val="none"/>
        </w:rPr>
        <w:t>6.供应商截止开标时间前近半年内任意一个月或任一季度依法缴纳税收的证明材料【增值税发票(税收完税证明)或企业所得税完税证明或税务部门出具的免税证明或税务部门出具的无欠税证明】扫描件</w:t>
      </w:r>
      <w:r>
        <w:rPr>
          <w:rFonts w:hint="eastAsia" w:ascii="宋体" w:hAnsi="宋体" w:cs="宋体"/>
          <w:b/>
          <w:bCs/>
          <w:color w:val="auto"/>
          <w:sz w:val="24"/>
          <w:highlight w:val="none"/>
        </w:rPr>
        <w:t>（必须提供）；</w:t>
      </w:r>
    </w:p>
    <w:p w14:paraId="3C883428">
      <w:pPr>
        <w:spacing w:line="380" w:lineRule="exact"/>
        <w:ind w:firstLine="480"/>
        <w:rPr>
          <w:rFonts w:hint="eastAsia" w:ascii="宋体" w:hAnsi="宋体" w:cs="宋体"/>
          <w:b/>
          <w:bCs/>
          <w:color w:val="auto"/>
          <w:sz w:val="24"/>
          <w:highlight w:val="none"/>
        </w:rPr>
      </w:pPr>
      <w:r>
        <w:rPr>
          <w:rFonts w:hint="eastAsia" w:ascii="宋体" w:hAnsi="宋体" w:cs="宋体"/>
          <w:b/>
          <w:bCs/>
          <w:color w:val="auto"/>
          <w:sz w:val="24"/>
          <w:highlight w:val="none"/>
        </w:rPr>
        <w:t>供应商提供的以上相关证明材料属于“必须提供”的文件应加盖供应商公章（CA签章）/自然人签字或加盖个人CA签章，否则响应无效。</w:t>
      </w:r>
    </w:p>
    <w:p w14:paraId="1C6F849E">
      <w:pPr>
        <w:spacing w:line="440" w:lineRule="atLeast"/>
        <w:rPr>
          <w:rFonts w:hint="eastAsia" w:ascii="宋体" w:hAnsi="宋体"/>
          <w:b/>
          <w:color w:val="auto"/>
          <w:sz w:val="28"/>
          <w:szCs w:val="28"/>
          <w:highlight w:val="none"/>
        </w:rPr>
      </w:pPr>
    </w:p>
    <w:p w14:paraId="74843F3F">
      <w:pPr>
        <w:spacing w:line="440" w:lineRule="atLeast"/>
        <w:rPr>
          <w:rFonts w:hint="eastAsia" w:ascii="宋体" w:hAnsi="宋体"/>
          <w:b/>
          <w:color w:val="auto"/>
          <w:sz w:val="28"/>
          <w:szCs w:val="28"/>
          <w:highlight w:val="none"/>
        </w:rPr>
      </w:pPr>
    </w:p>
    <w:p w14:paraId="2F288A19">
      <w:pPr>
        <w:spacing w:line="440" w:lineRule="atLeast"/>
        <w:rPr>
          <w:rFonts w:hint="eastAsia" w:ascii="宋体" w:hAnsi="宋体"/>
          <w:b/>
          <w:color w:val="auto"/>
          <w:sz w:val="28"/>
          <w:szCs w:val="28"/>
          <w:highlight w:val="none"/>
        </w:rPr>
      </w:pPr>
    </w:p>
    <w:p w14:paraId="0B0D500B">
      <w:pPr>
        <w:spacing w:line="440" w:lineRule="atLeast"/>
        <w:rPr>
          <w:rFonts w:ascii="宋体"/>
          <w:b/>
          <w:color w:val="auto"/>
          <w:sz w:val="28"/>
          <w:szCs w:val="28"/>
          <w:highlight w:val="none"/>
        </w:rPr>
      </w:pPr>
      <w:r>
        <w:rPr>
          <w:rFonts w:hint="eastAsia" w:ascii="宋体" w:hAnsi="宋体"/>
          <w:b/>
          <w:color w:val="auto"/>
          <w:sz w:val="28"/>
          <w:szCs w:val="28"/>
          <w:highlight w:val="none"/>
        </w:rPr>
        <w:t>1</w:t>
      </w:r>
      <w:r>
        <w:rPr>
          <w:rFonts w:ascii="宋体" w:hAnsi="宋体"/>
          <w:b/>
          <w:color w:val="auto"/>
          <w:sz w:val="28"/>
          <w:szCs w:val="28"/>
          <w:highlight w:val="none"/>
        </w:rPr>
        <w:t>.</w:t>
      </w:r>
      <w:r>
        <w:rPr>
          <w:rFonts w:hint="eastAsia" w:ascii="宋体" w:hAnsi="宋体"/>
          <w:b/>
          <w:color w:val="auto"/>
          <w:sz w:val="28"/>
          <w:szCs w:val="28"/>
          <w:highlight w:val="none"/>
        </w:rPr>
        <w:t>供应商相应的法定代表人、负责人、自然人身份证正反两面扫描件（必须提供）；</w:t>
      </w:r>
    </w:p>
    <w:p w14:paraId="247A4A90">
      <w:pPr>
        <w:spacing w:line="440" w:lineRule="atLeast"/>
        <w:rPr>
          <w:rFonts w:hint="eastAsia" w:ascii="宋体" w:hAnsi="宋体"/>
          <w:b/>
          <w:color w:val="auto"/>
          <w:sz w:val="28"/>
          <w:szCs w:val="28"/>
          <w:highlight w:val="none"/>
        </w:rPr>
      </w:pPr>
    </w:p>
    <w:p w14:paraId="418DB396">
      <w:pPr>
        <w:spacing w:line="400" w:lineRule="exact"/>
        <w:rPr>
          <w:rFonts w:hint="eastAsia" w:ascii="宋体" w:hAnsi="宋体"/>
          <w:b/>
          <w:color w:val="auto"/>
          <w:sz w:val="28"/>
          <w:szCs w:val="28"/>
          <w:highlight w:val="none"/>
        </w:rPr>
      </w:pPr>
      <w:r>
        <w:rPr>
          <w:rFonts w:hint="eastAsia" w:ascii="宋体" w:hAnsi="宋体"/>
          <w:b/>
          <w:color w:val="auto"/>
          <w:sz w:val="28"/>
          <w:szCs w:val="28"/>
          <w:highlight w:val="none"/>
        </w:rPr>
        <w:t>2.供应商的授权委托书原件、委托代理人身份证正反面扫描件以及由县级以上（含县级）社会养老保险经办机构出具的供应商为委托代理人缴纳的响应文件递交截止时间前三个月内任意一个月养老保险证明扫描件，除供应商为以下四种情形的：</w:t>
      </w:r>
    </w:p>
    <w:p w14:paraId="5DFA2506">
      <w:pPr>
        <w:spacing w:line="400" w:lineRule="exact"/>
        <w:rPr>
          <w:rFonts w:hint="eastAsia" w:ascii="宋体" w:hAnsi="宋体"/>
          <w:b/>
          <w:color w:val="auto"/>
          <w:sz w:val="28"/>
          <w:szCs w:val="28"/>
          <w:highlight w:val="none"/>
        </w:rPr>
      </w:pPr>
      <w:r>
        <w:rPr>
          <w:rFonts w:hint="eastAsia" w:ascii="宋体" w:hAnsi="宋体"/>
          <w:b/>
          <w:color w:val="auto"/>
          <w:sz w:val="28"/>
          <w:szCs w:val="28"/>
          <w:highlight w:val="none"/>
        </w:rPr>
        <w:t>（1） 如供应商为截标时间前60日以内成立的公司，可以提供供应商与委托代理人签订的劳动合同扫描件代替养老保险证明扫描件；</w:t>
      </w:r>
    </w:p>
    <w:p w14:paraId="27F812A2">
      <w:pPr>
        <w:spacing w:line="400" w:lineRule="exact"/>
        <w:rPr>
          <w:rFonts w:ascii="宋体" w:hAnsi="宋体"/>
          <w:b/>
          <w:color w:val="auto"/>
          <w:sz w:val="28"/>
          <w:szCs w:val="28"/>
          <w:highlight w:val="none"/>
        </w:rPr>
      </w:pPr>
      <w:r>
        <w:rPr>
          <w:rFonts w:hint="eastAsia" w:ascii="宋体" w:hAnsi="宋体"/>
          <w:b/>
          <w:color w:val="auto"/>
          <w:sz w:val="28"/>
          <w:szCs w:val="28"/>
          <w:highlight w:val="none"/>
        </w:rPr>
        <w:t>（2）如供应商为事业单位，可以提供事业单位机构编制管理证扫描件或事业单位机构为其发放工资的工资条扫描件代替养老保险证明扫描件；</w:t>
      </w:r>
    </w:p>
    <w:p w14:paraId="022EDD60">
      <w:pPr>
        <w:spacing w:line="400" w:lineRule="exact"/>
        <w:rPr>
          <w:rFonts w:hint="eastAsia" w:ascii="宋体" w:hAnsi="宋体"/>
          <w:b/>
          <w:color w:val="auto"/>
          <w:sz w:val="28"/>
          <w:szCs w:val="28"/>
          <w:highlight w:val="none"/>
        </w:rPr>
      </w:pPr>
      <w:r>
        <w:rPr>
          <w:rFonts w:hint="eastAsia" w:ascii="宋体" w:hAnsi="宋体"/>
          <w:b/>
          <w:color w:val="auto"/>
          <w:sz w:val="28"/>
          <w:szCs w:val="28"/>
          <w:highlight w:val="none"/>
        </w:rPr>
        <w:t>（3）如委托代理人为免缴纳养老保险人员，提供免缴纳养老保险的证明材料扫描件及供应商与委托代理人签订的劳动合同扫描件代替养老保险证明扫描件。</w:t>
      </w:r>
    </w:p>
    <w:p w14:paraId="5D905C32">
      <w:pPr>
        <w:spacing w:line="400" w:lineRule="exact"/>
        <w:rPr>
          <w:rFonts w:hint="eastAsia" w:ascii="宋体" w:hAnsi="宋体"/>
          <w:b/>
          <w:color w:val="auto"/>
          <w:sz w:val="28"/>
          <w:szCs w:val="28"/>
          <w:highlight w:val="none"/>
        </w:rPr>
      </w:pPr>
      <w:bookmarkStart w:id="975" w:name="_Toc27419"/>
      <w:bookmarkStart w:id="976" w:name="_Toc930"/>
      <w:bookmarkStart w:id="977" w:name="_Toc27755"/>
      <w:r>
        <w:rPr>
          <w:rFonts w:hint="eastAsia" w:ascii="宋体" w:hAnsi="宋体"/>
          <w:b/>
          <w:color w:val="auto"/>
          <w:sz w:val="28"/>
          <w:szCs w:val="28"/>
          <w:highlight w:val="none"/>
        </w:rPr>
        <w:t>（4）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bookmarkEnd w:id="975"/>
      <w:bookmarkEnd w:id="976"/>
      <w:bookmarkEnd w:id="977"/>
    </w:p>
    <w:p w14:paraId="02AC4B44">
      <w:pPr>
        <w:spacing w:line="400" w:lineRule="exact"/>
        <w:rPr>
          <w:rFonts w:hint="eastAsia" w:ascii="宋体" w:hAnsi="宋体"/>
          <w:b/>
          <w:color w:val="auto"/>
          <w:sz w:val="28"/>
          <w:szCs w:val="28"/>
          <w:highlight w:val="none"/>
        </w:rPr>
      </w:pPr>
      <w:r>
        <w:rPr>
          <w:rFonts w:hint="eastAsia" w:ascii="宋体" w:hAnsi="宋体"/>
          <w:b/>
          <w:color w:val="auto"/>
          <w:sz w:val="28"/>
          <w:szCs w:val="28"/>
          <w:highlight w:val="none"/>
        </w:rPr>
        <w:t>【属自然人的应提供由县级以上（含县级）社会养老保险经办机构出具的自然人本人及委托代理人所缴纳的响应文件递交截止时间前三个月内任意一个月养老保险证明扫描件，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委托代理时必须提供；如为联合体的，授权委托书原件须由牵头人出具）</w:t>
      </w:r>
    </w:p>
    <w:p w14:paraId="1E97F3BE">
      <w:pPr>
        <w:pStyle w:val="21"/>
        <w:rPr>
          <w:rFonts w:hint="eastAsia" w:hAnsi="宋体"/>
          <w:b/>
          <w:color w:val="auto"/>
          <w:sz w:val="32"/>
          <w:highlight w:val="none"/>
        </w:rPr>
      </w:pPr>
    </w:p>
    <w:p w14:paraId="6E996F37">
      <w:pPr>
        <w:pStyle w:val="21"/>
        <w:rPr>
          <w:rFonts w:hint="eastAsia" w:hAnsi="宋体"/>
          <w:b/>
          <w:color w:val="auto"/>
          <w:sz w:val="32"/>
          <w:highlight w:val="none"/>
        </w:rPr>
      </w:pPr>
    </w:p>
    <w:p w14:paraId="1C972BD6">
      <w:pPr>
        <w:pStyle w:val="21"/>
        <w:rPr>
          <w:rFonts w:hint="eastAsia" w:hAnsi="宋体"/>
          <w:b/>
          <w:color w:val="auto"/>
          <w:sz w:val="32"/>
          <w:highlight w:val="none"/>
        </w:rPr>
      </w:pPr>
    </w:p>
    <w:p w14:paraId="1E7DB378">
      <w:pPr>
        <w:pStyle w:val="21"/>
        <w:rPr>
          <w:rFonts w:hint="eastAsia" w:hAnsi="宋体"/>
          <w:b/>
          <w:color w:val="auto"/>
          <w:sz w:val="32"/>
          <w:highlight w:val="none"/>
        </w:rPr>
      </w:pPr>
    </w:p>
    <w:p w14:paraId="569F00DD">
      <w:pPr>
        <w:rPr>
          <w:rFonts w:hint="eastAsia"/>
          <w:color w:val="auto"/>
          <w:highlight w:val="none"/>
        </w:rPr>
      </w:pPr>
    </w:p>
    <w:p w14:paraId="0532CBB4">
      <w:pPr>
        <w:rPr>
          <w:rFonts w:hint="eastAsia"/>
          <w:color w:val="auto"/>
          <w:highlight w:val="none"/>
        </w:rPr>
      </w:pPr>
    </w:p>
    <w:p w14:paraId="29354C33">
      <w:pPr>
        <w:rPr>
          <w:rFonts w:hint="eastAsia"/>
          <w:color w:val="auto"/>
          <w:highlight w:val="none"/>
        </w:rPr>
      </w:pPr>
    </w:p>
    <w:p w14:paraId="0D61033A">
      <w:pPr>
        <w:rPr>
          <w:rFonts w:hint="eastAsia"/>
          <w:color w:val="auto"/>
          <w:highlight w:val="none"/>
        </w:rPr>
      </w:pPr>
    </w:p>
    <w:p w14:paraId="2A073B7F">
      <w:pPr>
        <w:rPr>
          <w:rFonts w:hint="eastAsia"/>
          <w:color w:val="auto"/>
          <w:highlight w:val="none"/>
        </w:rPr>
      </w:pPr>
    </w:p>
    <w:p w14:paraId="4FD414E2">
      <w:pPr>
        <w:rPr>
          <w:rFonts w:hint="eastAsia"/>
          <w:color w:val="auto"/>
          <w:highlight w:val="none"/>
        </w:rPr>
      </w:pPr>
    </w:p>
    <w:p w14:paraId="584102D2">
      <w:pPr>
        <w:pStyle w:val="21"/>
        <w:rPr>
          <w:rFonts w:hint="eastAsia" w:hAnsi="宋体"/>
          <w:b/>
          <w:color w:val="auto"/>
          <w:sz w:val="32"/>
          <w:highlight w:val="none"/>
        </w:rPr>
      </w:pPr>
    </w:p>
    <w:p w14:paraId="7893BCC2">
      <w:pPr>
        <w:pStyle w:val="21"/>
        <w:rPr>
          <w:rFonts w:hint="eastAsia" w:hAnsi="宋体"/>
          <w:b/>
          <w:color w:val="auto"/>
          <w:sz w:val="32"/>
          <w:highlight w:val="none"/>
        </w:rPr>
      </w:pPr>
    </w:p>
    <w:p w14:paraId="6EF8F057">
      <w:pPr>
        <w:pStyle w:val="21"/>
        <w:rPr>
          <w:rFonts w:hint="eastAsia" w:hAnsi="宋体"/>
          <w:b/>
          <w:color w:val="auto"/>
          <w:sz w:val="32"/>
          <w:highlight w:val="none"/>
        </w:rPr>
      </w:pPr>
    </w:p>
    <w:p w14:paraId="283E405E">
      <w:pPr>
        <w:pStyle w:val="21"/>
        <w:rPr>
          <w:rFonts w:hint="eastAsia" w:hAnsi="宋体"/>
          <w:b/>
          <w:color w:val="auto"/>
          <w:sz w:val="32"/>
          <w:highlight w:val="none"/>
        </w:rPr>
      </w:pPr>
    </w:p>
    <w:p w14:paraId="0B6BE056">
      <w:pPr>
        <w:pStyle w:val="21"/>
        <w:rPr>
          <w:rFonts w:hAnsi="宋体"/>
          <w:b/>
          <w:color w:val="auto"/>
          <w:sz w:val="32"/>
          <w:highlight w:val="none"/>
        </w:rPr>
      </w:pPr>
      <w:r>
        <w:rPr>
          <w:rFonts w:hint="eastAsia" w:hAnsi="宋体"/>
          <w:b/>
          <w:color w:val="auto"/>
          <w:sz w:val="32"/>
          <w:highlight w:val="none"/>
        </w:rPr>
        <w:t>附件：</w:t>
      </w:r>
      <w:r>
        <w:rPr>
          <w:rFonts w:hAnsi="宋体"/>
          <w:b/>
          <w:color w:val="auto"/>
          <w:sz w:val="32"/>
          <w:highlight w:val="none"/>
        </w:rPr>
        <w:t xml:space="preserve">            </w:t>
      </w:r>
    </w:p>
    <w:p w14:paraId="6DE522E5">
      <w:pPr>
        <w:pStyle w:val="21"/>
        <w:ind w:firstLine="627"/>
        <w:jc w:val="center"/>
        <w:rPr>
          <w:rFonts w:hAnsi="宋体"/>
          <w:b/>
          <w:color w:val="auto"/>
          <w:sz w:val="32"/>
          <w:highlight w:val="none"/>
        </w:rPr>
      </w:pPr>
      <w:bookmarkStart w:id="978" w:name="_Toc964_WPSOffice_Level1"/>
      <w:bookmarkStart w:id="979" w:name="_Toc5420_WPSOffice_Level1"/>
      <w:r>
        <w:rPr>
          <w:rFonts w:hint="eastAsia" w:hAnsi="宋体"/>
          <w:b/>
          <w:color w:val="auto"/>
          <w:sz w:val="32"/>
          <w:highlight w:val="none"/>
        </w:rPr>
        <w:t>授权委托书（格式一）</w:t>
      </w:r>
      <w:bookmarkEnd w:id="978"/>
      <w:bookmarkEnd w:id="979"/>
    </w:p>
    <w:p w14:paraId="5B925A10">
      <w:pPr>
        <w:pStyle w:val="21"/>
        <w:rPr>
          <w:rFonts w:hAnsi="宋体"/>
          <w:color w:val="auto"/>
          <w:highlight w:val="none"/>
        </w:rPr>
      </w:pPr>
    </w:p>
    <w:p w14:paraId="57067510">
      <w:pPr>
        <w:spacing w:line="400" w:lineRule="exact"/>
        <w:rPr>
          <w:rFonts w:ascii="宋体"/>
          <w:color w:val="auto"/>
          <w:highlight w:val="none"/>
        </w:rPr>
      </w:pPr>
      <w:r>
        <w:rPr>
          <w:rFonts w:hint="eastAsia" w:ascii="宋体" w:hAnsi="宋体"/>
          <w:color w:val="auto"/>
          <w:szCs w:val="21"/>
          <w:highlight w:val="none"/>
        </w:rPr>
        <w:t>致：</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桂林市政府集中采购中心 </w:t>
      </w:r>
    </w:p>
    <w:p w14:paraId="56942AD5">
      <w:pPr>
        <w:spacing w:line="400" w:lineRule="exact"/>
        <w:rPr>
          <w:rFonts w:ascii="宋体"/>
          <w:color w:val="auto"/>
          <w:szCs w:val="21"/>
          <w:highlight w:val="none"/>
        </w:rPr>
      </w:pPr>
    </w:p>
    <w:p w14:paraId="043A31CD">
      <w:pPr>
        <w:pStyle w:val="21"/>
        <w:spacing w:line="400" w:lineRule="exact"/>
        <w:ind w:firstLine="420"/>
        <w:rPr>
          <w:rFonts w:hint="eastAsia" w:hAnsi="宋体" w:cs="宋体"/>
          <w:color w:val="auto"/>
          <w:sz w:val="21"/>
          <w:highlight w:val="none"/>
        </w:rPr>
      </w:pPr>
      <w:r>
        <w:rPr>
          <w:rFonts w:hint="eastAsia" w:hAnsi="宋体" w:cs="宋体"/>
          <w:color w:val="auto"/>
          <w:sz w:val="21"/>
          <w:highlight w:val="none"/>
        </w:rPr>
        <w:t>我</w:t>
      </w:r>
      <w:r>
        <w:rPr>
          <w:rFonts w:hint="eastAsia" w:hAnsi="宋体" w:cs="宋体"/>
          <w:color w:val="auto"/>
          <w:sz w:val="21"/>
          <w:highlight w:val="none"/>
          <w:u w:val="single"/>
        </w:rPr>
        <w:t xml:space="preserve">              </w:t>
      </w:r>
      <w:r>
        <w:rPr>
          <w:rFonts w:hint="eastAsia" w:hAnsi="宋体" w:cs="宋体"/>
          <w:color w:val="auto"/>
          <w:sz w:val="21"/>
          <w:highlight w:val="none"/>
        </w:rPr>
        <w:t>（姓名）系</w:t>
      </w:r>
      <w:r>
        <w:rPr>
          <w:rFonts w:hint="eastAsia" w:hAnsi="宋体" w:cs="宋体"/>
          <w:color w:val="auto"/>
          <w:sz w:val="21"/>
          <w:highlight w:val="none"/>
          <w:u w:val="single"/>
        </w:rPr>
        <w:t xml:space="preserve">                              </w:t>
      </w:r>
      <w:r>
        <w:rPr>
          <w:rFonts w:hint="eastAsia" w:hAnsi="宋体" w:cs="宋体"/>
          <w:color w:val="auto"/>
          <w:sz w:val="21"/>
          <w:highlight w:val="none"/>
        </w:rPr>
        <w:t>（供应商名称）的法定代表人（负责人），现授权委托本单位在职职工</w:t>
      </w:r>
      <w:r>
        <w:rPr>
          <w:rFonts w:hint="eastAsia" w:hAnsi="宋体" w:cs="宋体"/>
          <w:color w:val="auto"/>
          <w:sz w:val="21"/>
          <w:highlight w:val="none"/>
          <w:u w:val="single"/>
        </w:rPr>
        <w:t xml:space="preserve">            </w:t>
      </w:r>
      <w:r>
        <w:rPr>
          <w:rFonts w:hint="eastAsia" w:hAnsi="宋体" w:cs="宋体"/>
          <w:color w:val="auto"/>
          <w:sz w:val="21"/>
          <w:highlight w:val="none"/>
        </w:rPr>
        <w:t>（姓 名）以我公司名义参加</w:t>
      </w:r>
      <w:r>
        <w:rPr>
          <w:rFonts w:hint="eastAsia" w:hAnsi="宋体" w:cs="宋体"/>
          <w:color w:val="auto"/>
          <w:sz w:val="21"/>
          <w:highlight w:val="none"/>
          <w:u w:val="single"/>
        </w:rPr>
        <w:t xml:space="preserve">      （项目名称及项目编号）        </w:t>
      </w:r>
      <w:r>
        <w:rPr>
          <w:rFonts w:hint="eastAsia" w:hAnsi="宋体" w:cs="宋体"/>
          <w:color w:val="auto"/>
          <w:sz w:val="21"/>
          <w:highlight w:val="none"/>
        </w:rPr>
        <w:t>项目的谈判活动，并代表我方全权办理针对上述项目的谈判、签约等具体事务和签署相关文件。</w:t>
      </w:r>
    </w:p>
    <w:p w14:paraId="332801B1">
      <w:pPr>
        <w:pStyle w:val="21"/>
        <w:spacing w:line="400" w:lineRule="exact"/>
        <w:ind w:firstLine="420"/>
        <w:rPr>
          <w:rFonts w:hint="eastAsia" w:hAnsi="宋体" w:cs="宋体"/>
          <w:color w:val="auto"/>
          <w:sz w:val="21"/>
          <w:highlight w:val="none"/>
        </w:rPr>
      </w:pPr>
      <w:r>
        <w:rPr>
          <w:rFonts w:hint="eastAsia" w:hAnsi="宋体" w:cs="宋体"/>
          <w:color w:val="auto"/>
          <w:sz w:val="21"/>
          <w:highlight w:val="none"/>
        </w:rPr>
        <w:t>我方对被授权人的签字事项负全部责任。</w:t>
      </w:r>
    </w:p>
    <w:p w14:paraId="487BD894">
      <w:pPr>
        <w:pStyle w:val="21"/>
        <w:spacing w:line="400" w:lineRule="exact"/>
        <w:ind w:firstLine="420"/>
        <w:rPr>
          <w:rFonts w:hint="eastAsia" w:hAnsi="宋体" w:cs="宋体"/>
          <w:color w:val="auto"/>
          <w:sz w:val="21"/>
          <w:highlight w:val="none"/>
          <w:u w:val="single"/>
        </w:rPr>
      </w:pPr>
      <w:r>
        <w:rPr>
          <w:rFonts w:hint="eastAsia" w:hAnsi="宋体" w:cs="宋体"/>
          <w:color w:val="auto"/>
          <w:sz w:val="21"/>
          <w:highlight w:val="none"/>
        </w:rPr>
        <w:t>授权委托代理期限：从</w:t>
      </w:r>
      <w:r>
        <w:rPr>
          <w:rFonts w:hint="eastAsia" w:hAnsi="宋体" w:cs="宋体"/>
          <w:color w:val="auto"/>
          <w:sz w:val="21"/>
          <w:highlight w:val="none"/>
          <w:u w:val="single"/>
        </w:rPr>
        <w:t xml:space="preserve">       </w:t>
      </w:r>
      <w:r>
        <w:rPr>
          <w:rFonts w:hint="eastAsia" w:hAnsi="宋体" w:cs="宋体"/>
          <w:color w:val="auto"/>
          <w:sz w:val="21"/>
          <w:highlight w:val="none"/>
        </w:rPr>
        <w:t>年</w:t>
      </w:r>
      <w:r>
        <w:rPr>
          <w:rFonts w:hint="eastAsia" w:hAnsi="宋体" w:cs="宋体"/>
          <w:color w:val="auto"/>
          <w:sz w:val="21"/>
          <w:highlight w:val="none"/>
          <w:u w:val="single"/>
        </w:rPr>
        <w:t xml:space="preserve">     </w:t>
      </w:r>
      <w:r>
        <w:rPr>
          <w:rFonts w:hint="eastAsia" w:hAnsi="宋体" w:cs="宋体"/>
          <w:color w:val="auto"/>
          <w:sz w:val="21"/>
          <w:highlight w:val="none"/>
        </w:rPr>
        <w:t xml:space="preserve">月 </w:t>
      </w:r>
      <w:r>
        <w:rPr>
          <w:rFonts w:hint="eastAsia" w:hAnsi="宋体" w:cs="宋体"/>
          <w:color w:val="auto"/>
          <w:sz w:val="21"/>
          <w:highlight w:val="none"/>
          <w:u w:val="single"/>
        </w:rPr>
        <w:t xml:space="preserve">    </w:t>
      </w:r>
      <w:r>
        <w:rPr>
          <w:rFonts w:hint="eastAsia" w:hAnsi="宋体" w:cs="宋体"/>
          <w:color w:val="auto"/>
          <w:sz w:val="21"/>
          <w:highlight w:val="none"/>
        </w:rPr>
        <w:t xml:space="preserve"> 日起至</w:t>
      </w:r>
      <w:r>
        <w:rPr>
          <w:rFonts w:hint="eastAsia" w:hAnsi="宋体" w:cs="宋体"/>
          <w:color w:val="auto"/>
          <w:sz w:val="21"/>
          <w:highlight w:val="none"/>
          <w:u w:val="single"/>
        </w:rPr>
        <w:t xml:space="preserve">         </w:t>
      </w:r>
      <w:r>
        <w:rPr>
          <w:rFonts w:hint="eastAsia" w:hAnsi="宋体" w:cs="宋体"/>
          <w:color w:val="auto"/>
          <w:sz w:val="21"/>
          <w:highlight w:val="none"/>
        </w:rPr>
        <w:t>年</w:t>
      </w:r>
      <w:r>
        <w:rPr>
          <w:rFonts w:hint="eastAsia" w:hAnsi="宋体" w:cs="宋体"/>
          <w:color w:val="auto"/>
          <w:sz w:val="21"/>
          <w:highlight w:val="none"/>
          <w:u w:val="single"/>
        </w:rPr>
        <w:t xml:space="preserve">     </w:t>
      </w:r>
      <w:r>
        <w:rPr>
          <w:rFonts w:hint="eastAsia" w:hAnsi="宋体" w:cs="宋体"/>
          <w:color w:val="auto"/>
          <w:sz w:val="21"/>
          <w:highlight w:val="none"/>
        </w:rPr>
        <w:t xml:space="preserve">月 </w:t>
      </w:r>
      <w:r>
        <w:rPr>
          <w:rFonts w:hint="eastAsia" w:hAnsi="宋体" w:cs="宋体"/>
          <w:color w:val="auto"/>
          <w:sz w:val="21"/>
          <w:highlight w:val="none"/>
          <w:u w:val="single"/>
        </w:rPr>
        <w:t xml:space="preserve">     </w:t>
      </w:r>
      <w:r>
        <w:rPr>
          <w:rFonts w:hint="eastAsia" w:hAnsi="宋体" w:cs="宋体"/>
          <w:color w:val="auto"/>
          <w:sz w:val="21"/>
          <w:highlight w:val="none"/>
        </w:rPr>
        <w:t>日止。</w:t>
      </w:r>
    </w:p>
    <w:p w14:paraId="78CF169D">
      <w:pPr>
        <w:pStyle w:val="21"/>
        <w:spacing w:line="400" w:lineRule="exact"/>
        <w:rPr>
          <w:rFonts w:hint="eastAsia" w:hAnsi="宋体" w:cs="宋体"/>
          <w:color w:val="auto"/>
          <w:sz w:val="21"/>
          <w:highlight w:val="none"/>
          <w:u w:val="single"/>
        </w:rPr>
      </w:pPr>
      <w:r>
        <w:rPr>
          <w:rFonts w:hint="eastAsia" w:hAnsi="宋体" w:cs="宋体"/>
          <w:color w:val="auto"/>
          <w:sz w:val="21"/>
          <w:highlight w:val="none"/>
        </w:rPr>
        <w:t xml:space="preserve">                                                                                             </w:t>
      </w:r>
    </w:p>
    <w:p w14:paraId="331B506A">
      <w:pPr>
        <w:spacing w:line="40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代理人无转委托权,特此委托。 </w:t>
      </w:r>
    </w:p>
    <w:p w14:paraId="479908BE">
      <w:pPr>
        <w:spacing w:line="400" w:lineRule="exact"/>
        <w:ind w:firstLine="525"/>
        <w:rPr>
          <w:rFonts w:hint="eastAsia" w:ascii="宋体" w:hAnsi="宋体" w:cs="宋体"/>
          <w:color w:val="auto"/>
          <w:szCs w:val="21"/>
          <w:highlight w:val="none"/>
        </w:rPr>
      </w:pPr>
    </w:p>
    <w:p w14:paraId="27A663F7">
      <w:pPr>
        <w:spacing w:line="40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我已在下面签字，以资证明。</w:t>
      </w:r>
    </w:p>
    <w:p w14:paraId="6FDF41A8">
      <w:pPr>
        <w:spacing w:line="400" w:lineRule="exact"/>
        <w:ind w:firstLine="420"/>
        <w:rPr>
          <w:rFonts w:ascii="宋体"/>
          <w:color w:val="auto"/>
          <w:szCs w:val="21"/>
          <w:highlight w:val="none"/>
        </w:rPr>
      </w:pPr>
    </w:p>
    <w:p w14:paraId="2688A323">
      <w:pPr>
        <w:spacing w:line="400" w:lineRule="exact"/>
        <w:ind w:firstLine="420"/>
        <w:rPr>
          <w:rFonts w:ascii="宋体"/>
          <w:color w:val="auto"/>
          <w:szCs w:val="21"/>
          <w:highlight w:val="none"/>
        </w:rPr>
      </w:pPr>
    </w:p>
    <w:p w14:paraId="4C9918CD">
      <w:pPr>
        <w:spacing w:line="400" w:lineRule="exact"/>
        <w:ind w:firstLine="420"/>
        <w:rPr>
          <w:rFonts w:ascii="宋体" w:hAnsi="宋体" w:cs="宋体"/>
          <w:color w:val="auto"/>
          <w:szCs w:val="21"/>
          <w:highlight w:val="none"/>
          <w:u w:val="single"/>
        </w:rPr>
      </w:pPr>
      <w:r>
        <w:rPr>
          <w:rFonts w:hint="eastAsia" w:ascii="宋体" w:hAnsi="宋体" w:cs="宋体"/>
          <w:color w:val="auto"/>
          <w:szCs w:val="21"/>
          <w:highlight w:val="none"/>
        </w:rPr>
        <w:t>供应商[公章（CA签章）]：</w:t>
      </w:r>
      <w:r>
        <w:rPr>
          <w:rFonts w:hint="eastAsia" w:ascii="宋体" w:hAnsi="宋体" w:cs="宋体"/>
          <w:color w:val="auto"/>
          <w:szCs w:val="21"/>
          <w:highlight w:val="none"/>
          <w:u w:val="single"/>
        </w:rPr>
        <w:t xml:space="preserve">                                   </w:t>
      </w:r>
    </w:p>
    <w:p w14:paraId="2797F478">
      <w:pPr>
        <w:spacing w:line="400" w:lineRule="exact"/>
        <w:ind w:firstLine="420"/>
        <w:rPr>
          <w:rFonts w:ascii="宋体" w:hAnsi="宋体" w:cs="宋体"/>
          <w:color w:val="auto"/>
          <w:szCs w:val="21"/>
          <w:highlight w:val="none"/>
        </w:rPr>
      </w:pPr>
    </w:p>
    <w:p w14:paraId="0BD9AB85">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法定代表人（负责人）签字（或个人CA签章）：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7527BB43">
      <w:pPr>
        <w:spacing w:line="400" w:lineRule="exact"/>
        <w:ind w:firstLine="420"/>
        <w:rPr>
          <w:rFonts w:ascii="宋体"/>
          <w:color w:val="auto"/>
          <w:szCs w:val="21"/>
          <w:highlight w:val="none"/>
        </w:rPr>
      </w:pPr>
    </w:p>
    <w:p w14:paraId="71C71B6A">
      <w:pPr>
        <w:spacing w:line="400" w:lineRule="exact"/>
        <w:ind w:firstLine="600"/>
        <w:rPr>
          <w:rFonts w:ascii="宋体" w:hAnsi="宋体" w:cs="宋体"/>
          <w:b/>
          <w:color w:val="auto"/>
          <w:sz w:val="24"/>
          <w:highlight w:val="none"/>
        </w:rPr>
      </w:pPr>
      <w:r>
        <w:rPr>
          <w:rFonts w:hint="eastAsia" w:ascii="宋体" w:hAnsi="宋体" w:cs="宋体"/>
          <w:b/>
          <w:color w:val="auto"/>
          <w:sz w:val="24"/>
          <w:highlight w:val="none"/>
        </w:rPr>
        <w:t>注：</w:t>
      </w:r>
      <w:r>
        <w:rPr>
          <w:rFonts w:hint="eastAsia" w:ascii="宋体" w:hAnsi="宋体" w:cs="宋体"/>
          <w:b/>
          <w:color w:val="auto"/>
          <w:sz w:val="24"/>
          <w:highlight w:val="none"/>
          <w:lang w:eastAsia="zh-CN"/>
        </w:rPr>
        <w:t>供应商</w:t>
      </w:r>
      <w:r>
        <w:rPr>
          <w:rFonts w:hint="eastAsia" w:ascii="宋体" w:hAnsi="宋体" w:cs="宋体"/>
          <w:b/>
          <w:color w:val="auto"/>
          <w:sz w:val="24"/>
          <w:highlight w:val="none"/>
        </w:rPr>
        <w:t>的授权委托书原件、委托代理人身份证正反面扫描件加盖电子签章以及由县级以上（含县级）社会养老保险经办机构出具的</w:t>
      </w:r>
      <w:r>
        <w:rPr>
          <w:rFonts w:hint="eastAsia" w:ascii="宋体" w:hAnsi="宋体" w:cs="宋体"/>
          <w:b/>
          <w:color w:val="auto"/>
          <w:sz w:val="24"/>
          <w:highlight w:val="none"/>
          <w:lang w:eastAsia="zh-CN"/>
        </w:rPr>
        <w:t>供应商</w:t>
      </w:r>
      <w:r>
        <w:rPr>
          <w:rFonts w:hint="eastAsia" w:ascii="宋体" w:hAnsi="宋体" w:cs="宋体"/>
          <w:b/>
          <w:color w:val="auto"/>
          <w:sz w:val="24"/>
          <w:highlight w:val="none"/>
        </w:rPr>
        <w:t>为委托代理人缴纳的开标截止时间前三个月内任意一个月养老保险证明扫描件加盖电子签章（如</w:t>
      </w:r>
      <w:r>
        <w:rPr>
          <w:rFonts w:hint="eastAsia" w:ascii="宋体" w:hAnsi="宋体" w:cs="宋体"/>
          <w:b/>
          <w:color w:val="auto"/>
          <w:sz w:val="24"/>
          <w:highlight w:val="none"/>
          <w:lang w:eastAsia="zh-CN"/>
        </w:rPr>
        <w:t>供应商</w:t>
      </w:r>
      <w:r>
        <w:rPr>
          <w:rFonts w:hint="eastAsia" w:ascii="宋体" w:hAnsi="宋体" w:cs="宋体"/>
          <w:b/>
          <w:color w:val="auto"/>
          <w:sz w:val="24"/>
          <w:highlight w:val="none"/>
        </w:rPr>
        <w:t>为截标时间前60日以内成立的公司，可以提供</w:t>
      </w:r>
      <w:r>
        <w:rPr>
          <w:rFonts w:hint="eastAsia" w:ascii="宋体" w:hAnsi="宋体" w:cs="宋体"/>
          <w:b/>
          <w:color w:val="auto"/>
          <w:sz w:val="24"/>
          <w:highlight w:val="none"/>
          <w:lang w:eastAsia="zh-CN"/>
        </w:rPr>
        <w:t>供应商</w:t>
      </w:r>
      <w:r>
        <w:rPr>
          <w:rFonts w:hint="eastAsia" w:ascii="宋体" w:hAnsi="宋体" w:cs="宋体"/>
          <w:b/>
          <w:color w:val="auto"/>
          <w:sz w:val="24"/>
          <w:highlight w:val="none"/>
        </w:rPr>
        <w:t>与委托代理人签订的劳动合同扫描件加盖电子签章代替养老保险证明扫描件加盖电子签章；如</w:t>
      </w:r>
      <w:r>
        <w:rPr>
          <w:rFonts w:hint="eastAsia" w:ascii="宋体" w:hAnsi="宋体" w:cs="宋体"/>
          <w:b/>
          <w:color w:val="auto"/>
          <w:sz w:val="24"/>
          <w:highlight w:val="none"/>
          <w:lang w:eastAsia="zh-CN"/>
        </w:rPr>
        <w:t>供应商</w:t>
      </w:r>
      <w:r>
        <w:rPr>
          <w:rFonts w:hint="eastAsia" w:ascii="宋体" w:hAnsi="宋体" w:cs="宋体"/>
          <w:b/>
          <w:color w:val="auto"/>
          <w:sz w:val="24"/>
          <w:highlight w:val="none"/>
        </w:rPr>
        <w:t>为事业单位，可以提供事业单位机构编制管理证扫描件加盖电子签章或事业单位机构为其发放工资的工资条扫描件加盖电子签章代替养老保险证明扫描件加盖电子签章；如委托代理人为免缴纳养老保险人员，提供免缴纳养老保险的证明材料扫描件加盖电子签章及</w:t>
      </w:r>
      <w:r>
        <w:rPr>
          <w:rFonts w:hint="eastAsia" w:ascii="宋体" w:hAnsi="宋体" w:cs="宋体"/>
          <w:b/>
          <w:color w:val="auto"/>
          <w:sz w:val="24"/>
          <w:highlight w:val="none"/>
          <w:lang w:eastAsia="zh-CN"/>
        </w:rPr>
        <w:t>供应商</w:t>
      </w:r>
      <w:r>
        <w:rPr>
          <w:rFonts w:hint="eastAsia" w:ascii="宋体" w:hAnsi="宋体" w:cs="宋体"/>
          <w:b/>
          <w:color w:val="auto"/>
          <w:sz w:val="24"/>
          <w:highlight w:val="none"/>
        </w:rPr>
        <w:t>与委托代理人签订的劳动合同扫描件加盖电子签章代替养老保险证明扫描件加盖电子签章；如因社会养老保险经办机构系统升级等原因，暂时无法向</w:t>
      </w:r>
      <w:r>
        <w:rPr>
          <w:rFonts w:hint="eastAsia" w:ascii="宋体" w:hAnsi="宋体" w:cs="宋体"/>
          <w:b/>
          <w:color w:val="auto"/>
          <w:sz w:val="24"/>
          <w:highlight w:val="none"/>
          <w:lang w:eastAsia="zh-CN"/>
        </w:rPr>
        <w:t>供应商</w:t>
      </w:r>
      <w:r>
        <w:rPr>
          <w:rFonts w:hint="eastAsia" w:ascii="宋体" w:hAnsi="宋体" w:cs="宋体"/>
          <w:b/>
          <w:color w:val="auto"/>
          <w:sz w:val="24"/>
          <w:highlight w:val="none"/>
        </w:rPr>
        <w:t>提供社会养老保险缴纳情况查询服务时，</w:t>
      </w:r>
      <w:r>
        <w:rPr>
          <w:rFonts w:hint="eastAsia" w:ascii="宋体" w:hAnsi="宋体" w:cs="宋体"/>
          <w:b/>
          <w:color w:val="auto"/>
          <w:sz w:val="24"/>
          <w:highlight w:val="none"/>
          <w:lang w:eastAsia="zh-CN"/>
        </w:rPr>
        <w:t>供应商</w:t>
      </w:r>
      <w:r>
        <w:rPr>
          <w:rFonts w:hint="eastAsia" w:ascii="宋体" w:hAnsi="宋体" w:cs="宋体"/>
          <w:b/>
          <w:color w:val="auto"/>
          <w:sz w:val="24"/>
          <w:highlight w:val="none"/>
        </w:rPr>
        <w:t>可以提供已为委托代理人缴纳社会养老保险的承诺书，须同时提供无法查询的相关证明材料，包括但不限于查询网站截图、公告等。）（委托代理时必须提供）。</w:t>
      </w:r>
    </w:p>
    <w:p w14:paraId="7A865A97">
      <w:pPr>
        <w:spacing w:line="400" w:lineRule="exact"/>
        <w:rPr>
          <w:rFonts w:hint="eastAsia" w:ascii="宋体" w:hAnsi="宋体"/>
          <w:b/>
          <w:color w:val="auto"/>
          <w:szCs w:val="21"/>
          <w:highlight w:val="none"/>
        </w:rPr>
      </w:pPr>
    </w:p>
    <w:p w14:paraId="6B1528BD">
      <w:pPr>
        <w:rPr>
          <w:color w:val="auto"/>
          <w:highlight w:val="none"/>
        </w:rPr>
      </w:pPr>
    </w:p>
    <w:p w14:paraId="63426A49">
      <w:pPr>
        <w:pStyle w:val="21"/>
        <w:jc w:val="center"/>
        <w:rPr>
          <w:rFonts w:hint="eastAsia" w:hAnsi="宋体"/>
          <w:b/>
          <w:color w:val="auto"/>
          <w:sz w:val="32"/>
          <w:highlight w:val="none"/>
        </w:rPr>
      </w:pPr>
    </w:p>
    <w:p w14:paraId="096F34C0">
      <w:pPr>
        <w:pStyle w:val="21"/>
        <w:jc w:val="center"/>
        <w:rPr>
          <w:rFonts w:hint="eastAsia" w:hAnsi="宋体"/>
          <w:b/>
          <w:color w:val="auto"/>
          <w:sz w:val="32"/>
          <w:highlight w:val="none"/>
        </w:rPr>
      </w:pPr>
      <w:bookmarkStart w:id="980" w:name="_Toc21370_WPSOffice_Level1"/>
      <w:bookmarkStart w:id="981" w:name="_Toc6975_WPSOffice_Level1"/>
    </w:p>
    <w:p w14:paraId="6BBB58ED">
      <w:pPr>
        <w:pStyle w:val="21"/>
        <w:jc w:val="center"/>
        <w:rPr>
          <w:rFonts w:hAnsi="宋体"/>
          <w:b/>
          <w:color w:val="auto"/>
          <w:sz w:val="32"/>
          <w:highlight w:val="none"/>
        </w:rPr>
      </w:pPr>
      <w:r>
        <w:rPr>
          <w:rFonts w:hint="eastAsia" w:hAnsi="宋体"/>
          <w:b/>
          <w:color w:val="auto"/>
          <w:sz w:val="32"/>
          <w:highlight w:val="none"/>
        </w:rPr>
        <w:t>授权委托书（格式二）</w:t>
      </w:r>
      <w:bookmarkEnd w:id="980"/>
      <w:bookmarkEnd w:id="981"/>
    </w:p>
    <w:p w14:paraId="7F1FEFFB">
      <w:pPr>
        <w:spacing w:line="400" w:lineRule="exact"/>
        <w:rPr>
          <w:rFonts w:ascii="宋体" w:hAnsi="宋体" w:cs="宋体"/>
          <w:color w:val="auto"/>
          <w:highlight w:val="none"/>
        </w:rPr>
      </w:pPr>
      <w:r>
        <w:rPr>
          <w:rFonts w:hint="eastAsia" w:ascii="宋体" w:hAnsi="宋体" w:cs="宋体"/>
          <w:b/>
          <w:color w:val="auto"/>
          <w:szCs w:val="21"/>
          <w:highlight w:val="none"/>
        </w:rPr>
        <w:t>致</w:t>
      </w:r>
      <w:r>
        <w:rPr>
          <w:rFonts w:hint="eastAsia" w:ascii="宋体" w:hAnsi="宋体" w:cs="宋体"/>
          <w:color w:val="auto"/>
          <w:szCs w:val="21"/>
          <w:highlight w:val="none"/>
        </w:rPr>
        <w:t>：</w:t>
      </w:r>
      <w:r>
        <w:rPr>
          <w:rFonts w:hint="eastAsia" w:ascii="宋体" w:hAnsi="宋体" w:cs="宋体"/>
          <w:color w:val="auto"/>
          <w:highlight w:val="none"/>
          <w:u w:val="single"/>
        </w:rPr>
        <w:t>桂林市政府集中采购中心</w:t>
      </w:r>
    </w:p>
    <w:p w14:paraId="227C8C3D">
      <w:pPr>
        <w:spacing w:line="400" w:lineRule="exact"/>
        <w:rPr>
          <w:rFonts w:ascii="宋体" w:hAnsi="宋体" w:cs="宋体"/>
          <w:color w:val="auto"/>
          <w:szCs w:val="21"/>
          <w:highlight w:val="none"/>
          <w:u w:val="single"/>
        </w:rPr>
      </w:pPr>
    </w:p>
    <w:p w14:paraId="27EF179F">
      <w:pPr>
        <w:pStyle w:val="21"/>
        <w:spacing w:line="340" w:lineRule="exact"/>
        <w:ind w:firstLine="420"/>
        <w:rPr>
          <w:rFonts w:hAnsi="宋体" w:cs="宋体"/>
          <w:color w:val="auto"/>
          <w:sz w:val="21"/>
          <w:highlight w:val="none"/>
        </w:rPr>
      </w:pPr>
      <w:r>
        <w:rPr>
          <w:rFonts w:hint="eastAsia" w:hAnsi="宋体" w:cs="宋体"/>
          <w:color w:val="auto"/>
          <w:sz w:val="21"/>
          <w:highlight w:val="none"/>
        </w:rPr>
        <w:t>我</w:t>
      </w:r>
      <w:r>
        <w:rPr>
          <w:rFonts w:hint="eastAsia" w:hAnsi="宋体" w:cs="宋体"/>
          <w:color w:val="auto"/>
          <w:sz w:val="21"/>
          <w:highlight w:val="none"/>
          <w:u w:val="single"/>
        </w:rPr>
        <w:t xml:space="preserve">              </w:t>
      </w:r>
      <w:r>
        <w:rPr>
          <w:rFonts w:hint="eastAsia" w:hAnsi="宋体" w:cs="宋体"/>
          <w:color w:val="auto"/>
          <w:sz w:val="21"/>
          <w:highlight w:val="none"/>
        </w:rPr>
        <w:t>（姓名）系自然人，现授权委托</w:t>
      </w:r>
      <w:r>
        <w:rPr>
          <w:rFonts w:hint="eastAsia" w:hAnsi="宋体" w:cs="宋体"/>
          <w:color w:val="auto"/>
          <w:sz w:val="21"/>
          <w:highlight w:val="none"/>
          <w:u w:val="single"/>
        </w:rPr>
        <w:t xml:space="preserve">            </w:t>
      </w:r>
      <w:r>
        <w:rPr>
          <w:rFonts w:hint="eastAsia" w:hAnsi="宋体" w:cs="宋体"/>
          <w:color w:val="auto"/>
          <w:sz w:val="21"/>
          <w:highlight w:val="none"/>
        </w:rPr>
        <w:t>（姓 名），身份证号码：</w:t>
      </w:r>
      <w:r>
        <w:rPr>
          <w:rFonts w:hint="eastAsia" w:hAnsi="宋体" w:cs="宋体"/>
          <w:color w:val="auto"/>
          <w:sz w:val="21"/>
          <w:highlight w:val="none"/>
          <w:u w:val="single"/>
        </w:rPr>
        <w:t xml:space="preserve">              </w:t>
      </w:r>
      <w:r>
        <w:rPr>
          <w:rFonts w:hint="eastAsia" w:hAnsi="宋体" w:cs="宋体"/>
          <w:color w:val="auto"/>
          <w:sz w:val="21"/>
          <w:highlight w:val="none"/>
        </w:rPr>
        <w:t>以本人名义参加</w:t>
      </w:r>
      <w:r>
        <w:rPr>
          <w:rFonts w:hint="eastAsia" w:hAnsi="宋体" w:cs="宋体"/>
          <w:color w:val="auto"/>
          <w:sz w:val="21"/>
          <w:highlight w:val="none"/>
          <w:u w:val="single"/>
        </w:rPr>
        <w:t xml:space="preserve">      （项目名称及项目编号）        </w:t>
      </w:r>
      <w:r>
        <w:rPr>
          <w:rFonts w:hint="eastAsia" w:hAnsi="宋体" w:cs="宋体"/>
          <w:color w:val="auto"/>
          <w:sz w:val="21"/>
          <w:highlight w:val="none"/>
        </w:rPr>
        <w:t>项目的投标活动，并代表本人全权办理针对上述项目的投标、开标、评标、签约等具体事务和签署相关文件。</w:t>
      </w:r>
    </w:p>
    <w:p w14:paraId="62CBEA35">
      <w:pPr>
        <w:pStyle w:val="21"/>
        <w:spacing w:line="340" w:lineRule="exact"/>
        <w:ind w:firstLine="420"/>
        <w:rPr>
          <w:rFonts w:hAnsi="宋体" w:cs="宋体"/>
          <w:color w:val="auto"/>
          <w:sz w:val="21"/>
          <w:highlight w:val="none"/>
        </w:rPr>
      </w:pPr>
      <w:r>
        <w:rPr>
          <w:rFonts w:hint="eastAsia" w:hAnsi="宋体" w:cs="宋体"/>
          <w:color w:val="auto"/>
          <w:sz w:val="21"/>
          <w:highlight w:val="none"/>
        </w:rPr>
        <w:t>本人对被授权人的签字事项负全部责任。</w:t>
      </w:r>
    </w:p>
    <w:p w14:paraId="44223ED2">
      <w:pPr>
        <w:pStyle w:val="21"/>
        <w:spacing w:line="400" w:lineRule="exact"/>
        <w:ind w:firstLine="420"/>
        <w:rPr>
          <w:rFonts w:hAnsi="宋体" w:cs="宋体"/>
          <w:color w:val="auto"/>
          <w:sz w:val="21"/>
          <w:highlight w:val="none"/>
          <w:u w:val="single"/>
        </w:rPr>
      </w:pPr>
      <w:r>
        <w:rPr>
          <w:rFonts w:hint="eastAsia" w:hAnsi="宋体" w:cs="宋体"/>
          <w:color w:val="auto"/>
          <w:sz w:val="21"/>
          <w:highlight w:val="none"/>
        </w:rPr>
        <w:t>授权委托代理期限：自即日起至该项目政府采购活动结束。</w:t>
      </w:r>
    </w:p>
    <w:p w14:paraId="73C10F51">
      <w:pPr>
        <w:pStyle w:val="21"/>
        <w:spacing w:line="340" w:lineRule="exact"/>
        <w:ind w:firstLine="400"/>
        <w:rPr>
          <w:rFonts w:hAnsi="宋体" w:cs="宋体"/>
          <w:color w:val="auto"/>
          <w:highlight w:val="none"/>
          <w:u w:val="single"/>
        </w:rPr>
      </w:pPr>
    </w:p>
    <w:p w14:paraId="4EFCEA5D">
      <w:pPr>
        <w:pStyle w:val="21"/>
        <w:spacing w:line="340" w:lineRule="exact"/>
        <w:rPr>
          <w:rFonts w:hAnsi="宋体" w:cs="宋体"/>
          <w:color w:val="auto"/>
          <w:highlight w:val="none"/>
          <w:u w:val="single"/>
        </w:rPr>
      </w:pPr>
      <w:r>
        <w:rPr>
          <w:rFonts w:hint="eastAsia" w:hAnsi="宋体" w:cs="宋体"/>
          <w:color w:val="auto"/>
          <w:highlight w:val="none"/>
        </w:rPr>
        <w:t xml:space="preserve">                                                                                             </w:t>
      </w:r>
    </w:p>
    <w:p w14:paraId="6882946C">
      <w:pPr>
        <w:spacing w:line="340" w:lineRule="exact"/>
        <w:ind w:firstLine="420"/>
        <w:rPr>
          <w:rFonts w:ascii="宋体" w:hAnsi="宋体" w:cs="宋体"/>
          <w:color w:val="auto"/>
          <w:highlight w:val="none"/>
        </w:rPr>
      </w:pPr>
      <w:r>
        <w:rPr>
          <w:rFonts w:hint="eastAsia" w:ascii="宋体" w:hAnsi="宋体" w:cs="宋体"/>
          <w:color w:val="auto"/>
          <w:highlight w:val="none"/>
        </w:rPr>
        <w:t xml:space="preserve">代理人无转委托权,特此委托。 </w:t>
      </w:r>
    </w:p>
    <w:p w14:paraId="1AD14CE9">
      <w:pPr>
        <w:spacing w:line="340" w:lineRule="exact"/>
        <w:ind w:firstLine="525"/>
        <w:rPr>
          <w:rFonts w:ascii="宋体" w:hAnsi="宋体" w:cs="宋体"/>
          <w:color w:val="auto"/>
          <w:szCs w:val="21"/>
          <w:highlight w:val="none"/>
        </w:rPr>
      </w:pPr>
    </w:p>
    <w:p w14:paraId="4C161171">
      <w:pPr>
        <w:spacing w:line="340" w:lineRule="exact"/>
        <w:ind w:firstLine="420"/>
        <w:rPr>
          <w:rFonts w:ascii="宋体" w:hAnsi="宋体" w:cs="宋体"/>
          <w:color w:val="auto"/>
          <w:szCs w:val="21"/>
          <w:highlight w:val="none"/>
        </w:rPr>
      </w:pPr>
      <w:r>
        <w:rPr>
          <w:rFonts w:hint="eastAsia" w:ascii="宋体" w:hAnsi="宋体" w:cs="宋体"/>
          <w:color w:val="auto"/>
          <w:szCs w:val="21"/>
          <w:highlight w:val="none"/>
        </w:rPr>
        <w:t>我已在下面签字，以资证明。</w:t>
      </w:r>
    </w:p>
    <w:p w14:paraId="334486FF">
      <w:pPr>
        <w:spacing w:line="340" w:lineRule="exact"/>
        <w:ind w:firstLine="420"/>
        <w:rPr>
          <w:rFonts w:ascii="宋体" w:hAnsi="宋体" w:cs="宋体"/>
          <w:color w:val="auto"/>
          <w:szCs w:val="21"/>
          <w:highlight w:val="none"/>
        </w:rPr>
      </w:pPr>
    </w:p>
    <w:p w14:paraId="3512A8FB">
      <w:pPr>
        <w:spacing w:line="340" w:lineRule="exact"/>
        <w:ind w:firstLine="420"/>
        <w:rPr>
          <w:rFonts w:ascii="宋体" w:hAnsi="宋体" w:cs="宋体"/>
          <w:color w:val="auto"/>
          <w:szCs w:val="21"/>
          <w:highlight w:val="none"/>
        </w:rPr>
      </w:pPr>
      <w:r>
        <w:rPr>
          <w:rFonts w:hint="eastAsia" w:ascii="宋体" w:hAnsi="宋体" w:cs="宋体"/>
          <w:color w:val="auto"/>
          <w:szCs w:val="21"/>
          <w:highlight w:val="none"/>
        </w:rPr>
        <w:t>自然人签字并在签名处加盖大拇指指印或个人CA签章：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3CD89C5D">
      <w:pPr>
        <w:spacing w:line="340" w:lineRule="exact"/>
        <w:ind w:firstLine="420"/>
        <w:rPr>
          <w:rFonts w:hint="eastAsia" w:ascii="宋体" w:hAnsi="宋体" w:cs="宋体"/>
          <w:color w:val="auto"/>
          <w:szCs w:val="21"/>
          <w:highlight w:val="none"/>
        </w:rPr>
      </w:pPr>
    </w:p>
    <w:p w14:paraId="447FE65F">
      <w:pPr>
        <w:spacing w:line="340" w:lineRule="exact"/>
        <w:ind w:firstLine="420"/>
        <w:rPr>
          <w:rFonts w:hint="eastAsia" w:ascii="宋体" w:hAnsi="宋体" w:cs="宋体"/>
          <w:color w:val="auto"/>
          <w:szCs w:val="21"/>
          <w:highlight w:val="none"/>
        </w:rPr>
      </w:pPr>
    </w:p>
    <w:p w14:paraId="272412D1">
      <w:pPr>
        <w:spacing w:line="340" w:lineRule="exact"/>
        <w:ind w:firstLine="420"/>
        <w:rPr>
          <w:rFonts w:hint="eastAsia" w:ascii="宋体" w:hAnsi="宋体" w:cs="宋体"/>
          <w:color w:val="auto"/>
          <w:szCs w:val="21"/>
          <w:highlight w:val="none"/>
        </w:rPr>
      </w:pPr>
    </w:p>
    <w:p w14:paraId="31082B80">
      <w:pPr>
        <w:spacing w:line="340" w:lineRule="exact"/>
        <w:ind w:firstLine="420"/>
        <w:rPr>
          <w:rFonts w:hint="eastAsia" w:ascii="宋体" w:hAnsi="宋体" w:cs="宋体"/>
          <w:color w:val="auto"/>
          <w:szCs w:val="21"/>
          <w:highlight w:val="none"/>
        </w:rPr>
      </w:pPr>
    </w:p>
    <w:p w14:paraId="0D861994">
      <w:pPr>
        <w:spacing w:line="340" w:lineRule="exact"/>
        <w:ind w:firstLine="420"/>
        <w:rPr>
          <w:rFonts w:hint="eastAsia" w:ascii="宋体" w:hAnsi="宋体" w:cs="宋体"/>
          <w:color w:val="auto"/>
          <w:szCs w:val="21"/>
          <w:highlight w:val="none"/>
        </w:rPr>
      </w:pPr>
    </w:p>
    <w:p w14:paraId="324285A8">
      <w:pPr>
        <w:spacing w:line="340" w:lineRule="exact"/>
        <w:ind w:firstLine="420"/>
        <w:rPr>
          <w:rFonts w:hint="eastAsia" w:ascii="宋体" w:hAnsi="宋体" w:cs="宋体"/>
          <w:color w:val="auto"/>
          <w:szCs w:val="21"/>
          <w:highlight w:val="none"/>
        </w:rPr>
      </w:pPr>
    </w:p>
    <w:p w14:paraId="2DC5ABEE">
      <w:pPr>
        <w:pStyle w:val="21"/>
        <w:spacing w:line="340" w:lineRule="exact"/>
        <w:rPr>
          <w:b/>
          <w:color w:val="auto"/>
          <w:sz w:val="28"/>
          <w:szCs w:val="28"/>
          <w:highlight w:val="none"/>
        </w:rPr>
      </w:pPr>
      <w:r>
        <w:rPr>
          <w:rFonts w:hint="eastAsia"/>
          <w:b/>
          <w:color w:val="auto"/>
          <w:sz w:val="28"/>
          <w:szCs w:val="28"/>
          <w:highlight w:val="none"/>
        </w:rPr>
        <w:br w:type="page" w:clear="all"/>
      </w:r>
      <w:r>
        <w:rPr>
          <w:rFonts w:hint="eastAsia"/>
          <w:b/>
          <w:color w:val="auto"/>
          <w:sz w:val="28"/>
          <w:szCs w:val="28"/>
          <w:highlight w:val="none"/>
        </w:rPr>
        <w:t>3</w:t>
      </w:r>
      <w:r>
        <w:rPr>
          <w:b/>
          <w:color w:val="auto"/>
          <w:sz w:val="28"/>
          <w:szCs w:val="28"/>
          <w:highlight w:val="none"/>
        </w:rPr>
        <w:t>.</w:t>
      </w:r>
      <w:r>
        <w:rPr>
          <w:rFonts w:hint="eastAsia"/>
          <w:b/>
          <w:color w:val="auto"/>
          <w:sz w:val="28"/>
          <w:szCs w:val="28"/>
          <w:highlight w:val="none"/>
        </w:rPr>
        <w:t>供应商参加政府采购活动前</w:t>
      </w:r>
      <w:r>
        <w:rPr>
          <w:b/>
          <w:color w:val="auto"/>
          <w:sz w:val="28"/>
          <w:szCs w:val="28"/>
          <w:highlight w:val="none"/>
        </w:rPr>
        <w:t>3</w:t>
      </w:r>
      <w:r>
        <w:rPr>
          <w:rFonts w:hint="eastAsia"/>
          <w:b/>
          <w:color w:val="auto"/>
          <w:sz w:val="28"/>
          <w:szCs w:val="28"/>
          <w:highlight w:val="none"/>
        </w:rPr>
        <w:t>年内在经营活动中没有重大违法记录</w:t>
      </w:r>
      <w:r>
        <w:rPr>
          <w:rFonts w:hint="eastAsia" w:hAnsi="宋体"/>
          <w:b/>
          <w:color w:val="auto"/>
          <w:sz w:val="32"/>
          <w:szCs w:val="32"/>
          <w:highlight w:val="none"/>
        </w:rPr>
        <w:t>及</w:t>
      </w:r>
      <w:r>
        <w:rPr>
          <w:rFonts w:hint="eastAsia"/>
          <w:b/>
          <w:color w:val="auto"/>
          <w:sz w:val="28"/>
          <w:szCs w:val="28"/>
          <w:highlight w:val="none"/>
        </w:rPr>
        <w:t>有关信用信息的书面声明（必须提供）；</w:t>
      </w:r>
    </w:p>
    <w:p w14:paraId="242DA107">
      <w:pPr>
        <w:pStyle w:val="21"/>
        <w:spacing w:line="400" w:lineRule="exact"/>
        <w:ind w:left="420" w:firstLine="156"/>
        <w:rPr>
          <w:rFonts w:hAnsi="宋体"/>
          <w:b/>
          <w:color w:val="auto"/>
          <w:sz w:val="32"/>
          <w:szCs w:val="32"/>
          <w:highlight w:val="none"/>
        </w:rPr>
      </w:pPr>
      <w:r>
        <w:rPr>
          <w:rFonts w:hAnsi="宋体"/>
          <w:b/>
          <w:color w:val="auto"/>
          <w:sz w:val="32"/>
          <w:szCs w:val="32"/>
          <w:highlight w:val="none"/>
        </w:rPr>
        <w:t xml:space="preserve">                       </w:t>
      </w:r>
    </w:p>
    <w:p w14:paraId="63768D11">
      <w:pPr>
        <w:pStyle w:val="21"/>
        <w:spacing w:line="400" w:lineRule="exact"/>
        <w:ind w:left="420" w:firstLine="156"/>
        <w:rPr>
          <w:rFonts w:hAnsi="宋体"/>
          <w:b/>
          <w:color w:val="auto"/>
          <w:sz w:val="32"/>
          <w:szCs w:val="32"/>
          <w:highlight w:val="none"/>
        </w:rPr>
      </w:pPr>
      <w:r>
        <w:rPr>
          <w:rFonts w:hint="eastAsia" w:hAnsi="宋体"/>
          <w:b/>
          <w:color w:val="auto"/>
          <w:sz w:val="32"/>
          <w:szCs w:val="32"/>
          <w:highlight w:val="none"/>
        </w:rPr>
        <w:t>附件：</w:t>
      </w:r>
    </w:p>
    <w:p w14:paraId="44D6C1CA">
      <w:pPr>
        <w:pStyle w:val="21"/>
        <w:spacing w:line="400" w:lineRule="exact"/>
        <w:jc w:val="center"/>
        <w:rPr>
          <w:rFonts w:hAnsi="宋体"/>
          <w:b/>
          <w:color w:val="auto"/>
          <w:sz w:val="32"/>
          <w:szCs w:val="32"/>
          <w:highlight w:val="none"/>
        </w:rPr>
      </w:pPr>
      <w:bookmarkStart w:id="982" w:name="_Toc30304_WPSOffice_Level1"/>
      <w:bookmarkStart w:id="983" w:name="_Toc30890_WPSOffice_Level1"/>
      <w:r>
        <w:rPr>
          <w:rFonts w:hint="eastAsia" w:hAnsi="宋体"/>
          <w:b/>
          <w:color w:val="auto"/>
          <w:sz w:val="32"/>
          <w:szCs w:val="32"/>
          <w:highlight w:val="none"/>
        </w:rPr>
        <w:t>声</w:t>
      </w:r>
      <w:r>
        <w:rPr>
          <w:rFonts w:hAnsi="宋体"/>
          <w:b/>
          <w:color w:val="auto"/>
          <w:sz w:val="32"/>
          <w:szCs w:val="32"/>
          <w:highlight w:val="none"/>
        </w:rPr>
        <w:t xml:space="preserve">   </w:t>
      </w:r>
      <w:r>
        <w:rPr>
          <w:rFonts w:hint="eastAsia" w:hAnsi="宋体"/>
          <w:b/>
          <w:color w:val="auto"/>
          <w:sz w:val="32"/>
          <w:szCs w:val="32"/>
          <w:highlight w:val="none"/>
        </w:rPr>
        <w:t>明</w:t>
      </w:r>
      <w:bookmarkEnd w:id="982"/>
      <w:bookmarkEnd w:id="983"/>
    </w:p>
    <w:p w14:paraId="43765A24">
      <w:pPr>
        <w:spacing w:line="400" w:lineRule="exact"/>
        <w:rPr>
          <w:rFonts w:hint="eastAsia" w:ascii="宋体" w:hAnsi="宋体" w:cs="宋体"/>
          <w:color w:val="auto"/>
          <w:szCs w:val="21"/>
          <w:highlight w:val="none"/>
        </w:rPr>
      </w:pPr>
      <w:r>
        <w:rPr>
          <w:rFonts w:hint="eastAsia" w:ascii="宋体" w:hAnsi="宋体"/>
          <w:b/>
          <w:color w:val="auto"/>
          <w:szCs w:val="21"/>
          <w:highlight w:val="none"/>
        </w:rPr>
        <w:t>致</w:t>
      </w:r>
      <w:r>
        <w:rPr>
          <w:rFonts w:hint="eastAsia" w:ascii="宋体" w:hAnsi="宋体"/>
          <w:color w:val="auto"/>
          <w:szCs w:val="21"/>
          <w:highlight w:val="none"/>
        </w:rPr>
        <w:t>：</w:t>
      </w:r>
      <w:r>
        <w:rPr>
          <w:rFonts w:hint="eastAsia" w:ascii="宋体" w:hAnsi="宋体" w:cs="宋体"/>
          <w:color w:val="auto"/>
          <w:szCs w:val="21"/>
          <w:highlight w:val="none"/>
          <w:u w:val="single"/>
        </w:rPr>
        <w:t xml:space="preserve"> 桂林市政府集中采购中心 </w:t>
      </w:r>
    </w:p>
    <w:p w14:paraId="0DEBDD10">
      <w:pPr>
        <w:spacing w:line="400" w:lineRule="exact"/>
        <w:rPr>
          <w:rFonts w:hint="eastAsia" w:ascii="宋体" w:hAnsi="宋体" w:cs="宋体"/>
          <w:color w:val="auto"/>
          <w:szCs w:val="21"/>
          <w:highlight w:val="none"/>
          <w:u w:val="single"/>
        </w:rPr>
      </w:pPr>
    </w:p>
    <w:p w14:paraId="55FC458A">
      <w:pPr>
        <w:pStyle w:val="21"/>
        <w:spacing w:line="400" w:lineRule="exact"/>
        <w:ind w:firstLine="420"/>
        <w:rPr>
          <w:rFonts w:hint="eastAsia" w:hAnsi="宋体" w:cs="宋体"/>
          <w:color w:val="auto"/>
          <w:sz w:val="21"/>
          <w:highlight w:val="none"/>
        </w:rPr>
      </w:pPr>
      <w:r>
        <w:rPr>
          <w:rFonts w:hint="eastAsia" w:hAnsi="宋体" w:cs="宋体"/>
          <w:color w:val="auto"/>
          <w:sz w:val="21"/>
          <w:highlight w:val="none"/>
        </w:rPr>
        <w:t>我（公司）郑重声明，在参加本项目政府采购活动前3年内在经营活动中没有重大违法记录（重大违法记录是指供应商因违法经营受到刑事处罚或者责令停产停业、吊销许可证或者执照、较大数额罚款等行政处罚），未被列入失信被执行人、</w:t>
      </w:r>
      <w:r>
        <w:rPr>
          <w:rFonts w:hint="eastAsia" w:hAnsi="宋体" w:cs="宋体"/>
          <w:color w:val="auto"/>
          <w:sz w:val="21"/>
          <w:highlight w:val="none"/>
          <w:lang w:eastAsia="zh-CN"/>
        </w:rPr>
        <w:t>重大税收违法失信主体名单</w:t>
      </w:r>
      <w:r>
        <w:rPr>
          <w:rFonts w:hint="eastAsia" w:hAnsi="宋体" w:cs="宋体"/>
          <w:color w:val="auto"/>
          <w:sz w:val="21"/>
          <w:highlight w:val="none"/>
        </w:rPr>
        <w:t>、政府采购严重违法失信行为记录名单，完全符合《中华人民共和国政府采购法》第二十二条规定的供应商资格条件，我方对此声明负全部法律责任。</w:t>
      </w:r>
    </w:p>
    <w:p w14:paraId="198FA668">
      <w:pPr>
        <w:spacing w:line="400" w:lineRule="exact"/>
        <w:ind w:firstLine="420"/>
        <w:rPr>
          <w:rFonts w:ascii="宋体"/>
          <w:color w:val="auto"/>
          <w:szCs w:val="21"/>
          <w:highlight w:val="none"/>
        </w:rPr>
      </w:pPr>
    </w:p>
    <w:p w14:paraId="46767EFB">
      <w:pPr>
        <w:spacing w:line="400" w:lineRule="exact"/>
        <w:ind w:firstLine="1890"/>
        <w:rPr>
          <w:rFonts w:hint="eastAsia" w:hAnsi="宋体"/>
          <w:color w:val="auto"/>
          <w:highlight w:val="none"/>
        </w:rPr>
      </w:pPr>
      <w:r>
        <w:rPr>
          <w:rFonts w:hint="eastAsia" w:ascii="宋体" w:hAnsi="宋体" w:cs="宋体"/>
          <w:color w:val="auto"/>
          <w:szCs w:val="21"/>
          <w:highlight w:val="none"/>
        </w:rPr>
        <w:t>供应商[公章(CA签章)，自然人签字或个人CA签章]：</w:t>
      </w:r>
      <w:r>
        <w:rPr>
          <w:rFonts w:hint="eastAsia" w:ascii="宋体" w:hAnsi="宋体" w:cs="宋体"/>
          <w:color w:val="auto"/>
          <w:szCs w:val="21"/>
          <w:highlight w:val="none"/>
          <w:u w:val="single"/>
        </w:rPr>
        <w:t xml:space="preserve">                                         </w:t>
      </w:r>
    </w:p>
    <w:p w14:paraId="362905C1">
      <w:pPr>
        <w:pStyle w:val="21"/>
        <w:ind w:firstLine="3800"/>
        <w:rPr>
          <w:rFonts w:hint="eastAsia" w:hAnsi="宋体"/>
          <w:color w:val="auto"/>
          <w:highlight w:val="none"/>
        </w:rPr>
      </w:pPr>
    </w:p>
    <w:p w14:paraId="75266B57">
      <w:pPr>
        <w:pStyle w:val="21"/>
        <w:ind w:firstLine="5000"/>
        <w:rPr>
          <w:rFonts w:hAnsi="宋体"/>
          <w:color w:val="auto"/>
          <w:highlight w:val="none"/>
          <w:u w:val="single"/>
        </w:rPr>
      </w:pPr>
      <w:r>
        <w:rPr>
          <w:rFonts w:hint="eastAsia" w:hAnsi="宋体"/>
          <w:color w:val="auto"/>
          <w:highlight w:val="none"/>
        </w:rPr>
        <w:t>日</w:t>
      </w:r>
      <w:r>
        <w:rPr>
          <w:rFonts w:hAnsi="宋体"/>
          <w:color w:val="auto"/>
          <w:highlight w:val="none"/>
        </w:rPr>
        <w:t xml:space="preserve">          </w:t>
      </w:r>
      <w:r>
        <w:rPr>
          <w:rFonts w:hint="eastAsia" w:hAnsi="宋体"/>
          <w:color w:val="auto"/>
          <w:highlight w:val="none"/>
        </w:rPr>
        <w:t>期：</w:t>
      </w:r>
      <w:r>
        <w:rPr>
          <w:rFonts w:hAnsi="宋体"/>
          <w:color w:val="auto"/>
          <w:highlight w:val="none"/>
          <w:u w:val="single"/>
        </w:rPr>
        <w:t xml:space="preserve">    </w:t>
      </w:r>
      <w:r>
        <w:rPr>
          <w:rFonts w:hint="eastAsia" w:hAnsi="宋体"/>
          <w:color w:val="auto"/>
          <w:highlight w:val="none"/>
          <w:u w:val="single"/>
        </w:rPr>
        <w:t xml:space="preserve">   </w:t>
      </w:r>
      <w:r>
        <w:rPr>
          <w:rFonts w:hAnsi="宋体"/>
          <w:color w:val="auto"/>
          <w:highlight w:val="none"/>
          <w:u w:val="single"/>
        </w:rPr>
        <w:t xml:space="preserve">    </w:t>
      </w:r>
      <w:r>
        <w:rPr>
          <w:rFonts w:hint="eastAsia" w:hAnsi="宋体"/>
          <w:color w:val="auto"/>
          <w:highlight w:val="none"/>
          <w:u w:val="single"/>
        </w:rPr>
        <w:t xml:space="preserve">                 </w:t>
      </w:r>
      <w:r>
        <w:rPr>
          <w:rFonts w:hAnsi="宋体"/>
          <w:color w:val="auto"/>
          <w:highlight w:val="none"/>
          <w:u w:val="single"/>
        </w:rPr>
        <w:t xml:space="preserve">  </w:t>
      </w:r>
    </w:p>
    <w:p w14:paraId="5A1B8265">
      <w:pPr>
        <w:spacing w:line="400" w:lineRule="exact"/>
        <w:ind w:firstLine="1890"/>
        <w:rPr>
          <w:rFonts w:hint="eastAsia" w:ascii="宋体" w:hAnsi="宋体" w:cs="宋体"/>
          <w:color w:val="auto"/>
          <w:szCs w:val="21"/>
          <w:highlight w:val="none"/>
        </w:rPr>
      </w:pPr>
    </w:p>
    <w:p w14:paraId="75286445">
      <w:pPr>
        <w:pStyle w:val="21"/>
        <w:spacing w:line="340" w:lineRule="exact"/>
        <w:rPr>
          <w:b/>
          <w:color w:val="auto"/>
          <w:sz w:val="28"/>
          <w:szCs w:val="28"/>
          <w:highlight w:val="none"/>
        </w:rPr>
      </w:pPr>
      <w:r>
        <w:rPr>
          <w:rFonts w:hint="eastAsia"/>
          <w:b/>
          <w:color w:val="auto"/>
          <w:sz w:val="28"/>
          <w:szCs w:val="28"/>
          <w:highlight w:val="none"/>
        </w:rPr>
        <w:t>4</w:t>
      </w:r>
      <w:r>
        <w:rPr>
          <w:b/>
          <w:color w:val="auto"/>
          <w:sz w:val="28"/>
          <w:szCs w:val="28"/>
          <w:highlight w:val="none"/>
        </w:rPr>
        <w:t>.</w:t>
      </w:r>
      <w:r>
        <w:rPr>
          <w:rFonts w:hint="eastAsia"/>
          <w:b/>
          <w:color w:val="auto"/>
          <w:sz w:val="28"/>
          <w:szCs w:val="28"/>
          <w:highlight w:val="none"/>
        </w:rPr>
        <w:t>供应商的法人或者其他组织营业执照等证明文件扫描件加盖电子签章（必须提供，自然人除外</w:t>
      </w:r>
      <w:r>
        <w:rPr>
          <w:rFonts w:hint="eastAsia" w:hAnsi="宋体"/>
          <w:b/>
          <w:color w:val="auto"/>
          <w:sz w:val="28"/>
          <w:szCs w:val="28"/>
          <w:highlight w:val="none"/>
        </w:rPr>
        <w:t>；</w:t>
      </w:r>
      <w:r>
        <w:rPr>
          <w:rFonts w:hint="eastAsia"/>
          <w:b/>
          <w:color w:val="auto"/>
          <w:sz w:val="28"/>
          <w:szCs w:val="28"/>
          <w:highlight w:val="none"/>
        </w:rPr>
        <w:t>）；</w:t>
      </w:r>
    </w:p>
    <w:p w14:paraId="5A36DCAC">
      <w:pPr>
        <w:tabs>
          <w:tab w:val="left" w:pos="1305"/>
        </w:tabs>
        <w:spacing w:line="340" w:lineRule="exact"/>
        <w:rPr>
          <w:rFonts w:ascii="宋体"/>
          <w:b/>
          <w:color w:val="auto"/>
          <w:szCs w:val="21"/>
          <w:highlight w:val="none"/>
        </w:rPr>
      </w:pPr>
    </w:p>
    <w:p w14:paraId="3380D8DA">
      <w:pPr>
        <w:tabs>
          <w:tab w:val="left" w:pos="1305"/>
        </w:tabs>
        <w:spacing w:line="400" w:lineRule="exact"/>
        <w:rPr>
          <w:rFonts w:ascii="宋体"/>
          <w:b/>
          <w:color w:val="auto"/>
          <w:szCs w:val="21"/>
          <w:highlight w:val="none"/>
        </w:rPr>
      </w:pPr>
      <w:r>
        <w:rPr>
          <w:rFonts w:hint="eastAsia" w:ascii="宋体" w:hAnsi="宋体"/>
          <w:b/>
          <w:color w:val="auto"/>
          <w:szCs w:val="21"/>
          <w:highlight w:val="none"/>
        </w:rPr>
        <w:t>注：供应商为企业（包括合伙企业），应提供</w:t>
      </w:r>
      <w:r>
        <w:rPr>
          <w:rFonts w:hint="eastAsia" w:ascii="宋体" w:hAnsi="宋体"/>
          <w:b/>
          <w:color w:val="auto"/>
          <w:szCs w:val="21"/>
          <w:highlight w:val="none"/>
          <w:lang w:eastAsia="zh-CN"/>
        </w:rPr>
        <w:t>市场监管部门（登记机关）</w:t>
      </w:r>
      <w:r>
        <w:rPr>
          <w:rFonts w:hint="eastAsia" w:ascii="宋体" w:hAnsi="宋体"/>
          <w:b/>
          <w:color w:val="auto"/>
          <w:szCs w:val="21"/>
          <w:highlight w:val="none"/>
        </w:rPr>
        <w:t>注册的有效“企业法人营业执照”或“营业执照；供应商为事业单位，应提供有效的“事业单位法人证书”；供应商为非企业专业服务机构的，应提供执业许可证等证明文件；供应商为个体工商户，应提供有效的“个体工商户营业执照”。（所需材料均为</w:t>
      </w:r>
      <w:r>
        <w:rPr>
          <w:rFonts w:hint="eastAsia" w:ascii="宋体" w:hAnsi="宋体"/>
          <w:b/>
          <w:color w:val="auto"/>
          <w:szCs w:val="21"/>
          <w:highlight w:val="none"/>
          <w:lang w:eastAsia="zh-CN"/>
        </w:rPr>
        <w:t>扫描件</w:t>
      </w:r>
      <w:r>
        <w:rPr>
          <w:rFonts w:hint="eastAsia" w:ascii="宋体" w:hAnsi="宋体"/>
          <w:b/>
          <w:color w:val="auto"/>
          <w:szCs w:val="21"/>
          <w:highlight w:val="none"/>
        </w:rPr>
        <w:t>）</w:t>
      </w:r>
    </w:p>
    <w:p w14:paraId="00D171CD">
      <w:pPr>
        <w:pStyle w:val="21"/>
        <w:spacing w:line="340" w:lineRule="exact"/>
        <w:rPr>
          <w:rFonts w:hint="eastAsia"/>
          <w:b/>
          <w:color w:val="auto"/>
          <w:sz w:val="28"/>
          <w:szCs w:val="28"/>
          <w:highlight w:val="none"/>
        </w:rPr>
      </w:pPr>
      <w:bookmarkStart w:id="984" w:name="_Toc7899"/>
      <w:bookmarkStart w:id="985" w:name="_Toc497927079"/>
      <w:bookmarkStart w:id="986" w:name="_Toc19582"/>
    </w:p>
    <w:p w14:paraId="66D0879B">
      <w:pPr>
        <w:pStyle w:val="21"/>
        <w:spacing w:line="340" w:lineRule="exact"/>
        <w:rPr>
          <w:rFonts w:hint="eastAsia"/>
          <w:b/>
          <w:color w:val="auto"/>
          <w:sz w:val="28"/>
          <w:szCs w:val="28"/>
          <w:highlight w:val="none"/>
        </w:rPr>
      </w:pPr>
    </w:p>
    <w:p w14:paraId="2352F864">
      <w:pPr>
        <w:pStyle w:val="21"/>
        <w:spacing w:line="340" w:lineRule="exact"/>
        <w:rPr>
          <w:rFonts w:hint="eastAsia"/>
          <w:b/>
          <w:color w:val="auto"/>
          <w:sz w:val="28"/>
          <w:szCs w:val="28"/>
          <w:highlight w:val="none"/>
        </w:rPr>
      </w:pPr>
    </w:p>
    <w:p w14:paraId="53C2F46E">
      <w:pPr>
        <w:pStyle w:val="21"/>
        <w:spacing w:line="340" w:lineRule="exact"/>
        <w:rPr>
          <w:rFonts w:hint="eastAsia"/>
          <w:b/>
          <w:color w:val="auto"/>
          <w:sz w:val="28"/>
          <w:szCs w:val="28"/>
          <w:highlight w:val="none"/>
        </w:rPr>
      </w:pPr>
      <w:r>
        <w:rPr>
          <w:rFonts w:hint="eastAsia"/>
          <w:b/>
          <w:color w:val="auto"/>
          <w:sz w:val="28"/>
          <w:szCs w:val="28"/>
          <w:highlight w:val="none"/>
        </w:rPr>
        <w:t>5.财务状况报告（格式自拟，必须提供）；</w:t>
      </w:r>
    </w:p>
    <w:p w14:paraId="0E154B8C">
      <w:pPr>
        <w:pStyle w:val="21"/>
        <w:spacing w:line="340" w:lineRule="exact"/>
        <w:rPr>
          <w:rFonts w:hint="eastAsia"/>
          <w:b/>
          <w:color w:val="auto"/>
          <w:sz w:val="28"/>
          <w:szCs w:val="28"/>
          <w:highlight w:val="none"/>
        </w:rPr>
      </w:pPr>
    </w:p>
    <w:p w14:paraId="4ED94317">
      <w:pPr>
        <w:pStyle w:val="21"/>
        <w:spacing w:line="340" w:lineRule="exact"/>
        <w:rPr>
          <w:rFonts w:hint="eastAsia"/>
          <w:b/>
          <w:color w:val="auto"/>
          <w:sz w:val="28"/>
          <w:szCs w:val="28"/>
          <w:highlight w:val="none"/>
        </w:rPr>
      </w:pPr>
    </w:p>
    <w:p w14:paraId="597A92A4">
      <w:pPr>
        <w:pStyle w:val="21"/>
        <w:spacing w:line="340" w:lineRule="exact"/>
        <w:rPr>
          <w:rFonts w:hint="eastAsia"/>
          <w:b/>
          <w:color w:val="auto"/>
          <w:sz w:val="28"/>
          <w:szCs w:val="28"/>
          <w:highlight w:val="none"/>
        </w:rPr>
      </w:pPr>
    </w:p>
    <w:p w14:paraId="6C77178C">
      <w:pPr>
        <w:pStyle w:val="21"/>
        <w:rPr>
          <w:rFonts w:hint="eastAsia"/>
          <w:color w:val="auto"/>
          <w:highlight w:val="none"/>
        </w:rPr>
      </w:pPr>
      <w:r>
        <w:rPr>
          <w:rFonts w:hint="eastAsia"/>
          <w:b/>
          <w:color w:val="auto"/>
          <w:sz w:val="28"/>
          <w:szCs w:val="28"/>
          <w:highlight w:val="none"/>
        </w:rPr>
        <w:t>6.供应商截止开标时间前近半年内任意一个月或任一季度依法缴纳税收的证明材料【增值税发票(税收完税证明)或企业所得税完税证明或税务部门出具的免税证明或税务部门出具的无欠税证明】扫描件加盖电子签章（必须提供）。</w:t>
      </w:r>
    </w:p>
    <w:p w14:paraId="3D6A5B9D">
      <w:pPr>
        <w:ind w:firstLine="420"/>
        <w:jc w:val="center"/>
        <w:outlineLvl w:val="9"/>
        <w:rPr>
          <w:rFonts w:hint="eastAsia"/>
          <w:b/>
          <w:bCs/>
          <w:color w:val="auto"/>
          <w:sz w:val="32"/>
          <w:szCs w:val="32"/>
          <w:highlight w:val="none"/>
        </w:rPr>
      </w:pPr>
      <w:bookmarkStart w:id="987" w:name="_Toc21031"/>
      <w:bookmarkStart w:id="988" w:name="_Toc26282"/>
      <w:bookmarkStart w:id="989" w:name="_Toc27362"/>
    </w:p>
    <w:p w14:paraId="7E56A90F">
      <w:pPr>
        <w:ind w:firstLine="420"/>
        <w:jc w:val="center"/>
        <w:outlineLvl w:val="9"/>
        <w:rPr>
          <w:rFonts w:hint="eastAsia"/>
          <w:b/>
          <w:bCs/>
          <w:color w:val="auto"/>
          <w:sz w:val="32"/>
          <w:szCs w:val="32"/>
          <w:highlight w:val="none"/>
        </w:rPr>
      </w:pPr>
      <w:bookmarkStart w:id="990" w:name="_Toc31365"/>
      <w:bookmarkStart w:id="991" w:name="_Toc9785"/>
      <w:bookmarkStart w:id="992" w:name="_Toc32081"/>
      <w:bookmarkStart w:id="993" w:name="_Toc15241"/>
      <w:bookmarkStart w:id="994" w:name="_Toc11953"/>
    </w:p>
    <w:p w14:paraId="188D847A">
      <w:pPr>
        <w:outlineLvl w:val="9"/>
        <w:rPr>
          <w:rFonts w:hint="eastAsia"/>
          <w:color w:val="auto"/>
          <w:highlight w:val="none"/>
        </w:rPr>
      </w:pPr>
    </w:p>
    <w:p w14:paraId="265A73AD">
      <w:pPr>
        <w:outlineLvl w:val="9"/>
        <w:rPr>
          <w:rFonts w:hint="eastAsia"/>
          <w:color w:val="auto"/>
          <w:highlight w:val="none"/>
        </w:rPr>
      </w:pPr>
    </w:p>
    <w:p w14:paraId="17132E5E">
      <w:pPr>
        <w:ind w:firstLine="420"/>
        <w:jc w:val="center"/>
        <w:outlineLvl w:val="9"/>
        <w:rPr>
          <w:rFonts w:hint="eastAsia"/>
          <w:b/>
          <w:bCs/>
          <w:color w:val="auto"/>
          <w:sz w:val="32"/>
          <w:szCs w:val="32"/>
          <w:highlight w:val="none"/>
        </w:rPr>
      </w:pPr>
    </w:p>
    <w:p w14:paraId="48659A3E">
      <w:pPr>
        <w:ind w:firstLine="420"/>
        <w:jc w:val="center"/>
        <w:outlineLvl w:val="1"/>
        <w:rPr>
          <w:b/>
          <w:bCs/>
          <w:color w:val="auto"/>
          <w:sz w:val="32"/>
          <w:szCs w:val="32"/>
          <w:highlight w:val="none"/>
        </w:rPr>
      </w:pPr>
      <w:r>
        <w:rPr>
          <w:rFonts w:hint="eastAsia"/>
          <w:b/>
          <w:bCs/>
          <w:color w:val="auto"/>
          <w:sz w:val="32"/>
          <w:szCs w:val="32"/>
          <w:highlight w:val="none"/>
        </w:rPr>
        <w:t>（二）</w:t>
      </w:r>
      <w:r>
        <w:rPr>
          <w:b/>
          <w:bCs/>
          <w:color w:val="auto"/>
          <w:sz w:val="32"/>
          <w:szCs w:val="32"/>
          <w:highlight w:val="none"/>
        </w:rPr>
        <w:t>符合性响应证明材料目录</w:t>
      </w:r>
      <w:bookmarkEnd w:id="984"/>
      <w:bookmarkEnd w:id="985"/>
      <w:bookmarkEnd w:id="986"/>
      <w:bookmarkEnd w:id="987"/>
      <w:bookmarkEnd w:id="988"/>
      <w:bookmarkEnd w:id="989"/>
      <w:bookmarkEnd w:id="990"/>
      <w:bookmarkEnd w:id="991"/>
      <w:bookmarkEnd w:id="992"/>
      <w:bookmarkEnd w:id="993"/>
      <w:bookmarkEnd w:id="994"/>
    </w:p>
    <w:p w14:paraId="60A8FCB1">
      <w:pPr>
        <w:spacing w:line="600" w:lineRule="auto"/>
        <w:ind w:firstLine="420"/>
        <w:rPr>
          <w:color w:val="auto"/>
          <w:highlight w:val="none"/>
        </w:rPr>
      </w:pPr>
    </w:p>
    <w:p w14:paraId="586E21C2">
      <w:pPr>
        <w:spacing w:line="600" w:lineRule="auto"/>
        <w:ind w:firstLine="480"/>
        <w:rPr>
          <w:rFonts w:hint="eastAsia" w:ascii="宋体" w:hAnsi="宋体" w:cs="宋体"/>
          <w:color w:val="auto"/>
          <w:sz w:val="24"/>
          <w:highlight w:val="none"/>
        </w:rPr>
      </w:pPr>
      <w:r>
        <w:rPr>
          <w:rFonts w:hint="eastAsia" w:ascii="宋体" w:hAnsi="宋体" w:cs="宋体"/>
          <w:color w:val="auto"/>
          <w:sz w:val="24"/>
          <w:highlight w:val="none"/>
        </w:rPr>
        <w:t>1.响应函（格式见附件）</w:t>
      </w:r>
      <w:r>
        <w:rPr>
          <w:rFonts w:hint="eastAsia" w:ascii="宋体" w:hAnsi="宋体" w:cs="宋体"/>
          <w:b/>
          <w:bCs/>
          <w:color w:val="auto"/>
          <w:sz w:val="24"/>
          <w:highlight w:val="none"/>
        </w:rPr>
        <w:t>（必须提供）</w:t>
      </w:r>
      <w:r>
        <w:rPr>
          <w:rFonts w:hint="eastAsia" w:ascii="宋体" w:hAnsi="宋体" w:cs="宋体"/>
          <w:color w:val="auto"/>
          <w:sz w:val="24"/>
          <w:highlight w:val="none"/>
        </w:rPr>
        <w:t>；</w:t>
      </w:r>
    </w:p>
    <w:p w14:paraId="34AB77AD">
      <w:pPr>
        <w:spacing w:line="600" w:lineRule="auto"/>
        <w:ind w:firstLine="480"/>
        <w:rPr>
          <w:rFonts w:hint="eastAsia" w:ascii="宋体" w:hAnsi="宋体" w:cs="宋体"/>
          <w:color w:val="auto"/>
          <w:sz w:val="24"/>
          <w:highlight w:val="none"/>
        </w:rPr>
      </w:pPr>
      <w:r>
        <w:rPr>
          <w:rFonts w:hint="eastAsia" w:ascii="宋体" w:hAnsi="宋体" w:cs="宋体"/>
          <w:color w:val="auto"/>
          <w:sz w:val="24"/>
          <w:highlight w:val="none"/>
        </w:rPr>
        <w:t>2.谈判报价表（格式见附件）</w:t>
      </w:r>
      <w:r>
        <w:rPr>
          <w:rFonts w:hint="eastAsia" w:ascii="宋体" w:hAnsi="宋体" w:cs="宋体"/>
          <w:b/>
          <w:bCs/>
          <w:color w:val="auto"/>
          <w:sz w:val="24"/>
          <w:highlight w:val="none"/>
        </w:rPr>
        <w:t>（必须提供）</w:t>
      </w:r>
      <w:r>
        <w:rPr>
          <w:rFonts w:hint="eastAsia" w:ascii="宋体" w:hAnsi="宋体" w:cs="宋体"/>
          <w:color w:val="auto"/>
          <w:sz w:val="24"/>
          <w:highlight w:val="none"/>
        </w:rPr>
        <w:t>；</w:t>
      </w:r>
    </w:p>
    <w:p w14:paraId="35AAB693">
      <w:pPr>
        <w:spacing w:line="600" w:lineRule="auto"/>
        <w:ind w:firstLine="480"/>
        <w:rPr>
          <w:rFonts w:hint="eastAsia" w:ascii="宋体" w:hAnsi="宋体" w:cs="宋体"/>
          <w:color w:val="auto"/>
          <w:sz w:val="24"/>
          <w:highlight w:val="none"/>
        </w:rPr>
      </w:pPr>
      <w:r>
        <w:rPr>
          <w:rFonts w:hint="eastAsia" w:ascii="宋体" w:hAnsi="宋体" w:cs="宋体"/>
          <w:color w:val="auto"/>
          <w:sz w:val="24"/>
          <w:highlight w:val="none"/>
        </w:rPr>
        <w:t>3.技术规格偏离表</w:t>
      </w:r>
      <w:r>
        <w:rPr>
          <w:rFonts w:hint="eastAsia" w:ascii="宋体" w:hAnsi="宋体" w:cs="宋体"/>
          <w:b/>
          <w:bCs/>
          <w:color w:val="auto"/>
          <w:sz w:val="24"/>
          <w:highlight w:val="none"/>
        </w:rPr>
        <w:t>（必须提供）</w:t>
      </w:r>
      <w:r>
        <w:rPr>
          <w:rFonts w:hint="eastAsia" w:ascii="宋体" w:hAnsi="宋体" w:cs="宋体"/>
          <w:color w:val="auto"/>
          <w:sz w:val="24"/>
          <w:highlight w:val="none"/>
        </w:rPr>
        <w:t>；</w:t>
      </w:r>
    </w:p>
    <w:p w14:paraId="6C507845">
      <w:pPr>
        <w:spacing w:line="600" w:lineRule="auto"/>
        <w:ind w:firstLine="480"/>
        <w:rPr>
          <w:rFonts w:hint="eastAsia" w:ascii="宋体" w:hAnsi="宋体" w:cs="宋体"/>
          <w:color w:val="auto"/>
          <w:sz w:val="24"/>
          <w:highlight w:val="none"/>
        </w:rPr>
      </w:pPr>
      <w:r>
        <w:rPr>
          <w:rFonts w:hint="eastAsia" w:ascii="宋体" w:hAnsi="宋体" w:cs="宋体"/>
          <w:color w:val="auto"/>
          <w:sz w:val="24"/>
          <w:highlight w:val="none"/>
        </w:rPr>
        <w:t>4.商务响应表</w:t>
      </w:r>
      <w:r>
        <w:rPr>
          <w:rFonts w:hint="eastAsia" w:ascii="宋体" w:hAnsi="宋体" w:cs="宋体"/>
          <w:b/>
          <w:bCs/>
          <w:color w:val="auto"/>
          <w:sz w:val="24"/>
          <w:highlight w:val="none"/>
        </w:rPr>
        <w:t>（必须提供）</w:t>
      </w:r>
      <w:r>
        <w:rPr>
          <w:rFonts w:hint="eastAsia" w:ascii="宋体" w:hAnsi="宋体" w:cs="宋体"/>
          <w:color w:val="auto"/>
          <w:sz w:val="24"/>
          <w:highlight w:val="none"/>
        </w:rPr>
        <w:t>；</w:t>
      </w:r>
    </w:p>
    <w:p w14:paraId="627CC486">
      <w:pPr>
        <w:spacing w:line="600" w:lineRule="auto"/>
        <w:ind w:firstLine="480"/>
        <w:rPr>
          <w:rFonts w:hint="eastAsia" w:ascii="宋体" w:hAnsi="宋体" w:cs="宋体"/>
          <w:color w:val="auto"/>
          <w:sz w:val="24"/>
          <w:highlight w:val="none"/>
        </w:rPr>
      </w:pPr>
      <w:r>
        <w:rPr>
          <w:rFonts w:hint="eastAsia" w:ascii="宋体" w:hAnsi="宋体" w:cs="宋体"/>
          <w:color w:val="auto"/>
          <w:sz w:val="24"/>
          <w:highlight w:val="none"/>
        </w:rPr>
        <w:t>5.供应商的售后服务承诺书（必须包含售后服务要求的全部内容）</w:t>
      </w:r>
      <w:r>
        <w:rPr>
          <w:rFonts w:hint="eastAsia" w:ascii="宋体" w:hAnsi="宋体" w:cs="宋体"/>
          <w:b/>
          <w:bCs/>
          <w:color w:val="auto"/>
          <w:sz w:val="24"/>
          <w:highlight w:val="none"/>
        </w:rPr>
        <w:t>（必须提供）</w:t>
      </w:r>
      <w:r>
        <w:rPr>
          <w:rFonts w:hint="eastAsia" w:ascii="宋体" w:hAnsi="宋体" w:cs="宋体"/>
          <w:color w:val="auto"/>
          <w:sz w:val="24"/>
          <w:highlight w:val="none"/>
        </w:rPr>
        <w:t>；</w:t>
      </w:r>
    </w:p>
    <w:p w14:paraId="08976A2C">
      <w:pPr>
        <w:spacing w:line="600" w:lineRule="auto"/>
        <w:ind w:firstLine="480"/>
        <w:rPr>
          <w:rFonts w:hint="eastAsia" w:ascii="宋体" w:hAnsi="宋体" w:cs="宋体"/>
          <w:color w:val="auto"/>
          <w:sz w:val="24"/>
          <w:highlight w:val="none"/>
        </w:rPr>
      </w:pPr>
      <w:r>
        <w:rPr>
          <w:rFonts w:hint="eastAsia" w:ascii="宋体" w:hAnsi="宋体" w:cs="宋体"/>
          <w:color w:val="auto"/>
          <w:sz w:val="24"/>
          <w:highlight w:val="none"/>
        </w:rPr>
        <w:t>6.“采购需求”需提供的有效证明文件</w:t>
      </w:r>
      <w:r>
        <w:rPr>
          <w:rFonts w:hint="eastAsia" w:ascii="宋体" w:hAnsi="宋体" w:cs="宋体"/>
          <w:b/>
          <w:bCs/>
          <w:color w:val="auto"/>
          <w:sz w:val="24"/>
          <w:highlight w:val="none"/>
        </w:rPr>
        <w:t>（按其要求提供）</w:t>
      </w:r>
      <w:r>
        <w:rPr>
          <w:rFonts w:hint="eastAsia" w:ascii="宋体" w:hAnsi="宋体" w:cs="宋体"/>
          <w:color w:val="auto"/>
          <w:sz w:val="24"/>
          <w:highlight w:val="none"/>
        </w:rPr>
        <w:t>。</w:t>
      </w:r>
    </w:p>
    <w:p w14:paraId="68B1141E">
      <w:pPr>
        <w:spacing w:line="360" w:lineRule="auto"/>
        <w:ind w:firstLine="480"/>
        <w:rPr>
          <w:rFonts w:hint="eastAsia" w:ascii="宋体" w:hAnsi="宋体" w:cs="宋体"/>
          <w:b/>
          <w:bCs/>
          <w:color w:val="auto"/>
          <w:sz w:val="24"/>
          <w:highlight w:val="none"/>
        </w:rPr>
      </w:pPr>
    </w:p>
    <w:p w14:paraId="024FE51C">
      <w:pPr>
        <w:spacing w:line="360" w:lineRule="auto"/>
        <w:ind w:firstLine="480"/>
        <w:rPr>
          <w:rFonts w:hint="eastAsia" w:ascii="宋体" w:hAnsi="宋体" w:cs="宋体"/>
          <w:b/>
          <w:bCs/>
          <w:color w:val="auto"/>
          <w:sz w:val="24"/>
          <w:highlight w:val="none"/>
        </w:rPr>
      </w:pPr>
      <w:r>
        <w:rPr>
          <w:rFonts w:hint="eastAsia" w:ascii="宋体" w:hAnsi="宋体" w:cs="宋体"/>
          <w:b/>
          <w:bCs/>
          <w:color w:val="auto"/>
          <w:sz w:val="24"/>
          <w:highlight w:val="none"/>
        </w:rPr>
        <w:t>供应商提供的以上相关证明材料属于“必须提供”的文件应加盖供应商公章（CA签章）/自然人签字或加盖个人CA签章，否则响应无效。</w:t>
      </w:r>
    </w:p>
    <w:p w14:paraId="1F92F474">
      <w:pPr>
        <w:spacing w:line="360" w:lineRule="auto"/>
        <w:ind w:firstLine="480"/>
        <w:rPr>
          <w:rFonts w:hint="eastAsia" w:ascii="宋体" w:hAnsi="宋体" w:cs="宋体"/>
          <w:b/>
          <w:bCs/>
          <w:color w:val="auto"/>
          <w:sz w:val="24"/>
          <w:highlight w:val="none"/>
        </w:rPr>
      </w:pPr>
    </w:p>
    <w:p w14:paraId="3CC0EB33">
      <w:pPr>
        <w:spacing w:line="360" w:lineRule="auto"/>
        <w:ind w:firstLine="480"/>
        <w:rPr>
          <w:rFonts w:hint="eastAsia" w:ascii="宋体" w:hAnsi="宋体" w:cs="宋体"/>
          <w:b/>
          <w:bCs/>
          <w:color w:val="auto"/>
          <w:sz w:val="24"/>
          <w:highlight w:val="none"/>
        </w:rPr>
      </w:pPr>
    </w:p>
    <w:p w14:paraId="39FE6362">
      <w:pPr>
        <w:spacing w:line="360" w:lineRule="auto"/>
        <w:ind w:firstLine="480"/>
        <w:rPr>
          <w:rFonts w:hint="eastAsia" w:ascii="宋体" w:hAnsi="宋体" w:cs="宋体"/>
          <w:b/>
          <w:bCs/>
          <w:color w:val="auto"/>
          <w:sz w:val="24"/>
          <w:highlight w:val="none"/>
        </w:rPr>
      </w:pPr>
    </w:p>
    <w:p w14:paraId="7E017968">
      <w:pPr>
        <w:spacing w:line="360" w:lineRule="auto"/>
        <w:ind w:firstLine="480"/>
        <w:rPr>
          <w:rFonts w:hint="eastAsia" w:ascii="宋体" w:hAnsi="宋体" w:cs="宋体"/>
          <w:b/>
          <w:bCs/>
          <w:color w:val="auto"/>
          <w:sz w:val="24"/>
          <w:highlight w:val="none"/>
        </w:rPr>
      </w:pPr>
    </w:p>
    <w:p w14:paraId="213C0D6D">
      <w:pPr>
        <w:spacing w:line="360" w:lineRule="auto"/>
        <w:ind w:firstLine="480"/>
        <w:rPr>
          <w:rFonts w:hint="eastAsia" w:ascii="宋体" w:hAnsi="宋体" w:cs="宋体"/>
          <w:b/>
          <w:bCs/>
          <w:color w:val="auto"/>
          <w:sz w:val="24"/>
          <w:highlight w:val="none"/>
        </w:rPr>
      </w:pPr>
    </w:p>
    <w:p w14:paraId="709625BE">
      <w:pPr>
        <w:ind w:firstLine="480"/>
        <w:rPr>
          <w:rFonts w:hint="eastAsia" w:ascii="宋体" w:hAnsi="宋体" w:cs="宋体"/>
          <w:b/>
          <w:bCs/>
          <w:color w:val="auto"/>
          <w:sz w:val="24"/>
          <w:highlight w:val="none"/>
        </w:rPr>
      </w:pPr>
    </w:p>
    <w:p w14:paraId="2BD7CB61">
      <w:pPr>
        <w:spacing w:line="360" w:lineRule="auto"/>
        <w:ind w:firstLine="480"/>
        <w:rPr>
          <w:rFonts w:hint="eastAsia" w:ascii="宋体" w:hAnsi="宋体" w:cs="宋体"/>
          <w:b/>
          <w:bCs/>
          <w:color w:val="auto"/>
          <w:sz w:val="24"/>
          <w:highlight w:val="none"/>
        </w:rPr>
      </w:pPr>
    </w:p>
    <w:p w14:paraId="16270968">
      <w:pPr>
        <w:spacing w:line="360" w:lineRule="auto"/>
        <w:ind w:firstLine="480"/>
        <w:rPr>
          <w:rFonts w:hint="eastAsia" w:ascii="宋体" w:hAnsi="宋体" w:cs="宋体"/>
          <w:b/>
          <w:bCs/>
          <w:color w:val="auto"/>
          <w:sz w:val="24"/>
          <w:highlight w:val="none"/>
        </w:rPr>
      </w:pPr>
    </w:p>
    <w:p w14:paraId="276FF1EC">
      <w:pPr>
        <w:spacing w:line="360" w:lineRule="auto"/>
        <w:ind w:firstLine="480"/>
        <w:rPr>
          <w:rFonts w:hint="eastAsia" w:ascii="宋体" w:hAnsi="宋体" w:cs="宋体"/>
          <w:b/>
          <w:bCs/>
          <w:color w:val="auto"/>
          <w:sz w:val="24"/>
          <w:highlight w:val="none"/>
        </w:rPr>
      </w:pPr>
    </w:p>
    <w:p w14:paraId="4507CC9F">
      <w:pPr>
        <w:spacing w:line="360" w:lineRule="auto"/>
        <w:ind w:firstLine="480"/>
        <w:rPr>
          <w:rFonts w:hint="eastAsia" w:ascii="宋体" w:hAnsi="宋体" w:cs="宋体"/>
          <w:b/>
          <w:bCs/>
          <w:color w:val="auto"/>
          <w:sz w:val="24"/>
          <w:highlight w:val="none"/>
        </w:rPr>
      </w:pPr>
    </w:p>
    <w:p w14:paraId="7A622106">
      <w:pPr>
        <w:spacing w:line="360" w:lineRule="auto"/>
        <w:ind w:firstLine="480"/>
        <w:rPr>
          <w:rFonts w:hint="eastAsia" w:ascii="宋体" w:hAnsi="宋体" w:cs="宋体"/>
          <w:b/>
          <w:bCs/>
          <w:color w:val="auto"/>
          <w:sz w:val="24"/>
          <w:highlight w:val="none"/>
        </w:rPr>
      </w:pPr>
    </w:p>
    <w:p w14:paraId="2F5A1E8B">
      <w:pPr>
        <w:spacing w:line="360" w:lineRule="auto"/>
        <w:ind w:firstLine="480"/>
        <w:rPr>
          <w:rFonts w:hint="eastAsia" w:ascii="宋体" w:hAnsi="宋体" w:cs="宋体"/>
          <w:b/>
          <w:bCs/>
          <w:color w:val="auto"/>
          <w:sz w:val="24"/>
          <w:highlight w:val="none"/>
        </w:rPr>
      </w:pPr>
    </w:p>
    <w:p w14:paraId="02E836BD">
      <w:pPr>
        <w:spacing w:line="360" w:lineRule="auto"/>
        <w:ind w:firstLine="480"/>
        <w:rPr>
          <w:rFonts w:hint="eastAsia" w:ascii="宋体" w:hAnsi="宋体" w:cs="宋体"/>
          <w:b/>
          <w:bCs/>
          <w:color w:val="auto"/>
          <w:sz w:val="24"/>
          <w:highlight w:val="none"/>
        </w:rPr>
      </w:pPr>
    </w:p>
    <w:p w14:paraId="0D20AC3B">
      <w:pPr>
        <w:spacing w:line="360" w:lineRule="auto"/>
        <w:ind w:firstLine="480"/>
        <w:rPr>
          <w:rFonts w:hint="eastAsia" w:ascii="宋体" w:hAnsi="宋体" w:cs="宋体"/>
          <w:b/>
          <w:bCs/>
          <w:color w:val="auto"/>
          <w:sz w:val="24"/>
          <w:highlight w:val="none"/>
        </w:rPr>
      </w:pPr>
    </w:p>
    <w:p w14:paraId="7C2A834A">
      <w:pPr>
        <w:spacing w:line="360" w:lineRule="auto"/>
        <w:ind w:firstLine="480"/>
        <w:rPr>
          <w:rFonts w:hint="eastAsia" w:ascii="宋体" w:hAnsi="宋体" w:cs="宋体"/>
          <w:b/>
          <w:bCs/>
          <w:color w:val="auto"/>
          <w:sz w:val="24"/>
          <w:highlight w:val="none"/>
        </w:rPr>
      </w:pPr>
    </w:p>
    <w:p w14:paraId="639DBB7E">
      <w:pPr>
        <w:pStyle w:val="21"/>
        <w:numPr>
          <w:ilvl w:val="0"/>
          <w:numId w:val="8"/>
        </w:numPr>
        <w:spacing w:line="340" w:lineRule="exact"/>
        <w:rPr>
          <w:rFonts w:hint="eastAsia"/>
          <w:b/>
          <w:color w:val="auto"/>
          <w:sz w:val="28"/>
          <w:szCs w:val="28"/>
          <w:highlight w:val="none"/>
        </w:rPr>
      </w:pPr>
      <w:r>
        <w:rPr>
          <w:rFonts w:hint="eastAsia"/>
          <w:b/>
          <w:color w:val="auto"/>
          <w:sz w:val="28"/>
          <w:szCs w:val="28"/>
          <w:highlight w:val="none"/>
        </w:rPr>
        <w:t>响应函（格式见附件）（必须提供）</w:t>
      </w:r>
    </w:p>
    <w:p w14:paraId="394F213F">
      <w:pPr>
        <w:spacing w:line="440" w:lineRule="atLeast"/>
        <w:rPr>
          <w:rFonts w:ascii="宋体"/>
          <w:b/>
          <w:color w:val="auto"/>
          <w:sz w:val="24"/>
          <w:highlight w:val="none"/>
        </w:rPr>
      </w:pPr>
      <w:r>
        <w:rPr>
          <w:rFonts w:hint="eastAsia" w:ascii="宋体" w:hAnsi="宋体"/>
          <w:b/>
          <w:color w:val="auto"/>
          <w:sz w:val="24"/>
          <w:highlight w:val="none"/>
        </w:rPr>
        <w:t>附件：</w:t>
      </w:r>
    </w:p>
    <w:p w14:paraId="1A528C65">
      <w:pPr>
        <w:pStyle w:val="21"/>
        <w:ind w:firstLine="800"/>
        <w:jc w:val="center"/>
        <w:rPr>
          <w:rFonts w:hAnsi="宋体"/>
          <w:b/>
          <w:color w:val="auto"/>
          <w:sz w:val="32"/>
          <w:highlight w:val="none"/>
        </w:rPr>
      </w:pPr>
      <w:r>
        <w:rPr>
          <w:rFonts w:hint="eastAsia" w:hAnsi="宋体"/>
          <w:b/>
          <w:color w:val="auto"/>
          <w:sz w:val="32"/>
          <w:highlight w:val="none"/>
        </w:rPr>
        <w:t>响</w:t>
      </w:r>
      <w:r>
        <w:rPr>
          <w:rFonts w:hAnsi="宋体"/>
          <w:b/>
          <w:color w:val="auto"/>
          <w:sz w:val="32"/>
          <w:highlight w:val="none"/>
        </w:rPr>
        <w:t xml:space="preserve"> </w:t>
      </w:r>
      <w:r>
        <w:rPr>
          <w:rFonts w:hint="eastAsia" w:hAnsi="宋体"/>
          <w:b/>
          <w:color w:val="auto"/>
          <w:sz w:val="32"/>
          <w:highlight w:val="none"/>
        </w:rPr>
        <w:t>应</w:t>
      </w:r>
      <w:r>
        <w:rPr>
          <w:rFonts w:hAnsi="宋体"/>
          <w:b/>
          <w:color w:val="auto"/>
          <w:sz w:val="32"/>
          <w:highlight w:val="none"/>
        </w:rPr>
        <w:t xml:space="preserve"> </w:t>
      </w:r>
      <w:r>
        <w:rPr>
          <w:rFonts w:hint="eastAsia" w:hAnsi="宋体"/>
          <w:b/>
          <w:color w:val="auto"/>
          <w:sz w:val="32"/>
          <w:highlight w:val="none"/>
        </w:rPr>
        <w:t>函</w:t>
      </w:r>
      <w:r>
        <w:rPr>
          <w:rFonts w:hAnsi="宋体"/>
          <w:b/>
          <w:color w:val="auto"/>
          <w:sz w:val="32"/>
          <w:highlight w:val="none"/>
        </w:rPr>
        <w:t xml:space="preserve"> </w:t>
      </w:r>
      <w:r>
        <w:rPr>
          <w:rFonts w:hint="eastAsia" w:hAnsi="宋体"/>
          <w:b/>
          <w:color w:val="auto"/>
          <w:sz w:val="32"/>
          <w:highlight w:val="none"/>
        </w:rPr>
        <w:t>（格</w:t>
      </w:r>
      <w:r>
        <w:rPr>
          <w:rFonts w:hAnsi="宋体"/>
          <w:b/>
          <w:color w:val="auto"/>
          <w:sz w:val="32"/>
          <w:highlight w:val="none"/>
        </w:rPr>
        <w:t xml:space="preserve"> </w:t>
      </w:r>
      <w:r>
        <w:rPr>
          <w:rFonts w:hint="eastAsia" w:hAnsi="宋体"/>
          <w:b/>
          <w:color w:val="auto"/>
          <w:sz w:val="32"/>
          <w:highlight w:val="none"/>
        </w:rPr>
        <w:t>式）</w:t>
      </w:r>
    </w:p>
    <w:p w14:paraId="1987A983">
      <w:pPr>
        <w:spacing w:line="240" w:lineRule="exact"/>
        <w:jc w:val="center"/>
        <w:rPr>
          <w:rFonts w:ascii="宋体"/>
          <w:color w:val="auto"/>
          <w:sz w:val="32"/>
          <w:highlight w:val="none"/>
        </w:rPr>
      </w:pPr>
    </w:p>
    <w:p w14:paraId="109F0DC6">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致</w:t>
      </w:r>
      <w:r>
        <w:rPr>
          <w:rFonts w:hint="eastAsia" w:ascii="宋体" w:hAnsi="宋体" w:cs="宋体"/>
          <w:color w:val="auto"/>
          <w:szCs w:val="21"/>
          <w:highlight w:val="none"/>
          <w:u w:val="single"/>
        </w:rPr>
        <w:t>：桂林市政府集中采购中心</w:t>
      </w:r>
    </w:p>
    <w:p w14:paraId="7F487B84">
      <w:pPr>
        <w:spacing w:line="400" w:lineRule="exact"/>
        <w:rPr>
          <w:rFonts w:hint="eastAsia" w:ascii="宋体" w:hAnsi="宋体" w:cs="宋体"/>
          <w:color w:val="auto"/>
          <w:szCs w:val="21"/>
          <w:highlight w:val="none"/>
        </w:rPr>
      </w:pPr>
    </w:p>
    <w:p w14:paraId="3AEBD81C">
      <w:pPr>
        <w:pStyle w:val="21"/>
        <w:spacing w:line="360" w:lineRule="exact"/>
        <w:ind w:firstLine="420"/>
        <w:rPr>
          <w:rFonts w:hint="eastAsia" w:hAnsi="宋体" w:cs="宋体"/>
          <w:color w:val="auto"/>
          <w:sz w:val="21"/>
          <w:highlight w:val="none"/>
        </w:rPr>
      </w:pPr>
      <w:r>
        <w:rPr>
          <w:rFonts w:hint="eastAsia" w:hAnsi="宋体" w:cs="宋体"/>
          <w:color w:val="auto"/>
          <w:sz w:val="21"/>
          <w:highlight w:val="none"/>
        </w:rPr>
        <w:t>根据贵方</w:t>
      </w:r>
      <w:r>
        <w:rPr>
          <w:rFonts w:hint="eastAsia" w:hAnsi="宋体" w:cs="宋体"/>
          <w:color w:val="auto"/>
          <w:sz w:val="21"/>
          <w:highlight w:val="none"/>
          <w:u w:val="single"/>
        </w:rPr>
        <w:t xml:space="preserve">       </w:t>
      </w:r>
      <w:r>
        <w:rPr>
          <w:rFonts w:hint="eastAsia" w:hAnsi="宋体" w:cs="宋体"/>
          <w:color w:val="auto"/>
          <w:sz w:val="21"/>
          <w:highlight w:val="none"/>
        </w:rPr>
        <w:t>项目谈判文件，项目编号：</w:t>
      </w:r>
      <w:r>
        <w:rPr>
          <w:rFonts w:hint="eastAsia" w:hAnsi="宋体" w:cs="宋体"/>
          <w:color w:val="auto"/>
          <w:sz w:val="21"/>
          <w:highlight w:val="none"/>
          <w:u w:val="single"/>
        </w:rPr>
        <w:t xml:space="preserve">            </w:t>
      </w:r>
      <w:r>
        <w:rPr>
          <w:rFonts w:hint="eastAsia" w:hAnsi="宋体" w:cs="宋体"/>
          <w:color w:val="auto"/>
          <w:sz w:val="21"/>
          <w:highlight w:val="none"/>
        </w:rPr>
        <w:t>，签字代表</w:t>
      </w:r>
      <w:r>
        <w:rPr>
          <w:rFonts w:hint="eastAsia" w:hAnsi="宋体" w:cs="宋体"/>
          <w:color w:val="auto"/>
          <w:sz w:val="21"/>
          <w:highlight w:val="none"/>
          <w:u w:val="single"/>
        </w:rPr>
        <w:t xml:space="preserve">         </w:t>
      </w:r>
      <w:r>
        <w:rPr>
          <w:rFonts w:hint="eastAsia" w:hAnsi="宋体" w:cs="宋体"/>
          <w:color w:val="auto"/>
          <w:sz w:val="21"/>
          <w:highlight w:val="none"/>
        </w:rPr>
        <w:t xml:space="preserve">（姓名）经正式授权并代表供应商 </w:t>
      </w:r>
      <w:r>
        <w:rPr>
          <w:rFonts w:hint="eastAsia" w:hAnsi="宋体" w:cs="宋体"/>
          <w:color w:val="auto"/>
          <w:sz w:val="21"/>
          <w:highlight w:val="none"/>
          <w:u w:val="single"/>
        </w:rPr>
        <w:t xml:space="preserve">                                   （</w:t>
      </w:r>
      <w:r>
        <w:rPr>
          <w:rFonts w:hint="eastAsia" w:hAnsi="宋体" w:cs="宋体"/>
          <w:color w:val="auto"/>
          <w:sz w:val="21"/>
          <w:highlight w:val="none"/>
        </w:rPr>
        <w:t>供应商单位名称），提交电子响应文件。</w:t>
      </w:r>
    </w:p>
    <w:p w14:paraId="5867E0D7">
      <w:pPr>
        <w:pStyle w:val="21"/>
        <w:spacing w:line="360" w:lineRule="exact"/>
        <w:ind w:firstLine="420"/>
        <w:rPr>
          <w:rFonts w:hint="eastAsia" w:hAnsi="宋体" w:cs="宋体"/>
          <w:color w:val="auto"/>
          <w:sz w:val="21"/>
          <w:highlight w:val="none"/>
        </w:rPr>
      </w:pPr>
      <w:r>
        <w:rPr>
          <w:rFonts w:hint="eastAsia" w:hAnsi="宋体" w:cs="宋体"/>
          <w:color w:val="auto"/>
          <w:sz w:val="21"/>
          <w:highlight w:val="none"/>
        </w:rPr>
        <w:t>据此函，签字代表宣布同意如下：</w:t>
      </w:r>
    </w:p>
    <w:p w14:paraId="2EF7FCFF">
      <w:pPr>
        <w:pStyle w:val="21"/>
        <w:spacing w:line="360" w:lineRule="exact"/>
        <w:ind w:firstLine="420"/>
        <w:rPr>
          <w:rFonts w:hint="eastAsia" w:hAnsi="宋体" w:cs="宋体"/>
          <w:color w:val="auto"/>
          <w:sz w:val="21"/>
          <w:highlight w:val="none"/>
        </w:rPr>
      </w:pPr>
      <w:r>
        <w:rPr>
          <w:rFonts w:hint="eastAsia" w:hAnsi="宋体" w:cs="宋体"/>
          <w:color w:val="auto"/>
          <w:sz w:val="21"/>
          <w:highlight w:val="none"/>
        </w:rPr>
        <w:t>1. 按谈判文件采购需求和谈判报价表：</w:t>
      </w:r>
    </w:p>
    <w:p w14:paraId="3E8914A9">
      <w:pPr>
        <w:pStyle w:val="21"/>
        <w:spacing w:line="360" w:lineRule="exact"/>
        <w:ind w:firstLine="420"/>
        <w:rPr>
          <w:rFonts w:hint="eastAsia" w:hAnsi="宋体" w:cs="宋体"/>
          <w:color w:val="auto"/>
          <w:sz w:val="21"/>
          <w:highlight w:val="none"/>
        </w:rPr>
      </w:pPr>
      <w:r>
        <w:rPr>
          <w:rFonts w:hint="eastAsia" w:hAnsi="宋体" w:cs="宋体"/>
          <w:color w:val="auto"/>
          <w:sz w:val="21"/>
          <w:highlight w:val="none"/>
        </w:rPr>
        <w:t>谈判总报价（大写）</w:t>
      </w:r>
      <w:r>
        <w:rPr>
          <w:rFonts w:hint="eastAsia" w:hAnsi="宋体" w:cs="宋体"/>
          <w:color w:val="auto"/>
          <w:sz w:val="21"/>
          <w:highlight w:val="none"/>
          <w:u w:val="single"/>
        </w:rPr>
        <w:t xml:space="preserve">                </w:t>
      </w:r>
      <w:r>
        <w:rPr>
          <w:rFonts w:hint="eastAsia" w:hAnsi="宋体" w:cs="宋体"/>
          <w:color w:val="auto"/>
          <w:sz w:val="21"/>
          <w:highlight w:val="none"/>
        </w:rPr>
        <w:t>元人民币(</w:t>
      </w:r>
      <w:r>
        <w:rPr>
          <w:rFonts w:hint="eastAsia" w:hAnsi="宋体" w:cs="宋体"/>
          <w:color w:val="auto"/>
          <w:sz w:val="21"/>
          <w:highlight w:val="none"/>
          <w:lang w:val="en-US" w:eastAsia="zh-CN"/>
        </w:rPr>
        <w:t>¥</w:t>
      </w:r>
      <w:r>
        <w:rPr>
          <w:rFonts w:hint="eastAsia" w:hAnsi="宋体" w:cs="宋体"/>
          <w:color w:val="auto"/>
          <w:sz w:val="21"/>
          <w:highlight w:val="none"/>
          <w:u w:val="single"/>
        </w:rPr>
        <w:t xml:space="preserve">            </w:t>
      </w:r>
      <w:r>
        <w:rPr>
          <w:rFonts w:hint="eastAsia" w:hAnsi="宋体" w:cs="宋体"/>
          <w:color w:val="auto"/>
          <w:sz w:val="21"/>
          <w:highlight w:val="none"/>
        </w:rPr>
        <w:t>)。</w:t>
      </w:r>
    </w:p>
    <w:p w14:paraId="55C53FD3">
      <w:pPr>
        <w:pStyle w:val="21"/>
        <w:spacing w:line="360" w:lineRule="exact"/>
        <w:ind w:firstLine="420"/>
        <w:rPr>
          <w:rFonts w:hint="eastAsia" w:hAnsi="宋体" w:cs="宋体"/>
          <w:color w:val="auto"/>
          <w:sz w:val="21"/>
          <w:highlight w:val="none"/>
        </w:rPr>
      </w:pPr>
      <w:r>
        <w:rPr>
          <w:rFonts w:hint="eastAsia" w:hAnsi="宋体" w:cs="宋体"/>
          <w:color w:val="auto"/>
          <w:sz w:val="21"/>
          <w:highlight w:val="none"/>
        </w:rPr>
        <w:t>2.我方承诺已具备谈判文件规定的供应商资格条件。</w:t>
      </w:r>
    </w:p>
    <w:p w14:paraId="16743BF0">
      <w:pPr>
        <w:pStyle w:val="21"/>
        <w:spacing w:line="360" w:lineRule="exact"/>
        <w:ind w:firstLine="420"/>
        <w:rPr>
          <w:rFonts w:hint="eastAsia" w:hAnsi="宋体" w:cs="宋体"/>
          <w:color w:val="auto"/>
          <w:sz w:val="21"/>
          <w:highlight w:val="none"/>
        </w:rPr>
      </w:pPr>
      <w:r>
        <w:rPr>
          <w:rFonts w:hint="eastAsia" w:hAnsi="宋体" w:cs="宋体"/>
          <w:color w:val="auto"/>
          <w:sz w:val="21"/>
          <w:highlight w:val="none"/>
        </w:rPr>
        <w:t>3.我方已详细审核谈判文件，包括修改文件（如有的话）和有关附件，将自行承担因对全部谈判文件理解不正确或误解而产生的相应后果。</w:t>
      </w:r>
    </w:p>
    <w:p w14:paraId="6B4E2E4F">
      <w:pPr>
        <w:pStyle w:val="21"/>
        <w:spacing w:line="360" w:lineRule="exact"/>
        <w:ind w:firstLine="420"/>
        <w:rPr>
          <w:rFonts w:hint="eastAsia" w:hAnsi="宋体" w:cs="宋体"/>
          <w:color w:val="auto"/>
          <w:sz w:val="21"/>
          <w:highlight w:val="none"/>
        </w:rPr>
      </w:pPr>
      <w:r>
        <w:rPr>
          <w:rFonts w:hint="eastAsia" w:hAnsi="宋体" w:cs="宋体"/>
          <w:color w:val="auto"/>
          <w:sz w:val="21"/>
          <w:highlight w:val="none"/>
        </w:rPr>
        <w:t>4. 响应文件有效期为响应文件递交截止时间之日起90天。</w:t>
      </w:r>
    </w:p>
    <w:p w14:paraId="0E2FDA71">
      <w:pPr>
        <w:pStyle w:val="21"/>
        <w:spacing w:line="360" w:lineRule="exact"/>
        <w:ind w:firstLine="420"/>
        <w:rPr>
          <w:rFonts w:hint="eastAsia" w:hAnsi="宋体" w:cs="宋体"/>
          <w:color w:val="auto"/>
          <w:sz w:val="21"/>
          <w:highlight w:val="none"/>
        </w:rPr>
      </w:pPr>
      <w:r>
        <w:rPr>
          <w:rFonts w:hint="eastAsia" w:hAnsi="宋体" w:cs="宋体"/>
          <w:color w:val="auto"/>
          <w:sz w:val="21"/>
          <w:highlight w:val="none"/>
        </w:rPr>
        <w:t>5. 如我方成交：</w:t>
      </w:r>
    </w:p>
    <w:p w14:paraId="3E419DB9">
      <w:pPr>
        <w:pStyle w:val="21"/>
        <w:spacing w:line="360" w:lineRule="exact"/>
        <w:ind w:firstLine="420"/>
        <w:rPr>
          <w:rFonts w:hint="eastAsia" w:hAnsi="宋体" w:cs="宋体"/>
          <w:color w:val="auto"/>
          <w:sz w:val="21"/>
          <w:highlight w:val="none"/>
        </w:rPr>
      </w:pPr>
      <w:r>
        <w:rPr>
          <w:rFonts w:hint="eastAsia" w:hAnsi="宋体" w:cs="宋体"/>
          <w:color w:val="auto"/>
          <w:sz w:val="21"/>
          <w:highlight w:val="none"/>
        </w:rPr>
        <w:t>（1）我方承诺在收到成交通知书后，在成交通知书规定的期限内与采购人签订合同。</w:t>
      </w:r>
    </w:p>
    <w:p w14:paraId="44B77C10">
      <w:pPr>
        <w:pStyle w:val="21"/>
        <w:spacing w:line="360" w:lineRule="exact"/>
        <w:ind w:firstLine="420"/>
        <w:rPr>
          <w:rFonts w:hint="eastAsia" w:hAnsi="宋体" w:cs="宋体"/>
          <w:color w:val="auto"/>
          <w:sz w:val="21"/>
          <w:highlight w:val="none"/>
        </w:rPr>
      </w:pPr>
      <w:r>
        <w:rPr>
          <w:rFonts w:hint="eastAsia" w:hAnsi="宋体" w:cs="宋体"/>
          <w:color w:val="auto"/>
          <w:sz w:val="21"/>
          <w:highlight w:val="none"/>
        </w:rPr>
        <w:t>（2）我方承诺按照谈判文件规定递交履约担保。</w:t>
      </w:r>
    </w:p>
    <w:p w14:paraId="1A96F394">
      <w:pPr>
        <w:pStyle w:val="21"/>
        <w:spacing w:line="360" w:lineRule="exact"/>
        <w:ind w:firstLine="420"/>
        <w:rPr>
          <w:rFonts w:hint="eastAsia" w:hAnsi="宋体" w:cs="宋体"/>
          <w:color w:val="auto"/>
          <w:sz w:val="21"/>
          <w:highlight w:val="none"/>
        </w:rPr>
      </w:pPr>
      <w:r>
        <w:rPr>
          <w:rFonts w:hint="eastAsia" w:hAnsi="宋体" w:cs="宋体"/>
          <w:color w:val="auto"/>
          <w:sz w:val="21"/>
          <w:highlight w:val="none"/>
        </w:rPr>
        <w:t>（3）我方承诺本响应文件至本项目合同履行完毕止均保持有效，按谈判文件及政府采购法律、法规的规定履行合同责任和义务。</w:t>
      </w:r>
    </w:p>
    <w:p w14:paraId="43BEA7BE">
      <w:pPr>
        <w:pStyle w:val="21"/>
        <w:spacing w:line="360" w:lineRule="exact"/>
        <w:ind w:firstLine="420"/>
        <w:rPr>
          <w:rFonts w:hint="eastAsia" w:hAnsi="宋体" w:cs="宋体"/>
          <w:color w:val="auto"/>
          <w:sz w:val="21"/>
          <w:highlight w:val="none"/>
        </w:rPr>
      </w:pPr>
      <w:r>
        <w:rPr>
          <w:rFonts w:hint="eastAsia" w:hAnsi="宋体" w:cs="宋体"/>
          <w:color w:val="auto"/>
          <w:sz w:val="21"/>
          <w:highlight w:val="none"/>
        </w:rPr>
        <w:t>与本项目有关的正式通讯地址为：</w:t>
      </w:r>
    </w:p>
    <w:p w14:paraId="3E41C537">
      <w:pPr>
        <w:pStyle w:val="21"/>
        <w:spacing w:line="400" w:lineRule="exact"/>
        <w:ind w:firstLine="420"/>
        <w:rPr>
          <w:rFonts w:hint="eastAsia" w:hAnsi="宋体" w:cs="宋体"/>
          <w:color w:val="auto"/>
          <w:sz w:val="21"/>
          <w:highlight w:val="none"/>
        </w:rPr>
      </w:pPr>
    </w:p>
    <w:p w14:paraId="4FDB3440">
      <w:pPr>
        <w:pStyle w:val="21"/>
        <w:spacing w:line="320" w:lineRule="exact"/>
        <w:ind w:firstLine="420"/>
        <w:rPr>
          <w:rFonts w:hint="eastAsia" w:hAnsi="宋体" w:cs="宋体"/>
          <w:color w:val="auto"/>
          <w:sz w:val="21"/>
          <w:highlight w:val="none"/>
          <w:u w:val="single"/>
        </w:rPr>
      </w:pPr>
      <w:r>
        <w:rPr>
          <w:rFonts w:hint="eastAsia" w:hAnsi="宋体" w:cs="宋体"/>
          <w:color w:val="auto"/>
          <w:sz w:val="21"/>
          <w:highlight w:val="none"/>
        </w:rPr>
        <w:t>地址：</w:t>
      </w:r>
      <w:r>
        <w:rPr>
          <w:rFonts w:hint="eastAsia" w:hAnsi="宋体" w:cs="宋体"/>
          <w:color w:val="auto"/>
          <w:sz w:val="21"/>
          <w:highlight w:val="none"/>
          <w:u w:val="single"/>
        </w:rPr>
        <w:t xml:space="preserve">                                   </w:t>
      </w:r>
      <w:r>
        <w:rPr>
          <w:rFonts w:hint="eastAsia" w:hAnsi="宋体" w:cs="宋体"/>
          <w:color w:val="auto"/>
          <w:sz w:val="21"/>
          <w:highlight w:val="none"/>
        </w:rPr>
        <w:t xml:space="preserve"> 邮编：</w:t>
      </w:r>
      <w:r>
        <w:rPr>
          <w:rFonts w:hint="eastAsia" w:hAnsi="宋体" w:cs="宋体"/>
          <w:color w:val="auto"/>
          <w:sz w:val="21"/>
          <w:highlight w:val="none"/>
          <w:u w:val="single"/>
        </w:rPr>
        <w:t xml:space="preserve">          </w:t>
      </w:r>
      <w:r>
        <w:rPr>
          <w:rFonts w:hint="eastAsia" w:hAnsi="宋体" w:cs="宋体"/>
          <w:color w:val="auto"/>
          <w:sz w:val="21"/>
          <w:highlight w:val="none"/>
        </w:rPr>
        <w:t xml:space="preserve">  电话、传真：</w:t>
      </w:r>
      <w:r>
        <w:rPr>
          <w:rFonts w:hint="eastAsia" w:hAnsi="宋体" w:cs="宋体"/>
          <w:color w:val="auto"/>
          <w:sz w:val="21"/>
          <w:highlight w:val="none"/>
          <w:u w:val="single"/>
        </w:rPr>
        <w:t xml:space="preserve">            </w:t>
      </w:r>
    </w:p>
    <w:p w14:paraId="07CED2CF">
      <w:pPr>
        <w:pStyle w:val="21"/>
        <w:spacing w:line="320" w:lineRule="exact"/>
        <w:ind w:firstLine="420"/>
        <w:rPr>
          <w:rFonts w:hint="eastAsia" w:hAnsi="宋体" w:cs="宋体"/>
          <w:color w:val="auto"/>
          <w:sz w:val="21"/>
          <w:highlight w:val="none"/>
        </w:rPr>
      </w:pPr>
      <w:r>
        <w:rPr>
          <w:rFonts w:hint="eastAsia" w:hAnsi="宋体" w:cs="宋体"/>
          <w:color w:val="auto"/>
          <w:sz w:val="21"/>
          <w:highlight w:val="none"/>
        </w:rPr>
        <w:t>开户名称：</w:t>
      </w:r>
      <w:r>
        <w:rPr>
          <w:rFonts w:hint="eastAsia" w:hAnsi="宋体" w:cs="宋体"/>
          <w:color w:val="auto"/>
          <w:sz w:val="21"/>
          <w:highlight w:val="none"/>
          <w:u w:val="single"/>
        </w:rPr>
        <w:t xml:space="preserve">                                        </w:t>
      </w:r>
    </w:p>
    <w:p w14:paraId="210FC02E">
      <w:pPr>
        <w:pStyle w:val="21"/>
        <w:spacing w:line="320" w:lineRule="exact"/>
        <w:ind w:firstLine="420"/>
        <w:rPr>
          <w:rFonts w:hint="eastAsia" w:hAnsi="宋体" w:cs="宋体"/>
          <w:color w:val="auto"/>
          <w:sz w:val="21"/>
          <w:highlight w:val="none"/>
        </w:rPr>
      </w:pPr>
      <w:r>
        <w:rPr>
          <w:rFonts w:hint="eastAsia" w:hAnsi="宋体" w:cs="宋体"/>
          <w:color w:val="auto"/>
          <w:sz w:val="21"/>
          <w:highlight w:val="none"/>
        </w:rPr>
        <w:t>开户银行：</w:t>
      </w:r>
      <w:r>
        <w:rPr>
          <w:rFonts w:hint="eastAsia" w:hAnsi="宋体" w:cs="宋体"/>
          <w:color w:val="auto"/>
          <w:sz w:val="21"/>
          <w:highlight w:val="none"/>
          <w:u w:val="single"/>
        </w:rPr>
        <w:t xml:space="preserve">                               　       </w:t>
      </w:r>
    </w:p>
    <w:p w14:paraId="0429A474">
      <w:pPr>
        <w:pStyle w:val="21"/>
        <w:spacing w:line="320" w:lineRule="exact"/>
        <w:ind w:firstLine="420"/>
        <w:rPr>
          <w:rFonts w:hint="eastAsia" w:hAnsi="宋体" w:cs="宋体"/>
          <w:color w:val="auto"/>
          <w:sz w:val="21"/>
          <w:highlight w:val="none"/>
        </w:rPr>
      </w:pPr>
      <w:r>
        <w:rPr>
          <w:rFonts w:hint="eastAsia" w:hAnsi="宋体" w:cs="宋体"/>
          <w:color w:val="auto"/>
          <w:sz w:val="21"/>
          <w:highlight w:val="none"/>
        </w:rPr>
        <w:t>账号：</w:t>
      </w:r>
      <w:r>
        <w:rPr>
          <w:rFonts w:hint="eastAsia" w:hAnsi="宋体" w:cs="宋体"/>
          <w:color w:val="auto"/>
          <w:sz w:val="21"/>
          <w:highlight w:val="none"/>
          <w:u w:val="single"/>
        </w:rPr>
        <w:t xml:space="preserve">                                   　　　   </w:t>
      </w:r>
    </w:p>
    <w:p w14:paraId="47B76FFF">
      <w:pPr>
        <w:pStyle w:val="21"/>
        <w:spacing w:line="320" w:lineRule="exact"/>
        <w:ind w:firstLine="420"/>
        <w:rPr>
          <w:rFonts w:hint="eastAsia" w:hAnsi="宋体" w:cs="宋体"/>
          <w:bCs/>
          <w:color w:val="auto"/>
          <w:sz w:val="21"/>
          <w:highlight w:val="none"/>
          <w:u w:val="single"/>
        </w:rPr>
      </w:pPr>
      <w:r>
        <w:rPr>
          <w:rFonts w:hint="eastAsia" w:hAnsi="宋体" w:cs="宋体"/>
          <w:bCs/>
          <w:color w:val="auto"/>
          <w:sz w:val="21"/>
          <w:highlight w:val="none"/>
        </w:rPr>
        <w:t>供应商[公章(CA签章)、自然人除外]：</w:t>
      </w:r>
      <w:r>
        <w:rPr>
          <w:rFonts w:hint="eastAsia" w:hAnsi="宋体" w:cs="宋体"/>
          <w:bCs/>
          <w:color w:val="auto"/>
          <w:sz w:val="21"/>
          <w:highlight w:val="none"/>
          <w:u w:val="single"/>
        </w:rPr>
        <w:t xml:space="preserve">                              </w:t>
      </w:r>
    </w:p>
    <w:p w14:paraId="7EF1E8AB">
      <w:pPr>
        <w:pStyle w:val="21"/>
        <w:spacing w:line="320" w:lineRule="exact"/>
        <w:ind w:firstLine="420"/>
        <w:rPr>
          <w:rFonts w:hint="eastAsia" w:hAnsi="宋体" w:cs="宋体"/>
          <w:color w:val="auto"/>
          <w:sz w:val="21"/>
          <w:highlight w:val="none"/>
          <w:u w:val="single"/>
        </w:rPr>
      </w:pPr>
      <w:r>
        <w:rPr>
          <w:rFonts w:hint="eastAsia" w:hAnsi="宋体" w:cs="宋体"/>
          <w:color w:val="auto"/>
          <w:sz w:val="21"/>
          <w:highlight w:val="none"/>
        </w:rPr>
        <w:t>法定代表人、负责人、自然人或相应的委托代理人签字[或盖章(CA签章)]（属自然人的应在签名处加盖大拇指指印或个人CA签章）：</w:t>
      </w:r>
      <w:r>
        <w:rPr>
          <w:rFonts w:hint="eastAsia" w:hAnsi="宋体" w:cs="宋体"/>
          <w:color w:val="auto"/>
          <w:sz w:val="21"/>
          <w:highlight w:val="none"/>
          <w:u w:val="single"/>
        </w:rPr>
        <w:t xml:space="preserve">              </w:t>
      </w:r>
    </w:p>
    <w:p w14:paraId="16D95F2A">
      <w:pPr>
        <w:ind w:firstLine="420"/>
        <w:rPr>
          <w:rFonts w:hint="eastAsia" w:ascii="宋体" w:hAnsi="宋体" w:cs="宋体"/>
          <w:color w:val="auto"/>
          <w:szCs w:val="21"/>
          <w:highlight w:val="none"/>
          <w:u w:val="single"/>
        </w:rPr>
      </w:pPr>
      <w:r>
        <w:rPr>
          <w:rFonts w:hint="eastAsia" w:ascii="宋体" w:hAnsi="宋体" w:cs="宋体"/>
          <w:bCs/>
          <w:color w:val="auto"/>
          <w:szCs w:val="21"/>
          <w:highlight w:val="none"/>
        </w:rPr>
        <w:t>响应</w:t>
      </w: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p>
    <w:p w14:paraId="0E6B8EF4">
      <w:pPr>
        <w:pStyle w:val="18"/>
        <w:rPr>
          <w:rFonts w:hint="eastAsia"/>
          <w:color w:val="auto"/>
          <w:highlight w:val="none"/>
        </w:rPr>
      </w:pPr>
    </w:p>
    <w:p w14:paraId="1A6FD919">
      <w:pPr>
        <w:rPr>
          <w:rFonts w:hint="eastAsia" w:hAnsi="宋体" w:cs="宋体"/>
          <w:b/>
          <w:bCs w:val="0"/>
          <w:color w:val="auto"/>
          <w:sz w:val="21"/>
          <w:highlight w:val="none"/>
        </w:rPr>
      </w:pPr>
    </w:p>
    <w:p w14:paraId="461A5524">
      <w:pPr>
        <w:rPr>
          <w:rFonts w:hint="eastAsia" w:hAnsi="宋体" w:cs="宋体"/>
          <w:b/>
          <w:bCs w:val="0"/>
          <w:color w:val="auto"/>
          <w:sz w:val="21"/>
          <w:highlight w:val="none"/>
        </w:rPr>
      </w:pPr>
      <w:r>
        <w:rPr>
          <w:rFonts w:hint="eastAsia" w:hAnsi="宋体" w:cs="宋体"/>
          <w:b/>
          <w:bCs w:val="0"/>
          <w:color w:val="auto"/>
          <w:sz w:val="21"/>
          <w:highlight w:val="none"/>
        </w:rPr>
        <w:t>注：1.未按照本响应函（格式）要求填报的响应函将被视为非实质性响应</w:t>
      </w:r>
      <w:r>
        <w:rPr>
          <w:b/>
          <w:bCs w:val="0"/>
          <w:color w:val="auto"/>
          <w:highlight w:val="none"/>
        </w:rPr>
        <w:t>竞争性谈判文件</w:t>
      </w:r>
      <w:r>
        <w:rPr>
          <w:rFonts w:hint="eastAsia" w:hAnsi="宋体" w:cs="宋体"/>
          <w:b/>
          <w:bCs w:val="0"/>
          <w:color w:val="auto"/>
          <w:sz w:val="21"/>
          <w:highlight w:val="none"/>
        </w:rPr>
        <w:t>要求，从而导致该响应被拒绝。</w:t>
      </w:r>
    </w:p>
    <w:p w14:paraId="2DEE23B4">
      <w:pPr>
        <w:pStyle w:val="21"/>
        <w:spacing w:line="320" w:lineRule="exact"/>
        <w:ind w:firstLine="840"/>
        <w:rPr>
          <w:rFonts w:hint="eastAsia" w:hAnsi="宋体" w:eastAsia="宋体" w:cs="宋体"/>
          <w:b/>
          <w:bCs w:val="0"/>
          <w:color w:val="auto"/>
          <w:sz w:val="21"/>
          <w:highlight w:val="none"/>
          <w:lang w:eastAsia="zh-CN"/>
        </w:rPr>
        <w:sectPr>
          <w:pgSz w:w="11906" w:h="16838"/>
          <w:pgMar w:top="1440" w:right="935" w:bottom="1440" w:left="779" w:header="851" w:footer="992" w:gutter="0"/>
          <w:pgNumType w:fmt="numberInDash"/>
          <w:cols w:space="720" w:num="1"/>
        </w:sectPr>
      </w:pPr>
      <w:r>
        <w:rPr>
          <w:rFonts w:hint="eastAsia" w:hAnsi="宋体" w:cs="宋体"/>
          <w:b/>
          <w:bCs w:val="0"/>
          <w:color w:val="auto"/>
          <w:sz w:val="21"/>
          <w:highlight w:val="none"/>
        </w:rPr>
        <w:t>2.响应函须由法定代表人（负责人/自然人）或委托代理人签字或CA个人签章并加盖供应商公章（自然人签字并加盖大拇指指印或个人CA签章</w:t>
      </w:r>
      <w:r>
        <w:rPr>
          <w:rFonts w:hint="eastAsia" w:hAnsi="宋体" w:cs="宋体"/>
          <w:b/>
          <w:bCs w:val="0"/>
          <w:color w:val="auto"/>
          <w:sz w:val="21"/>
          <w:highlight w:val="none"/>
          <w:lang w:eastAsia="zh-CN"/>
        </w:rPr>
        <w:t>）。</w:t>
      </w:r>
    </w:p>
    <w:p w14:paraId="0C595F31">
      <w:pPr>
        <w:pStyle w:val="21"/>
        <w:numPr>
          <w:ilvl w:val="0"/>
          <w:numId w:val="8"/>
        </w:numPr>
        <w:spacing w:line="340" w:lineRule="exact"/>
        <w:rPr>
          <w:b/>
          <w:color w:val="auto"/>
          <w:sz w:val="28"/>
          <w:szCs w:val="28"/>
          <w:highlight w:val="none"/>
        </w:rPr>
      </w:pPr>
      <w:r>
        <w:rPr>
          <w:rFonts w:hint="eastAsia"/>
          <w:b/>
          <w:color w:val="auto"/>
          <w:sz w:val="28"/>
          <w:szCs w:val="28"/>
          <w:highlight w:val="none"/>
        </w:rPr>
        <w:t>谈判报价表（格式见附件）（必须提供）；</w:t>
      </w:r>
    </w:p>
    <w:p w14:paraId="11EAA2C1">
      <w:pPr>
        <w:pStyle w:val="246"/>
        <w:ind w:firstLine="0"/>
        <w:rPr>
          <w:b/>
          <w:color w:val="auto"/>
          <w:highlight w:val="none"/>
        </w:rPr>
      </w:pPr>
      <w:r>
        <w:rPr>
          <w:rFonts w:hint="eastAsia"/>
          <w:b/>
          <w:bCs/>
          <w:color w:val="auto"/>
          <w:sz w:val="30"/>
          <w:szCs w:val="30"/>
          <w:highlight w:val="none"/>
        </w:rPr>
        <w:t>附件：</w:t>
      </w:r>
      <w:r>
        <w:rPr>
          <w:rFonts w:hint="eastAsia"/>
          <w:b/>
          <w:color w:val="auto"/>
          <w:highlight w:val="none"/>
        </w:rPr>
        <w:t xml:space="preserve">                                      </w:t>
      </w:r>
    </w:p>
    <w:p w14:paraId="3814BBD9">
      <w:pPr>
        <w:pStyle w:val="21"/>
        <w:spacing w:line="320" w:lineRule="exact"/>
        <w:ind w:left="420"/>
        <w:jc w:val="center"/>
        <w:rPr>
          <w:rFonts w:hAnsi="宋体"/>
          <w:b/>
          <w:color w:val="auto"/>
          <w:sz w:val="32"/>
          <w:highlight w:val="none"/>
        </w:rPr>
      </w:pPr>
      <w:r>
        <w:rPr>
          <w:rFonts w:hint="eastAsia" w:hAnsi="宋体"/>
          <w:b/>
          <w:color w:val="auto"/>
          <w:sz w:val="32"/>
          <w:highlight w:val="none"/>
        </w:rPr>
        <w:t>谈判报价表</w:t>
      </w:r>
    </w:p>
    <w:tbl>
      <w:tblPr>
        <w:tblStyle w:val="42"/>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26"/>
        <w:gridCol w:w="2728"/>
        <w:gridCol w:w="1275"/>
        <w:gridCol w:w="1215"/>
        <w:gridCol w:w="1157"/>
        <w:gridCol w:w="426"/>
        <w:gridCol w:w="427"/>
        <w:gridCol w:w="427"/>
        <w:gridCol w:w="1113"/>
        <w:gridCol w:w="730"/>
      </w:tblGrid>
      <w:tr w14:paraId="427F2B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1" w:hRule="atLeast"/>
        </w:trPr>
        <w:tc>
          <w:tcPr>
            <w:tcW w:w="426" w:type="dxa"/>
            <w:tcBorders>
              <w:top w:val="single" w:color="auto" w:sz="4" w:space="0"/>
              <w:left w:val="single" w:color="auto" w:sz="4" w:space="0"/>
              <w:bottom w:val="single" w:color="auto" w:sz="4" w:space="0"/>
              <w:right w:val="single" w:color="auto" w:sz="4" w:space="0"/>
            </w:tcBorders>
            <w:noWrap w:val="0"/>
            <w:vAlign w:val="center"/>
          </w:tcPr>
          <w:p w14:paraId="76D54ED5">
            <w:pPr>
              <w:spacing w:line="300" w:lineRule="exact"/>
              <w:jc w:val="center"/>
              <w:rPr>
                <w:rFonts w:ascii="宋体" w:hAnsi="宋体"/>
                <w:color w:val="auto"/>
                <w:highlight w:val="none"/>
              </w:rPr>
            </w:pPr>
            <w:r>
              <w:rPr>
                <w:rFonts w:hint="eastAsia" w:ascii="宋体" w:hAnsi="宋体"/>
                <w:color w:val="auto"/>
                <w:highlight w:val="none"/>
              </w:rPr>
              <w:t>项号</w:t>
            </w:r>
          </w:p>
        </w:tc>
        <w:tc>
          <w:tcPr>
            <w:tcW w:w="2728" w:type="dxa"/>
            <w:tcBorders>
              <w:top w:val="single" w:color="auto" w:sz="4" w:space="0"/>
              <w:left w:val="single" w:color="auto" w:sz="4" w:space="0"/>
              <w:bottom w:val="single" w:color="auto" w:sz="4" w:space="0"/>
              <w:right w:val="single" w:color="auto" w:sz="4" w:space="0"/>
            </w:tcBorders>
            <w:noWrap w:val="0"/>
            <w:vAlign w:val="center"/>
          </w:tcPr>
          <w:p w14:paraId="7D761F13">
            <w:pPr>
              <w:spacing w:line="280" w:lineRule="exact"/>
              <w:jc w:val="center"/>
              <w:rPr>
                <w:rFonts w:hint="eastAsia" w:ascii="宋体" w:hAnsi="宋体"/>
                <w:color w:val="auto"/>
                <w:highlight w:val="none"/>
              </w:rPr>
            </w:pPr>
            <w:r>
              <w:rPr>
                <w:rFonts w:hint="eastAsia" w:ascii="宋体" w:hAnsi="宋体"/>
                <w:color w:val="auto"/>
                <w:highlight w:val="none"/>
              </w:rPr>
              <w:t>标的名称</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5EF85432">
            <w:pPr>
              <w:spacing w:line="280" w:lineRule="exact"/>
              <w:jc w:val="center"/>
              <w:rPr>
                <w:rFonts w:hint="eastAsia" w:ascii="宋体" w:hAnsi="宋体"/>
                <w:color w:val="auto"/>
                <w:highlight w:val="none"/>
              </w:rPr>
            </w:pPr>
            <w:r>
              <w:rPr>
                <w:rFonts w:hint="eastAsia" w:ascii="宋体" w:hAnsi="宋体"/>
                <w:color w:val="auto"/>
                <w:highlight w:val="none"/>
              </w:rPr>
              <w:t>生产厂家</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2E0BF87D">
            <w:pPr>
              <w:spacing w:line="280" w:lineRule="exact"/>
              <w:jc w:val="center"/>
              <w:rPr>
                <w:rFonts w:hint="eastAsia" w:ascii="宋体" w:hAnsi="宋体"/>
                <w:color w:val="auto"/>
                <w:highlight w:val="none"/>
              </w:rPr>
            </w:pPr>
            <w:r>
              <w:rPr>
                <w:rFonts w:hint="eastAsia" w:ascii="宋体" w:hAnsi="宋体"/>
                <w:color w:val="auto"/>
                <w:szCs w:val="21"/>
                <w:highlight w:val="none"/>
              </w:rPr>
              <w:t>品牌</w:t>
            </w:r>
          </w:p>
        </w:tc>
        <w:tc>
          <w:tcPr>
            <w:tcW w:w="1157" w:type="dxa"/>
            <w:tcBorders>
              <w:top w:val="single" w:color="auto" w:sz="4" w:space="0"/>
              <w:left w:val="single" w:color="auto" w:sz="4" w:space="0"/>
              <w:bottom w:val="single" w:color="auto" w:sz="4" w:space="0"/>
              <w:right w:val="single" w:color="auto" w:sz="4" w:space="0"/>
            </w:tcBorders>
            <w:noWrap w:val="0"/>
            <w:vAlign w:val="center"/>
          </w:tcPr>
          <w:p w14:paraId="14D1C7C6">
            <w:pPr>
              <w:spacing w:line="300" w:lineRule="exact"/>
              <w:jc w:val="center"/>
              <w:rPr>
                <w:rFonts w:ascii="宋体" w:hAnsi="宋体"/>
                <w:color w:val="auto"/>
                <w:highlight w:val="none"/>
              </w:rPr>
            </w:pPr>
            <w:r>
              <w:rPr>
                <w:rFonts w:hint="eastAsia" w:ascii="宋体" w:hAnsi="宋体"/>
                <w:color w:val="auto"/>
                <w:szCs w:val="21"/>
                <w:highlight w:val="none"/>
              </w:rPr>
              <w:t>规格型号</w:t>
            </w:r>
          </w:p>
        </w:tc>
        <w:tc>
          <w:tcPr>
            <w:tcW w:w="426" w:type="dxa"/>
            <w:tcBorders>
              <w:top w:val="single" w:color="auto" w:sz="4" w:space="0"/>
              <w:left w:val="single" w:color="auto" w:sz="4" w:space="0"/>
              <w:bottom w:val="single" w:color="auto" w:sz="4" w:space="0"/>
              <w:right w:val="single" w:color="auto" w:sz="4" w:space="0"/>
            </w:tcBorders>
            <w:noWrap w:val="0"/>
            <w:vAlign w:val="center"/>
          </w:tcPr>
          <w:p w14:paraId="2DE75FF2">
            <w:pPr>
              <w:spacing w:line="300" w:lineRule="exact"/>
              <w:jc w:val="center"/>
              <w:rPr>
                <w:rFonts w:ascii="宋体" w:hAnsi="宋体"/>
                <w:color w:val="auto"/>
                <w:highlight w:val="none"/>
              </w:rPr>
            </w:pPr>
            <w:r>
              <w:rPr>
                <w:rFonts w:hint="eastAsia" w:ascii="宋体" w:hAnsi="宋体"/>
                <w:color w:val="auto"/>
                <w:highlight w:val="none"/>
              </w:rPr>
              <w:t>数量</w:t>
            </w:r>
          </w:p>
          <w:p w14:paraId="25C6994B">
            <w:pPr>
              <w:spacing w:line="300" w:lineRule="exact"/>
              <w:jc w:val="center"/>
              <w:rPr>
                <w:rFonts w:ascii="宋体" w:hAnsi="宋体"/>
                <w:color w:val="auto"/>
                <w:highlight w:val="none"/>
              </w:rPr>
            </w:pPr>
            <w:r>
              <w:rPr>
                <w:rFonts w:hint="eastAsia" w:ascii="宋体" w:hAnsi="宋体"/>
                <w:color w:val="auto"/>
                <w:szCs w:val="21"/>
                <w:highlight w:val="none"/>
              </w:rPr>
              <w:t>①</w:t>
            </w:r>
          </w:p>
        </w:tc>
        <w:tc>
          <w:tcPr>
            <w:tcW w:w="427" w:type="dxa"/>
            <w:tcBorders>
              <w:top w:val="single" w:color="auto" w:sz="4" w:space="0"/>
              <w:left w:val="single" w:color="auto" w:sz="4" w:space="0"/>
              <w:bottom w:val="single" w:color="auto" w:sz="4" w:space="0"/>
              <w:right w:val="single" w:color="auto" w:sz="4" w:space="0"/>
            </w:tcBorders>
            <w:noWrap w:val="0"/>
            <w:vAlign w:val="center"/>
          </w:tcPr>
          <w:p w14:paraId="498E679A">
            <w:pPr>
              <w:spacing w:line="300" w:lineRule="exact"/>
              <w:jc w:val="center"/>
              <w:rPr>
                <w:rFonts w:ascii="宋体" w:hAnsi="宋体"/>
                <w:color w:val="auto"/>
                <w:highlight w:val="none"/>
              </w:rPr>
            </w:pPr>
            <w:r>
              <w:rPr>
                <w:rFonts w:hint="eastAsia" w:ascii="宋体" w:hAnsi="宋体"/>
                <w:color w:val="auto"/>
                <w:highlight w:val="none"/>
              </w:rPr>
              <w:t>单位</w:t>
            </w:r>
          </w:p>
        </w:tc>
        <w:tc>
          <w:tcPr>
            <w:tcW w:w="427" w:type="dxa"/>
            <w:tcBorders>
              <w:top w:val="single" w:color="auto" w:sz="4" w:space="0"/>
              <w:left w:val="single" w:color="auto" w:sz="4" w:space="0"/>
              <w:bottom w:val="single" w:color="auto" w:sz="4" w:space="0"/>
              <w:right w:val="single" w:color="auto" w:sz="4" w:space="0"/>
            </w:tcBorders>
            <w:noWrap w:val="0"/>
            <w:vAlign w:val="center"/>
          </w:tcPr>
          <w:p w14:paraId="1B83C9F1">
            <w:pPr>
              <w:spacing w:line="300" w:lineRule="exact"/>
              <w:jc w:val="center"/>
              <w:rPr>
                <w:rFonts w:ascii="宋体" w:hAnsi="宋体"/>
                <w:color w:val="auto"/>
                <w:highlight w:val="none"/>
              </w:rPr>
            </w:pPr>
            <w:r>
              <w:rPr>
                <w:rFonts w:hint="eastAsia" w:ascii="宋体" w:hAnsi="宋体"/>
                <w:color w:val="auto"/>
                <w:highlight w:val="none"/>
              </w:rPr>
              <w:t>单价</w:t>
            </w:r>
          </w:p>
          <w:p w14:paraId="6103AE47">
            <w:pPr>
              <w:spacing w:line="300" w:lineRule="exact"/>
              <w:jc w:val="center"/>
              <w:rPr>
                <w:rFonts w:ascii="宋体" w:hAnsi="宋体"/>
                <w:color w:val="auto"/>
                <w:highlight w:val="none"/>
              </w:rPr>
            </w:pPr>
            <w:r>
              <w:rPr>
                <w:rFonts w:hint="eastAsia" w:ascii="宋体" w:hAnsi="宋体"/>
                <w:color w:val="auto"/>
                <w:szCs w:val="21"/>
                <w:highlight w:val="none"/>
              </w:rPr>
              <w:t>②</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43B023C0">
            <w:pPr>
              <w:spacing w:line="300" w:lineRule="exact"/>
              <w:jc w:val="center"/>
              <w:rPr>
                <w:rFonts w:ascii="宋体" w:hAnsi="宋体"/>
                <w:color w:val="auto"/>
                <w:highlight w:val="none"/>
              </w:rPr>
            </w:pPr>
            <w:r>
              <w:rPr>
                <w:rFonts w:hint="eastAsia" w:ascii="宋体" w:hAnsi="宋体"/>
                <w:color w:val="auto"/>
                <w:highlight w:val="none"/>
              </w:rPr>
              <w:t>单项合计=数量</w:t>
            </w:r>
            <w:r>
              <w:rPr>
                <w:rFonts w:hint="eastAsia" w:ascii="宋体" w:hAnsi="宋体"/>
                <w:color w:val="auto"/>
                <w:highlight w:val="none"/>
                <w:lang w:eastAsia="zh-CN"/>
              </w:rPr>
              <w:t>×</w:t>
            </w:r>
            <w:r>
              <w:rPr>
                <w:rFonts w:hint="eastAsia" w:ascii="宋体" w:hAnsi="宋体"/>
                <w:color w:val="auto"/>
                <w:highlight w:val="none"/>
              </w:rPr>
              <w:t>单价</w:t>
            </w:r>
          </w:p>
          <w:p w14:paraId="36FBBB38">
            <w:pPr>
              <w:spacing w:line="300" w:lineRule="exact"/>
              <w:jc w:val="center"/>
              <w:rPr>
                <w:rFonts w:ascii="宋体" w:hAnsi="宋体"/>
                <w:color w:val="auto"/>
                <w:highlight w:val="none"/>
              </w:rPr>
            </w:pPr>
            <w:r>
              <w:rPr>
                <w:rFonts w:hint="eastAsia" w:ascii="宋体" w:hAnsi="宋体"/>
                <w:color w:val="auto"/>
                <w:szCs w:val="21"/>
                <w:highlight w:val="none"/>
              </w:rPr>
              <w:t>③＝①</w:t>
            </w:r>
            <w:r>
              <w:rPr>
                <w:rFonts w:hint="eastAsia" w:ascii="宋体" w:hAnsi="宋体"/>
                <w:color w:val="auto"/>
                <w:szCs w:val="21"/>
                <w:highlight w:val="none"/>
                <w:lang w:eastAsia="zh-CN"/>
              </w:rPr>
              <w:t>×</w:t>
            </w:r>
            <w:r>
              <w:rPr>
                <w:rFonts w:hint="eastAsia" w:ascii="宋体" w:hAnsi="宋体"/>
                <w:color w:val="auto"/>
                <w:szCs w:val="21"/>
                <w:highlight w:val="none"/>
              </w:rPr>
              <w:t>②</w:t>
            </w:r>
          </w:p>
        </w:tc>
        <w:tc>
          <w:tcPr>
            <w:tcW w:w="730" w:type="dxa"/>
            <w:tcBorders>
              <w:bottom w:val="single" w:color="auto" w:sz="4" w:space="0"/>
            </w:tcBorders>
            <w:noWrap w:val="0"/>
            <w:vAlign w:val="center"/>
          </w:tcPr>
          <w:p w14:paraId="76AA2EEC">
            <w:pPr>
              <w:spacing w:line="300" w:lineRule="exact"/>
              <w:jc w:val="center"/>
              <w:rPr>
                <w:rFonts w:ascii="宋体" w:hAnsi="宋体"/>
                <w:color w:val="auto"/>
                <w:highlight w:val="none"/>
              </w:rPr>
            </w:pPr>
            <w:r>
              <w:rPr>
                <w:rFonts w:hint="eastAsia" w:ascii="宋体" w:hAnsi="宋体"/>
                <w:color w:val="auto"/>
                <w:highlight w:val="none"/>
              </w:rPr>
              <w:t>备注</w:t>
            </w:r>
          </w:p>
        </w:tc>
      </w:tr>
      <w:tr w14:paraId="0A0DC0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426" w:type="dxa"/>
            <w:tcBorders>
              <w:top w:val="single" w:color="auto" w:sz="4" w:space="0"/>
              <w:left w:val="single" w:color="auto" w:sz="4" w:space="0"/>
              <w:bottom w:val="single" w:color="auto" w:sz="4" w:space="0"/>
              <w:right w:val="single" w:color="auto" w:sz="4" w:space="0"/>
            </w:tcBorders>
            <w:noWrap w:val="0"/>
            <w:vAlign w:val="center"/>
          </w:tcPr>
          <w:p w14:paraId="698DB0F9">
            <w:pPr>
              <w:jc w:val="center"/>
              <w:rPr>
                <w:rFonts w:ascii="宋体" w:hAnsi="宋体" w:cs="宋体"/>
                <w:color w:val="auto"/>
                <w:szCs w:val="21"/>
                <w:highlight w:val="none"/>
              </w:rPr>
            </w:pPr>
            <w:r>
              <w:rPr>
                <w:rFonts w:hint="eastAsia" w:ascii="宋体" w:hAnsi="宋体" w:cs="宋体"/>
                <w:color w:val="auto"/>
                <w:szCs w:val="21"/>
                <w:highlight w:val="none"/>
              </w:rPr>
              <w:t>1</w:t>
            </w:r>
          </w:p>
        </w:tc>
        <w:tc>
          <w:tcPr>
            <w:tcW w:w="2728" w:type="dxa"/>
            <w:tcBorders>
              <w:top w:val="single" w:color="auto" w:sz="4" w:space="0"/>
              <w:left w:val="single" w:color="auto" w:sz="4" w:space="0"/>
              <w:bottom w:val="single" w:color="auto" w:sz="4" w:space="0"/>
              <w:right w:val="single" w:color="auto" w:sz="4" w:space="0"/>
            </w:tcBorders>
            <w:noWrap w:val="0"/>
            <w:vAlign w:val="center"/>
          </w:tcPr>
          <w:p w14:paraId="484A270D">
            <w:pPr>
              <w:spacing w:line="300" w:lineRule="exact"/>
              <w:jc w:val="center"/>
              <w:rPr>
                <w:rFonts w:ascii="宋体" w:hAnsi="宋体"/>
                <w:color w:val="auto"/>
                <w:highlight w:val="none"/>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14:paraId="0A29A98E">
            <w:pPr>
              <w:spacing w:line="300" w:lineRule="exact"/>
              <w:jc w:val="center"/>
              <w:rPr>
                <w:rFonts w:ascii="宋体" w:hAnsi="宋体"/>
                <w:color w:val="auto"/>
                <w:highlight w:val="none"/>
              </w:rPr>
            </w:pPr>
          </w:p>
        </w:tc>
        <w:tc>
          <w:tcPr>
            <w:tcW w:w="1215" w:type="dxa"/>
            <w:tcBorders>
              <w:top w:val="single" w:color="auto" w:sz="4" w:space="0"/>
              <w:left w:val="single" w:color="auto" w:sz="4" w:space="0"/>
              <w:bottom w:val="single" w:color="auto" w:sz="4" w:space="0"/>
              <w:right w:val="single" w:color="auto" w:sz="4" w:space="0"/>
            </w:tcBorders>
            <w:noWrap w:val="0"/>
            <w:vAlign w:val="center"/>
          </w:tcPr>
          <w:p w14:paraId="207DECA1">
            <w:pPr>
              <w:spacing w:line="300" w:lineRule="exact"/>
              <w:jc w:val="center"/>
              <w:rPr>
                <w:rFonts w:ascii="宋体" w:hAnsi="宋体"/>
                <w:color w:val="auto"/>
                <w:highlight w:val="none"/>
              </w:rPr>
            </w:pPr>
          </w:p>
        </w:tc>
        <w:tc>
          <w:tcPr>
            <w:tcW w:w="1157" w:type="dxa"/>
            <w:tcBorders>
              <w:top w:val="single" w:color="auto" w:sz="4" w:space="0"/>
              <w:left w:val="single" w:color="auto" w:sz="4" w:space="0"/>
              <w:bottom w:val="single" w:color="auto" w:sz="4" w:space="0"/>
              <w:right w:val="single" w:color="auto" w:sz="4" w:space="0"/>
            </w:tcBorders>
            <w:noWrap w:val="0"/>
            <w:vAlign w:val="center"/>
          </w:tcPr>
          <w:p w14:paraId="3E5A247C">
            <w:pPr>
              <w:spacing w:line="300" w:lineRule="exact"/>
              <w:jc w:val="center"/>
              <w:rPr>
                <w:rFonts w:ascii="宋体" w:hAnsi="宋体"/>
                <w:color w:val="auto"/>
                <w:highlight w:val="none"/>
              </w:rPr>
            </w:pPr>
          </w:p>
        </w:tc>
        <w:tc>
          <w:tcPr>
            <w:tcW w:w="426" w:type="dxa"/>
            <w:tcBorders>
              <w:top w:val="single" w:color="auto" w:sz="4" w:space="0"/>
              <w:left w:val="single" w:color="auto" w:sz="4" w:space="0"/>
              <w:bottom w:val="single" w:color="auto" w:sz="4" w:space="0"/>
              <w:right w:val="single" w:color="auto" w:sz="4" w:space="0"/>
            </w:tcBorders>
            <w:noWrap w:val="0"/>
            <w:vAlign w:val="center"/>
          </w:tcPr>
          <w:p w14:paraId="2F54EBE2">
            <w:pPr>
              <w:jc w:val="center"/>
              <w:rPr>
                <w:rFonts w:ascii="宋体" w:hAnsi="宋体" w:cs="宋体"/>
                <w:color w:val="auto"/>
                <w:szCs w:val="21"/>
                <w:highlight w:val="none"/>
              </w:rPr>
            </w:pPr>
          </w:p>
        </w:tc>
        <w:tc>
          <w:tcPr>
            <w:tcW w:w="427" w:type="dxa"/>
            <w:tcBorders>
              <w:top w:val="single" w:color="auto" w:sz="4" w:space="0"/>
              <w:left w:val="single" w:color="auto" w:sz="4" w:space="0"/>
              <w:bottom w:val="single" w:color="auto" w:sz="4" w:space="0"/>
              <w:right w:val="single" w:color="auto" w:sz="4" w:space="0"/>
            </w:tcBorders>
            <w:noWrap w:val="0"/>
            <w:vAlign w:val="center"/>
          </w:tcPr>
          <w:p w14:paraId="66721A2A">
            <w:pPr>
              <w:jc w:val="center"/>
              <w:rPr>
                <w:rFonts w:ascii="宋体" w:hAnsi="宋体" w:cs="宋体"/>
                <w:color w:val="auto"/>
                <w:szCs w:val="21"/>
                <w:highlight w:val="none"/>
              </w:rPr>
            </w:pPr>
          </w:p>
        </w:tc>
        <w:tc>
          <w:tcPr>
            <w:tcW w:w="427" w:type="dxa"/>
            <w:tcBorders>
              <w:top w:val="single" w:color="auto" w:sz="4" w:space="0"/>
              <w:left w:val="single" w:color="auto" w:sz="4" w:space="0"/>
              <w:bottom w:val="single" w:color="auto" w:sz="4" w:space="0"/>
              <w:right w:val="single" w:color="auto" w:sz="4" w:space="0"/>
            </w:tcBorders>
            <w:noWrap w:val="0"/>
            <w:vAlign w:val="center"/>
          </w:tcPr>
          <w:p w14:paraId="5BF78AA1">
            <w:pPr>
              <w:spacing w:line="300" w:lineRule="exact"/>
              <w:jc w:val="center"/>
              <w:rPr>
                <w:rFonts w:ascii="宋体" w:hAnsi="宋体"/>
                <w:b/>
                <w:bCs/>
                <w:color w:val="auto"/>
                <w:highlight w:val="none"/>
              </w:rPr>
            </w:pPr>
          </w:p>
        </w:tc>
        <w:tc>
          <w:tcPr>
            <w:tcW w:w="1113" w:type="dxa"/>
            <w:tcBorders>
              <w:top w:val="single" w:color="auto" w:sz="4" w:space="0"/>
              <w:left w:val="single" w:color="auto" w:sz="4" w:space="0"/>
              <w:bottom w:val="single" w:color="auto" w:sz="4" w:space="0"/>
              <w:right w:val="single" w:color="auto" w:sz="4" w:space="0"/>
            </w:tcBorders>
            <w:noWrap w:val="0"/>
            <w:vAlign w:val="center"/>
          </w:tcPr>
          <w:p w14:paraId="58B21A45">
            <w:pPr>
              <w:spacing w:line="300" w:lineRule="exact"/>
              <w:jc w:val="center"/>
              <w:rPr>
                <w:rFonts w:ascii="宋体" w:hAnsi="宋体"/>
                <w:b/>
                <w:bCs/>
                <w:color w:val="auto"/>
                <w:highlight w:val="none"/>
              </w:rPr>
            </w:pPr>
          </w:p>
        </w:tc>
        <w:tc>
          <w:tcPr>
            <w:tcW w:w="730" w:type="dxa"/>
            <w:tcBorders>
              <w:top w:val="single" w:color="auto" w:sz="4" w:space="0"/>
              <w:bottom w:val="single" w:color="auto" w:sz="4" w:space="0"/>
            </w:tcBorders>
            <w:noWrap w:val="0"/>
            <w:vAlign w:val="center"/>
          </w:tcPr>
          <w:p w14:paraId="4FCB32D9">
            <w:pPr>
              <w:spacing w:line="300" w:lineRule="exact"/>
              <w:jc w:val="center"/>
              <w:rPr>
                <w:rFonts w:ascii="宋体" w:hAnsi="宋体"/>
                <w:b/>
                <w:bCs/>
                <w:color w:val="auto"/>
                <w:highlight w:val="none"/>
              </w:rPr>
            </w:pPr>
          </w:p>
        </w:tc>
      </w:tr>
      <w:tr w14:paraId="10589C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426" w:type="dxa"/>
            <w:tcBorders>
              <w:top w:val="single" w:color="auto" w:sz="4" w:space="0"/>
              <w:left w:val="single" w:color="auto" w:sz="4" w:space="0"/>
              <w:right w:val="single" w:color="auto" w:sz="4" w:space="0"/>
            </w:tcBorders>
            <w:noWrap w:val="0"/>
            <w:vAlign w:val="center"/>
          </w:tcPr>
          <w:p w14:paraId="76E1D44B">
            <w:pPr>
              <w:jc w:val="center"/>
              <w:rPr>
                <w:rFonts w:ascii="宋体" w:hAnsi="宋体" w:cs="宋体"/>
                <w:color w:val="auto"/>
                <w:szCs w:val="21"/>
                <w:highlight w:val="none"/>
              </w:rPr>
            </w:pPr>
            <w:r>
              <w:rPr>
                <w:rFonts w:hint="eastAsia" w:ascii="宋体" w:hAnsi="宋体" w:cs="宋体"/>
                <w:color w:val="auto"/>
                <w:szCs w:val="21"/>
                <w:highlight w:val="none"/>
              </w:rPr>
              <w:t>2</w:t>
            </w:r>
          </w:p>
        </w:tc>
        <w:tc>
          <w:tcPr>
            <w:tcW w:w="2728" w:type="dxa"/>
            <w:tcBorders>
              <w:top w:val="single" w:color="auto" w:sz="4" w:space="0"/>
              <w:left w:val="single" w:color="auto" w:sz="4" w:space="0"/>
              <w:bottom w:val="single" w:color="auto" w:sz="4" w:space="0"/>
              <w:right w:val="single" w:color="auto" w:sz="4" w:space="0"/>
            </w:tcBorders>
            <w:noWrap w:val="0"/>
            <w:vAlign w:val="center"/>
          </w:tcPr>
          <w:p w14:paraId="55781F5E">
            <w:pPr>
              <w:spacing w:line="300" w:lineRule="exact"/>
              <w:jc w:val="center"/>
              <w:rPr>
                <w:rFonts w:ascii="宋体" w:hAnsi="宋体"/>
                <w:color w:val="auto"/>
                <w:highlight w:val="none"/>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14:paraId="66C69785">
            <w:pPr>
              <w:spacing w:line="300" w:lineRule="exact"/>
              <w:jc w:val="center"/>
              <w:rPr>
                <w:rFonts w:ascii="宋体" w:hAnsi="宋体"/>
                <w:color w:val="auto"/>
                <w:highlight w:val="none"/>
              </w:rPr>
            </w:pPr>
          </w:p>
        </w:tc>
        <w:tc>
          <w:tcPr>
            <w:tcW w:w="1215" w:type="dxa"/>
            <w:tcBorders>
              <w:top w:val="single" w:color="auto" w:sz="4" w:space="0"/>
              <w:left w:val="single" w:color="auto" w:sz="4" w:space="0"/>
              <w:bottom w:val="single" w:color="auto" w:sz="4" w:space="0"/>
              <w:right w:val="single" w:color="auto" w:sz="4" w:space="0"/>
            </w:tcBorders>
            <w:noWrap w:val="0"/>
            <w:vAlign w:val="center"/>
          </w:tcPr>
          <w:p w14:paraId="121BBA39">
            <w:pPr>
              <w:spacing w:line="300" w:lineRule="exact"/>
              <w:jc w:val="center"/>
              <w:rPr>
                <w:rFonts w:ascii="宋体" w:hAnsi="宋体"/>
                <w:color w:val="auto"/>
                <w:highlight w:val="none"/>
              </w:rPr>
            </w:pPr>
          </w:p>
        </w:tc>
        <w:tc>
          <w:tcPr>
            <w:tcW w:w="1157" w:type="dxa"/>
            <w:tcBorders>
              <w:top w:val="single" w:color="auto" w:sz="4" w:space="0"/>
              <w:left w:val="single" w:color="auto" w:sz="4" w:space="0"/>
              <w:bottom w:val="single" w:color="auto" w:sz="4" w:space="0"/>
              <w:right w:val="single" w:color="auto" w:sz="4" w:space="0"/>
            </w:tcBorders>
            <w:noWrap w:val="0"/>
            <w:vAlign w:val="center"/>
          </w:tcPr>
          <w:p w14:paraId="1BB2B945">
            <w:pPr>
              <w:spacing w:line="300" w:lineRule="exact"/>
              <w:jc w:val="center"/>
              <w:rPr>
                <w:rFonts w:ascii="宋体" w:hAnsi="宋体"/>
                <w:color w:val="auto"/>
                <w:highlight w:val="none"/>
              </w:rPr>
            </w:pPr>
          </w:p>
        </w:tc>
        <w:tc>
          <w:tcPr>
            <w:tcW w:w="426" w:type="dxa"/>
            <w:tcBorders>
              <w:top w:val="single" w:color="auto" w:sz="4" w:space="0"/>
              <w:left w:val="single" w:color="auto" w:sz="4" w:space="0"/>
              <w:bottom w:val="single" w:color="auto" w:sz="4" w:space="0"/>
              <w:right w:val="single" w:color="auto" w:sz="4" w:space="0"/>
            </w:tcBorders>
            <w:noWrap w:val="0"/>
            <w:vAlign w:val="center"/>
          </w:tcPr>
          <w:p w14:paraId="0A7E4DF7">
            <w:pPr>
              <w:jc w:val="center"/>
              <w:rPr>
                <w:rFonts w:ascii="宋体" w:hAnsi="宋体" w:cs="宋体"/>
                <w:color w:val="auto"/>
                <w:szCs w:val="21"/>
                <w:highlight w:val="none"/>
              </w:rPr>
            </w:pPr>
          </w:p>
        </w:tc>
        <w:tc>
          <w:tcPr>
            <w:tcW w:w="427" w:type="dxa"/>
            <w:tcBorders>
              <w:top w:val="single" w:color="auto" w:sz="4" w:space="0"/>
              <w:left w:val="single" w:color="auto" w:sz="4" w:space="0"/>
              <w:bottom w:val="single" w:color="auto" w:sz="4" w:space="0"/>
              <w:right w:val="single" w:color="auto" w:sz="4" w:space="0"/>
            </w:tcBorders>
            <w:noWrap w:val="0"/>
            <w:vAlign w:val="center"/>
          </w:tcPr>
          <w:p w14:paraId="75A3EDE0">
            <w:pPr>
              <w:jc w:val="center"/>
              <w:rPr>
                <w:rFonts w:ascii="宋体" w:hAnsi="宋体" w:cs="宋体"/>
                <w:color w:val="auto"/>
                <w:szCs w:val="21"/>
                <w:highlight w:val="none"/>
              </w:rPr>
            </w:pPr>
          </w:p>
        </w:tc>
        <w:tc>
          <w:tcPr>
            <w:tcW w:w="427" w:type="dxa"/>
            <w:tcBorders>
              <w:top w:val="single" w:color="auto" w:sz="4" w:space="0"/>
              <w:left w:val="single" w:color="auto" w:sz="4" w:space="0"/>
              <w:bottom w:val="single" w:color="auto" w:sz="4" w:space="0"/>
              <w:right w:val="single" w:color="auto" w:sz="4" w:space="0"/>
            </w:tcBorders>
            <w:noWrap w:val="0"/>
            <w:vAlign w:val="center"/>
          </w:tcPr>
          <w:p w14:paraId="58CB6717">
            <w:pPr>
              <w:spacing w:line="300" w:lineRule="exact"/>
              <w:jc w:val="center"/>
              <w:rPr>
                <w:rFonts w:ascii="宋体" w:hAnsi="宋体"/>
                <w:b/>
                <w:bCs/>
                <w:color w:val="auto"/>
                <w:highlight w:val="none"/>
              </w:rPr>
            </w:pPr>
          </w:p>
        </w:tc>
        <w:tc>
          <w:tcPr>
            <w:tcW w:w="1113" w:type="dxa"/>
            <w:tcBorders>
              <w:top w:val="single" w:color="auto" w:sz="4" w:space="0"/>
              <w:left w:val="single" w:color="auto" w:sz="4" w:space="0"/>
              <w:bottom w:val="single" w:color="auto" w:sz="4" w:space="0"/>
              <w:right w:val="single" w:color="auto" w:sz="4" w:space="0"/>
            </w:tcBorders>
            <w:noWrap w:val="0"/>
            <w:vAlign w:val="center"/>
          </w:tcPr>
          <w:p w14:paraId="7FED55D6">
            <w:pPr>
              <w:spacing w:line="300" w:lineRule="exact"/>
              <w:jc w:val="center"/>
              <w:rPr>
                <w:rFonts w:ascii="宋体" w:hAnsi="宋体"/>
                <w:b/>
                <w:bCs/>
                <w:color w:val="auto"/>
                <w:highlight w:val="none"/>
              </w:rPr>
            </w:pPr>
          </w:p>
        </w:tc>
        <w:tc>
          <w:tcPr>
            <w:tcW w:w="730" w:type="dxa"/>
            <w:tcBorders>
              <w:top w:val="single" w:color="auto" w:sz="4" w:space="0"/>
              <w:bottom w:val="single" w:color="auto" w:sz="4" w:space="0"/>
            </w:tcBorders>
            <w:noWrap w:val="0"/>
            <w:vAlign w:val="center"/>
          </w:tcPr>
          <w:p w14:paraId="16FD653B">
            <w:pPr>
              <w:spacing w:line="300" w:lineRule="exact"/>
              <w:jc w:val="center"/>
              <w:rPr>
                <w:rFonts w:ascii="宋体" w:hAnsi="宋体"/>
                <w:b/>
                <w:bCs/>
                <w:color w:val="auto"/>
                <w:highlight w:val="none"/>
              </w:rPr>
            </w:pPr>
          </w:p>
        </w:tc>
      </w:tr>
      <w:tr w14:paraId="091877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426" w:type="dxa"/>
            <w:tcBorders>
              <w:top w:val="single" w:color="auto" w:sz="4" w:space="0"/>
              <w:left w:val="single" w:color="auto" w:sz="4" w:space="0"/>
              <w:right w:val="single" w:color="auto" w:sz="4" w:space="0"/>
            </w:tcBorders>
            <w:noWrap w:val="0"/>
            <w:vAlign w:val="center"/>
          </w:tcPr>
          <w:p w14:paraId="20855AC3">
            <w:pPr>
              <w:jc w:val="center"/>
              <w:rPr>
                <w:rFonts w:ascii="宋体" w:hAnsi="宋体" w:cs="宋体"/>
                <w:color w:val="auto"/>
                <w:szCs w:val="21"/>
                <w:highlight w:val="none"/>
              </w:rPr>
            </w:pPr>
            <w:r>
              <w:rPr>
                <w:rFonts w:hint="eastAsia" w:ascii="宋体" w:hAnsi="宋体" w:cs="宋体"/>
                <w:color w:val="auto"/>
                <w:szCs w:val="21"/>
                <w:highlight w:val="none"/>
              </w:rPr>
              <w:t>…</w:t>
            </w:r>
          </w:p>
        </w:tc>
        <w:tc>
          <w:tcPr>
            <w:tcW w:w="2728" w:type="dxa"/>
            <w:tcBorders>
              <w:top w:val="single" w:color="auto" w:sz="4" w:space="0"/>
              <w:left w:val="single" w:color="auto" w:sz="4" w:space="0"/>
              <w:bottom w:val="single" w:color="auto" w:sz="4" w:space="0"/>
              <w:right w:val="single" w:color="auto" w:sz="4" w:space="0"/>
            </w:tcBorders>
            <w:noWrap w:val="0"/>
            <w:vAlign w:val="center"/>
          </w:tcPr>
          <w:p w14:paraId="4DABC5F6">
            <w:pPr>
              <w:spacing w:line="300" w:lineRule="exact"/>
              <w:jc w:val="center"/>
              <w:rPr>
                <w:rFonts w:ascii="宋体" w:hAnsi="宋体"/>
                <w:color w:val="auto"/>
                <w:highlight w:val="none"/>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14:paraId="1D7FC68B">
            <w:pPr>
              <w:spacing w:line="300" w:lineRule="exact"/>
              <w:jc w:val="center"/>
              <w:rPr>
                <w:rFonts w:ascii="宋体" w:hAnsi="宋体"/>
                <w:color w:val="auto"/>
                <w:highlight w:val="none"/>
              </w:rPr>
            </w:pPr>
          </w:p>
        </w:tc>
        <w:tc>
          <w:tcPr>
            <w:tcW w:w="1215" w:type="dxa"/>
            <w:tcBorders>
              <w:top w:val="single" w:color="auto" w:sz="4" w:space="0"/>
              <w:left w:val="single" w:color="auto" w:sz="4" w:space="0"/>
              <w:bottom w:val="single" w:color="auto" w:sz="4" w:space="0"/>
              <w:right w:val="single" w:color="auto" w:sz="4" w:space="0"/>
            </w:tcBorders>
            <w:noWrap w:val="0"/>
            <w:vAlign w:val="center"/>
          </w:tcPr>
          <w:p w14:paraId="00EDCB55">
            <w:pPr>
              <w:spacing w:line="300" w:lineRule="exact"/>
              <w:jc w:val="center"/>
              <w:rPr>
                <w:rFonts w:ascii="宋体" w:hAnsi="宋体"/>
                <w:color w:val="auto"/>
                <w:highlight w:val="none"/>
              </w:rPr>
            </w:pPr>
          </w:p>
        </w:tc>
        <w:tc>
          <w:tcPr>
            <w:tcW w:w="1157" w:type="dxa"/>
            <w:tcBorders>
              <w:top w:val="single" w:color="auto" w:sz="4" w:space="0"/>
              <w:left w:val="single" w:color="auto" w:sz="4" w:space="0"/>
              <w:bottom w:val="single" w:color="auto" w:sz="4" w:space="0"/>
              <w:right w:val="single" w:color="auto" w:sz="4" w:space="0"/>
            </w:tcBorders>
            <w:noWrap w:val="0"/>
            <w:vAlign w:val="center"/>
          </w:tcPr>
          <w:p w14:paraId="43C36E40">
            <w:pPr>
              <w:spacing w:line="300" w:lineRule="exact"/>
              <w:jc w:val="center"/>
              <w:rPr>
                <w:rFonts w:ascii="宋体" w:hAnsi="宋体"/>
                <w:color w:val="auto"/>
                <w:highlight w:val="none"/>
              </w:rPr>
            </w:pPr>
          </w:p>
        </w:tc>
        <w:tc>
          <w:tcPr>
            <w:tcW w:w="426" w:type="dxa"/>
            <w:tcBorders>
              <w:top w:val="single" w:color="auto" w:sz="4" w:space="0"/>
              <w:left w:val="single" w:color="auto" w:sz="4" w:space="0"/>
              <w:bottom w:val="single" w:color="auto" w:sz="4" w:space="0"/>
              <w:right w:val="single" w:color="auto" w:sz="4" w:space="0"/>
            </w:tcBorders>
            <w:noWrap w:val="0"/>
            <w:vAlign w:val="center"/>
          </w:tcPr>
          <w:p w14:paraId="0589C535">
            <w:pPr>
              <w:jc w:val="center"/>
              <w:rPr>
                <w:rFonts w:ascii="宋体" w:hAnsi="宋体" w:cs="宋体"/>
                <w:color w:val="auto"/>
                <w:szCs w:val="21"/>
                <w:highlight w:val="none"/>
              </w:rPr>
            </w:pPr>
          </w:p>
        </w:tc>
        <w:tc>
          <w:tcPr>
            <w:tcW w:w="427" w:type="dxa"/>
            <w:tcBorders>
              <w:top w:val="single" w:color="auto" w:sz="4" w:space="0"/>
              <w:left w:val="single" w:color="auto" w:sz="4" w:space="0"/>
              <w:bottom w:val="single" w:color="auto" w:sz="4" w:space="0"/>
              <w:right w:val="single" w:color="auto" w:sz="4" w:space="0"/>
            </w:tcBorders>
            <w:noWrap w:val="0"/>
            <w:vAlign w:val="center"/>
          </w:tcPr>
          <w:p w14:paraId="67D51432">
            <w:pPr>
              <w:jc w:val="center"/>
              <w:rPr>
                <w:rFonts w:ascii="宋体" w:hAnsi="宋体" w:cs="宋体"/>
                <w:color w:val="auto"/>
                <w:szCs w:val="21"/>
                <w:highlight w:val="none"/>
              </w:rPr>
            </w:pPr>
          </w:p>
        </w:tc>
        <w:tc>
          <w:tcPr>
            <w:tcW w:w="427" w:type="dxa"/>
            <w:tcBorders>
              <w:top w:val="single" w:color="auto" w:sz="4" w:space="0"/>
              <w:left w:val="single" w:color="auto" w:sz="4" w:space="0"/>
              <w:bottom w:val="single" w:color="auto" w:sz="4" w:space="0"/>
              <w:right w:val="single" w:color="auto" w:sz="4" w:space="0"/>
            </w:tcBorders>
            <w:noWrap w:val="0"/>
            <w:vAlign w:val="center"/>
          </w:tcPr>
          <w:p w14:paraId="2DE9F605">
            <w:pPr>
              <w:spacing w:line="300" w:lineRule="exact"/>
              <w:jc w:val="center"/>
              <w:rPr>
                <w:rFonts w:ascii="宋体" w:hAnsi="宋体"/>
                <w:b/>
                <w:bCs/>
                <w:color w:val="auto"/>
                <w:highlight w:val="none"/>
              </w:rPr>
            </w:pPr>
          </w:p>
        </w:tc>
        <w:tc>
          <w:tcPr>
            <w:tcW w:w="1113" w:type="dxa"/>
            <w:tcBorders>
              <w:top w:val="single" w:color="auto" w:sz="4" w:space="0"/>
              <w:left w:val="single" w:color="auto" w:sz="4" w:space="0"/>
              <w:bottom w:val="single" w:color="auto" w:sz="4" w:space="0"/>
              <w:right w:val="single" w:color="auto" w:sz="4" w:space="0"/>
            </w:tcBorders>
            <w:noWrap w:val="0"/>
            <w:vAlign w:val="center"/>
          </w:tcPr>
          <w:p w14:paraId="57BDEB5F">
            <w:pPr>
              <w:spacing w:line="300" w:lineRule="exact"/>
              <w:jc w:val="center"/>
              <w:rPr>
                <w:rFonts w:ascii="宋体" w:hAnsi="宋体"/>
                <w:b/>
                <w:bCs/>
                <w:color w:val="auto"/>
                <w:highlight w:val="none"/>
              </w:rPr>
            </w:pPr>
          </w:p>
        </w:tc>
        <w:tc>
          <w:tcPr>
            <w:tcW w:w="730" w:type="dxa"/>
            <w:tcBorders>
              <w:top w:val="single" w:color="auto" w:sz="4" w:space="0"/>
              <w:bottom w:val="single" w:color="auto" w:sz="4" w:space="0"/>
            </w:tcBorders>
            <w:noWrap w:val="0"/>
            <w:vAlign w:val="center"/>
          </w:tcPr>
          <w:p w14:paraId="1DC4C491">
            <w:pPr>
              <w:spacing w:line="300" w:lineRule="exact"/>
              <w:jc w:val="center"/>
              <w:rPr>
                <w:rFonts w:ascii="宋体" w:hAnsi="宋体"/>
                <w:b/>
                <w:bCs/>
                <w:color w:val="auto"/>
                <w:highlight w:val="none"/>
              </w:rPr>
            </w:pPr>
          </w:p>
        </w:tc>
      </w:tr>
      <w:tr w14:paraId="43043A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426" w:type="dxa"/>
            <w:tcBorders>
              <w:top w:val="single" w:color="auto" w:sz="4" w:space="0"/>
              <w:left w:val="single" w:color="auto" w:sz="4" w:space="0"/>
              <w:right w:val="single" w:color="auto" w:sz="4" w:space="0"/>
            </w:tcBorders>
            <w:noWrap w:val="0"/>
            <w:vAlign w:val="center"/>
          </w:tcPr>
          <w:p w14:paraId="427B344E">
            <w:pPr>
              <w:jc w:val="center"/>
              <w:rPr>
                <w:rFonts w:ascii="宋体" w:hAnsi="宋体" w:cs="宋体"/>
                <w:color w:val="auto"/>
                <w:szCs w:val="21"/>
                <w:highlight w:val="none"/>
              </w:rPr>
            </w:pPr>
            <w:r>
              <w:rPr>
                <w:rFonts w:hint="eastAsia" w:ascii="宋体" w:hAnsi="宋体" w:cs="宋体"/>
                <w:color w:val="auto"/>
                <w:szCs w:val="21"/>
                <w:highlight w:val="none"/>
              </w:rPr>
              <w:t>N</w:t>
            </w:r>
          </w:p>
        </w:tc>
        <w:tc>
          <w:tcPr>
            <w:tcW w:w="2728" w:type="dxa"/>
            <w:tcBorders>
              <w:top w:val="single" w:color="auto" w:sz="4" w:space="0"/>
              <w:left w:val="single" w:color="auto" w:sz="4" w:space="0"/>
              <w:bottom w:val="single" w:color="auto" w:sz="4" w:space="0"/>
              <w:right w:val="single" w:color="auto" w:sz="4" w:space="0"/>
            </w:tcBorders>
            <w:noWrap w:val="0"/>
            <w:vAlign w:val="center"/>
          </w:tcPr>
          <w:p w14:paraId="1D3A5E1E">
            <w:pPr>
              <w:spacing w:line="300" w:lineRule="exact"/>
              <w:jc w:val="center"/>
              <w:rPr>
                <w:rFonts w:ascii="宋体" w:hAnsi="宋体"/>
                <w:b/>
                <w:bCs/>
                <w:color w:val="auto"/>
                <w:highlight w:val="none"/>
              </w:rPr>
            </w:pPr>
            <w:r>
              <w:rPr>
                <w:rFonts w:ascii="宋体" w:hAnsi="宋体" w:cs="宋体"/>
                <w:color w:val="auto"/>
                <w:szCs w:val="21"/>
                <w:highlight w:val="none"/>
              </w:rPr>
              <w:t>…</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71B258A9">
            <w:pPr>
              <w:spacing w:line="300" w:lineRule="exact"/>
              <w:jc w:val="center"/>
              <w:rPr>
                <w:rFonts w:ascii="宋体" w:hAnsi="宋体"/>
                <w:b/>
                <w:bCs/>
                <w:color w:val="auto"/>
                <w:highlight w:val="none"/>
              </w:rPr>
            </w:pPr>
          </w:p>
        </w:tc>
        <w:tc>
          <w:tcPr>
            <w:tcW w:w="1215" w:type="dxa"/>
            <w:tcBorders>
              <w:top w:val="single" w:color="auto" w:sz="4" w:space="0"/>
              <w:left w:val="single" w:color="auto" w:sz="4" w:space="0"/>
              <w:bottom w:val="single" w:color="auto" w:sz="4" w:space="0"/>
              <w:right w:val="single" w:color="auto" w:sz="4" w:space="0"/>
            </w:tcBorders>
            <w:noWrap w:val="0"/>
            <w:vAlign w:val="center"/>
          </w:tcPr>
          <w:p w14:paraId="3885D4A4">
            <w:pPr>
              <w:spacing w:line="300" w:lineRule="exact"/>
              <w:jc w:val="center"/>
              <w:rPr>
                <w:rFonts w:ascii="宋体" w:hAnsi="宋体"/>
                <w:b/>
                <w:bCs/>
                <w:color w:val="auto"/>
                <w:highlight w:val="none"/>
              </w:rPr>
            </w:pPr>
          </w:p>
        </w:tc>
        <w:tc>
          <w:tcPr>
            <w:tcW w:w="1157" w:type="dxa"/>
            <w:tcBorders>
              <w:top w:val="single" w:color="auto" w:sz="4" w:space="0"/>
              <w:left w:val="single" w:color="auto" w:sz="4" w:space="0"/>
              <w:bottom w:val="single" w:color="auto" w:sz="4" w:space="0"/>
              <w:right w:val="single" w:color="auto" w:sz="4" w:space="0"/>
            </w:tcBorders>
            <w:noWrap w:val="0"/>
            <w:vAlign w:val="center"/>
          </w:tcPr>
          <w:p w14:paraId="7DDB0CCF">
            <w:pPr>
              <w:spacing w:line="300" w:lineRule="exact"/>
              <w:jc w:val="center"/>
              <w:rPr>
                <w:rFonts w:ascii="宋体" w:hAnsi="宋体"/>
                <w:b/>
                <w:bCs/>
                <w:color w:val="auto"/>
                <w:highlight w:val="none"/>
              </w:rPr>
            </w:pPr>
          </w:p>
        </w:tc>
        <w:tc>
          <w:tcPr>
            <w:tcW w:w="426" w:type="dxa"/>
            <w:tcBorders>
              <w:top w:val="single" w:color="auto" w:sz="4" w:space="0"/>
              <w:left w:val="single" w:color="auto" w:sz="4" w:space="0"/>
              <w:bottom w:val="single" w:color="auto" w:sz="4" w:space="0"/>
              <w:right w:val="single" w:color="auto" w:sz="4" w:space="0"/>
            </w:tcBorders>
            <w:noWrap w:val="0"/>
            <w:vAlign w:val="center"/>
          </w:tcPr>
          <w:p w14:paraId="4277CD67">
            <w:pPr>
              <w:jc w:val="center"/>
              <w:rPr>
                <w:rFonts w:ascii="宋体" w:hAnsi="宋体" w:cs="宋体"/>
                <w:color w:val="auto"/>
                <w:szCs w:val="21"/>
                <w:highlight w:val="none"/>
              </w:rPr>
            </w:pPr>
            <w:r>
              <w:rPr>
                <w:rFonts w:ascii="宋体" w:hAnsi="宋体" w:cs="宋体"/>
                <w:color w:val="auto"/>
                <w:szCs w:val="21"/>
                <w:highlight w:val="none"/>
              </w:rPr>
              <w:t>…</w:t>
            </w:r>
          </w:p>
        </w:tc>
        <w:tc>
          <w:tcPr>
            <w:tcW w:w="427" w:type="dxa"/>
            <w:tcBorders>
              <w:top w:val="single" w:color="auto" w:sz="4" w:space="0"/>
              <w:left w:val="single" w:color="auto" w:sz="4" w:space="0"/>
              <w:bottom w:val="single" w:color="auto" w:sz="4" w:space="0"/>
              <w:right w:val="single" w:color="auto" w:sz="4" w:space="0"/>
            </w:tcBorders>
            <w:noWrap w:val="0"/>
            <w:vAlign w:val="center"/>
          </w:tcPr>
          <w:p w14:paraId="5E4AB47B">
            <w:pPr>
              <w:jc w:val="center"/>
              <w:rPr>
                <w:rFonts w:ascii="宋体" w:hAnsi="宋体" w:cs="宋体"/>
                <w:color w:val="auto"/>
                <w:szCs w:val="21"/>
                <w:highlight w:val="none"/>
              </w:rPr>
            </w:pPr>
          </w:p>
        </w:tc>
        <w:tc>
          <w:tcPr>
            <w:tcW w:w="427" w:type="dxa"/>
            <w:tcBorders>
              <w:top w:val="single" w:color="auto" w:sz="4" w:space="0"/>
              <w:left w:val="single" w:color="auto" w:sz="4" w:space="0"/>
              <w:bottom w:val="single" w:color="auto" w:sz="4" w:space="0"/>
              <w:right w:val="single" w:color="auto" w:sz="4" w:space="0"/>
            </w:tcBorders>
            <w:noWrap w:val="0"/>
            <w:vAlign w:val="center"/>
          </w:tcPr>
          <w:p w14:paraId="4F88CB6E">
            <w:pPr>
              <w:spacing w:line="300" w:lineRule="exact"/>
              <w:jc w:val="center"/>
              <w:rPr>
                <w:rFonts w:ascii="宋体" w:hAnsi="宋体"/>
                <w:b/>
                <w:bCs/>
                <w:color w:val="auto"/>
                <w:highlight w:val="none"/>
              </w:rPr>
            </w:pPr>
          </w:p>
        </w:tc>
        <w:tc>
          <w:tcPr>
            <w:tcW w:w="1113" w:type="dxa"/>
            <w:tcBorders>
              <w:top w:val="single" w:color="auto" w:sz="4" w:space="0"/>
              <w:left w:val="single" w:color="auto" w:sz="4" w:space="0"/>
              <w:bottom w:val="single" w:color="auto" w:sz="4" w:space="0"/>
              <w:right w:val="single" w:color="auto" w:sz="4" w:space="0"/>
            </w:tcBorders>
            <w:noWrap w:val="0"/>
            <w:vAlign w:val="center"/>
          </w:tcPr>
          <w:p w14:paraId="4B63760A">
            <w:pPr>
              <w:spacing w:line="300" w:lineRule="exact"/>
              <w:jc w:val="center"/>
              <w:rPr>
                <w:rFonts w:ascii="宋体" w:hAnsi="宋体"/>
                <w:b/>
                <w:bCs/>
                <w:color w:val="auto"/>
                <w:highlight w:val="none"/>
              </w:rPr>
            </w:pPr>
          </w:p>
        </w:tc>
        <w:tc>
          <w:tcPr>
            <w:tcW w:w="730" w:type="dxa"/>
            <w:tcBorders>
              <w:top w:val="single" w:color="auto" w:sz="4" w:space="0"/>
              <w:bottom w:val="single" w:color="auto" w:sz="4" w:space="0"/>
            </w:tcBorders>
            <w:noWrap w:val="0"/>
            <w:vAlign w:val="center"/>
          </w:tcPr>
          <w:p w14:paraId="15C087DE">
            <w:pPr>
              <w:spacing w:line="300" w:lineRule="exact"/>
              <w:jc w:val="center"/>
              <w:rPr>
                <w:rFonts w:ascii="宋体" w:hAnsi="宋体"/>
                <w:b/>
                <w:bCs/>
                <w:color w:val="auto"/>
                <w:highlight w:val="none"/>
              </w:rPr>
            </w:pPr>
          </w:p>
        </w:tc>
      </w:tr>
      <w:tr w14:paraId="2C1E15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9924" w:type="dxa"/>
            <w:gridSpan w:val="10"/>
            <w:tcBorders>
              <w:top w:val="single" w:color="auto" w:sz="4" w:space="0"/>
              <w:left w:val="single" w:color="auto" w:sz="4" w:space="0"/>
              <w:bottom w:val="single" w:color="auto" w:sz="4" w:space="0"/>
            </w:tcBorders>
            <w:noWrap w:val="0"/>
            <w:vAlign w:val="center"/>
          </w:tcPr>
          <w:p w14:paraId="28CDC59D">
            <w:pPr>
              <w:spacing w:line="300" w:lineRule="exact"/>
              <w:rPr>
                <w:rFonts w:hint="eastAsia" w:ascii="宋体" w:hAnsi="宋体"/>
                <w:color w:val="auto"/>
                <w:spacing w:val="-6"/>
                <w:highlight w:val="none"/>
              </w:rPr>
            </w:pPr>
            <w:r>
              <w:rPr>
                <w:rFonts w:hint="eastAsia" w:ascii="宋体" w:hAnsi="宋体"/>
                <w:color w:val="auto"/>
                <w:spacing w:val="-6"/>
                <w:highlight w:val="none"/>
                <w:lang w:eastAsia="zh-CN"/>
              </w:rPr>
              <w:t>谈判</w:t>
            </w:r>
            <w:r>
              <w:rPr>
                <w:rFonts w:hint="eastAsia" w:ascii="宋体" w:hAnsi="宋体"/>
                <w:color w:val="auto"/>
                <w:spacing w:val="-6"/>
                <w:highlight w:val="none"/>
              </w:rPr>
              <w:t>总</w:t>
            </w:r>
            <w:r>
              <w:rPr>
                <w:rFonts w:ascii="宋体" w:hAnsi="宋体"/>
                <w:color w:val="auto"/>
                <w:spacing w:val="-6"/>
                <w:highlight w:val="none"/>
              </w:rPr>
              <w:t xml:space="preserve">报价（大写）：                      </w:t>
            </w:r>
            <w:r>
              <w:rPr>
                <w:rFonts w:hint="eastAsia" w:ascii="宋体" w:hAnsi="宋体"/>
                <w:color w:val="auto"/>
                <w:spacing w:val="-6"/>
                <w:highlight w:val="none"/>
              </w:rPr>
              <w:t xml:space="preserve">            </w:t>
            </w:r>
            <w:r>
              <w:rPr>
                <w:rFonts w:ascii="宋体" w:hAnsi="宋体"/>
                <w:color w:val="auto"/>
                <w:spacing w:val="-6"/>
                <w:highlight w:val="none"/>
              </w:rPr>
              <w:t xml:space="preserve">  </w:t>
            </w:r>
            <w:r>
              <w:rPr>
                <w:rFonts w:hint="eastAsia" w:ascii="宋体" w:hAnsi="宋体"/>
                <w:color w:val="auto"/>
                <w:spacing w:val="-6"/>
                <w:highlight w:val="none"/>
              </w:rPr>
              <w:t>元</w:t>
            </w:r>
            <w:r>
              <w:rPr>
                <w:rFonts w:ascii="宋体" w:hAnsi="宋体"/>
                <w:color w:val="auto"/>
                <w:spacing w:val="-6"/>
                <w:highlight w:val="none"/>
              </w:rPr>
              <w:t>人民币（</w:t>
            </w:r>
            <w:r>
              <w:rPr>
                <w:rFonts w:hint="eastAsia" w:ascii="宋体" w:hAnsi="宋体"/>
                <w:color w:val="auto"/>
                <w:spacing w:val="-6"/>
                <w:highlight w:val="none"/>
              </w:rPr>
              <w:t>¥</w:t>
            </w:r>
            <w:r>
              <w:rPr>
                <w:rFonts w:ascii="宋体" w:hAnsi="宋体"/>
                <w:color w:val="auto"/>
                <w:spacing w:val="-6"/>
                <w:highlight w:val="none"/>
              </w:rPr>
              <w:t xml:space="preserve">         </w:t>
            </w:r>
            <w:r>
              <w:rPr>
                <w:rFonts w:hint="eastAsia" w:ascii="宋体" w:hAnsi="宋体"/>
                <w:color w:val="auto"/>
                <w:spacing w:val="-6"/>
                <w:highlight w:val="none"/>
              </w:rPr>
              <w:t xml:space="preserve">           </w:t>
            </w:r>
            <w:r>
              <w:rPr>
                <w:rFonts w:ascii="宋体" w:hAnsi="宋体"/>
                <w:color w:val="auto"/>
                <w:spacing w:val="-6"/>
                <w:highlight w:val="none"/>
              </w:rPr>
              <w:t xml:space="preserve">             ）</w:t>
            </w:r>
          </w:p>
        </w:tc>
      </w:tr>
      <w:tr w14:paraId="1FA51A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9924" w:type="dxa"/>
            <w:gridSpan w:val="10"/>
            <w:tcBorders>
              <w:top w:val="single" w:color="auto" w:sz="4" w:space="0"/>
              <w:left w:val="single" w:color="auto" w:sz="4" w:space="0"/>
              <w:bottom w:val="single" w:color="auto" w:sz="4" w:space="0"/>
            </w:tcBorders>
            <w:noWrap w:val="0"/>
            <w:vAlign w:val="center"/>
          </w:tcPr>
          <w:p w14:paraId="277AD737">
            <w:pPr>
              <w:spacing w:line="300" w:lineRule="exact"/>
              <w:rPr>
                <w:rFonts w:hint="eastAsia" w:ascii="宋体" w:hAnsi="宋体"/>
                <w:color w:val="auto"/>
                <w:spacing w:val="-6"/>
                <w:highlight w:val="none"/>
              </w:rPr>
            </w:pPr>
            <w:r>
              <w:rPr>
                <w:rFonts w:hint="eastAsia" w:ascii="宋体" w:hAnsi="宋体"/>
                <w:color w:val="auto"/>
                <w:spacing w:val="-6"/>
                <w:highlight w:val="none"/>
              </w:rPr>
              <w:t>交付使用期:</w:t>
            </w:r>
          </w:p>
        </w:tc>
      </w:tr>
      <w:tr w14:paraId="1D44C2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9924" w:type="dxa"/>
            <w:gridSpan w:val="10"/>
            <w:tcBorders>
              <w:top w:val="single" w:color="auto" w:sz="4" w:space="0"/>
              <w:left w:val="single" w:color="auto" w:sz="4" w:space="0"/>
              <w:bottom w:val="single" w:color="auto" w:sz="4" w:space="0"/>
            </w:tcBorders>
            <w:noWrap w:val="0"/>
            <w:vAlign w:val="center"/>
          </w:tcPr>
          <w:p w14:paraId="3BBD3EBE">
            <w:pPr>
              <w:spacing w:line="300" w:lineRule="exact"/>
              <w:rPr>
                <w:rFonts w:hint="eastAsia" w:ascii="宋体" w:hAnsi="宋体"/>
                <w:color w:val="auto"/>
                <w:spacing w:val="-6"/>
                <w:highlight w:val="none"/>
              </w:rPr>
            </w:pPr>
            <w:r>
              <w:rPr>
                <w:rFonts w:hint="eastAsia" w:ascii="宋体" w:hAnsi="宋体"/>
                <w:color w:val="auto"/>
                <w:spacing w:val="-6"/>
                <w:highlight w:val="none"/>
              </w:rPr>
              <w:t>免费保修期:</w:t>
            </w:r>
          </w:p>
        </w:tc>
      </w:tr>
      <w:tr w14:paraId="7D036E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65" w:hRule="atLeast"/>
        </w:trPr>
        <w:tc>
          <w:tcPr>
            <w:tcW w:w="9924" w:type="dxa"/>
            <w:gridSpan w:val="10"/>
            <w:tcBorders>
              <w:top w:val="single" w:color="auto" w:sz="4" w:space="0"/>
              <w:left w:val="single" w:color="auto" w:sz="4" w:space="0"/>
              <w:bottom w:val="single" w:color="auto" w:sz="4" w:space="0"/>
            </w:tcBorders>
            <w:noWrap w:val="0"/>
            <w:vAlign w:val="center"/>
          </w:tcPr>
          <w:p w14:paraId="7C8B170F">
            <w:pPr>
              <w:spacing w:line="340" w:lineRule="exact"/>
              <w:rPr>
                <w:rFonts w:hint="eastAsia" w:ascii="宋体" w:hAnsi="宋体"/>
                <w:color w:val="auto"/>
                <w:highlight w:val="none"/>
              </w:rPr>
            </w:pPr>
            <w:r>
              <w:rPr>
                <w:rFonts w:hint="eastAsia" w:ascii="宋体" w:hAnsi="宋体"/>
                <w:color w:val="auto"/>
                <w:highlight w:val="none"/>
              </w:rPr>
              <w:t>说明：</w:t>
            </w:r>
            <w:r>
              <w:rPr>
                <w:color w:val="auto"/>
                <w:highlight w:val="none"/>
              </w:rPr>
              <w:t>谈判</w:t>
            </w:r>
            <w:r>
              <w:rPr>
                <w:rFonts w:hint="eastAsia" w:ascii="宋体" w:hAnsi="宋体"/>
                <w:color w:val="auto"/>
                <w:highlight w:val="none"/>
              </w:rPr>
              <w:t>报价指</w:t>
            </w:r>
            <w:r>
              <w:rPr>
                <w:rFonts w:hint="eastAsia" w:ascii="宋体" w:hAnsi="宋体"/>
                <w:color w:val="auto"/>
                <w:szCs w:val="21"/>
                <w:highlight w:val="none"/>
              </w:rPr>
              <w:t>本次采购范围内货物价款、</w:t>
            </w:r>
            <w:r>
              <w:rPr>
                <w:rFonts w:hint="eastAsia" w:ascii="宋体" w:hAnsi="宋体" w:cs="Courier New"/>
                <w:color w:val="auto"/>
                <w:szCs w:val="21"/>
                <w:highlight w:val="none"/>
              </w:rPr>
              <w:t>货物随配标准附件、</w:t>
            </w:r>
            <w:r>
              <w:rPr>
                <w:rFonts w:hint="eastAsia" w:ascii="宋体" w:hAnsi="宋体"/>
                <w:color w:val="auto"/>
                <w:szCs w:val="21"/>
                <w:highlight w:val="none"/>
              </w:rPr>
              <w:t>包装、运输、装卸、保险、税金、货到位以及安装、安装所需辅材、调试、检验、售后服务、培训、保修</w:t>
            </w:r>
            <w:r>
              <w:rPr>
                <w:rFonts w:hint="eastAsia" w:ascii="宋体" w:hAnsi="宋体" w:cs="Courier New"/>
                <w:color w:val="auto"/>
                <w:szCs w:val="21"/>
                <w:highlight w:val="none"/>
              </w:rPr>
              <w:t>及其他所有成本费用的总和</w:t>
            </w:r>
            <w:r>
              <w:rPr>
                <w:rFonts w:hint="eastAsia" w:ascii="宋体" w:hAnsi="宋体"/>
                <w:color w:val="auto"/>
                <w:szCs w:val="21"/>
                <w:highlight w:val="none"/>
              </w:rPr>
              <w:t>；</w:t>
            </w:r>
            <w:r>
              <w:rPr>
                <w:rFonts w:hint="eastAsia" w:ascii="宋体" w:hAnsi="宋体"/>
                <w:color w:val="auto"/>
                <w:highlight w:val="none"/>
              </w:rPr>
              <w:t>报价人综合考虑在报价中。</w:t>
            </w:r>
          </w:p>
        </w:tc>
      </w:tr>
    </w:tbl>
    <w:p w14:paraId="63839544">
      <w:pPr>
        <w:spacing w:line="340" w:lineRule="exact"/>
        <w:rPr>
          <w:rFonts w:ascii="宋体" w:hAnsi="宋体"/>
          <w:color w:val="auto"/>
          <w:szCs w:val="21"/>
          <w:highlight w:val="none"/>
        </w:rPr>
      </w:pPr>
    </w:p>
    <w:p w14:paraId="1FF2B0B1">
      <w:pPr>
        <w:spacing w:line="340" w:lineRule="exact"/>
        <w:rPr>
          <w:rFonts w:ascii="宋体" w:hAnsi="宋体"/>
          <w:color w:val="auto"/>
          <w:szCs w:val="21"/>
          <w:highlight w:val="none"/>
          <w:u w:val="single"/>
        </w:rPr>
      </w:pPr>
      <w:r>
        <w:rPr>
          <w:rFonts w:hint="eastAsia" w:ascii="宋体" w:hAnsi="宋体"/>
          <w:color w:val="auto"/>
          <w:szCs w:val="21"/>
          <w:highlight w:val="none"/>
        </w:rPr>
        <w:t>供应商（CA签章，自然人除外）：</w:t>
      </w:r>
      <w:r>
        <w:rPr>
          <w:rFonts w:hint="eastAsia" w:ascii="宋体" w:hAnsi="宋体"/>
          <w:color w:val="auto"/>
          <w:szCs w:val="21"/>
          <w:highlight w:val="none"/>
          <w:u w:val="single"/>
        </w:rPr>
        <w:t xml:space="preserve">                                              </w:t>
      </w:r>
    </w:p>
    <w:p w14:paraId="165D8D7C">
      <w:pPr>
        <w:spacing w:line="340" w:lineRule="exact"/>
        <w:rPr>
          <w:rFonts w:ascii="宋体" w:hAnsi="宋体"/>
          <w:color w:val="auto"/>
          <w:szCs w:val="21"/>
          <w:highlight w:val="none"/>
          <w:u w:val="single"/>
        </w:rPr>
      </w:pPr>
      <w:r>
        <w:rPr>
          <w:rFonts w:hint="eastAsia" w:hAnsi="宋体"/>
          <w:color w:val="auto"/>
          <w:highlight w:val="none"/>
        </w:rPr>
        <w:t>法定代表人、负责人、自然人或相应的委托代理人签字或个人CA签章（属自然人的应在签名处加盖</w:t>
      </w:r>
      <w:r>
        <w:rPr>
          <w:rFonts w:hint="eastAsia" w:hAnsi="宋体"/>
          <w:color w:val="auto"/>
          <w:highlight w:val="none"/>
          <w:lang w:eastAsia="zh-CN"/>
        </w:rPr>
        <w:t>大拇指</w:t>
      </w:r>
      <w:r>
        <w:rPr>
          <w:rFonts w:hint="eastAsia" w:hAnsi="宋体"/>
          <w:color w:val="auto"/>
          <w:highlight w:val="none"/>
        </w:rPr>
        <w:t>指印或个人CA签章）：</w:t>
      </w:r>
      <w:r>
        <w:rPr>
          <w:rFonts w:hint="eastAsia" w:ascii="宋体" w:hAnsi="宋体"/>
          <w:color w:val="auto"/>
          <w:szCs w:val="21"/>
          <w:highlight w:val="none"/>
          <w:u w:val="single"/>
        </w:rPr>
        <w:t xml:space="preserve">                                     </w:t>
      </w:r>
    </w:p>
    <w:p w14:paraId="2D738D8F">
      <w:pPr>
        <w:pStyle w:val="12"/>
        <w:rPr>
          <w:rFonts w:hint="eastAsia"/>
          <w:b/>
          <w:bCs/>
          <w:color w:val="auto"/>
          <w:sz w:val="22"/>
          <w:szCs w:val="28"/>
          <w:highlight w:val="none"/>
        </w:rPr>
      </w:pPr>
    </w:p>
    <w:p w14:paraId="07CD4EC6">
      <w:pPr>
        <w:rPr>
          <w:rFonts w:hint="eastAsia"/>
          <w:color w:val="auto"/>
          <w:highlight w:val="none"/>
        </w:rPr>
      </w:pPr>
    </w:p>
    <w:p w14:paraId="2C479F05">
      <w:pPr>
        <w:tabs>
          <w:tab w:val="left" w:pos="1305"/>
        </w:tabs>
        <w:spacing w:line="400" w:lineRule="exact"/>
        <w:rPr>
          <w:rFonts w:hint="eastAsia" w:ascii="宋体" w:hAnsi="宋体" w:cs="宋体"/>
          <w:bCs/>
          <w:color w:val="auto"/>
          <w:szCs w:val="21"/>
          <w:highlight w:val="none"/>
        </w:rPr>
      </w:pPr>
      <w:r>
        <w:rPr>
          <w:rFonts w:hint="eastAsia" w:ascii="宋体" w:hAnsi="宋体" w:cs="宋体"/>
          <w:b/>
          <w:color w:val="auto"/>
          <w:szCs w:val="21"/>
          <w:highlight w:val="none"/>
        </w:rPr>
        <w:t>注：</w:t>
      </w:r>
      <w:r>
        <w:rPr>
          <w:rFonts w:hint="eastAsia" w:ascii="宋体" w:hAnsi="宋体" w:cs="宋体"/>
          <w:bCs/>
          <w:color w:val="auto"/>
          <w:szCs w:val="21"/>
          <w:highlight w:val="none"/>
        </w:rPr>
        <w:t>1.</w:t>
      </w:r>
      <w:r>
        <w:rPr>
          <w:rFonts w:hint="eastAsia" w:ascii="宋体" w:hAnsi="宋体" w:cs="宋体"/>
          <w:color w:val="auto"/>
          <w:szCs w:val="21"/>
          <w:highlight w:val="none"/>
        </w:rPr>
        <w:t xml:space="preserve"> 供应商必须就“采购需求”中所有内容作完整唯一报价，根据“采购需求”中的“采购需求（技术参数、性能、配置等要求）”要求逐项对应填报所提供货物的性能指标等承诺（即：谈判报价表），否则，其响应将被拒绝；响应文件只允许有一个报价，有选择的或有条件的报价将不予接受。</w:t>
      </w:r>
    </w:p>
    <w:p w14:paraId="00A7CA68">
      <w:pPr>
        <w:pStyle w:val="21"/>
        <w:spacing w:line="400" w:lineRule="exact"/>
        <w:ind w:firstLine="420"/>
        <w:rPr>
          <w:rFonts w:hint="eastAsia" w:hAnsi="宋体" w:cs="宋体"/>
          <w:color w:val="auto"/>
          <w:sz w:val="21"/>
          <w:highlight w:val="none"/>
        </w:rPr>
      </w:pPr>
      <w:r>
        <w:rPr>
          <w:rFonts w:hint="eastAsia" w:hAnsi="宋体" w:cs="宋体"/>
          <w:color w:val="auto"/>
          <w:sz w:val="21"/>
          <w:highlight w:val="none"/>
        </w:rPr>
        <w:t>2.供应商应根据所提供的货物如实填写谈判报价表</w:t>
      </w:r>
      <w:r>
        <w:rPr>
          <w:rFonts w:hint="eastAsia" w:hAnsi="宋体" w:cs="宋体"/>
          <w:bCs/>
          <w:color w:val="auto"/>
          <w:sz w:val="21"/>
          <w:highlight w:val="none"/>
        </w:rPr>
        <w:t>的各项内容，否则，响应文件无效。</w:t>
      </w:r>
    </w:p>
    <w:p w14:paraId="714FB606">
      <w:pPr>
        <w:spacing w:line="400" w:lineRule="exact"/>
        <w:ind w:firstLine="420"/>
        <w:rPr>
          <w:rFonts w:hint="eastAsia" w:ascii="宋体" w:hAnsi="宋体" w:cs="宋体"/>
          <w:color w:val="auto"/>
          <w:szCs w:val="21"/>
          <w:highlight w:val="none"/>
        </w:rPr>
      </w:pPr>
      <w:r>
        <w:rPr>
          <w:rFonts w:hint="eastAsia" w:ascii="宋体" w:hAnsi="宋体" w:cs="宋体"/>
          <w:bCs/>
          <w:color w:val="auto"/>
          <w:szCs w:val="21"/>
          <w:highlight w:val="none"/>
        </w:rPr>
        <w:t>3.</w:t>
      </w:r>
      <w:r>
        <w:rPr>
          <w:rFonts w:hint="eastAsia" w:ascii="宋体" w:hAnsi="宋体" w:cs="宋体"/>
          <w:color w:val="auto"/>
          <w:szCs w:val="21"/>
          <w:highlight w:val="none"/>
        </w:rPr>
        <w:t>谈判</w:t>
      </w:r>
      <w:r>
        <w:rPr>
          <w:rFonts w:hint="eastAsia" w:ascii="宋体" w:hAnsi="宋体" w:cs="宋体"/>
          <w:bCs/>
          <w:color w:val="auto"/>
          <w:szCs w:val="21"/>
          <w:highlight w:val="none"/>
        </w:rPr>
        <w:t>报价表须由法</w:t>
      </w:r>
      <w:r>
        <w:rPr>
          <w:rFonts w:hint="eastAsia" w:ascii="宋体" w:hAnsi="宋体" w:cs="宋体"/>
          <w:color w:val="auto"/>
          <w:szCs w:val="21"/>
          <w:highlight w:val="none"/>
        </w:rPr>
        <w:t>定代表人、负责人、自然人或相应的委托代理人签字或个人CA签章（属自然人的应在签名处加盖大拇指指印或个人CA签章）并加盖供应商CA签章（自然人除外）。</w:t>
      </w:r>
    </w:p>
    <w:p w14:paraId="05E107C8">
      <w:pPr>
        <w:spacing w:line="400" w:lineRule="exact"/>
        <w:ind w:firstLine="420"/>
        <w:rPr>
          <w:rFonts w:hint="eastAsia" w:ascii="宋体" w:hAnsi="宋体" w:cs="宋体"/>
          <w:bCs/>
          <w:color w:val="auto"/>
          <w:szCs w:val="21"/>
          <w:highlight w:val="none"/>
        </w:rPr>
      </w:pPr>
      <w:r>
        <w:rPr>
          <w:rFonts w:hint="eastAsia" w:ascii="宋体" w:hAnsi="宋体" w:cs="宋体"/>
          <w:bCs/>
          <w:color w:val="auto"/>
          <w:szCs w:val="21"/>
          <w:highlight w:val="none"/>
        </w:rPr>
        <w:t>4.如全部或部分产品属于《节能产品政府采购清单》或《环境标志产品政府采购清单》目录范围的，</w:t>
      </w:r>
      <w:r>
        <w:rPr>
          <w:rFonts w:hint="eastAsia" w:ascii="宋体" w:hAnsi="宋体" w:cs="宋体"/>
          <w:color w:val="auto"/>
          <w:szCs w:val="21"/>
          <w:highlight w:val="none"/>
        </w:rPr>
        <w:t>供应商</w:t>
      </w:r>
      <w:r>
        <w:rPr>
          <w:rFonts w:hint="eastAsia" w:ascii="宋体" w:hAnsi="宋体" w:cs="宋体"/>
          <w:bCs/>
          <w:color w:val="auto"/>
          <w:szCs w:val="21"/>
          <w:highlight w:val="none"/>
        </w:rPr>
        <w:t>应在本表备注栏内写明各分项货物属于节能（或环境标志）产品政府采购清单第几类第几项序号的产品，以便谈判小组作为优先采购或评审的依据。</w:t>
      </w:r>
    </w:p>
    <w:p w14:paraId="3EB1DBE0">
      <w:pPr>
        <w:spacing w:line="400" w:lineRule="exact"/>
        <w:ind w:firstLine="422"/>
        <w:rPr>
          <w:b/>
          <w:bCs/>
          <w:color w:val="auto"/>
          <w:szCs w:val="21"/>
          <w:highlight w:val="none"/>
        </w:rPr>
      </w:pPr>
      <w:r>
        <w:rPr>
          <w:b/>
          <w:bCs/>
          <w:color w:val="auto"/>
          <w:highlight w:val="none"/>
        </w:rPr>
        <w:t>当本表由多页构成时，需逐页加盖供应商</w:t>
      </w:r>
      <w:r>
        <w:rPr>
          <w:rFonts w:hint="eastAsia"/>
          <w:b/>
          <w:bCs/>
          <w:color w:val="auto"/>
          <w:highlight w:val="none"/>
        </w:rPr>
        <w:t>CA签章</w:t>
      </w:r>
      <w:r>
        <w:rPr>
          <w:b/>
          <w:bCs/>
          <w:color w:val="auto"/>
          <w:highlight w:val="none"/>
        </w:rPr>
        <w:t>（属自然人的须逐页签字</w:t>
      </w:r>
      <w:r>
        <w:rPr>
          <w:rFonts w:hint="eastAsia"/>
          <w:b/>
          <w:bCs/>
          <w:color w:val="auto"/>
          <w:highlight w:val="none"/>
        </w:rPr>
        <w:t>或加盖个人CA签章</w:t>
      </w:r>
      <w:r>
        <w:rPr>
          <w:b/>
          <w:bCs/>
          <w:color w:val="auto"/>
          <w:highlight w:val="none"/>
        </w:rPr>
        <w:t>）。</w:t>
      </w:r>
    </w:p>
    <w:p w14:paraId="70196E1C">
      <w:pPr>
        <w:spacing w:line="400" w:lineRule="exact"/>
        <w:ind w:firstLine="422"/>
        <w:rPr>
          <w:b/>
          <w:bCs/>
          <w:color w:val="auto"/>
          <w:highlight w:val="none"/>
        </w:rPr>
      </w:pPr>
    </w:p>
    <w:p w14:paraId="5C4E9D67">
      <w:pPr>
        <w:spacing w:line="400" w:lineRule="exact"/>
        <w:ind w:firstLine="422"/>
        <w:rPr>
          <w:b/>
          <w:bCs/>
          <w:color w:val="auto"/>
          <w:highlight w:val="none"/>
        </w:rPr>
      </w:pPr>
    </w:p>
    <w:p w14:paraId="382163F9">
      <w:pPr>
        <w:spacing w:line="400" w:lineRule="exact"/>
        <w:ind w:firstLine="422"/>
        <w:rPr>
          <w:b/>
          <w:bCs/>
          <w:color w:val="auto"/>
          <w:highlight w:val="none"/>
        </w:rPr>
      </w:pPr>
    </w:p>
    <w:p w14:paraId="671554E3">
      <w:pPr>
        <w:spacing w:line="400" w:lineRule="exact"/>
        <w:ind w:firstLine="422"/>
        <w:rPr>
          <w:b/>
          <w:bCs/>
          <w:color w:val="auto"/>
          <w:highlight w:val="none"/>
        </w:rPr>
      </w:pPr>
    </w:p>
    <w:p w14:paraId="5F4E9080">
      <w:pPr>
        <w:spacing w:line="400" w:lineRule="exact"/>
        <w:ind w:firstLine="422"/>
        <w:rPr>
          <w:b/>
          <w:bCs/>
          <w:color w:val="auto"/>
          <w:highlight w:val="none"/>
        </w:rPr>
      </w:pPr>
    </w:p>
    <w:p w14:paraId="21F80713">
      <w:pPr>
        <w:pStyle w:val="21"/>
        <w:numPr>
          <w:ilvl w:val="0"/>
          <w:numId w:val="8"/>
        </w:numPr>
        <w:spacing w:line="340" w:lineRule="exact"/>
        <w:rPr>
          <w:rFonts w:hint="eastAsia"/>
          <w:b/>
          <w:color w:val="auto"/>
          <w:sz w:val="28"/>
          <w:szCs w:val="28"/>
          <w:highlight w:val="none"/>
        </w:rPr>
      </w:pPr>
      <w:r>
        <w:rPr>
          <w:rFonts w:hint="eastAsia"/>
          <w:b/>
          <w:color w:val="auto"/>
          <w:sz w:val="28"/>
          <w:szCs w:val="28"/>
          <w:highlight w:val="none"/>
        </w:rPr>
        <w:t>技术规格偏离表（必须提供）；</w:t>
      </w:r>
    </w:p>
    <w:p w14:paraId="4C55DD20">
      <w:pPr>
        <w:pStyle w:val="12"/>
        <w:rPr>
          <w:rFonts w:hint="eastAsia"/>
          <w:color w:val="auto"/>
          <w:highlight w:val="none"/>
        </w:rPr>
      </w:pPr>
    </w:p>
    <w:p w14:paraId="4F6E7058">
      <w:pPr>
        <w:pStyle w:val="21"/>
        <w:rPr>
          <w:rFonts w:hint="eastAsia" w:hAnsi="宋体"/>
          <w:b/>
          <w:bCs/>
          <w:color w:val="auto"/>
          <w:sz w:val="32"/>
          <w:szCs w:val="32"/>
          <w:highlight w:val="none"/>
        </w:rPr>
      </w:pPr>
      <w:r>
        <w:rPr>
          <w:rFonts w:hint="eastAsia" w:hAnsi="宋体"/>
          <w:b/>
          <w:bCs/>
          <w:color w:val="auto"/>
          <w:sz w:val="32"/>
          <w:szCs w:val="32"/>
          <w:highlight w:val="none"/>
        </w:rPr>
        <w:t>附件：</w:t>
      </w:r>
    </w:p>
    <w:p w14:paraId="31D94E80">
      <w:pPr>
        <w:pStyle w:val="21"/>
        <w:rPr>
          <w:rFonts w:hAnsi="宋体"/>
          <w:b/>
          <w:color w:val="auto"/>
          <w:sz w:val="24"/>
          <w:szCs w:val="24"/>
          <w:highlight w:val="none"/>
        </w:rPr>
      </w:pPr>
      <w:r>
        <w:rPr>
          <w:rFonts w:hAnsi="宋体"/>
          <w:b/>
          <w:color w:val="auto"/>
          <w:sz w:val="24"/>
          <w:szCs w:val="24"/>
          <w:highlight w:val="none"/>
        </w:rPr>
        <w:t xml:space="preserve">           </w:t>
      </w:r>
    </w:p>
    <w:p w14:paraId="487B65EB">
      <w:pPr>
        <w:pStyle w:val="21"/>
        <w:ind w:firstLine="472"/>
        <w:jc w:val="center"/>
        <w:rPr>
          <w:rFonts w:hint="eastAsia" w:hAnsi="宋体"/>
          <w:b/>
          <w:bCs/>
          <w:color w:val="auto"/>
          <w:sz w:val="32"/>
          <w:highlight w:val="none"/>
        </w:rPr>
      </w:pPr>
      <w:bookmarkStart w:id="995" w:name="_Toc8609_WPSOffice_Level1"/>
      <w:bookmarkStart w:id="996" w:name="_Toc29907_WPSOffice_Level1"/>
      <w:r>
        <w:rPr>
          <w:rFonts w:hint="eastAsia" w:hAnsi="宋体"/>
          <w:b/>
          <w:bCs/>
          <w:color w:val="auto"/>
          <w:sz w:val="32"/>
          <w:highlight w:val="none"/>
        </w:rPr>
        <w:t>技术规格偏离表（格式）</w:t>
      </w:r>
      <w:bookmarkEnd w:id="995"/>
      <w:bookmarkEnd w:id="996"/>
    </w:p>
    <w:p w14:paraId="4C5190FA">
      <w:pPr>
        <w:pStyle w:val="18"/>
        <w:rPr>
          <w:rFonts w:hint="eastAsia" w:ascii="宋体" w:hAnsi="宋体" w:cs="宋体"/>
          <w:b/>
          <w:bCs/>
          <w:color w:val="auto"/>
          <w:sz w:val="24"/>
          <w:szCs w:val="21"/>
          <w:highlight w:val="none"/>
          <w:lang w:eastAsia="zh-CN"/>
        </w:rPr>
      </w:pPr>
      <w:r>
        <w:rPr>
          <w:rFonts w:hint="eastAsia" w:ascii="宋体" w:hAnsi="宋体" w:cs="宋体"/>
          <w:b/>
          <w:bCs/>
          <w:color w:val="auto"/>
          <w:sz w:val="24"/>
          <w:szCs w:val="21"/>
          <w:highlight w:val="none"/>
          <w:lang w:eastAsia="zh-CN"/>
        </w:rPr>
        <w:t>项目编号：</w:t>
      </w:r>
    </w:p>
    <w:p w14:paraId="7EA21C1E">
      <w:pPr>
        <w:pStyle w:val="18"/>
        <w:rPr>
          <w:rFonts w:hint="eastAsia"/>
          <w:color w:val="auto"/>
          <w:sz w:val="18"/>
          <w:szCs w:val="21"/>
          <w:highlight w:val="none"/>
          <w:lang w:eastAsia="zh-CN"/>
        </w:rPr>
      </w:pPr>
      <w:r>
        <w:rPr>
          <w:rFonts w:hint="eastAsia" w:ascii="宋体" w:hAnsi="宋体" w:cs="宋体"/>
          <w:b/>
          <w:bCs/>
          <w:color w:val="auto"/>
          <w:sz w:val="24"/>
          <w:szCs w:val="21"/>
          <w:highlight w:val="none"/>
          <w:lang w:eastAsia="zh-CN"/>
        </w:rPr>
        <w:t>项目名称：</w:t>
      </w:r>
    </w:p>
    <w:p w14:paraId="6DE39C3F">
      <w:pPr>
        <w:pStyle w:val="21"/>
        <w:rPr>
          <w:rFonts w:hAnsi="宋体"/>
          <w:b/>
          <w:color w:val="auto"/>
          <w:sz w:val="24"/>
          <w:szCs w:val="24"/>
          <w:highlight w:val="none"/>
        </w:rPr>
      </w:pPr>
    </w:p>
    <w:tbl>
      <w:tblPr>
        <w:tblStyle w:val="4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651"/>
        <w:gridCol w:w="2909"/>
        <w:gridCol w:w="2139"/>
        <w:gridCol w:w="1761"/>
      </w:tblGrid>
      <w:tr w14:paraId="33780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008" w:type="dxa"/>
            <w:noWrap w:val="0"/>
            <w:vAlign w:val="center"/>
          </w:tcPr>
          <w:p w14:paraId="0CCF8145">
            <w:pPr>
              <w:pStyle w:val="21"/>
              <w:spacing w:line="400" w:lineRule="exact"/>
              <w:jc w:val="center"/>
              <w:rPr>
                <w:rFonts w:hAnsi="宋体"/>
                <w:b/>
                <w:bCs/>
                <w:color w:val="auto"/>
                <w:sz w:val="21"/>
                <w:szCs w:val="20"/>
                <w:highlight w:val="none"/>
              </w:rPr>
            </w:pPr>
            <w:r>
              <w:rPr>
                <w:rFonts w:hint="eastAsia" w:hAnsi="宋体"/>
                <w:b/>
                <w:bCs/>
                <w:color w:val="auto"/>
                <w:sz w:val="21"/>
                <w:szCs w:val="20"/>
                <w:highlight w:val="none"/>
              </w:rPr>
              <w:t>项号</w:t>
            </w:r>
          </w:p>
        </w:tc>
        <w:tc>
          <w:tcPr>
            <w:tcW w:w="1651" w:type="dxa"/>
            <w:noWrap w:val="0"/>
            <w:vAlign w:val="center"/>
          </w:tcPr>
          <w:p w14:paraId="2CBDCC6C">
            <w:pPr>
              <w:pStyle w:val="21"/>
              <w:spacing w:line="400" w:lineRule="exact"/>
              <w:jc w:val="center"/>
              <w:rPr>
                <w:rFonts w:hAnsi="宋体"/>
                <w:b/>
                <w:bCs/>
                <w:color w:val="auto"/>
                <w:sz w:val="21"/>
                <w:szCs w:val="20"/>
                <w:highlight w:val="none"/>
              </w:rPr>
            </w:pPr>
            <w:r>
              <w:rPr>
                <w:rFonts w:hint="eastAsia" w:hAnsi="宋体"/>
                <w:b/>
                <w:bCs/>
                <w:color w:val="auto"/>
                <w:sz w:val="21"/>
                <w:szCs w:val="20"/>
                <w:highlight w:val="none"/>
              </w:rPr>
              <w:t>标的名称</w:t>
            </w:r>
          </w:p>
        </w:tc>
        <w:tc>
          <w:tcPr>
            <w:tcW w:w="2909" w:type="dxa"/>
            <w:noWrap w:val="0"/>
            <w:vAlign w:val="center"/>
          </w:tcPr>
          <w:p w14:paraId="0FFBC349">
            <w:pPr>
              <w:pStyle w:val="21"/>
              <w:spacing w:line="300" w:lineRule="exact"/>
              <w:jc w:val="center"/>
              <w:rPr>
                <w:rFonts w:hAnsi="宋体"/>
                <w:b/>
                <w:bCs/>
                <w:color w:val="auto"/>
                <w:sz w:val="21"/>
                <w:szCs w:val="20"/>
                <w:highlight w:val="none"/>
              </w:rPr>
            </w:pPr>
            <w:r>
              <w:rPr>
                <w:rFonts w:hint="eastAsia" w:hAnsi="宋体"/>
                <w:b/>
                <w:bCs/>
                <w:color w:val="auto"/>
                <w:sz w:val="21"/>
                <w:highlight w:val="none"/>
              </w:rPr>
              <w:t>项目要求及技术需求</w:t>
            </w:r>
          </w:p>
        </w:tc>
        <w:tc>
          <w:tcPr>
            <w:tcW w:w="2139" w:type="dxa"/>
            <w:noWrap w:val="0"/>
            <w:vAlign w:val="center"/>
          </w:tcPr>
          <w:p w14:paraId="35B0E2B2">
            <w:pPr>
              <w:pStyle w:val="21"/>
              <w:spacing w:line="300" w:lineRule="exact"/>
              <w:jc w:val="center"/>
              <w:rPr>
                <w:rFonts w:hAnsi="宋体"/>
                <w:b/>
                <w:bCs/>
                <w:color w:val="auto"/>
                <w:sz w:val="21"/>
                <w:szCs w:val="20"/>
                <w:highlight w:val="none"/>
              </w:rPr>
            </w:pPr>
            <w:r>
              <w:rPr>
                <w:rFonts w:hint="eastAsia" w:hAnsi="宋体"/>
                <w:b/>
                <w:bCs/>
                <w:color w:val="auto"/>
                <w:sz w:val="21"/>
                <w:highlight w:val="none"/>
              </w:rPr>
              <w:t>响应文件的响应情况</w:t>
            </w:r>
          </w:p>
        </w:tc>
        <w:tc>
          <w:tcPr>
            <w:tcW w:w="1761" w:type="dxa"/>
            <w:noWrap w:val="0"/>
            <w:vAlign w:val="center"/>
          </w:tcPr>
          <w:p w14:paraId="72B79B10">
            <w:pPr>
              <w:pStyle w:val="21"/>
              <w:spacing w:line="400" w:lineRule="exact"/>
              <w:jc w:val="center"/>
              <w:rPr>
                <w:rFonts w:hAnsi="宋体"/>
                <w:b/>
                <w:bCs/>
                <w:color w:val="auto"/>
                <w:sz w:val="21"/>
                <w:szCs w:val="20"/>
                <w:highlight w:val="none"/>
              </w:rPr>
            </w:pPr>
            <w:bookmarkStart w:id="997" w:name="_Toc254970560"/>
            <w:bookmarkStart w:id="998" w:name="_Toc254970701"/>
            <w:r>
              <w:rPr>
                <w:rFonts w:hint="eastAsia" w:hAnsi="宋体"/>
                <w:b/>
                <w:bCs/>
                <w:color w:val="auto"/>
                <w:sz w:val="21"/>
                <w:szCs w:val="20"/>
                <w:highlight w:val="none"/>
              </w:rPr>
              <w:t>偏离情况</w:t>
            </w:r>
            <w:bookmarkEnd w:id="997"/>
            <w:bookmarkEnd w:id="998"/>
            <w:r>
              <w:rPr>
                <w:rFonts w:hint="eastAsia" w:hAnsi="宋体"/>
                <w:b/>
                <w:bCs/>
                <w:color w:val="auto"/>
                <w:sz w:val="21"/>
                <w:szCs w:val="20"/>
                <w:highlight w:val="none"/>
              </w:rPr>
              <w:t>说明</w:t>
            </w:r>
          </w:p>
        </w:tc>
      </w:tr>
      <w:tr w14:paraId="4D6C9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noWrap w:val="0"/>
            <w:vAlign w:val="center"/>
          </w:tcPr>
          <w:p w14:paraId="12447B0A">
            <w:pPr>
              <w:jc w:val="center"/>
              <w:rPr>
                <w:rFonts w:ascii="宋体" w:hAnsi="宋体" w:cs="宋体"/>
                <w:color w:val="auto"/>
                <w:szCs w:val="21"/>
                <w:highlight w:val="none"/>
              </w:rPr>
            </w:pPr>
            <w:r>
              <w:rPr>
                <w:rFonts w:ascii="宋体" w:hAnsi="宋体" w:cs="宋体"/>
                <w:color w:val="auto"/>
                <w:szCs w:val="21"/>
                <w:highlight w:val="none"/>
              </w:rPr>
              <w:t>1</w:t>
            </w:r>
          </w:p>
        </w:tc>
        <w:tc>
          <w:tcPr>
            <w:tcW w:w="1651" w:type="dxa"/>
            <w:noWrap w:val="0"/>
            <w:vAlign w:val="center"/>
          </w:tcPr>
          <w:p w14:paraId="29E57D6D">
            <w:pPr>
              <w:jc w:val="center"/>
              <w:rPr>
                <w:rFonts w:ascii="宋体" w:hAnsi="宋体" w:cs="宋体"/>
                <w:color w:val="auto"/>
                <w:szCs w:val="21"/>
                <w:highlight w:val="none"/>
              </w:rPr>
            </w:pPr>
          </w:p>
        </w:tc>
        <w:tc>
          <w:tcPr>
            <w:tcW w:w="2909" w:type="dxa"/>
            <w:noWrap w:val="0"/>
            <w:vAlign w:val="center"/>
          </w:tcPr>
          <w:p w14:paraId="37A92C74">
            <w:pPr>
              <w:pStyle w:val="21"/>
              <w:spacing w:line="600" w:lineRule="exact"/>
              <w:jc w:val="center"/>
              <w:rPr>
                <w:rFonts w:hAnsi="宋体"/>
                <w:color w:val="auto"/>
                <w:sz w:val="21"/>
                <w:szCs w:val="20"/>
                <w:highlight w:val="none"/>
              </w:rPr>
            </w:pPr>
          </w:p>
        </w:tc>
        <w:tc>
          <w:tcPr>
            <w:tcW w:w="2139" w:type="dxa"/>
            <w:noWrap w:val="0"/>
            <w:vAlign w:val="top"/>
          </w:tcPr>
          <w:p w14:paraId="6B1FBEC6">
            <w:pPr>
              <w:pStyle w:val="21"/>
              <w:spacing w:line="600" w:lineRule="exact"/>
              <w:jc w:val="center"/>
              <w:rPr>
                <w:rFonts w:hAnsi="宋体"/>
                <w:color w:val="auto"/>
                <w:sz w:val="21"/>
                <w:szCs w:val="20"/>
                <w:highlight w:val="none"/>
              </w:rPr>
            </w:pPr>
          </w:p>
        </w:tc>
        <w:tc>
          <w:tcPr>
            <w:tcW w:w="1761" w:type="dxa"/>
            <w:noWrap w:val="0"/>
            <w:vAlign w:val="center"/>
          </w:tcPr>
          <w:p w14:paraId="13D09877">
            <w:pPr>
              <w:pStyle w:val="21"/>
              <w:spacing w:line="600" w:lineRule="exact"/>
              <w:jc w:val="center"/>
              <w:rPr>
                <w:rFonts w:hAnsi="宋体"/>
                <w:color w:val="auto"/>
                <w:sz w:val="21"/>
                <w:szCs w:val="20"/>
                <w:highlight w:val="none"/>
              </w:rPr>
            </w:pPr>
          </w:p>
        </w:tc>
      </w:tr>
      <w:tr w14:paraId="5B573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noWrap w:val="0"/>
            <w:vAlign w:val="center"/>
          </w:tcPr>
          <w:p w14:paraId="07122C2B">
            <w:pPr>
              <w:jc w:val="center"/>
              <w:rPr>
                <w:rFonts w:ascii="宋体" w:hAnsi="宋体" w:cs="宋体"/>
                <w:color w:val="auto"/>
                <w:szCs w:val="21"/>
                <w:highlight w:val="none"/>
              </w:rPr>
            </w:pPr>
            <w:r>
              <w:rPr>
                <w:rFonts w:ascii="宋体" w:hAnsi="宋体" w:cs="宋体"/>
                <w:color w:val="auto"/>
                <w:szCs w:val="21"/>
                <w:highlight w:val="none"/>
              </w:rPr>
              <w:t>2</w:t>
            </w:r>
          </w:p>
        </w:tc>
        <w:tc>
          <w:tcPr>
            <w:tcW w:w="1651" w:type="dxa"/>
            <w:noWrap w:val="0"/>
            <w:vAlign w:val="center"/>
          </w:tcPr>
          <w:p w14:paraId="243911B0">
            <w:pPr>
              <w:jc w:val="center"/>
              <w:rPr>
                <w:rFonts w:ascii="宋体" w:hAnsi="宋体" w:cs="宋体"/>
                <w:color w:val="auto"/>
                <w:szCs w:val="21"/>
                <w:highlight w:val="none"/>
              </w:rPr>
            </w:pPr>
          </w:p>
        </w:tc>
        <w:tc>
          <w:tcPr>
            <w:tcW w:w="2909" w:type="dxa"/>
            <w:noWrap w:val="0"/>
            <w:vAlign w:val="top"/>
          </w:tcPr>
          <w:p w14:paraId="27BA348F">
            <w:pPr>
              <w:pStyle w:val="21"/>
              <w:spacing w:line="600" w:lineRule="exact"/>
              <w:rPr>
                <w:rFonts w:hAnsi="宋体"/>
                <w:color w:val="auto"/>
                <w:sz w:val="21"/>
                <w:szCs w:val="20"/>
                <w:highlight w:val="none"/>
              </w:rPr>
            </w:pPr>
          </w:p>
        </w:tc>
        <w:tc>
          <w:tcPr>
            <w:tcW w:w="2139" w:type="dxa"/>
            <w:noWrap w:val="0"/>
            <w:vAlign w:val="top"/>
          </w:tcPr>
          <w:p w14:paraId="50A37034">
            <w:pPr>
              <w:pStyle w:val="21"/>
              <w:spacing w:line="600" w:lineRule="exact"/>
              <w:rPr>
                <w:rFonts w:hAnsi="宋体"/>
                <w:color w:val="auto"/>
                <w:sz w:val="21"/>
                <w:szCs w:val="20"/>
                <w:highlight w:val="none"/>
              </w:rPr>
            </w:pPr>
          </w:p>
        </w:tc>
        <w:tc>
          <w:tcPr>
            <w:tcW w:w="1761" w:type="dxa"/>
            <w:noWrap w:val="0"/>
            <w:vAlign w:val="top"/>
          </w:tcPr>
          <w:p w14:paraId="622DEB6D">
            <w:pPr>
              <w:pStyle w:val="21"/>
              <w:spacing w:line="600" w:lineRule="exact"/>
              <w:rPr>
                <w:rFonts w:hAnsi="宋体"/>
                <w:color w:val="auto"/>
                <w:sz w:val="21"/>
                <w:szCs w:val="20"/>
                <w:highlight w:val="none"/>
              </w:rPr>
            </w:pPr>
          </w:p>
        </w:tc>
      </w:tr>
      <w:tr w14:paraId="33196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noWrap w:val="0"/>
            <w:vAlign w:val="center"/>
          </w:tcPr>
          <w:p w14:paraId="3BE1EFC1">
            <w:pPr>
              <w:jc w:val="center"/>
              <w:rPr>
                <w:rFonts w:ascii="宋体" w:hAnsi="宋体" w:cs="宋体"/>
                <w:color w:val="auto"/>
                <w:szCs w:val="21"/>
                <w:highlight w:val="none"/>
              </w:rPr>
            </w:pPr>
            <w:r>
              <w:rPr>
                <w:rFonts w:ascii="宋体" w:hAnsi="宋体" w:cs="宋体"/>
                <w:color w:val="auto"/>
                <w:szCs w:val="21"/>
                <w:highlight w:val="none"/>
              </w:rPr>
              <w:t>3</w:t>
            </w:r>
          </w:p>
        </w:tc>
        <w:tc>
          <w:tcPr>
            <w:tcW w:w="1651" w:type="dxa"/>
            <w:noWrap w:val="0"/>
            <w:vAlign w:val="center"/>
          </w:tcPr>
          <w:p w14:paraId="19D9CDA6">
            <w:pPr>
              <w:jc w:val="center"/>
              <w:rPr>
                <w:rFonts w:ascii="宋体" w:hAnsi="宋体" w:cs="宋体"/>
                <w:color w:val="auto"/>
                <w:szCs w:val="21"/>
                <w:highlight w:val="none"/>
              </w:rPr>
            </w:pPr>
          </w:p>
        </w:tc>
        <w:tc>
          <w:tcPr>
            <w:tcW w:w="2909" w:type="dxa"/>
            <w:noWrap w:val="0"/>
            <w:vAlign w:val="top"/>
          </w:tcPr>
          <w:p w14:paraId="380F092C">
            <w:pPr>
              <w:pStyle w:val="21"/>
              <w:spacing w:line="600" w:lineRule="exact"/>
              <w:rPr>
                <w:rFonts w:hAnsi="宋体"/>
                <w:color w:val="auto"/>
                <w:sz w:val="21"/>
                <w:szCs w:val="20"/>
                <w:highlight w:val="none"/>
              </w:rPr>
            </w:pPr>
          </w:p>
        </w:tc>
        <w:tc>
          <w:tcPr>
            <w:tcW w:w="2139" w:type="dxa"/>
            <w:noWrap w:val="0"/>
            <w:vAlign w:val="top"/>
          </w:tcPr>
          <w:p w14:paraId="5153F154">
            <w:pPr>
              <w:pStyle w:val="21"/>
              <w:spacing w:line="600" w:lineRule="exact"/>
              <w:rPr>
                <w:rFonts w:hAnsi="宋体"/>
                <w:color w:val="auto"/>
                <w:sz w:val="21"/>
                <w:szCs w:val="20"/>
                <w:highlight w:val="none"/>
              </w:rPr>
            </w:pPr>
          </w:p>
        </w:tc>
        <w:tc>
          <w:tcPr>
            <w:tcW w:w="1761" w:type="dxa"/>
            <w:noWrap w:val="0"/>
            <w:vAlign w:val="top"/>
          </w:tcPr>
          <w:p w14:paraId="1AAB2F94">
            <w:pPr>
              <w:pStyle w:val="21"/>
              <w:spacing w:line="600" w:lineRule="exact"/>
              <w:rPr>
                <w:rFonts w:hAnsi="宋体"/>
                <w:color w:val="auto"/>
                <w:sz w:val="21"/>
                <w:szCs w:val="20"/>
                <w:highlight w:val="none"/>
              </w:rPr>
            </w:pPr>
          </w:p>
        </w:tc>
      </w:tr>
      <w:tr w14:paraId="15142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noWrap w:val="0"/>
            <w:vAlign w:val="center"/>
          </w:tcPr>
          <w:p w14:paraId="62973459">
            <w:pPr>
              <w:jc w:val="center"/>
              <w:rPr>
                <w:rFonts w:ascii="宋体" w:cs="宋体"/>
                <w:color w:val="auto"/>
                <w:szCs w:val="21"/>
                <w:highlight w:val="none"/>
              </w:rPr>
            </w:pPr>
            <w:r>
              <w:rPr>
                <w:rFonts w:hint="eastAsia" w:ascii="宋体" w:hAnsi="宋体" w:cs="宋体"/>
                <w:color w:val="auto"/>
                <w:szCs w:val="21"/>
                <w:highlight w:val="none"/>
              </w:rPr>
              <w:t>……</w:t>
            </w:r>
          </w:p>
        </w:tc>
        <w:tc>
          <w:tcPr>
            <w:tcW w:w="1651" w:type="dxa"/>
            <w:noWrap w:val="0"/>
            <w:vAlign w:val="center"/>
          </w:tcPr>
          <w:p w14:paraId="101FB732">
            <w:pPr>
              <w:jc w:val="center"/>
              <w:rPr>
                <w:rFonts w:ascii="宋体" w:cs="宋体"/>
                <w:color w:val="auto"/>
                <w:szCs w:val="21"/>
                <w:highlight w:val="none"/>
              </w:rPr>
            </w:pPr>
          </w:p>
        </w:tc>
        <w:tc>
          <w:tcPr>
            <w:tcW w:w="2909" w:type="dxa"/>
            <w:noWrap w:val="0"/>
            <w:vAlign w:val="top"/>
          </w:tcPr>
          <w:p w14:paraId="17426DF0">
            <w:pPr>
              <w:pStyle w:val="21"/>
              <w:spacing w:line="600" w:lineRule="exact"/>
              <w:rPr>
                <w:rFonts w:hAnsi="宋体"/>
                <w:color w:val="auto"/>
                <w:sz w:val="21"/>
                <w:szCs w:val="20"/>
                <w:highlight w:val="none"/>
              </w:rPr>
            </w:pPr>
          </w:p>
        </w:tc>
        <w:tc>
          <w:tcPr>
            <w:tcW w:w="2139" w:type="dxa"/>
            <w:noWrap w:val="0"/>
            <w:vAlign w:val="top"/>
          </w:tcPr>
          <w:p w14:paraId="6CA8B53C">
            <w:pPr>
              <w:pStyle w:val="21"/>
              <w:spacing w:line="600" w:lineRule="exact"/>
              <w:rPr>
                <w:rFonts w:hAnsi="宋体"/>
                <w:color w:val="auto"/>
                <w:sz w:val="21"/>
                <w:szCs w:val="20"/>
                <w:highlight w:val="none"/>
              </w:rPr>
            </w:pPr>
          </w:p>
        </w:tc>
        <w:tc>
          <w:tcPr>
            <w:tcW w:w="1761" w:type="dxa"/>
            <w:noWrap w:val="0"/>
            <w:vAlign w:val="top"/>
          </w:tcPr>
          <w:p w14:paraId="1F87ED03">
            <w:pPr>
              <w:pStyle w:val="21"/>
              <w:spacing w:line="600" w:lineRule="exact"/>
              <w:rPr>
                <w:rFonts w:hAnsi="宋体"/>
                <w:color w:val="auto"/>
                <w:sz w:val="21"/>
                <w:szCs w:val="20"/>
                <w:highlight w:val="none"/>
              </w:rPr>
            </w:pPr>
          </w:p>
        </w:tc>
      </w:tr>
      <w:tr w14:paraId="58CBF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noWrap w:val="0"/>
            <w:vAlign w:val="center"/>
          </w:tcPr>
          <w:p w14:paraId="1715AC83">
            <w:pPr>
              <w:jc w:val="center"/>
              <w:rPr>
                <w:rFonts w:ascii="宋体" w:hAnsi="宋体" w:cs="宋体"/>
                <w:color w:val="auto"/>
                <w:szCs w:val="21"/>
                <w:highlight w:val="none"/>
              </w:rPr>
            </w:pPr>
            <w:r>
              <w:rPr>
                <w:rFonts w:hint="eastAsia" w:ascii="宋体" w:hAnsi="宋体" w:cs="宋体"/>
                <w:color w:val="auto"/>
                <w:szCs w:val="21"/>
                <w:highlight w:val="none"/>
              </w:rPr>
              <w:t>……</w:t>
            </w:r>
          </w:p>
        </w:tc>
        <w:tc>
          <w:tcPr>
            <w:tcW w:w="1651" w:type="dxa"/>
            <w:noWrap w:val="0"/>
            <w:vAlign w:val="center"/>
          </w:tcPr>
          <w:p w14:paraId="130D9CC5">
            <w:pPr>
              <w:jc w:val="center"/>
              <w:rPr>
                <w:rFonts w:ascii="宋体" w:hAnsi="宋体" w:cs="宋体"/>
                <w:color w:val="auto"/>
                <w:szCs w:val="21"/>
                <w:highlight w:val="none"/>
              </w:rPr>
            </w:pPr>
          </w:p>
        </w:tc>
        <w:tc>
          <w:tcPr>
            <w:tcW w:w="2909" w:type="dxa"/>
            <w:noWrap w:val="0"/>
            <w:vAlign w:val="top"/>
          </w:tcPr>
          <w:p w14:paraId="14EBE883">
            <w:pPr>
              <w:pStyle w:val="21"/>
              <w:spacing w:line="600" w:lineRule="exact"/>
              <w:rPr>
                <w:rFonts w:hAnsi="宋体"/>
                <w:color w:val="auto"/>
                <w:sz w:val="21"/>
                <w:szCs w:val="20"/>
                <w:highlight w:val="none"/>
              </w:rPr>
            </w:pPr>
          </w:p>
        </w:tc>
        <w:tc>
          <w:tcPr>
            <w:tcW w:w="2139" w:type="dxa"/>
            <w:noWrap w:val="0"/>
            <w:vAlign w:val="top"/>
          </w:tcPr>
          <w:p w14:paraId="14FB7FD7">
            <w:pPr>
              <w:pStyle w:val="21"/>
              <w:spacing w:line="600" w:lineRule="exact"/>
              <w:rPr>
                <w:rFonts w:hAnsi="宋体"/>
                <w:color w:val="auto"/>
                <w:sz w:val="21"/>
                <w:szCs w:val="20"/>
                <w:highlight w:val="none"/>
              </w:rPr>
            </w:pPr>
          </w:p>
        </w:tc>
        <w:tc>
          <w:tcPr>
            <w:tcW w:w="1761" w:type="dxa"/>
            <w:noWrap w:val="0"/>
            <w:vAlign w:val="top"/>
          </w:tcPr>
          <w:p w14:paraId="095B6C0D">
            <w:pPr>
              <w:pStyle w:val="21"/>
              <w:spacing w:line="600" w:lineRule="exact"/>
              <w:rPr>
                <w:rFonts w:hAnsi="宋体"/>
                <w:color w:val="auto"/>
                <w:sz w:val="21"/>
                <w:szCs w:val="20"/>
                <w:highlight w:val="none"/>
              </w:rPr>
            </w:pPr>
          </w:p>
        </w:tc>
      </w:tr>
    </w:tbl>
    <w:p w14:paraId="41D1DB98">
      <w:pPr>
        <w:pStyle w:val="21"/>
        <w:rPr>
          <w:rFonts w:hAnsi="宋体"/>
          <w:color w:val="auto"/>
          <w:highlight w:val="none"/>
          <w:u w:val="single"/>
        </w:rPr>
      </w:pPr>
    </w:p>
    <w:p w14:paraId="1DBEFC1B">
      <w:pPr>
        <w:spacing w:line="400" w:lineRule="exact"/>
        <w:ind w:firstLine="1890"/>
        <w:rPr>
          <w:rFonts w:hint="eastAsia" w:ascii="宋体" w:hAnsi="宋体" w:cs="宋体"/>
          <w:color w:val="auto"/>
          <w:szCs w:val="21"/>
          <w:highlight w:val="none"/>
          <w:u w:val="single"/>
        </w:rPr>
      </w:pPr>
      <w:r>
        <w:rPr>
          <w:rFonts w:hint="eastAsia" w:ascii="宋体" w:hAnsi="宋体" w:cs="宋体"/>
          <w:color w:val="auto"/>
          <w:szCs w:val="21"/>
          <w:highlight w:val="none"/>
        </w:rPr>
        <w:t>供应商[公章(CA签章)，自然人签字或个人CA签章]：</w:t>
      </w:r>
      <w:r>
        <w:rPr>
          <w:rFonts w:hint="eastAsia" w:ascii="宋体" w:hAnsi="宋体" w:cs="宋体"/>
          <w:color w:val="auto"/>
          <w:szCs w:val="21"/>
          <w:highlight w:val="none"/>
          <w:u w:val="single"/>
        </w:rPr>
        <w:t xml:space="preserve">                                </w:t>
      </w:r>
    </w:p>
    <w:p w14:paraId="464E4EC8">
      <w:pPr>
        <w:spacing w:line="340" w:lineRule="exact"/>
        <w:rPr>
          <w:color w:val="auto"/>
          <w:highlight w:val="none"/>
        </w:rPr>
      </w:pPr>
    </w:p>
    <w:p w14:paraId="40C3C511">
      <w:pPr>
        <w:spacing w:line="400" w:lineRule="exact"/>
        <w:ind w:firstLine="1680"/>
        <w:rPr>
          <w:rFonts w:hint="eastAsia" w:ascii="宋体" w:hAnsi="宋体" w:cs="宋体"/>
          <w:color w:val="auto"/>
          <w:highlight w:val="none"/>
        </w:rPr>
      </w:pPr>
    </w:p>
    <w:p w14:paraId="641E5DEC">
      <w:pPr>
        <w:spacing w:line="400" w:lineRule="exact"/>
        <w:ind w:firstLine="5040"/>
        <w:rPr>
          <w:rFonts w:ascii="宋体" w:hAnsi="宋体" w:cs="宋体"/>
          <w:color w:val="auto"/>
          <w:highlight w:val="none"/>
        </w:rPr>
      </w:pPr>
      <w:r>
        <w:rPr>
          <w:rFonts w:hint="eastAsia" w:ascii="宋体" w:hAnsi="宋体" w:cs="宋体"/>
          <w:color w:val="auto"/>
          <w:highlight w:val="none"/>
        </w:rPr>
        <w:t xml:space="preserve"> 日          期：</w:t>
      </w:r>
      <w:r>
        <w:rPr>
          <w:rFonts w:hint="eastAsia" w:ascii="宋体" w:hAnsi="宋体" w:cs="宋体"/>
          <w:color w:val="auto"/>
          <w:highlight w:val="none"/>
          <w:u w:val="single"/>
        </w:rPr>
        <w:t xml:space="preserve">                                                   </w:t>
      </w:r>
    </w:p>
    <w:p w14:paraId="582808BC">
      <w:pPr>
        <w:pStyle w:val="21"/>
        <w:ind w:firstLine="4000"/>
        <w:rPr>
          <w:rFonts w:hAnsi="宋体"/>
          <w:color w:val="auto"/>
          <w:highlight w:val="none"/>
          <w:u w:val="single"/>
        </w:rPr>
      </w:pPr>
    </w:p>
    <w:p w14:paraId="706A5E86">
      <w:pPr>
        <w:pStyle w:val="21"/>
        <w:spacing w:line="360" w:lineRule="exact"/>
        <w:rPr>
          <w:rFonts w:hAnsi="宋体"/>
          <w:bCs/>
          <w:color w:val="auto"/>
          <w:highlight w:val="none"/>
        </w:rPr>
      </w:pPr>
    </w:p>
    <w:p w14:paraId="01A3318A">
      <w:pPr>
        <w:pStyle w:val="21"/>
        <w:spacing w:line="360" w:lineRule="exact"/>
        <w:rPr>
          <w:rFonts w:hAnsi="宋体"/>
          <w:bCs/>
          <w:color w:val="auto"/>
          <w:highlight w:val="none"/>
        </w:rPr>
      </w:pPr>
    </w:p>
    <w:p w14:paraId="4E1E0182">
      <w:pPr>
        <w:pStyle w:val="21"/>
        <w:spacing w:line="360" w:lineRule="exact"/>
        <w:rPr>
          <w:rFonts w:hint="eastAsia" w:hAnsi="宋体" w:cs="宋体"/>
          <w:b/>
          <w:bCs w:val="0"/>
          <w:color w:val="auto"/>
          <w:sz w:val="24"/>
          <w:szCs w:val="28"/>
          <w:highlight w:val="none"/>
        </w:rPr>
      </w:pPr>
      <w:r>
        <w:rPr>
          <w:rFonts w:hint="eastAsia" w:hAnsi="宋体" w:cs="宋体"/>
          <w:b/>
          <w:bCs w:val="0"/>
          <w:color w:val="auto"/>
          <w:sz w:val="24"/>
          <w:szCs w:val="28"/>
          <w:highlight w:val="none"/>
        </w:rPr>
        <w:t>注：</w:t>
      </w:r>
    </w:p>
    <w:p w14:paraId="38A98DF9">
      <w:pPr>
        <w:numPr>
          <w:ilvl w:val="0"/>
          <w:numId w:val="0"/>
        </w:numPr>
        <w:spacing w:line="480" w:lineRule="exact"/>
        <w:ind w:left="0" w:firstLine="420"/>
        <w:rPr>
          <w:rFonts w:hint="eastAsia" w:ascii="宋体" w:hAnsi="宋体" w:cs="宋体"/>
          <w:b/>
          <w:bCs w:val="0"/>
          <w:color w:val="auto"/>
          <w:sz w:val="21"/>
          <w:szCs w:val="21"/>
          <w:highlight w:val="none"/>
          <w:lang w:val="en-US" w:eastAsia="zh-CN"/>
        </w:rPr>
      </w:pPr>
      <w:r>
        <w:rPr>
          <w:rFonts w:hint="eastAsia" w:hAnsi="宋体" w:cs="宋体"/>
          <w:color w:val="auto"/>
          <w:highlight w:val="none"/>
        </w:rPr>
        <w:t xml:space="preserve"> </w:t>
      </w:r>
      <w:r>
        <w:rPr>
          <w:rFonts w:hint="eastAsia" w:ascii="宋体" w:hAnsi="宋体" w:cs="宋体"/>
          <w:b/>
          <w:bCs w:val="0"/>
          <w:color w:val="auto"/>
          <w:sz w:val="21"/>
          <w:szCs w:val="21"/>
          <w:highlight w:val="none"/>
          <w:lang w:val="en-US" w:eastAsia="zh-CN"/>
        </w:rPr>
        <w:t>1.</w:t>
      </w:r>
      <w:r>
        <w:rPr>
          <w:rFonts w:hint="eastAsia" w:ascii="宋体" w:hAnsi="宋体" w:eastAsia="宋体" w:cs="宋体"/>
          <w:b/>
          <w:bCs w:val="0"/>
          <w:color w:val="auto"/>
          <w:sz w:val="21"/>
          <w:szCs w:val="21"/>
          <w:highlight w:val="none"/>
          <w:lang w:val="en-US" w:eastAsia="zh-CN"/>
        </w:rPr>
        <w:t>供应商</w:t>
      </w:r>
      <w:r>
        <w:rPr>
          <w:rFonts w:hint="eastAsia" w:ascii="宋体" w:hAnsi="宋体" w:eastAsia="宋体" w:cs="宋体"/>
          <w:b/>
          <w:bCs w:val="0"/>
          <w:color w:val="auto"/>
          <w:sz w:val="21"/>
          <w:szCs w:val="21"/>
          <w:highlight w:val="none"/>
        </w:rPr>
        <w:t>应对照</w:t>
      </w:r>
      <w:r>
        <w:rPr>
          <w:rFonts w:hint="eastAsia" w:ascii="宋体" w:hAnsi="宋体" w:eastAsia="宋体" w:cs="宋体"/>
          <w:b/>
          <w:bCs w:val="0"/>
          <w:color w:val="auto"/>
          <w:sz w:val="21"/>
          <w:szCs w:val="21"/>
          <w:highlight w:val="none"/>
          <w:lang w:eastAsia="zh-CN"/>
        </w:rPr>
        <w:t>竞争性</w:t>
      </w:r>
      <w:r>
        <w:rPr>
          <w:rFonts w:hint="eastAsia" w:ascii="宋体" w:hAnsi="宋体" w:cs="宋体"/>
          <w:b/>
          <w:bCs w:val="0"/>
          <w:color w:val="auto"/>
          <w:sz w:val="21"/>
          <w:szCs w:val="21"/>
          <w:highlight w:val="none"/>
          <w:lang w:eastAsia="zh-CN"/>
        </w:rPr>
        <w:t>谈判</w:t>
      </w:r>
      <w:r>
        <w:rPr>
          <w:rFonts w:hint="eastAsia" w:ascii="宋体" w:hAnsi="宋体" w:eastAsia="宋体" w:cs="宋体"/>
          <w:b/>
          <w:bCs w:val="0"/>
          <w:color w:val="auto"/>
          <w:sz w:val="21"/>
          <w:szCs w:val="21"/>
          <w:highlight w:val="none"/>
          <w:lang w:eastAsia="zh-CN"/>
        </w:rPr>
        <w:t>文件</w:t>
      </w:r>
      <w:r>
        <w:rPr>
          <w:rFonts w:hint="eastAsia" w:ascii="宋体" w:hAnsi="宋体" w:cs="宋体"/>
          <w:b/>
          <w:bCs w:val="0"/>
          <w:color w:val="auto"/>
          <w:sz w:val="21"/>
          <w:szCs w:val="21"/>
          <w:highlight w:val="none"/>
        </w:rPr>
        <w:t>中</w:t>
      </w:r>
      <w:r>
        <w:rPr>
          <w:rFonts w:hint="eastAsia" w:ascii="宋体" w:hAnsi="宋体" w:cs="宋体"/>
          <w:b/>
          <w:bCs w:val="0"/>
          <w:color w:val="auto"/>
          <w:sz w:val="21"/>
          <w:szCs w:val="21"/>
          <w:highlight w:val="none"/>
          <w:lang w:eastAsia="zh-CN"/>
        </w:rPr>
        <w:t>“</w:t>
      </w:r>
      <w:r>
        <w:rPr>
          <w:rFonts w:hint="eastAsia" w:ascii="宋体" w:hAnsi="宋体" w:cs="宋体"/>
          <w:b/>
          <w:bCs w:val="0"/>
          <w:color w:val="auto"/>
          <w:sz w:val="21"/>
          <w:szCs w:val="21"/>
          <w:highlight w:val="none"/>
        </w:rPr>
        <w:t>第三章</w:t>
      </w:r>
      <w:r>
        <w:rPr>
          <w:rFonts w:hint="eastAsia" w:ascii="宋体" w:hAnsi="宋体" w:cs="宋体"/>
          <w:b/>
          <w:bCs w:val="0"/>
          <w:color w:val="auto"/>
          <w:sz w:val="21"/>
          <w:szCs w:val="21"/>
          <w:highlight w:val="none"/>
          <w:lang w:val="en-US" w:eastAsia="zh-CN"/>
        </w:rPr>
        <w:t xml:space="preserve"> </w:t>
      </w:r>
      <w:r>
        <w:rPr>
          <w:rFonts w:hint="eastAsia" w:ascii="宋体" w:hAnsi="宋体" w:cs="宋体"/>
          <w:b/>
          <w:bCs w:val="0"/>
          <w:color w:val="auto"/>
          <w:sz w:val="21"/>
          <w:szCs w:val="21"/>
          <w:highlight w:val="none"/>
        </w:rPr>
        <w:t>采购需求</w:t>
      </w:r>
      <w:r>
        <w:rPr>
          <w:rFonts w:hint="eastAsia" w:ascii="宋体" w:hAnsi="宋体" w:cs="宋体"/>
          <w:b/>
          <w:bCs w:val="0"/>
          <w:color w:val="auto"/>
          <w:sz w:val="21"/>
          <w:szCs w:val="21"/>
          <w:highlight w:val="none"/>
          <w:lang w:eastAsia="zh-CN"/>
        </w:rPr>
        <w:t>”中</w:t>
      </w:r>
      <w:r>
        <w:rPr>
          <w:rFonts w:hint="eastAsia" w:ascii="宋体" w:hAnsi="宋体" w:cs="宋体"/>
          <w:b/>
          <w:bCs w:val="0"/>
          <w:color w:val="auto"/>
          <w:sz w:val="21"/>
          <w:szCs w:val="21"/>
          <w:highlight w:val="none"/>
          <w:lang w:val="en-US" w:eastAsia="zh-CN"/>
        </w:rPr>
        <w:t>技术规格需求</w:t>
      </w:r>
      <w:r>
        <w:rPr>
          <w:rFonts w:hint="eastAsia" w:ascii="宋体" w:hAnsi="宋体" w:cs="宋体"/>
          <w:b/>
          <w:bCs w:val="0"/>
          <w:color w:val="auto"/>
          <w:sz w:val="21"/>
          <w:szCs w:val="21"/>
          <w:highlight w:val="none"/>
        </w:rPr>
        <w:t>的内容逐条响应，并在“偏离情况说明”栏注明“正偏离”、“负偏离”或“无偏离”。</w:t>
      </w:r>
      <w:r>
        <w:rPr>
          <w:rFonts w:hint="eastAsia" w:ascii="宋体" w:hAnsi="宋体" w:cs="宋体"/>
          <w:b/>
          <w:bCs w:val="0"/>
          <w:color w:val="auto"/>
          <w:sz w:val="21"/>
          <w:szCs w:val="21"/>
          <w:highlight w:val="none"/>
          <w:lang w:eastAsia="zh-CN"/>
        </w:rPr>
        <w:t>否则，</w:t>
      </w:r>
      <w:r>
        <w:rPr>
          <w:rFonts w:hint="eastAsia" w:ascii="宋体" w:hAnsi="宋体" w:eastAsia="宋体" w:cs="宋体"/>
          <w:b/>
          <w:bCs w:val="0"/>
          <w:color w:val="auto"/>
          <w:sz w:val="21"/>
          <w:szCs w:val="21"/>
          <w:highlight w:val="none"/>
          <w:lang w:eastAsia="zh-CN"/>
        </w:rPr>
        <w:t>响应</w:t>
      </w:r>
      <w:r>
        <w:rPr>
          <w:rFonts w:hint="eastAsia" w:ascii="宋体" w:hAnsi="宋体" w:cs="宋体"/>
          <w:b/>
          <w:bCs w:val="0"/>
          <w:color w:val="auto"/>
          <w:sz w:val="21"/>
          <w:szCs w:val="21"/>
          <w:highlight w:val="none"/>
          <w:lang w:eastAsia="zh-CN"/>
        </w:rPr>
        <w:t>无效。</w:t>
      </w:r>
    </w:p>
    <w:p w14:paraId="3DBDEF13">
      <w:pPr>
        <w:pStyle w:val="21"/>
        <w:spacing w:line="480" w:lineRule="exact"/>
        <w:ind w:firstLine="422"/>
        <w:rPr>
          <w:rFonts w:hint="eastAsia" w:hAnsi="宋体" w:cs="宋体"/>
          <w:b/>
          <w:bCs w:val="0"/>
          <w:color w:val="auto"/>
          <w:sz w:val="21"/>
          <w:szCs w:val="21"/>
          <w:highlight w:val="none"/>
        </w:rPr>
      </w:pPr>
      <w:r>
        <w:rPr>
          <w:rFonts w:hint="eastAsia" w:ascii="宋体" w:cs="宋体"/>
          <w:b/>
          <w:bCs w:val="0"/>
          <w:color w:val="auto"/>
          <w:sz w:val="21"/>
          <w:szCs w:val="21"/>
          <w:highlight w:val="none"/>
          <w:lang w:val="en-US" w:eastAsia="zh-CN"/>
        </w:rPr>
        <w:t>2.</w:t>
      </w:r>
      <w:r>
        <w:rPr>
          <w:rFonts w:hint="eastAsia" w:hAnsi="宋体" w:cs="宋体"/>
          <w:b/>
          <w:bCs w:val="0"/>
          <w:color w:val="auto"/>
          <w:sz w:val="21"/>
          <w:szCs w:val="21"/>
          <w:highlight w:val="none"/>
        </w:rPr>
        <w:t>当所提供货物的技术参数性能指标等承诺出现“正</w:t>
      </w:r>
      <w:r>
        <w:rPr>
          <w:rFonts w:hint="eastAsia" w:hAnsi="宋体"/>
          <w:b/>
          <w:bCs w:val="0"/>
          <w:color w:val="auto"/>
          <w:sz w:val="21"/>
          <w:szCs w:val="21"/>
          <w:highlight w:val="none"/>
        </w:rPr>
        <w:t>偏离</w:t>
      </w:r>
      <w:r>
        <w:rPr>
          <w:rFonts w:hint="eastAsia" w:hAnsi="宋体" w:cs="宋体"/>
          <w:b/>
          <w:bCs w:val="0"/>
          <w:color w:val="auto"/>
          <w:sz w:val="21"/>
          <w:szCs w:val="21"/>
          <w:highlight w:val="none"/>
        </w:rPr>
        <w:t>”情况时，应详细填写</w:t>
      </w:r>
      <w:r>
        <w:rPr>
          <w:rFonts w:hint="eastAsia" w:hAnsi="宋体"/>
          <w:b/>
          <w:bCs w:val="0"/>
          <w:color w:val="auto"/>
          <w:sz w:val="21"/>
          <w:szCs w:val="21"/>
          <w:highlight w:val="none"/>
        </w:rPr>
        <w:t>偏离</w:t>
      </w:r>
      <w:r>
        <w:rPr>
          <w:rFonts w:hint="eastAsia" w:hAnsi="宋体" w:cs="宋体"/>
          <w:b/>
          <w:bCs w:val="0"/>
          <w:color w:val="auto"/>
          <w:sz w:val="21"/>
          <w:szCs w:val="21"/>
          <w:highlight w:val="none"/>
        </w:rPr>
        <w:t>情况说明及提供相应有效的证明材料，否则，谈判小组有权不予认定“正</w:t>
      </w:r>
      <w:r>
        <w:rPr>
          <w:rFonts w:hint="eastAsia" w:hAnsi="宋体"/>
          <w:b/>
          <w:bCs w:val="0"/>
          <w:color w:val="auto"/>
          <w:sz w:val="21"/>
          <w:szCs w:val="21"/>
          <w:highlight w:val="none"/>
        </w:rPr>
        <w:t>偏离</w:t>
      </w:r>
      <w:r>
        <w:rPr>
          <w:rFonts w:hint="eastAsia" w:hAnsi="宋体" w:cs="宋体"/>
          <w:b/>
          <w:bCs w:val="0"/>
          <w:color w:val="auto"/>
          <w:sz w:val="21"/>
          <w:szCs w:val="21"/>
          <w:highlight w:val="none"/>
        </w:rPr>
        <w:t xml:space="preserve">”情况。  </w:t>
      </w:r>
    </w:p>
    <w:p w14:paraId="0FB37C4F">
      <w:pPr>
        <w:pStyle w:val="21"/>
        <w:spacing w:line="480" w:lineRule="exact"/>
        <w:ind w:firstLine="422"/>
        <w:rPr>
          <w:rFonts w:hint="eastAsia" w:hAnsi="宋体" w:cs="宋体"/>
          <w:b/>
          <w:bCs w:val="0"/>
          <w:color w:val="auto"/>
          <w:sz w:val="21"/>
          <w:szCs w:val="21"/>
          <w:highlight w:val="none"/>
        </w:rPr>
      </w:pPr>
      <w:r>
        <w:rPr>
          <w:rFonts w:hint="eastAsia" w:hAnsi="宋体" w:cs="宋体"/>
          <w:b/>
          <w:bCs w:val="0"/>
          <w:color w:val="auto"/>
          <w:sz w:val="21"/>
          <w:szCs w:val="21"/>
          <w:highlight w:val="none"/>
          <w:lang w:val="en-US" w:eastAsia="zh-CN"/>
        </w:rPr>
        <w:t>3</w:t>
      </w:r>
      <w:r>
        <w:rPr>
          <w:rFonts w:hint="eastAsia" w:hAnsi="宋体" w:cs="宋体"/>
          <w:b/>
          <w:bCs w:val="0"/>
          <w:color w:val="auto"/>
          <w:sz w:val="21"/>
          <w:szCs w:val="21"/>
          <w:highlight w:val="none"/>
        </w:rPr>
        <w:t>.技术规格偏离表须加盖供应商CA签章（自然人签字或加盖个人CA签章）。当本表由多页构成时，需逐页加盖供应商CA签章（属自然人的须逐页签字或加盖个人CA签章）。</w:t>
      </w:r>
    </w:p>
    <w:p w14:paraId="1767AB1A">
      <w:pPr>
        <w:spacing w:line="360" w:lineRule="auto"/>
        <w:rPr>
          <w:rFonts w:hint="eastAsia" w:hAnsi="宋体" w:cs="宋体"/>
          <w:color w:val="auto"/>
          <w:highlight w:val="none"/>
        </w:rPr>
      </w:pPr>
      <w:r>
        <w:rPr>
          <w:rFonts w:hint="eastAsia" w:hAnsi="宋体" w:cs="宋体"/>
          <w:color w:val="auto"/>
          <w:highlight w:val="none"/>
        </w:rPr>
        <w:t xml:space="preserve">  </w:t>
      </w:r>
    </w:p>
    <w:p w14:paraId="0404DD62">
      <w:pPr>
        <w:spacing w:line="360" w:lineRule="auto"/>
        <w:rPr>
          <w:rFonts w:hint="eastAsia" w:hAnsi="宋体" w:cs="宋体"/>
          <w:color w:val="auto"/>
          <w:highlight w:val="none"/>
        </w:rPr>
      </w:pPr>
    </w:p>
    <w:p w14:paraId="44185642">
      <w:pPr>
        <w:spacing w:line="360" w:lineRule="auto"/>
        <w:rPr>
          <w:rFonts w:hint="default" w:hAnsi="宋体" w:cs="宋体"/>
          <w:color w:val="auto"/>
          <w:highlight w:val="none"/>
          <w:lang w:val="en-US" w:eastAsia="zh-CN"/>
        </w:rPr>
      </w:pPr>
    </w:p>
    <w:p w14:paraId="3AC027D8">
      <w:pPr>
        <w:rPr>
          <w:color w:val="auto"/>
          <w:highlight w:val="none"/>
        </w:rPr>
      </w:pPr>
    </w:p>
    <w:p w14:paraId="21FC3FD7">
      <w:pPr>
        <w:pStyle w:val="21"/>
        <w:numPr>
          <w:ilvl w:val="0"/>
          <w:numId w:val="8"/>
        </w:numPr>
        <w:spacing w:line="340" w:lineRule="exact"/>
        <w:rPr>
          <w:rFonts w:hint="eastAsia"/>
          <w:b/>
          <w:color w:val="auto"/>
          <w:sz w:val="28"/>
          <w:szCs w:val="28"/>
          <w:highlight w:val="none"/>
        </w:rPr>
      </w:pPr>
      <w:r>
        <w:rPr>
          <w:rFonts w:hint="eastAsia"/>
          <w:b/>
          <w:color w:val="auto"/>
          <w:sz w:val="28"/>
          <w:szCs w:val="28"/>
          <w:highlight w:val="none"/>
        </w:rPr>
        <w:t>商务响应表（必须提供）；</w:t>
      </w:r>
    </w:p>
    <w:p w14:paraId="4A38D410">
      <w:pPr>
        <w:pStyle w:val="12"/>
        <w:rPr>
          <w:rFonts w:hint="eastAsia"/>
          <w:color w:val="auto"/>
          <w:highlight w:val="none"/>
        </w:rPr>
      </w:pPr>
    </w:p>
    <w:p w14:paraId="70079933">
      <w:pPr>
        <w:pStyle w:val="21"/>
        <w:spacing w:line="300" w:lineRule="exact"/>
        <w:ind w:left="420"/>
        <w:jc w:val="left"/>
        <w:rPr>
          <w:rFonts w:ascii="Times New Roman" w:hAnsi="Times New Roman"/>
          <w:b/>
          <w:color w:val="auto"/>
          <w:sz w:val="32"/>
          <w:szCs w:val="32"/>
          <w:highlight w:val="none"/>
        </w:rPr>
      </w:pPr>
      <w:r>
        <w:rPr>
          <w:rFonts w:ascii="Times New Roman" w:hAnsi="Times New Roman"/>
          <w:b/>
          <w:color w:val="auto"/>
          <w:sz w:val="32"/>
          <w:szCs w:val="32"/>
          <w:highlight w:val="none"/>
        </w:rPr>
        <w:t>附件：</w:t>
      </w:r>
    </w:p>
    <w:p w14:paraId="2CED5416">
      <w:pPr>
        <w:pStyle w:val="21"/>
        <w:jc w:val="center"/>
        <w:rPr>
          <w:rFonts w:ascii="Times New Roman" w:hAnsi="Times New Roman"/>
          <w:b/>
          <w:color w:val="auto"/>
          <w:sz w:val="32"/>
          <w:highlight w:val="none"/>
        </w:rPr>
      </w:pPr>
      <w:r>
        <w:rPr>
          <w:rFonts w:hint="eastAsia" w:ascii="Times New Roman" w:hAnsi="Times New Roman"/>
          <w:b/>
          <w:color w:val="auto"/>
          <w:sz w:val="32"/>
          <w:szCs w:val="32"/>
          <w:highlight w:val="none"/>
        </w:rPr>
        <w:t>商务</w:t>
      </w:r>
      <w:r>
        <w:rPr>
          <w:rFonts w:ascii="Times New Roman" w:hAnsi="Times New Roman"/>
          <w:b/>
          <w:color w:val="auto"/>
          <w:sz w:val="32"/>
          <w:szCs w:val="32"/>
          <w:highlight w:val="none"/>
        </w:rPr>
        <w:t>响应表（格式</w:t>
      </w:r>
      <w:r>
        <w:rPr>
          <w:rFonts w:ascii="Times New Roman" w:hAnsi="Times New Roman"/>
          <w:b/>
          <w:color w:val="auto"/>
          <w:sz w:val="32"/>
          <w:highlight w:val="none"/>
        </w:rPr>
        <w:t>）</w:t>
      </w:r>
    </w:p>
    <w:p w14:paraId="350EC1EC">
      <w:pPr>
        <w:pStyle w:val="18"/>
        <w:ind w:firstLine="241"/>
        <w:rPr>
          <w:rFonts w:hint="eastAsia" w:ascii="宋体" w:hAnsi="宋体" w:cs="宋体"/>
          <w:b/>
          <w:bCs/>
          <w:color w:val="auto"/>
          <w:sz w:val="24"/>
          <w:szCs w:val="21"/>
          <w:highlight w:val="none"/>
          <w:lang w:eastAsia="zh-CN"/>
        </w:rPr>
      </w:pPr>
      <w:r>
        <w:rPr>
          <w:rFonts w:hint="eastAsia" w:ascii="宋体" w:hAnsi="宋体" w:cs="宋体"/>
          <w:b/>
          <w:bCs/>
          <w:color w:val="auto"/>
          <w:sz w:val="24"/>
          <w:szCs w:val="21"/>
          <w:highlight w:val="none"/>
          <w:lang w:eastAsia="zh-CN"/>
        </w:rPr>
        <w:t>项目编号：</w:t>
      </w:r>
    </w:p>
    <w:p w14:paraId="09B0E40B">
      <w:pPr>
        <w:pStyle w:val="18"/>
        <w:ind w:firstLine="241"/>
        <w:rPr>
          <w:rFonts w:hint="eastAsia" w:ascii="宋体" w:hAnsi="宋体" w:cs="宋体"/>
          <w:b/>
          <w:bCs/>
          <w:color w:val="auto"/>
          <w:sz w:val="24"/>
          <w:szCs w:val="21"/>
          <w:highlight w:val="none"/>
          <w:lang w:eastAsia="zh-CN"/>
        </w:rPr>
      </w:pPr>
      <w:r>
        <w:rPr>
          <w:rFonts w:hint="eastAsia" w:ascii="宋体" w:hAnsi="宋体" w:cs="宋体"/>
          <w:b/>
          <w:bCs/>
          <w:color w:val="auto"/>
          <w:sz w:val="24"/>
          <w:szCs w:val="21"/>
          <w:highlight w:val="none"/>
          <w:lang w:eastAsia="zh-CN"/>
        </w:rPr>
        <w:t>项目名称：</w:t>
      </w:r>
    </w:p>
    <w:p w14:paraId="534057E0">
      <w:pPr>
        <w:rPr>
          <w:rFonts w:hint="eastAsia"/>
          <w:color w:val="auto"/>
          <w:highlight w:val="none"/>
          <w:lang w:eastAsia="zh-CN"/>
        </w:rPr>
      </w:pPr>
    </w:p>
    <w:tbl>
      <w:tblPr>
        <w:tblStyle w:val="42"/>
        <w:tblW w:w="0" w:type="auto"/>
        <w:tblInd w:w="41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63"/>
        <w:gridCol w:w="3062"/>
        <w:gridCol w:w="2675"/>
        <w:gridCol w:w="2435"/>
      </w:tblGrid>
      <w:tr w14:paraId="4F4053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6"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14:paraId="4F62F2FC">
            <w:pPr>
              <w:spacing w:before="156"/>
              <w:jc w:val="center"/>
              <w:rPr>
                <w:rFonts w:ascii="宋体" w:hAnsi="宋体" w:cs="宋体"/>
                <w:b/>
                <w:bCs/>
                <w:color w:val="auto"/>
                <w:szCs w:val="21"/>
                <w:highlight w:val="none"/>
              </w:rPr>
            </w:pPr>
            <w:r>
              <w:rPr>
                <w:rFonts w:hint="eastAsia" w:ascii="宋体" w:hAnsi="宋体" w:cs="宋体"/>
                <w:b/>
                <w:bCs/>
                <w:color w:val="auto"/>
                <w:szCs w:val="21"/>
                <w:highlight w:val="none"/>
              </w:rPr>
              <w:t>项号</w:t>
            </w:r>
          </w:p>
        </w:tc>
        <w:tc>
          <w:tcPr>
            <w:tcW w:w="3062" w:type="dxa"/>
            <w:tcBorders>
              <w:top w:val="single" w:color="auto" w:sz="4" w:space="0"/>
              <w:left w:val="single" w:color="auto" w:sz="4" w:space="0"/>
              <w:bottom w:val="single" w:color="auto" w:sz="4" w:space="0"/>
              <w:right w:val="single" w:color="auto" w:sz="4" w:space="0"/>
            </w:tcBorders>
            <w:noWrap w:val="0"/>
            <w:vAlign w:val="center"/>
          </w:tcPr>
          <w:p w14:paraId="223EA0FB">
            <w:pPr>
              <w:pStyle w:val="21"/>
              <w:spacing w:line="600" w:lineRule="exact"/>
              <w:jc w:val="center"/>
              <w:rPr>
                <w:rFonts w:hAnsi="宋体" w:cs="宋体"/>
                <w:b/>
                <w:bCs/>
                <w:color w:val="auto"/>
                <w:sz w:val="21"/>
                <w:szCs w:val="21"/>
                <w:highlight w:val="none"/>
              </w:rPr>
            </w:pPr>
            <w:r>
              <w:rPr>
                <w:rFonts w:hint="eastAsia" w:ascii="Times New Roman" w:hAnsi="Times New Roman"/>
                <w:b/>
                <w:bCs/>
                <w:color w:val="auto"/>
                <w:sz w:val="21"/>
                <w:szCs w:val="21"/>
                <w:highlight w:val="none"/>
              </w:rPr>
              <w:t>竞争性</w:t>
            </w:r>
            <w:r>
              <w:rPr>
                <w:rFonts w:ascii="Times New Roman" w:hAnsi="Times New Roman"/>
                <w:b/>
                <w:bCs/>
                <w:color w:val="auto"/>
                <w:sz w:val="21"/>
                <w:szCs w:val="21"/>
                <w:highlight w:val="none"/>
              </w:rPr>
              <w:t>谈判文件</w:t>
            </w:r>
            <w:r>
              <w:rPr>
                <w:rFonts w:hint="eastAsia" w:ascii="Times New Roman" w:hAnsi="Times New Roman"/>
                <w:b/>
                <w:bCs/>
                <w:color w:val="auto"/>
                <w:sz w:val="21"/>
                <w:szCs w:val="21"/>
                <w:highlight w:val="none"/>
              </w:rPr>
              <w:t>的商务</w:t>
            </w:r>
            <w:r>
              <w:rPr>
                <w:rFonts w:hint="eastAsia" w:ascii="Times New Roman" w:hAnsi="Times New Roman"/>
                <w:b/>
                <w:bCs/>
                <w:color w:val="auto"/>
                <w:sz w:val="21"/>
                <w:szCs w:val="21"/>
                <w:highlight w:val="none"/>
                <w:lang w:eastAsia="zh-CN"/>
              </w:rPr>
              <w:t>要求</w:t>
            </w:r>
          </w:p>
        </w:tc>
        <w:tc>
          <w:tcPr>
            <w:tcW w:w="2675" w:type="dxa"/>
            <w:tcBorders>
              <w:top w:val="single" w:color="auto" w:sz="4" w:space="0"/>
              <w:left w:val="single" w:color="auto" w:sz="4" w:space="0"/>
              <w:bottom w:val="single" w:color="auto" w:sz="4" w:space="0"/>
              <w:right w:val="single" w:color="auto" w:sz="4" w:space="0"/>
            </w:tcBorders>
            <w:noWrap w:val="0"/>
            <w:vAlign w:val="center"/>
          </w:tcPr>
          <w:p w14:paraId="41C16CC7">
            <w:pPr>
              <w:pStyle w:val="21"/>
              <w:spacing w:line="600" w:lineRule="exact"/>
              <w:jc w:val="center"/>
              <w:rPr>
                <w:rFonts w:hint="eastAsia" w:hAnsi="宋体" w:eastAsia="宋体" w:cs="宋体"/>
                <w:b/>
                <w:bCs/>
                <w:color w:val="auto"/>
                <w:sz w:val="21"/>
                <w:szCs w:val="21"/>
                <w:highlight w:val="none"/>
                <w:lang w:eastAsia="zh-CN"/>
              </w:rPr>
            </w:pPr>
            <w:r>
              <w:rPr>
                <w:rFonts w:hint="eastAsia" w:ascii="Times New Roman" w:hAnsi="Times New Roman"/>
                <w:b/>
                <w:bCs/>
                <w:color w:val="auto"/>
                <w:sz w:val="21"/>
                <w:szCs w:val="21"/>
                <w:highlight w:val="none"/>
              </w:rPr>
              <w:t>响应文件承诺的商务</w:t>
            </w:r>
            <w:r>
              <w:rPr>
                <w:rFonts w:hint="eastAsia" w:ascii="Times New Roman" w:hAnsi="Times New Roman"/>
                <w:b/>
                <w:bCs/>
                <w:color w:val="auto"/>
                <w:sz w:val="21"/>
                <w:szCs w:val="21"/>
                <w:highlight w:val="none"/>
                <w:lang w:eastAsia="zh-CN"/>
              </w:rPr>
              <w:t>要求</w:t>
            </w:r>
          </w:p>
        </w:tc>
        <w:tc>
          <w:tcPr>
            <w:tcW w:w="2435" w:type="dxa"/>
            <w:tcBorders>
              <w:top w:val="single" w:color="auto" w:sz="4" w:space="0"/>
              <w:left w:val="single" w:color="auto" w:sz="4" w:space="0"/>
              <w:bottom w:val="single" w:color="auto" w:sz="4" w:space="0"/>
              <w:right w:val="single" w:color="auto" w:sz="4" w:space="0"/>
            </w:tcBorders>
            <w:noWrap w:val="0"/>
            <w:vAlign w:val="center"/>
          </w:tcPr>
          <w:p w14:paraId="6FC372E7">
            <w:pPr>
              <w:pStyle w:val="21"/>
              <w:spacing w:line="600" w:lineRule="exact"/>
              <w:jc w:val="center"/>
              <w:rPr>
                <w:rFonts w:hAnsi="宋体" w:cs="宋体"/>
                <w:b/>
                <w:bCs/>
                <w:color w:val="auto"/>
                <w:sz w:val="21"/>
                <w:szCs w:val="21"/>
                <w:highlight w:val="none"/>
              </w:rPr>
            </w:pPr>
            <w:r>
              <w:rPr>
                <w:rFonts w:hint="eastAsia" w:hAnsi="宋体"/>
                <w:b/>
                <w:bCs/>
                <w:color w:val="auto"/>
                <w:sz w:val="21"/>
                <w:szCs w:val="21"/>
                <w:highlight w:val="none"/>
              </w:rPr>
              <w:t>偏离</w:t>
            </w:r>
            <w:r>
              <w:rPr>
                <w:rFonts w:hint="eastAsia" w:hAnsi="宋体" w:cs="宋体"/>
                <w:b/>
                <w:bCs/>
                <w:color w:val="auto"/>
                <w:sz w:val="21"/>
                <w:szCs w:val="21"/>
                <w:highlight w:val="none"/>
              </w:rPr>
              <w:t>情况</w:t>
            </w:r>
            <w:r>
              <w:rPr>
                <w:rFonts w:hint="eastAsia" w:ascii="Times New Roman" w:hAnsi="Times New Roman"/>
                <w:b/>
                <w:bCs/>
                <w:color w:val="auto"/>
                <w:sz w:val="21"/>
                <w:szCs w:val="21"/>
                <w:highlight w:val="none"/>
              </w:rPr>
              <w:t>说明</w:t>
            </w:r>
          </w:p>
        </w:tc>
      </w:tr>
      <w:tr w14:paraId="1D1D05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14:paraId="67BA6F5A">
            <w:pPr>
              <w:spacing w:before="156"/>
              <w:jc w:val="center"/>
              <w:rPr>
                <w:rFonts w:ascii="宋体" w:hAnsi="宋体" w:cs="宋体"/>
                <w:color w:val="auto"/>
                <w:szCs w:val="21"/>
                <w:highlight w:val="none"/>
              </w:rPr>
            </w:pPr>
          </w:p>
        </w:tc>
        <w:tc>
          <w:tcPr>
            <w:tcW w:w="3062" w:type="dxa"/>
            <w:tcBorders>
              <w:top w:val="single" w:color="auto" w:sz="4" w:space="0"/>
              <w:left w:val="single" w:color="auto" w:sz="4" w:space="0"/>
              <w:bottom w:val="single" w:color="auto" w:sz="4" w:space="0"/>
              <w:right w:val="single" w:color="auto" w:sz="4" w:space="0"/>
            </w:tcBorders>
            <w:noWrap w:val="0"/>
            <w:vAlign w:val="center"/>
          </w:tcPr>
          <w:p w14:paraId="02588B8A">
            <w:pPr>
              <w:spacing w:before="156"/>
              <w:jc w:val="center"/>
              <w:rPr>
                <w:rFonts w:ascii="宋体" w:hAnsi="宋体" w:cs="宋体"/>
                <w:color w:val="auto"/>
                <w:szCs w:val="21"/>
                <w:highlight w:val="none"/>
              </w:rPr>
            </w:pPr>
          </w:p>
        </w:tc>
        <w:tc>
          <w:tcPr>
            <w:tcW w:w="2675" w:type="dxa"/>
            <w:tcBorders>
              <w:top w:val="single" w:color="auto" w:sz="4" w:space="0"/>
              <w:left w:val="single" w:color="auto" w:sz="4" w:space="0"/>
              <w:bottom w:val="single" w:color="auto" w:sz="4" w:space="0"/>
              <w:right w:val="single" w:color="auto" w:sz="4" w:space="0"/>
            </w:tcBorders>
            <w:noWrap w:val="0"/>
            <w:vAlign w:val="center"/>
          </w:tcPr>
          <w:p w14:paraId="5F4059FA">
            <w:pPr>
              <w:spacing w:before="156"/>
              <w:jc w:val="center"/>
              <w:rPr>
                <w:rFonts w:ascii="宋体" w:hAnsi="宋体" w:cs="宋体"/>
                <w:color w:val="auto"/>
                <w:szCs w:val="21"/>
                <w:highlight w:val="none"/>
              </w:rPr>
            </w:pPr>
          </w:p>
        </w:tc>
        <w:tc>
          <w:tcPr>
            <w:tcW w:w="2435" w:type="dxa"/>
            <w:tcBorders>
              <w:top w:val="single" w:color="auto" w:sz="4" w:space="0"/>
              <w:left w:val="single" w:color="auto" w:sz="4" w:space="0"/>
              <w:bottom w:val="single" w:color="auto" w:sz="4" w:space="0"/>
              <w:right w:val="single" w:color="auto" w:sz="4" w:space="0"/>
            </w:tcBorders>
            <w:noWrap w:val="0"/>
            <w:vAlign w:val="center"/>
          </w:tcPr>
          <w:p w14:paraId="73E55CE6">
            <w:pPr>
              <w:spacing w:before="156"/>
              <w:jc w:val="center"/>
              <w:rPr>
                <w:rFonts w:ascii="宋体" w:hAnsi="宋体" w:cs="宋体"/>
                <w:color w:val="auto"/>
                <w:szCs w:val="21"/>
                <w:highlight w:val="none"/>
              </w:rPr>
            </w:pPr>
          </w:p>
        </w:tc>
      </w:tr>
      <w:tr w14:paraId="524E2C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14:paraId="595A458D">
            <w:pPr>
              <w:spacing w:before="156"/>
              <w:jc w:val="center"/>
              <w:rPr>
                <w:rFonts w:ascii="宋体" w:hAnsi="宋体" w:cs="宋体"/>
                <w:color w:val="auto"/>
                <w:szCs w:val="21"/>
                <w:highlight w:val="none"/>
              </w:rPr>
            </w:pPr>
          </w:p>
        </w:tc>
        <w:tc>
          <w:tcPr>
            <w:tcW w:w="3062" w:type="dxa"/>
            <w:tcBorders>
              <w:top w:val="single" w:color="auto" w:sz="4" w:space="0"/>
              <w:left w:val="single" w:color="auto" w:sz="4" w:space="0"/>
              <w:bottom w:val="single" w:color="auto" w:sz="4" w:space="0"/>
              <w:right w:val="single" w:color="auto" w:sz="4" w:space="0"/>
            </w:tcBorders>
            <w:noWrap w:val="0"/>
            <w:vAlign w:val="center"/>
          </w:tcPr>
          <w:p w14:paraId="330FCE9D">
            <w:pPr>
              <w:spacing w:before="156"/>
              <w:jc w:val="center"/>
              <w:rPr>
                <w:rFonts w:ascii="宋体" w:hAnsi="宋体" w:cs="宋体"/>
                <w:color w:val="auto"/>
                <w:szCs w:val="21"/>
                <w:highlight w:val="none"/>
              </w:rPr>
            </w:pPr>
          </w:p>
        </w:tc>
        <w:tc>
          <w:tcPr>
            <w:tcW w:w="2675" w:type="dxa"/>
            <w:tcBorders>
              <w:top w:val="single" w:color="auto" w:sz="4" w:space="0"/>
              <w:left w:val="single" w:color="auto" w:sz="4" w:space="0"/>
              <w:bottom w:val="single" w:color="auto" w:sz="4" w:space="0"/>
              <w:right w:val="single" w:color="auto" w:sz="4" w:space="0"/>
            </w:tcBorders>
            <w:noWrap w:val="0"/>
            <w:vAlign w:val="center"/>
          </w:tcPr>
          <w:p w14:paraId="3C3F0590">
            <w:pPr>
              <w:spacing w:before="156"/>
              <w:jc w:val="center"/>
              <w:rPr>
                <w:rFonts w:ascii="宋体" w:hAnsi="宋体" w:cs="宋体"/>
                <w:color w:val="auto"/>
                <w:szCs w:val="21"/>
                <w:highlight w:val="none"/>
              </w:rPr>
            </w:pPr>
          </w:p>
        </w:tc>
        <w:tc>
          <w:tcPr>
            <w:tcW w:w="2435" w:type="dxa"/>
            <w:tcBorders>
              <w:top w:val="single" w:color="auto" w:sz="4" w:space="0"/>
              <w:left w:val="single" w:color="auto" w:sz="4" w:space="0"/>
              <w:bottom w:val="single" w:color="auto" w:sz="4" w:space="0"/>
              <w:right w:val="single" w:color="auto" w:sz="4" w:space="0"/>
            </w:tcBorders>
            <w:noWrap w:val="0"/>
            <w:vAlign w:val="center"/>
          </w:tcPr>
          <w:p w14:paraId="3C428B69">
            <w:pPr>
              <w:spacing w:before="156"/>
              <w:jc w:val="center"/>
              <w:rPr>
                <w:rFonts w:ascii="宋体" w:hAnsi="宋体" w:cs="宋体"/>
                <w:color w:val="auto"/>
                <w:szCs w:val="21"/>
                <w:highlight w:val="none"/>
              </w:rPr>
            </w:pPr>
          </w:p>
        </w:tc>
      </w:tr>
      <w:tr w14:paraId="6ED9A3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1"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14:paraId="3AEB2730">
            <w:pPr>
              <w:spacing w:before="156"/>
              <w:jc w:val="center"/>
              <w:rPr>
                <w:rFonts w:ascii="宋体" w:hAnsi="宋体" w:cs="宋体"/>
                <w:color w:val="auto"/>
                <w:szCs w:val="21"/>
                <w:highlight w:val="none"/>
              </w:rPr>
            </w:pPr>
          </w:p>
        </w:tc>
        <w:tc>
          <w:tcPr>
            <w:tcW w:w="3062" w:type="dxa"/>
            <w:tcBorders>
              <w:top w:val="single" w:color="auto" w:sz="4" w:space="0"/>
              <w:left w:val="single" w:color="auto" w:sz="4" w:space="0"/>
              <w:bottom w:val="single" w:color="auto" w:sz="4" w:space="0"/>
              <w:right w:val="single" w:color="auto" w:sz="4" w:space="0"/>
            </w:tcBorders>
            <w:noWrap w:val="0"/>
            <w:vAlign w:val="center"/>
          </w:tcPr>
          <w:p w14:paraId="1C4E3724">
            <w:pPr>
              <w:spacing w:before="156"/>
              <w:jc w:val="center"/>
              <w:rPr>
                <w:rFonts w:ascii="宋体" w:hAnsi="宋体" w:cs="宋体"/>
                <w:color w:val="auto"/>
                <w:szCs w:val="21"/>
                <w:highlight w:val="none"/>
              </w:rPr>
            </w:pPr>
          </w:p>
        </w:tc>
        <w:tc>
          <w:tcPr>
            <w:tcW w:w="2675" w:type="dxa"/>
            <w:tcBorders>
              <w:top w:val="single" w:color="auto" w:sz="4" w:space="0"/>
              <w:left w:val="single" w:color="auto" w:sz="4" w:space="0"/>
              <w:bottom w:val="single" w:color="auto" w:sz="4" w:space="0"/>
              <w:right w:val="single" w:color="auto" w:sz="4" w:space="0"/>
            </w:tcBorders>
            <w:noWrap w:val="0"/>
            <w:vAlign w:val="center"/>
          </w:tcPr>
          <w:p w14:paraId="60608043">
            <w:pPr>
              <w:spacing w:before="156"/>
              <w:ind w:left="43"/>
              <w:jc w:val="center"/>
              <w:rPr>
                <w:rFonts w:ascii="宋体" w:hAnsi="宋体" w:cs="宋体"/>
                <w:color w:val="auto"/>
                <w:szCs w:val="21"/>
                <w:highlight w:val="none"/>
              </w:rPr>
            </w:pPr>
          </w:p>
        </w:tc>
        <w:tc>
          <w:tcPr>
            <w:tcW w:w="2435" w:type="dxa"/>
            <w:tcBorders>
              <w:top w:val="single" w:color="auto" w:sz="4" w:space="0"/>
              <w:left w:val="single" w:color="auto" w:sz="4" w:space="0"/>
              <w:bottom w:val="single" w:color="auto" w:sz="4" w:space="0"/>
              <w:right w:val="single" w:color="auto" w:sz="4" w:space="0"/>
            </w:tcBorders>
            <w:noWrap w:val="0"/>
            <w:vAlign w:val="center"/>
          </w:tcPr>
          <w:p w14:paraId="2CA3A3E1">
            <w:pPr>
              <w:spacing w:before="156"/>
              <w:ind w:left="43"/>
              <w:jc w:val="center"/>
              <w:rPr>
                <w:rFonts w:ascii="宋体" w:hAnsi="宋体" w:cs="宋体"/>
                <w:color w:val="auto"/>
                <w:szCs w:val="21"/>
                <w:highlight w:val="none"/>
              </w:rPr>
            </w:pPr>
          </w:p>
        </w:tc>
      </w:tr>
      <w:tr w14:paraId="7D8CF0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14:paraId="47C6385A">
            <w:pPr>
              <w:spacing w:before="156"/>
              <w:jc w:val="center"/>
              <w:rPr>
                <w:rFonts w:ascii="宋体" w:hAnsi="宋体" w:cs="宋体"/>
                <w:color w:val="auto"/>
                <w:szCs w:val="21"/>
                <w:highlight w:val="none"/>
              </w:rPr>
            </w:pPr>
          </w:p>
        </w:tc>
        <w:tc>
          <w:tcPr>
            <w:tcW w:w="3062" w:type="dxa"/>
            <w:tcBorders>
              <w:top w:val="single" w:color="auto" w:sz="4" w:space="0"/>
              <w:left w:val="single" w:color="auto" w:sz="4" w:space="0"/>
              <w:bottom w:val="single" w:color="auto" w:sz="4" w:space="0"/>
              <w:right w:val="single" w:color="auto" w:sz="4" w:space="0"/>
            </w:tcBorders>
            <w:noWrap w:val="0"/>
            <w:vAlign w:val="center"/>
          </w:tcPr>
          <w:p w14:paraId="53CED186">
            <w:pPr>
              <w:spacing w:before="156"/>
              <w:jc w:val="center"/>
              <w:rPr>
                <w:rFonts w:ascii="宋体" w:hAnsi="宋体" w:cs="宋体"/>
                <w:color w:val="auto"/>
                <w:szCs w:val="21"/>
                <w:highlight w:val="none"/>
              </w:rPr>
            </w:pPr>
          </w:p>
        </w:tc>
        <w:tc>
          <w:tcPr>
            <w:tcW w:w="2675" w:type="dxa"/>
            <w:tcBorders>
              <w:top w:val="single" w:color="auto" w:sz="4" w:space="0"/>
              <w:left w:val="single" w:color="auto" w:sz="4" w:space="0"/>
              <w:bottom w:val="single" w:color="auto" w:sz="4" w:space="0"/>
              <w:right w:val="single" w:color="auto" w:sz="4" w:space="0"/>
            </w:tcBorders>
            <w:noWrap w:val="0"/>
            <w:vAlign w:val="center"/>
          </w:tcPr>
          <w:p w14:paraId="7A5CB207">
            <w:pPr>
              <w:spacing w:before="156"/>
              <w:jc w:val="center"/>
              <w:rPr>
                <w:rFonts w:ascii="宋体" w:hAnsi="宋体" w:cs="宋体"/>
                <w:color w:val="auto"/>
                <w:szCs w:val="21"/>
                <w:highlight w:val="none"/>
              </w:rPr>
            </w:pPr>
          </w:p>
        </w:tc>
        <w:tc>
          <w:tcPr>
            <w:tcW w:w="2435" w:type="dxa"/>
            <w:tcBorders>
              <w:top w:val="single" w:color="auto" w:sz="4" w:space="0"/>
              <w:left w:val="single" w:color="auto" w:sz="4" w:space="0"/>
              <w:bottom w:val="single" w:color="auto" w:sz="4" w:space="0"/>
              <w:right w:val="single" w:color="auto" w:sz="4" w:space="0"/>
            </w:tcBorders>
            <w:noWrap w:val="0"/>
            <w:vAlign w:val="center"/>
          </w:tcPr>
          <w:p w14:paraId="4C0009BE">
            <w:pPr>
              <w:spacing w:before="156"/>
              <w:jc w:val="center"/>
              <w:rPr>
                <w:rFonts w:ascii="宋体" w:hAnsi="宋体" w:cs="宋体"/>
                <w:color w:val="auto"/>
                <w:szCs w:val="21"/>
                <w:highlight w:val="none"/>
              </w:rPr>
            </w:pPr>
          </w:p>
        </w:tc>
      </w:tr>
      <w:tr w14:paraId="1A98B6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63" w:type="dxa"/>
            <w:tcBorders>
              <w:top w:val="single" w:color="auto" w:sz="4" w:space="0"/>
              <w:left w:val="single" w:color="auto" w:sz="4" w:space="0"/>
              <w:bottom w:val="single" w:color="auto" w:sz="4" w:space="0"/>
              <w:right w:val="single" w:color="auto" w:sz="4" w:space="0"/>
            </w:tcBorders>
            <w:noWrap w:val="0"/>
            <w:vAlign w:val="center"/>
          </w:tcPr>
          <w:p w14:paraId="491F4D6B">
            <w:pPr>
              <w:spacing w:before="156"/>
              <w:jc w:val="center"/>
              <w:rPr>
                <w:rFonts w:ascii="宋体" w:hAnsi="宋体" w:cs="宋体"/>
                <w:color w:val="auto"/>
                <w:szCs w:val="21"/>
                <w:highlight w:val="none"/>
              </w:rPr>
            </w:pPr>
          </w:p>
        </w:tc>
        <w:tc>
          <w:tcPr>
            <w:tcW w:w="3062" w:type="dxa"/>
            <w:tcBorders>
              <w:top w:val="single" w:color="auto" w:sz="4" w:space="0"/>
              <w:left w:val="single" w:color="auto" w:sz="4" w:space="0"/>
              <w:bottom w:val="single" w:color="auto" w:sz="4" w:space="0"/>
              <w:right w:val="single" w:color="auto" w:sz="4" w:space="0"/>
            </w:tcBorders>
            <w:noWrap w:val="0"/>
            <w:vAlign w:val="center"/>
          </w:tcPr>
          <w:p w14:paraId="601D08EC">
            <w:pPr>
              <w:spacing w:before="156"/>
              <w:jc w:val="center"/>
              <w:rPr>
                <w:rFonts w:ascii="宋体" w:hAnsi="宋体" w:cs="宋体"/>
                <w:color w:val="auto"/>
                <w:szCs w:val="21"/>
                <w:highlight w:val="none"/>
              </w:rPr>
            </w:pPr>
          </w:p>
        </w:tc>
        <w:tc>
          <w:tcPr>
            <w:tcW w:w="2675" w:type="dxa"/>
            <w:tcBorders>
              <w:top w:val="single" w:color="auto" w:sz="4" w:space="0"/>
              <w:left w:val="single" w:color="auto" w:sz="4" w:space="0"/>
              <w:bottom w:val="single" w:color="auto" w:sz="4" w:space="0"/>
              <w:right w:val="single" w:color="auto" w:sz="4" w:space="0"/>
            </w:tcBorders>
            <w:noWrap w:val="0"/>
            <w:vAlign w:val="center"/>
          </w:tcPr>
          <w:p w14:paraId="5F9D962C">
            <w:pPr>
              <w:spacing w:before="156"/>
              <w:jc w:val="center"/>
              <w:rPr>
                <w:rFonts w:ascii="宋体" w:hAnsi="宋体" w:cs="宋体"/>
                <w:color w:val="auto"/>
                <w:szCs w:val="21"/>
                <w:highlight w:val="none"/>
              </w:rPr>
            </w:pPr>
          </w:p>
        </w:tc>
        <w:tc>
          <w:tcPr>
            <w:tcW w:w="2435" w:type="dxa"/>
            <w:tcBorders>
              <w:top w:val="single" w:color="auto" w:sz="4" w:space="0"/>
              <w:left w:val="single" w:color="auto" w:sz="4" w:space="0"/>
              <w:bottom w:val="single" w:color="auto" w:sz="4" w:space="0"/>
              <w:right w:val="single" w:color="auto" w:sz="4" w:space="0"/>
            </w:tcBorders>
            <w:noWrap w:val="0"/>
            <w:vAlign w:val="center"/>
          </w:tcPr>
          <w:p w14:paraId="14416688">
            <w:pPr>
              <w:spacing w:before="156"/>
              <w:jc w:val="center"/>
              <w:rPr>
                <w:rFonts w:ascii="宋体" w:hAnsi="宋体" w:cs="宋体"/>
                <w:color w:val="auto"/>
                <w:szCs w:val="21"/>
                <w:highlight w:val="none"/>
              </w:rPr>
            </w:pPr>
          </w:p>
        </w:tc>
      </w:tr>
      <w:tr w14:paraId="2A5301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63" w:type="dxa"/>
            <w:tcBorders>
              <w:top w:val="single" w:color="auto" w:sz="4" w:space="0"/>
              <w:left w:val="single" w:color="auto" w:sz="4" w:space="0"/>
              <w:bottom w:val="single" w:color="auto" w:sz="4" w:space="0"/>
              <w:right w:val="single" w:color="auto" w:sz="4" w:space="0"/>
            </w:tcBorders>
            <w:noWrap w:val="0"/>
            <w:vAlign w:val="center"/>
          </w:tcPr>
          <w:p w14:paraId="62076B00">
            <w:pPr>
              <w:spacing w:before="156"/>
              <w:jc w:val="center"/>
              <w:rPr>
                <w:rFonts w:ascii="宋体" w:hAnsi="宋体" w:cs="宋体"/>
                <w:color w:val="auto"/>
                <w:szCs w:val="21"/>
                <w:highlight w:val="none"/>
              </w:rPr>
            </w:pPr>
            <w:r>
              <w:rPr>
                <w:rFonts w:hint="eastAsia" w:ascii="宋体" w:hAnsi="宋体" w:cs="宋体"/>
                <w:color w:val="auto"/>
                <w:szCs w:val="21"/>
                <w:highlight w:val="none"/>
              </w:rPr>
              <w:t>……</w:t>
            </w:r>
          </w:p>
        </w:tc>
        <w:tc>
          <w:tcPr>
            <w:tcW w:w="3062" w:type="dxa"/>
            <w:tcBorders>
              <w:top w:val="single" w:color="auto" w:sz="4" w:space="0"/>
              <w:left w:val="single" w:color="auto" w:sz="4" w:space="0"/>
              <w:bottom w:val="single" w:color="auto" w:sz="4" w:space="0"/>
              <w:right w:val="single" w:color="auto" w:sz="4" w:space="0"/>
            </w:tcBorders>
            <w:noWrap w:val="0"/>
            <w:vAlign w:val="center"/>
          </w:tcPr>
          <w:p w14:paraId="516F6AA9">
            <w:pPr>
              <w:spacing w:before="156"/>
              <w:jc w:val="center"/>
              <w:rPr>
                <w:rFonts w:ascii="宋体" w:hAnsi="宋体" w:cs="宋体"/>
                <w:color w:val="auto"/>
                <w:szCs w:val="21"/>
                <w:highlight w:val="none"/>
              </w:rPr>
            </w:pPr>
          </w:p>
        </w:tc>
        <w:tc>
          <w:tcPr>
            <w:tcW w:w="2675" w:type="dxa"/>
            <w:tcBorders>
              <w:top w:val="single" w:color="auto" w:sz="4" w:space="0"/>
              <w:left w:val="single" w:color="auto" w:sz="4" w:space="0"/>
              <w:bottom w:val="single" w:color="auto" w:sz="4" w:space="0"/>
              <w:right w:val="single" w:color="auto" w:sz="4" w:space="0"/>
            </w:tcBorders>
            <w:noWrap w:val="0"/>
            <w:vAlign w:val="center"/>
          </w:tcPr>
          <w:p w14:paraId="464484D5">
            <w:pPr>
              <w:spacing w:before="156"/>
              <w:jc w:val="center"/>
              <w:rPr>
                <w:rFonts w:ascii="宋体" w:hAnsi="宋体" w:cs="宋体"/>
                <w:color w:val="auto"/>
                <w:szCs w:val="21"/>
                <w:highlight w:val="none"/>
              </w:rPr>
            </w:pPr>
          </w:p>
        </w:tc>
        <w:tc>
          <w:tcPr>
            <w:tcW w:w="2435" w:type="dxa"/>
            <w:tcBorders>
              <w:top w:val="single" w:color="auto" w:sz="4" w:space="0"/>
              <w:left w:val="single" w:color="auto" w:sz="4" w:space="0"/>
              <w:bottom w:val="single" w:color="auto" w:sz="4" w:space="0"/>
              <w:right w:val="single" w:color="auto" w:sz="4" w:space="0"/>
            </w:tcBorders>
            <w:noWrap w:val="0"/>
            <w:vAlign w:val="center"/>
          </w:tcPr>
          <w:p w14:paraId="77FBC54C">
            <w:pPr>
              <w:spacing w:before="156"/>
              <w:jc w:val="center"/>
              <w:rPr>
                <w:rFonts w:ascii="宋体" w:hAnsi="宋体" w:cs="宋体"/>
                <w:color w:val="auto"/>
                <w:szCs w:val="21"/>
                <w:highlight w:val="none"/>
              </w:rPr>
            </w:pPr>
          </w:p>
        </w:tc>
      </w:tr>
    </w:tbl>
    <w:p w14:paraId="3489F139">
      <w:pPr>
        <w:spacing w:before="50" w:after="50"/>
        <w:rPr>
          <w:rFonts w:ascii="宋体" w:hAnsi="宋体" w:cs="宋体"/>
          <w:color w:val="auto"/>
          <w:spacing w:val="20"/>
          <w:szCs w:val="21"/>
          <w:highlight w:val="none"/>
        </w:rPr>
      </w:pPr>
    </w:p>
    <w:p w14:paraId="30BA8D11">
      <w:pPr>
        <w:spacing w:line="300" w:lineRule="exact"/>
        <w:ind w:firstLine="3570"/>
        <w:rPr>
          <w:color w:val="auto"/>
          <w:szCs w:val="21"/>
          <w:highlight w:val="none"/>
        </w:rPr>
      </w:pPr>
    </w:p>
    <w:p w14:paraId="22A71515">
      <w:pPr>
        <w:spacing w:line="300" w:lineRule="exact"/>
        <w:ind w:firstLine="3570"/>
        <w:rPr>
          <w:color w:val="auto"/>
          <w:szCs w:val="21"/>
          <w:highlight w:val="none"/>
          <w:u w:val="single"/>
        </w:rPr>
      </w:pPr>
      <w:r>
        <w:rPr>
          <w:color w:val="auto"/>
          <w:szCs w:val="21"/>
          <w:highlight w:val="none"/>
        </w:rPr>
        <w:t>供应商（</w:t>
      </w:r>
      <w:r>
        <w:rPr>
          <w:rFonts w:hint="eastAsia" w:ascii="宋体" w:hAnsi="宋体" w:cs="宋体"/>
          <w:color w:val="auto"/>
          <w:szCs w:val="21"/>
          <w:highlight w:val="none"/>
        </w:rPr>
        <w:t>公章(CA签章)，自然人签字或个人CA签章</w:t>
      </w:r>
      <w:r>
        <w:rPr>
          <w:color w:val="auto"/>
          <w:szCs w:val="21"/>
          <w:highlight w:val="none"/>
        </w:rPr>
        <w:t>）：</w:t>
      </w:r>
      <w:r>
        <w:rPr>
          <w:color w:val="auto"/>
          <w:szCs w:val="21"/>
          <w:highlight w:val="none"/>
          <w:u w:val="single"/>
        </w:rPr>
        <w:t xml:space="preserve">                             </w:t>
      </w:r>
    </w:p>
    <w:p w14:paraId="4B2277CB">
      <w:pPr>
        <w:pStyle w:val="21"/>
        <w:spacing w:line="300" w:lineRule="exact"/>
        <w:rPr>
          <w:rFonts w:ascii="Times New Roman" w:hAnsi="Times New Roman"/>
          <w:b/>
          <w:color w:val="auto"/>
          <w:sz w:val="28"/>
          <w:szCs w:val="28"/>
          <w:highlight w:val="none"/>
        </w:rPr>
      </w:pPr>
    </w:p>
    <w:p w14:paraId="1FF79598">
      <w:pPr>
        <w:spacing w:line="300" w:lineRule="exact"/>
        <w:ind w:firstLine="3570"/>
        <w:rPr>
          <w:b/>
          <w:color w:val="auto"/>
          <w:sz w:val="28"/>
          <w:szCs w:val="28"/>
          <w:highlight w:val="none"/>
        </w:rPr>
      </w:pPr>
      <w:r>
        <w:rPr>
          <w:color w:val="auto"/>
          <w:highlight w:val="none"/>
        </w:rPr>
        <w:t>日          期：</w:t>
      </w:r>
      <w:r>
        <w:rPr>
          <w:color w:val="auto"/>
          <w:highlight w:val="none"/>
          <w:u w:val="single"/>
        </w:rPr>
        <w:t xml:space="preserve">                              </w:t>
      </w:r>
    </w:p>
    <w:p w14:paraId="09DF8559">
      <w:pPr>
        <w:spacing w:line="400" w:lineRule="exact"/>
        <w:ind w:left="982" w:hanging="562"/>
        <w:rPr>
          <w:rFonts w:hint="eastAsia" w:ascii="宋体" w:hAnsi="宋体" w:cs="宋体"/>
          <w:b/>
          <w:bCs/>
          <w:color w:val="auto"/>
          <w:sz w:val="28"/>
          <w:szCs w:val="28"/>
          <w:highlight w:val="none"/>
        </w:rPr>
      </w:pPr>
    </w:p>
    <w:p w14:paraId="0969BB02">
      <w:pPr>
        <w:spacing w:line="400" w:lineRule="exact"/>
        <w:ind w:left="820" w:hanging="400"/>
        <w:rPr>
          <w:rFonts w:hint="eastAsia" w:ascii="宋体" w:hAnsi="宋体" w:cs="宋体"/>
          <w:color w:val="auto"/>
          <w:sz w:val="20"/>
          <w:szCs w:val="20"/>
          <w:highlight w:val="none"/>
        </w:rPr>
      </w:pPr>
    </w:p>
    <w:p w14:paraId="26C30B24">
      <w:pPr>
        <w:spacing w:line="400" w:lineRule="exact"/>
        <w:ind w:left="842" w:hanging="422"/>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注：1.“商务响应表”各项内容必须如实填写。</w:t>
      </w:r>
    </w:p>
    <w:p w14:paraId="3D43EEA4">
      <w:pPr>
        <w:spacing w:line="400" w:lineRule="exact"/>
        <w:ind w:firstLine="843"/>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2.当本表由多页构成时，需逐页加盖</w:t>
      </w:r>
      <w:r>
        <w:rPr>
          <w:rFonts w:hint="eastAsia" w:ascii="宋体" w:hAnsi="宋体" w:cs="宋体"/>
          <w:b/>
          <w:bCs/>
          <w:color w:val="auto"/>
          <w:sz w:val="21"/>
          <w:szCs w:val="21"/>
          <w:highlight w:val="none"/>
          <w:lang w:eastAsia="zh-CN"/>
        </w:rPr>
        <w:t>供应商</w:t>
      </w:r>
      <w:r>
        <w:rPr>
          <w:rFonts w:hint="eastAsia" w:ascii="宋体" w:hAnsi="宋体" w:cs="宋体"/>
          <w:b/>
          <w:bCs/>
          <w:color w:val="auto"/>
          <w:sz w:val="21"/>
          <w:szCs w:val="21"/>
          <w:highlight w:val="none"/>
        </w:rPr>
        <w:t>公章（CA签章）（属自然人的须逐页签字或个人CA签章）。</w:t>
      </w:r>
    </w:p>
    <w:p w14:paraId="09AD111D">
      <w:pPr>
        <w:spacing w:line="400" w:lineRule="exact"/>
        <w:ind w:firstLine="843"/>
        <w:rPr>
          <w:rFonts w:hint="default"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3.</w:t>
      </w:r>
      <w:r>
        <w:rPr>
          <w:rFonts w:hint="eastAsia" w:ascii="宋体" w:hAnsi="宋体" w:eastAsia="宋体" w:cs="宋体"/>
          <w:b/>
          <w:bCs/>
          <w:color w:val="auto"/>
          <w:sz w:val="21"/>
          <w:szCs w:val="21"/>
          <w:highlight w:val="none"/>
          <w:lang w:val="en-US" w:eastAsia="zh-CN"/>
        </w:rPr>
        <w:t>供应商</w:t>
      </w:r>
      <w:r>
        <w:rPr>
          <w:rFonts w:hint="eastAsia" w:ascii="宋体" w:hAnsi="宋体" w:eastAsia="宋体" w:cs="宋体"/>
          <w:b/>
          <w:bCs/>
          <w:color w:val="auto"/>
          <w:sz w:val="21"/>
          <w:szCs w:val="21"/>
          <w:highlight w:val="none"/>
        </w:rPr>
        <w:t>应对照</w:t>
      </w:r>
      <w:r>
        <w:rPr>
          <w:rFonts w:hint="eastAsia" w:ascii="宋体" w:hAnsi="宋体" w:eastAsia="宋体" w:cs="宋体"/>
          <w:b/>
          <w:bCs/>
          <w:color w:val="auto"/>
          <w:sz w:val="21"/>
          <w:szCs w:val="21"/>
          <w:highlight w:val="none"/>
          <w:lang w:eastAsia="zh-CN"/>
        </w:rPr>
        <w:t>竞争性</w:t>
      </w:r>
      <w:r>
        <w:rPr>
          <w:rFonts w:hint="eastAsia" w:ascii="宋体" w:hAnsi="宋体" w:cs="宋体"/>
          <w:b/>
          <w:bCs/>
          <w:color w:val="auto"/>
          <w:sz w:val="21"/>
          <w:szCs w:val="21"/>
          <w:highlight w:val="none"/>
          <w:lang w:eastAsia="zh-CN"/>
        </w:rPr>
        <w:t>谈判</w:t>
      </w:r>
      <w:r>
        <w:rPr>
          <w:rFonts w:hint="eastAsia" w:ascii="宋体" w:hAnsi="宋体" w:eastAsia="宋体" w:cs="宋体"/>
          <w:b/>
          <w:bCs/>
          <w:color w:val="auto"/>
          <w:sz w:val="21"/>
          <w:szCs w:val="21"/>
          <w:highlight w:val="none"/>
          <w:lang w:eastAsia="zh-CN"/>
        </w:rPr>
        <w:t>文件</w:t>
      </w:r>
      <w:r>
        <w:rPr>
          <w:rFonts w:hint="eastAsia" w:ascii="宋体" w:hAnsi="宋体" w:eastAsia="宋体" w:cs="宋体"/>
          <w:b/>
          <w:bCs/>
          <w:color w:val="auto"/>
          <w:sz w:val="21"/>
          <w:szCs w:val="21"/>
          <w:highlight w:val="none"/>
        </w:rPr>
        <w:t>中</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第三章</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采购需求</w:t>
      </w:r>
      <w:r>
        <w:rPr>
          <w:rFonts w:hint="eastAsia" w:ascii="宋体" w:hAnsi="宋体" w:eastAsia="宋体" w:cs="宋体"/>
          <w:b/>
          <w:bCs/>
          <w:color w:val="auto"/>
          <w:sz w:val="21"/>
          <w:szCs w:val="21"/>
          <w:highlight w:val="none"/>
          <w:lang w:eastAsia="zh-CN"/>
        </w:rPr>
        <w:t>”中的“</w:t>
      </w:r>
      <w:r>
        <w:rPr>
          <w:rFonts w:hint="eastAsia" w:ascii="宋体" w:hAnsi="宋体" w:eastAsia="宋体" w:cs="宋体"/>
          <w:b/>
          <w:bCs/>
          <w:color w:val="auto"/>
          <w:sz w:val="21"/>
          <w:szCs w:val="21"/>
          <w:highlight w:val="none"/>
        </w:rPr>
        <w:t>商务要求</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的内容逐条响应，并在“偏离情况说明”栏注明“正偏离”、“负偏离”或“无偏离”。</w:t>
      </w:r>
      <w:r>
        <w:rPr>
          <w:rFonts w:hint="eastAsia" w:ascii="宋体" w:hAnsi="宋体" w:eastAsia="宋体" w:cs="宋体"/>
          <w:b/>
          <w:bCs/>
          <w:color w:val="auto"/>
          <w:sz w:val="21"/>
          <w:szCs w:val="21"/>
          <w:highlight w:val="none"/>
          <w:lang w:eastAsia="zh-CN"/>
        </w:rPr>
        <w:t>否则，响应无效。</w:t>
      </w:r>
    </w:p>
    <w:p w14:paraId="4BCFE532">
      <w:pPr>
        <w:spacing w:line="400" w:lineRule="exact"/>
        <w:ind w:firstLine="800"/>
        <w:rPr>
          <w:rFonts w:hint="eastAsia" w:ascii="宋体" w:hAnsi="宋体" w:cs="宋体"/>
          <w:color w:val="auto"/>
          <w:sz w:val="20"/>
          <w:szCs w:val="20"/>
          <w:highlight w:val="none"/>
        </w:rPr>
      </w:pPr>
    </w:p>
    <w:p w14:paraId="7F2C5A25">
      <w:pPr>
        <w:spacing w:line="400" w:lineRule="exact"/>
        <w:ind w:firstLine="800"/>
        <w:rPr>
          <w:rFonts w:hint="eastAsia" w:ascii="宋体" w:hAnsi="宋体" w:cs="宋体"/>
          <w:color w:val="auto"/>
          <w:sz w:val="20"/>
          <w:szCs w:val="20"/>
          <w:highlight w:val="none"/>
        </w:rPr>
      </w:pPr>
    </w:p>
    <w:p w14:paraId="186D59A1">
      <w:pPr>
        <w:spacing w:line="400" w:lineRule="exact"/>
        <w:ind w:firstLine="800"/>
        <w:rPr>
          <w:rFonts w:hint="eastAsia" w:ascii="宋体" w:hAnsi="宋体" w:cs="宋体"/>
          <w:color w:val="auto"/>
          <w:sz w:val="20"/>
          <w:szCs w:val="20"/>
          <w:highlight w:val="none"/>
        </w:rPr>
      </w:pPr>
    </w:p>
    <w:p w14:paraId="518956E4">
      <w:pPr>
        <w:spacing w:line="400" w:lineRule="exact"/>
        <w:ind w:firstLine="800"/>
        <w:rPr>
          <w:rFonts w:hint="eastAsia" w:ascii="宋体" w:hAnsi="宋体" w:cs="宋体"/>
          <w:color w:val="auto"/>
          <w:sz w:val="20"/>
          <w:szCs w:val="20"/>
          <w:highlight w:val="none"/>
        </w:rPr>
      </w:pPr>
    </w:p>
    <w:p w14:paraId="35D3C0B8">
      <w:pPr>
        <w:spacing w:line="400" w:lineRule="exact"/>
        <w:ind w:firstLine="800"/>
        <w:rPr>
          <w:rFonts w:hint="eastAsia" w:ascii="宋体" w:hAnsi="宋体" w:cs="宋体"/>
          <w:color w:val="auto"/>
          <w:sz w:val="20"/>
          <w:szCs w:val="20"/>
          <w:highlight w:val="none"/>
        </w:rPr>
      </w:pPr>
    </w:p>
    <w:p w14:paraId="2DEEF504">
      <w:pPr>
        <w:spacing w:line="400" w:lineRule="exact"/>
        <w:ind w:firstLine="800"/>
        <w:rPr>
          <w:rFonts w:hint="eastAsia" w:ascii="宋体" w:hAnsi="宋体" w:cs="宋体"/>
          <w:color w:val="auto"/>
          <w:sz w:val="20"/>
          <w:szCs w:val="20"/>
          <w:highlight w:val="none"/>
        </w:rPr>
      </w:pPr>
    </w:p>
    <w:p w14:paraId="0474B61C">
      <w:pPr>
        <w:spacing w:line="400" w:lineRule="exact"/>
        <w:ind w:firstLine="800"/>
        <w:rPr>
          <w:rFonts w:hint="eastAsia" w:ascii="宋体" w:hAnsi="宋体" w:cs="宋体"/>
          <w:color w:val="auto"/>
          <w:sz w:val="20"/>
          <w:szCs w:val="20"/>
          <w:highlight w:val="none"/>
        </w:rPr>
      </w:pPr>
    </w:p>
    <w:p w14:paraId="075211F8">
      <w:pPr>
        <w:spacing w:line="400" w:lineRule="exact"/>
        <w:ind w:firstLine="800"/>
        <w:rPr>
          <w:rFonts w:hint="eastAsia" w:ascii="宋体" w:hAnsi="宋体" w:cs="宋体"/>
          <w:color w:val="auto"/>
          <w:sz w:val="20"/>
          <w:szCs w:val="20"/>
          <w:highlight w:val="none"/>
        </w:rPr>
      </w:pPr>
    </w:p>
    <w:p w14:paraId="26D0B429">
      <w:pPr>
        <w:rPr>
          <w:rFonts w:cs="宋体"/>
          <w:b/>
          <w:bCs/>
          <w:color w:val="auto"/>
          <w:sz w:val="32"/>
          <w:szCs w:val="32"/>
          <w:highlight w:val="none"/>
        </w:rPr>
      </w:pPr>
    </w:p>
    <w:p w14:paraId="3861E629">
      <w:pPr>
        <w:pStyle w:val="21"/>
        <w:numPr>
          <w:ilvl w:val="0"/>
          <w:numId w:val="8"/>
        </w:numPr>
        <w:spacing w:line="400" w:lineRule="exact"/>
        <w:rPr>
          <w:rFonts w:hint="eastAsia"/>
          <w:b/>
          <w:color w:val="auto"/>
          <w:sz w:val="28"/>
          <w:szCs w:val="28"/>
          <w:highlight w:val="none"/>
        </w:rPr>
      </w:pPr>
      <w:bookmarkStart w:id="999" w:name="_Toc25573"/>
      <w:bookmarkStart w:id="1000" w:name="_Toc21456"/>
      <w:r>
        <w:rPr>
          <w:rFonts w:hint="eastAsia"/>
          <w:b/>
          <w:color w:val="auto"/>
          <w:sz w:val="28"/>
          <w:szCs w:val="28"/>
          <w:highlight w:val="none"/>
        </w:rPr>
        <w:t>供应商的售后服务承诺书（必须包含售后服务要求的全部内容）（格式见附件）</w:t>
      </w:r>
      <w:bookmarkEnd w:id="999"/>
      <w:bookmarkEnd w:id="1000"/>
      <w:r>
        <w:rPr>
          <w:rFonts w:hint="eastAsia"/>
          <w:b/>
          <w:color w:val="auto"/>
          <w:sz w:val="28"/>
          <w:szCs w:val="28"/>
          <w:highlight w:val="none"/>
        </w:rPr>
        <w:t>（必须提供）</w:t>
      </w:r>
    </w:p>
    <w:p w14:paraId="26D9445C">
      <w:pPr>
        <w:pStyle w:val="12"/>
        <w:rPr>
          <w:rFonts w:hint="eastAsia"/>
          <w:color w:val="auto"/>
          <w:highlight w:val="none"/>
        </w:rPr>
      </w:pPr>
    </w:p>
    <w:p w14:paraId="20D87764">
      <w:pPr>
        <w:pStyle w:val="21"/>
        <w:spacing w:line="300" w:lineRule="exact"/>
        <w:ind w:left="420"/>
        <w:jc w:val="left"/>
        <w:rPr>
          <w:rFonts w:ascii="Times New Roman" w:hAnsi="Times New Roman"/>
          <w:b/>
          <w:color w:val="auto"/>
          <w:sz w:val="32"/>
          <w:szCs w:val="32"/>
          <w:highlight w:val="none"/>
        </w:rPr>
      </w:pPr>
      <w:r>
        <w:rPr>
          <w:rFonts w:ascii="Times New Roman" w:hAnsi="Times New Roman"/>
          <w:b/>
          <w:color w:val="auto"/>
          <w:sz w:val="32"/>
          <w:szCs w:val="32"/>
          <w:highlight w:val="none"/>
        </w:rPr>
        <w:t>附件：</w:t>
      </w:r>
    </w:p>
    <w:p w14:paraId="3291B6B0">
      <w:pPr>
        <w:pStyle w:val="21"/>
        <w:spacing w:line="340" w:lineRule="exact"/>
        <w:jc w:val="center"/>
        <w:rPr>
          <w:rFonts w:hint="eastAsia" w:hAnsi="宋体" w:cs="宋体"/>
          <w:b/>
          <w:color w:val="auto"/>
          <w:sz w:val="32"/>
          <w:szCs w:val="32"/>
          <w:highlight w:val="none"/>
        </w:rPr>
      </w:pPr>
      <w:r>
        <w:rPr>
          <w:rFonts w:hint="eastAsia" w:hAnsi="宋体" w:cs="宋体"/>
          <w:b/>
          <w:color w:val="auto"/>
          <w:sz w:val="32"/>
          <w:szCs w:val="32"/>
          <w:highlight w:val="none"/>
        </w:rPr>
        <w:t>服务承诺书（格式）</w:t>
      </w:r>
    </w:p>
    <w:p w14:paraId="1FBE03DC">
      <w:pPr>
        <w:pStyle w:val="21"/>
        <w:spacing w:line="340" w:lineRule="exact"/>
        <w:jc w:val="center"/>
        <w:rPr>
          <w:rFonts w:hint="eastAsia" w:hAnsi="宋体" w:cs="宋体"/>
          <w:b/>
          <w:color w:val="auto"/>
          <w:sz w:val="32"/>
          <w:szCs w:val="32"/>
          <w:highlight w:val="none"/>
        </w:rPr>
      </w:pPr>
    </w:p>
    <w:p w14:paraId="77A50DF6">
      <w:pPr>
        <w:pStyle w:val="21"/>
        <w:spacing w:line="340" w:lineRule="exact"/>
        <w:jc w:val="center"/>
        <w:rPr>
          <w:rFonts w:hint="eastAsia" w:hAnsi="宋体" w:cs="宋体"/>
          <w:b/>
          <w:color w:val="auto"/>
          <w:sz w:val="32"/>
          <w:szCs w:val="32"/>
          <w:highlight w:val="none"/>
        </w:rPr>
      </w:pPr>
    </w:p>
    <w:p w14:paraId="5AF74858">
      <w:pPr>
        <w:pStyle w:val="21"/>
        <w:spacing w:line="340" w:lineRule="exact"/>
        <w:jc w:val="center"/>
        <w:rPr>
          <w:rFonts w:hint="eastAsia" w:hAnsi="宋体" w:cs="宋体"/>
          <w:b/>
          <w:color w:val="auto"/>
          <w:sz w:val="32"/>
          <w:szCs w:val="32"/>
          <w:highlight w:val="none"/>
        </w:rPr>
      </w:pPr>
    </w:p>
    <w:p w14:paraId="09B26D37">
      <w:pPr>
        <w:rPr>
          <w:rFonts w:hint="eastAsia" w:ascii="宋体" w:hAnsi="宋体" w:cs="宋体"/>
          <w:b/>
          <w:color w:val="auto"/>
          <w:sz w:val="32"/>
          <w:szCs w:val="32"/>
          <w:highlight w:val="none"/>
        </w:rPr>
      </w:pPr>
    </w:p>
    <w:p w14:paraId="338B8877">
      <w:pPr>
        <w:pStyle w:val="18"/>
        <w:rPr>
          <w:rFonts w:hint="eastAsia" w:ascii="宋体" w:hAnsi="宋体" w:cs="宋体"/>
          <w:color w:val="auto"/>
          <w:highlight w:val="none"/>
        </w:rPr>
      </w:pPr>
    </w:p>
    <w:p w14:paraId="3075ACE4">
      <w:pPr>
        <w:pStyle w:val="18"/>
        <w:rPr>
          <w:rFonts w:hint="eastAsia" w:ascii="宋体" w:hAnsi="宋体" w:cs="宋体"/>
          <w:b/>
          <w:color w:val="auto"/>
          <w:sz w:val="32"/>
          <w:szCs w:val="32"/>
          <w:highlight w:val="none"/>
        </w:rPr>
      </w:pPr>
    </w:p>
    <w:p w14:paraId="08EC6B5C">
      <w:pPr>
        <w:pStyle w:val="21"/>
        <w:spacing w:line="340" w:lineRule="exact"/>
        <w:jc w:val="center"/>
        <w:rPr>
          <w:rFonts w:hint="eastAsia" w:hAnsi="宋体" w:cs="宋体"/>
          <w:b/>
          <w:color w:val="auto"/>
          <w:sz w:val="32"/>
          <w:szCs w:val="32"/>
          <w:highlight w:val="none"/>
        </w:rPr>
      </w:pPr>
    </w:p>
    <w:p w14:paraId="22BD06D6">
      <w:pPr>
        <w:spacing w:line="400" w:lineRule="exact"/>
        <w:ind w:firstLine="1890"/>
        <w:rPr>
          <w:rFonts w:hint="eastAsia" w:ascii="宋体" w:hAnsi="宋体" w:cs="宋体"/>
          <w:color w:val="auto"/>
          <w:szCs w:val="21"/>
          <w:highlight w:val="none"/>
          <w:u w:val="single"/>
        </w:rPr>
      </w:pPr>
      <w:r>
        <w:rPr>
          <w:rFonts w:hint="eastAsia" w:ascii="宋体" w:hAnsi="宋体" w:cs="宋体"/>
          <w:color w:val="auto"/>
          <w:szCs w:val="21"/>
          <w:highlight w:val="none"/>
        </w:rPr>
        <w:t>供应商[公章(CA签章)，自然人签字或个人CA签章]：</w:t>
      </w:r>
      <w:r>
        <w:rPr>
          <w:rFonts w:hint="eastAsia" w:ascii="宋体" w:hAnsi="宋体" w:cs="宋体"/>
          <w:color w:val="auto"/>
          <w:szCs w:val="21"/>
          <w:highlight w:val="none"/>
          <w:u w:val="single"/>
        </w:rPr>
        <w:t xml:space="preserve">                                     </w:t>
      </w:r>
    </w:p>
    <w:p w14:paraId="3A5B9CFF">
      <w:pPr>
        <w:spacing w:line="400" w:lineRule="exact"/>
        <w:ind w:firstLine="1890"/>
        <w:rPr>
          <w:rFonts w:hint="eastAsia" w:ascii="宋体" w:hAnsi="宋体" w:cs="宋体"/>
          <w:color w:val="auto"/>
          <w:highlight w:val="none"/>
        </w:rPr>
      </w:pPr>
    </w:p>
    <w:p w14:paraId="141A7CE3">
      <w:pPr>
        <w:spacing w:line="400" w:lineRule="exact"/>
        <w:ind w:firstLine="1680"/>
        <w:rPr>
          <w:rFonts w:hint="eastAsia" w:ascii="宋体" w:hAnsi="宋体" w:cs="宋体"/>
          <w:b/>
          <w:bCs/>
          <w:color w:val="auto"/>
          <w:szCs w:val="21"/>
          <w:highlight w:val="none"/>
        </w:rPr>
      </w:pPr>
      <w:r>
        <w:rPr>
          <w:rFonts w:hint="eastAsia" w:ascii="宋体" w:hAnsi="宋体" w:cs="宋体"/>
          <w:color w:val="auto"/>
          <w:highlight w:val="none"/>
        </w:rPr>
        <w:t xml:space="preserve"> 日          期：</w:t>
      </w:r>
      <w:r>
        <w:rPr>
          <w:rFonts w:hint="eastAsia" w:ascii="宋体" w:hAnsi="宋体" w:cs="宋体"/>
          <w:color w:val="auto"/>
          <w:highlight w:val="none"/>
          <w:u w:val="single"/>
        </w:rPr>
        <w:t xml:space="preserve">                                                   </w:t>
      </w:r>
    </w:p>
    <w:p w14:paraId="2E0C089D">
      <w:pPr>
        <w:spacing w:line="400" w:lineRule="exact"/>
        <w:ind w:firstLine="1680"/>
        <w:rPr>
          <w:rFonts w:hint="eastAsia" w:ascii="宋体" w:hAnsi="宋体" w:cs="宋体"/>
          <w:color w:val="auto"/>
          <w:highlight w:val="none"/>
        </w:rPr>
      </w:pPr>
    </w:p>
    <w:p w14:paraId="2F5AE5D9">
      <w:pPr>
        <w:spacing w:line="400" w:lineRule="exact"/>
        <w:ind w:firstLine="1680"/>
        <w:rPr>
          <w:rFonts w:hint="eastAsia" w:ascii="宋体" w:hAnsi="宋体" w:cs="宋体"/>
          <w:color w:val="auto"/>
          <w:highlight w:val="none"/>
        </w:rPr>
      </w:pPr>
    </w:p>
    <w:p w14:paraId="6F3006E1">
      <w:pPr>
        <w:spacing w:line="400" w:lineRule="exact"/>
        <w:ind w:firstLine="1680"/>
        <w:rPr>
          <w:rFonts w:hint="eastAsia" w:ascii="宋体" w:hAnsi="宋体" w:cs="宋体"/>
          <w:color w:val="auto"/>
          <w:highlight w:val="none"/>
        </w:rPr>
      </w:pPr>
    </w:p>
    <w:p w14:paraId="59D345C2">
      <w:pPr>
        <w:spacing w:line="400" w:lineRule="exact"/>
        <w:ind w:firstLine="1680"/>
        <w:rPr>
          <w:rFonts w:hint="eastAsia" w:ascii="宋体" w:hAnsi="宋体" w:cs="宋体"/>
          <w:color w:val="auto"/>
          <w:highlight w:val="none"/>
        </w:rPr>
      </w:pPr>
    </w:p>
    <w:p w14:paraId="351C0DEE">
      <w:pPr>
        <w:spacing w:line="400" w:lineRule="exact"/>
        <w:ind w:firstLine="1680"/>
        <w:rPr>
          <w:rFonts w:hint="eastAsia" w:ascii="宋体" w:hAnsi="宋体" w:cs="宋体"/>
          <w:color w:val="auto"/>
          <w:highlight w:val="none"/>
        </w:rPr>
      </w:pPr>
    </w:p>
    <w:p w14:paraId="3F0F5F62">
      <w:pPr>
        <w:spacing w:line="400" w:lineRule="exact"/>
        <w:ind w:firstLine="1680"/>
        <w:rPr>
          <w:rFonts w:hint="eastAsia" w:ascii="宋体" w:hAnsi="宋体" w:cs="宋体"/>
          <w:color w:val="auto"/>
          <w:highlight w:val="none"/>
        </w:rPr>
      </w:pPr>
    </w:p>
    <w:p w14:paraId="18FEC5CD">
      <w:pPr>
        <w:spacing w:line="400" w:lineRule="exact"/>
        <w:ind w:firstLine="1680"/>
        <w:rPr>
          <w:rFonts w:hint="eastAsia" w:ascii="宋体" w:hAnsi="宋体" w:cs="宋体"/>
          <w:color w:val="auto"/>
          <w:highlight w:val="none"/>
        </w:rPr>
      </w:pPr>
    </w:p>
    <w:p w14:paraId="4A0EB2F5">
      <w:pPr>
        <w:spacing w:line="400" w:lineRule="exact"/>
        <w:ind w:firstLine="1680"/>
        <w:rPr>
          <w:rFonts w:hint="eastAsia" w:ascii="宋体" w:hAnsi="宋体" w:cs="宋体"/>
          <w:color w:val="auto"/>
          <w:highlight w:val="none"/>
        </w:rPr>
      </w:pPr>
    </w:p>
    <w:p w14:paraId="2ACC89E8">
      <w:pPr>
        <w:spacing w:line="400" w:lineRule="exact"/>
        <w:ind w:firstLine="1680"/>
        <w:rPr>
          <w:rFonts w:hint="eastAsia" w:ascii="宋体" w:hAnsi="宋体" w:cs="宋体"/>
          <w:color w:val="auto"/>
          <w:highlight w:val="none"/>
        </w:rPr>
      </w:pPr>
    </w:p>
    <w:p w14:paraId="15651A9D">
      <w:pPr>
        <w:spacing w:line="400" w:lineRule="exact"/>
        <w:ind w:firstLine="1680"/>
        <w:rPr>
          <w:rFonts w:hint="eastAsia" w:ascii="宋体" w:hAnsi="宋体" w:cs="宋体"/>
          <w:color w:val="auto"/>
          <w:highlight w:val="none"/>
        </w:rPr>
      </w:pPr>
    </w:p>
    <w:p w14:paraId="68023196">
      <w:pPr>
        <w:pStyle w:val="21"/>
        <w:numPr>
          <w:ilvl w:val="0"/>
          <w:numId w:val="8"/>
        </w:numPr>
        <w:spacing w:line="340" w:lineRule="exact"/>
        <w:rPr>
          <w:rFonts w:hint="eastAsia"/>
          <w:b/>
          <w:color w:val="auto"/>
          <w:sz w:val="28"/>
          <w:szCs w:val="28"/>
          <w:highlight w:val="none"/>
        </w:rPr>
      </w:pPr>
      <w:r>
        <w:rPr>
          <w:rFonts w:hint="eastAsia"/>
          <w:b/>
          <w:color w:val="auto"/>
          <w:sz w:val="28"/>
          <w:szCs w:val="28"/>
          <w:highlight w:val="none"/>
        </w:rPr>
        <w:t>“采购需求”需提供的有效证明文件（按其要求提供）。</w:t>
      </w:r>
    </w:p>
    <w:p w14:paraId="39ED5FDF">
      <w:pPr>
        <w:spacing w:line="440" w:lineRule="exact"/>
        <w:jc w:val="center"/>
        <w:rPr>
          <w:b/>
          <w:bCs/>
          <w:color w:val="auto"/>
          <w:sz w:val="32"/>
          <w:szCs w:val="32"/>
          <w:highlight w:val="none"/>
        </w:rPr>
      </w:pPr>
    </w:p>
    <w:p w14:paraId="55DFF201">
      <w:pPr>
        <w:spacing w:line="440" w:lineRule="exact"/>
        <w:jc w:val="center"/>
        <w:rPr>
          <w:b/>
          <w:bCs/>
          <w:color w:val="auto"/>
          <w:sz w:val="32"/>
          <w:szCs w:val="32"/>
          <w:highlight w:val="none"/>
        </w:rPr>
      </w:pPr>
    </w:p>
    <w:p w14:paraId="196F51BE">
      <w:pPr>
        <w:spacing w:line="440" w:lineRule="exact"/>
        <w:jc w:val="center"/>
        <w:rPr>
          <w:b/>
          <w:bCs/>
          <w:color w:val="auto"/>
          <w:sz w:val="32"/>
          <w:szCs w:val="32"/>
          <w:highlight w:val="none"/>
        </w:rPr>
      </w:pPr>
    </w:p>
    <w:p w14:paraId="77868E81">
      <w:pPr>
        <w:spacing w:line="440" w:lineRule="exact"/>
        <w:jc w:val="center"/>
        <w:rPr>
          <w:b/>
          <w:bCs/>
          <w:color w:val="auto"/>
          <w:sz w:val="32"/>
          <w:szCs w:val="32"/>
          <w:highlight w:val="none"/>
        </w:rPr>
      </w:pPr>
    </w:p>
    <w:p w14:paraId="18DC56A4">
      <w:pPr>
        <w:spacing w:line="440" w:lineRule="exact"/>
        <w:jc w:val="center"/>
        <w:rPr>
          <w:b/>
          <w:bCs/>
          <w:color w:val="auto"/>
          <w:sz w:val="32"/>
          <w:szCs w:val="32"/>
          <w:highlight w:val="none"/>
        </w:rPr>
      </w:pPr>
    </w:p>
    <w:p w14:paraId="55755290">
      <w:pPr>
        <w:spacing w:line="440" w:lineRule="exact"/>
        <w:jc w:val="center"/>
        <w:rPr>
          <w:b/>
          <w:bCs/>
          <w:color w:val="auto"/>
          <w:sz w:val="32"/>
          <w:szCs w:val="32"/>
          <w:highlight w:val="none"/>
        </w:rPr>
      </w:pPr>
    </w:p>
    <w:p w14:paraId="5AC8AD34">
      <w:pPr>
        <w:pStyle w:val="23"/>
        <w:rPr>
          <w:color w:val="auto"/>
          <w:highlight w:val="none"/>
        </w:rPr>
      </w:pPr>
    </w:p>
    <w:p w14:paraId="19E65222">
      <w:pPr>
        <w:spacing w:line="440" w:lineRule="exact"/>
        <w:jc w:val="center"/>
        <w:rPr>
          <w:b/>
          <w:bCs/>
          <w:color w:val="auto"/>
          <w:sz w:val="32"/>
          <w:szCs w:val="32"/>
          <w:highlight w:val="none"/>
        </w:rPr>
      </w:pPr>
    </w:p>
    <w:p w14:paraId="6AC090E2">
      <w:pPr>
        <w:pStyle w:val="13"/>
        <w:rPr>
          <w:b/>
          <w:bCs/>
          <w:color w:val="auto"/>
          <w:sz w:val="32"/>
          <w:szCs w:val="32"/>
          <w:highlight w:val="none"/>
        </w:rPr>
      </w:pPr>
    </w:p>
    <w:p w14:paraId="73C490FB">
      <w:pPr>
        <w:spacing w:line="440" w:lineRule="exact"/>
        <w:jc w:val="center"/>
        <w:outlineLvl w:val="1"/>
        <w:rPr>
          <w:b/>
          <w:bCs/>
          <w:color w:val="auto"/>
          <w:sz w:val="32"/>
          <w:szCs w:val="32"/>
          <w:highlight w:val="none"/>
        </w:rPr>
      </w:pPr>
      <w:bookmarkStart w:id="1001" w:name="_Toc11185"/>
      <w:bookmarkStart w:id="1002" w:name="_Toc8815"/>
      <w:bookmarkStart w:id="1003" w:name="_Toc497927084"/>
      <w:bookmarkStart w:id="1004" w:name="_Toc29815"/>
      <w:bookmarkStart w:id="1005" w:name="_Toc20983"/>
      <w:bookmarkStart w:id="1006" w:name="_Toc26318"/>
      <w:bookmarkStart w:id="1007" w:name="_Toc11523"/>
      <w:bookmarkStart w:id="1008" w:name="_Toc2732"/>
      <w:bookmarkStart w:id="1009" w:name="_Toc9339"/>
      <w:bookmarkStart w:id="1010" w:name="_Toc28672"/>
      <w:bookmarkStart w:id="1011" w:name="_Toc26194"/>
      <w:r>
        <w:rPr>
          <w:b/>
          <w:bCs/>
          <w:color w:val="auto"/>
          <w:sz w:val="32"/>
          <w:szCs w:val="32"/>
          <w:highlight w:val="none"/>
        </w:rPr>
        <w:t>（</w:t>
      </w:r>
      <w:r>
        <w:rPr>
          <w:rFonts w:hint="eastAsia"/>
          <w:b/>
          <w:bCs/>
          <w:color w:val="auto"/>
          <w:sz w:val="32"/>
          <w:szCs w:val="32"/>
          <w:highlight w:val="none"/>
        </w:rPr>
        <w:t>三</w:t>
      </w:r>
      <w:r>
        <w:rPr>
          <w:b/>
          <w:bCs/>
          <w:color w:val="auto"/>
          <w:sz w:val="32"/>
          <w:szCs w:val="32"/>
          <w:highlight w:val="none"/>
        </w:rPr>
        <w:t>）其</w:t>
      </w:r>
      <w:r>
        <w:rPr>
          <w:rFonts w:hint="eastAsia"/>
          <w:b/>
          <w:bCs/>
          <w:color w:val="auto"/>
          <w:sz w:val="32"/>
          <w:szCs w:val="32"/>
          <w:highlight w:val="none"/>
        </w:rPr>
        <w:t>他</w:t>
      </w:r>
      <w:r>
        <w:rPr>
          <w:b/>
          <w:bCs/>
          <w:color w:val="auto"/>
          <w:sz w:val="32"/>
          <w:szCs w:val="32"/>
          <w:highlight w:val="none"/>
        </w:rPr>
        <w:t>有效证明材料目录</w:t>
      </w:r>
      <w:bookmarkEnd w:id="1001"/>
      <w:bookmarkEnd w:id="1002"/>
      <w:bookmarkEnd w:id="1003"/>
      <w:bookmarkEnd w:id="1004"/>
      <w:bookmarkEnd w:id="1005"/>
      <w:bookmarkEnd w:id="1006"/>
      <w:bookmarkEnd w:id="1007"/>
      <w:bookmarkEnd w:id="1008"/>
      <w:bookmarkEnd w:id="1009"/>
      <w:bookmarkEnd w:id="1010"/>
      <w:bookmarkEnd w:id="1011"/>
    </w:p>
    <w:p w14:paraId="21C9E0A0">
      <w:pPr>
        <w:spacing w:line="400" w:lineRule="exact"/>
        <w:ind w:firstLine="420"/>
        <w:rPr>
          <w:rFonts w:hint="eastAsia" w:ascii="宋体" w:hAnsi="宋体" w:cs="宋体"/>
          <w:color w:val="auto"/>
          <w:szCs w:val="21"/>
          <w:highlight w:val="none"/>
        </w:rPr>
      </w:pPr>
    </w:p>
    <w:p w14:paraId="40F9350B">
      <w:pPr>
        <w:spacing w:line="400" w:lineRule="exact"/>
        <w:ind w:firstLine="420"/>
        <w:rPr>
          <w:rFonts w:hint="eastAsia" w:ascii="宋体" w:hAnsi="宋体" w:cs="宋体"/>
          <w:b/>
          <w:bCs/>
          <w:color w:val="auto"/>
          <w:szCs w:val="21"/>
          <w:highlight w:val="none"/>
        </w:rPr>
      </w:pPr>
      <w:r>
        <w:rPr>
          <w:rFonts w:hint="eastAsia" w:ascii="宋体" w:hAnsi="宋体" w:cs="宋体"/>
          <w:color w:val="auto"/>
          <w:szCs w:val="21"/>
          <w:highlight w:val="none"/>
        </w:rPr>
        <w:t>1.项目实施人员一览表</w:t>
      </w:r>
      <w:r>
        <w:rPr>
          <w:rFonts w:hint="eastAsia" w:ascii="宋体" w:hAnsi="宋体" w:cs="宋体"/>
          <w:b/>
          <w:color w:val="auto"/>
          <w:szCs w:val="21"/>
          <w:highlight w:val="none"/>
        </w:rPr>
        <w:t>（如有，请提供）</w:t>
      </w:r>
      <w:r>
        <w:rPr>
          <w:rFonts w:hint="eastAsia" w:ascii="宋体" w:hAnsi="宋体" w:cs="宋体"/>
          <w:b/>
          <w:bCs/>
          <w:color w:val="auto"/>
          <w:szCs w:val="21"/>
          <w:highlight w:val="none"/>
        </w:rPr>
        <w:t>；</w:t>
      </w:r>
    </w:p>
    <w:p w14:paraId="29041004">
      <w:pPr>
        <w:tabs>
          <w:tab w:val="left" w:pos="1305"/>
        </w:tabs>
        <w:spacing w:line="400" w:lineRule="exact"/>
        <w:ind w:firstLine="420"/>
        <w:rPr>
          <w:rFonts w:hint="eastAsia" w:ascii="宋体" w:hAnsi="宋体" w:cs="宋体"/>
          <w:color w:val="auto"/>
          <w:szCs w:val="20"/>
          <w:highlight w:val="none"/>
        </w:rPr>
      </w:pPr>
      <w:r>
        <w:rPr>
          <w:rFonts w:hint="eastAsia" w:ascii="宋体" w:hAnsi="宋体" w:cs="宋体"/>
          <w:color w:val="auto"/>
          <w:szCs w:val="21"/>
          <w:highlight w:val="none"/>
        </w:rPr>
        <w:t>2.节能方面的证书扫描件</w:t>
      </w:r>
      <w:r>
        <w:rPr>
          <w:rFonts w:hint="eastAsia" w:ascii="宋体" w:hAnsi="宋体" w:cs="宋体"/>
          <w:b/>
          <w:color w:val="auto"/>
          <w:szCs w:val="21"/>
          <w:highlight w:val="none"/>
        </w:rPr>
        <w:t>（如有，请提供）</w:t>
      </w:r>
      <w:r>
        <w:rPr>
          <w:rFonts w:hint="eastAsia" w:ascii="宋体" w:hAnsi="宋体" w:cs="宋体"/>
          <w:bCs/>
          <w:color w:val="auto"/>
          <w:szCs w:val="21"/>
          <w:highlight w:val="none"/>
        </w:rPr>
        <w:t>；</w:t>
      </w:r>
    </w:p>
    <w:p w14:paraId="46DBE472">
      <w:pPr>
        <w:tabs>
          <w:tab w:val="left" w:pos="1305"/>
        </w:tabs>
        <w:spacing w:line="40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3.环境标志方面的证书扫描件</w:t>
      </w:r>
      <w:r>
        <w:rPr>
          <w:rFonts w:hint="eastAsia" w:ascii="宋体" w:hAnsi="宋体" w:cs="宋体"/>
          <w:b/>
          <w:color w:val="auto"/>
          <w:szCs w:val="21"/>
          <w:highlight w:val="none"/>
        </w:rPr>
        <w:t>（如有，请提供）</w:t>
      </w:r>
      <w:r>
        <w:rPr>
          <w:rFonts w:hint="eastAsia" w:ascii="宋体" w:hAnsi="宋体" w:cs="宋体"/>
          <w:bCs/>
          <w:color w:val="auto"/>
          <w:szCs w:val="21"/>
          <w:highlight w:val="none"/>
        </w:rPr>
        <w:t>；</w:t>
      </w:r>
    </w:p>
    <w:p w14:paraId="25ED0FAE">
      <w:pPr>
        <w:tabs>
          <w:tab w:val="left" w:pos="1305"/>
        </w:tabs>
        <w:spacing w:line="400" w:lineRule="exact"/>
        <w:ind w:firstLine="420"/>
        <w:rPr>
          <w:rFonts w:hint="eastAsia" w:ascii="宋体" w:hAnsi="宋体" w:cs="宋体"/>
          <w:color w:val="auto"/>
          <w:highlight w:val="none"/>
        </w:rPr>
      </w:pPr>
      <w:r>
        <w:rPr>
          <w:rFonts w:hint="eastAsia" w:ascii="宋体" w:hAnsi="宋体" w:cs="宋体"/>
          <w:color w:val="auto"/>
          <w:szCs w:val="21"/>
          <w:highlight w:val="none"/>
        </w:rPr>
        <w:t>4.供应商自</w:t>
      </w:r>
      <w:r>
        <w:rPr>
          <w:rFonts w:hint="eastAsia" w:ascii="宋体" w:hAnsi="宋体" w:cs="宋体"/>
          <w:color w:val="auto"/>
          <w:highlight w:val="none"/>
        </w:rPr>
        <w:t>2023年1月1日</w:t>
      </w:r>
      <w:r>
        <w:rPr>
          <w:rFonts w:hint="eastAsia" w:ascii="宋体" w:hAnsi="宋体" w:cs="宋体"/>
          <w:color w:val="auto"/>
          <w:szCs w:val="21"/>
          <w:highlight w:val="none"/>
        </w:rPr>
        <w:t>以来具有同类产品的销售业绩 [以中标（成交）通知书或采购合同扫描件加盖电子签章为准（能清晰反映所销售的货物名称、种类、金额)，否则将不予计分；同一个编号的项目有两个或两个以上的分标中标的只算一次]</w:t>
      </w:r>
      <w:r>
        <w:rPr>
          <w:rFonts w:hint="eastAsia" w:ascii="宋体" w:hAnsi="宋体" w:cs="宋体"/>
          <w:b/>
          <w:color w:val="auto"/>
          <w:highlight w:val="none"/>
        </w:rPr>
        <w:t>（如有，请提供）</w:t>
      </w:r>
      <w:r>
        <w:rPr>
          <w:rFonts w:hint="eastAsia" w:ascii="宋体" w:hAnsi="宋体" w:cs="宋体"/>
          <w:bCs/>
          <w:color w:val="auto"/>
          <w:highlight w:val="none"/>
        </w:rPr>
        <w:t>；</w:t>
      </w:r>
    </w:p>
    <w:p w14:paraId="60B843C0">
      <w:pPr>
        <w:pStyle w:val="13"/>
        <w:spacing w:line="400" w:lineRule="exact"/>
        <w:rPr>
          <w:rFonts w:hint="eastAsia"/>
          <w:color w:val="auto"/>
          <w:highlight w:val="none"/>
        </w:rPr>
      </w:pPr>
      <w:r>
        <w:rPr>
          <w:rFonts w:hint="eastAsia"/>
          <w:color w:val="auto"/>
          <w:highlight w:val="none"/>
        </w:rPr>
        <w:t>5.《中小企业声明函》（见附件）</w:t>
      </w:r>
      <w:r>
        <w:rPr>
          <w:rFonts w:hint="eastAsia"/>
          <w:b/>
          <w:bCs/>
          <w:color w:val="auto"/>
          <w:highlight w:val="none"/>
        </w:rPr>
        <w:t>（如有，请提供）</w:t>
      </w:r>
      <w:r>
        <w:rPr>
          <w:rFonts w:hint="eastAsia"/>
          <w:color w:val="auto"/>
          <w:highlight w:val="none"/>
        </w:rPr>
        <w:t>；</w:t>
      </w:r>
    </w:p>
    <w:p w14:paraId="60DBC730">
      <w:pPr>
        <w:pStyle w:val="13"/>
        <w:spacing w:line="400" w:lineRule="exact"/>
        <w:rPr>
          <w:rFonts w:hint="eastAsia"/>
          <w:color w:val="auto"/>
          <w:highlight w:val="none"/>
        </w:rPr>
      </w:pPr>
      <w:r>
        <w:rPr>
          <w:rFonts w:hint="eastAsia"/>
          <w:color w:val="auto"/>
          <w:highlight w:val="none"/>
        </w:rPr>
        <w:t>6.如货物生产企业属于监狱企业的，应当提供由省级以上监狱管理局、戒毒管理局等（含新疆生产建设兵团）出具的属于监狱企业的证明文件</w:t>
      </w:r>
      <w:r>
        <w:rPr>
          <w:rFonts w:hint="eastAsia"/>
          <w:b/>
          <w:bCs/>
          <w:color w:val="auto"/>
          <w:highlight w:val="none"/>
        </w:rPr>
        <w:t>（如有，请提供）</w:t>
      </w:r>
      <w:r>
        <w:rPr>
          <w:rFonts w:hint="eastAsia"/>
          <w:color w:val="auto"/>
          <w:highlight w:val="none"/>
        </w:rPr>
        <w:t>；</w:t>
      </w:r>
    </w:p>
    <w:p w14:paraId="357744A5">
      <w:pPr>
        <w:tabs>
          <w:tab w:val="left" w:pos="1305"/>
        </w:tabs>
        <w:spacing w:line="400" w:lineRule="exact"/>
        <w:ind w:firstLine="420"/>
        <w:rPr>
          <w:rFonts w:hint="eastAsia"/>
          <w:color w:val="auto"/>
          <w:highlight w:val="none"/>
        </w:rPr>
      </w:pPr>
      <w:r>
        <w:rPr>
          <w:rFonts w:hint="eastAsia"/>
          <w:color w:val="auto"/>
          <w:highlight w:val="none"/>
        </w:rPr>
        <w:t>7.符合条件的残疾人福利性单位在参加政府采购活动时，应当提供《残疾人福利性单位声明函》（见附件），并对声明的真实性负责；</w:t>
      </w:r>
      <w:r>
        <w:rPr>
          <w:rFonts w:hint="eastAsia"/>
          <w:b/>
          <w:bCs/>
          <w:color w:val="auto"/>
          <w:highlight w:val="none"/>
        </w:rPr>
        <w:t>（如有，请提供）</w:t>
      </w:r>
      <w:r>
        <w:rPr>
          <w:rFonts w:hint="eastAsia"/>
          <w:color w:val="auto"/>
          <w:highlight w:val="none"/>
        </w:rPr>
        <w:t>；</w:t>
      </w:r>
    </w:p>
    <w:p w14:paraId="18F86C21">
      <w:pPr>
        <w:pStyle w:val="23"/>
        <w:ind w:firstLine="420"/>
        <w:rPr>
          <w:rFonts w:hint="eastAsia"/>
          <w:color w:val="auto"/>
          <w:highlight w:val="none"/>
        </w:rPr>
      </w:pPr>
      <w:r>
        <w:rPr>
          <w:rFonts w:hint="eastAsia" w:ascii="宋体" w:hAnsi="宋体" w:eastAsia="宋体" w:cs="宋体"/>
          <w:color w:val="auto"/>
          <w:sz w:val="21"/>
          <w:szCs w:val="21"/>
          <w:highlight w:val="none"/>
          <w:lang w:val="en-US" w:eastAsia="zh-CN"/>
        </w:rPr>
        <w:t>8.</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关于符合本国产品标准的声明函</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（见附件）</w:t>
      </w:r>
      <w:r>
        <w:rPr>
          <w:rFonts w:hint="eastAsia" w:ascii="宋体" w:hAnsi="宋体" w:eastAsia="宋体" w:cs="宋体"/>
          <w:b/>
          <w:bCs/>
          <w:color w:val="auto"/>
          <w:sz w:val="21"/>
          <w:szCs w:val="21"/>
          <w:highlight w:val="none"/>
        </w:rPr>
        <w:t>（如有，请提供）</w:t>
      </w:r>
      <w:r>
        <w:rPr>
          <w:rFonts w:hint="eastAsia" w:ascii="宋体" w:hAnsi="宋体" w:eastAsia="宋体" w:cs="宋体"/>
          <w:color w:val="auto"/>
          <w:sz w:val="21"/>
          <w:szCs w:val="21"/>
          <w:highlight w:val="none"/>
        </w:rPr>
        <w:t>；</w:t>
      </w:r>
    </w:p>
    <w:p w14:paraId="4C2EE099">
      <w:pPr>
        <w:tabs>
          <w:tab w:val="left" w:pos="1305"/>
        </w:tabs>
        <w:spacing w:line="400" w:lineRule="exact"/>
        <w:ind w:firstLine="420"/>
        <w:outlineLvl w:val="9"/>
        <w:rPr>
          <w:rFonts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.项目实施方案</w:t>
      </w:r>
      <w:r>
        <w:rPr>
          <w:rFonts w:hint="eastAsia" w:ascii="宋体" w:hAnsi="宋体" w:cs="宋体"/>
          <w:b/>
          <w:bCs/>
          <w:color w:val="auto"/>
          <w:szCs w:val="21"/>
          <w:highlight w:val="none"/>
        </w:rPr>
        <w:t>（如有，请提供）</w:t>
      </w:r>
      <w:r>
        <w:rPr>
          <w:rFonts w:hint="eastAsia" w:ascii="宋体" w:hAnsi="宋体" w:cs="宋体"/>
          <w:color w:val="auto"/>
          <w:szCs w:val="21"/>
          <w:highlight w:val="none"/>
        </w:rPr>
        <w:t>；</w:t>
      </w:r>
    </w:p>
    <w:p w14:paraId="0E32EB47">
      <w:pPr>
        <w:tabs>
          <w:tab w:val="left" w:pos="1305"/>
        </w:tabs>
        <w:spacing w:line="400" w:lineRule="exact"/>
        <w:ind w:firstLine="420"/>
        <w:rPr>
          <w:rFonts w:hint="eastAsia"/>
          <w:color w:val="auto"/>
          <w:highlight w:val="none"/>
        </w:rPr>
      </w:pP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.供应商可结合本项目的评审办法视自身情况自行提交相关证明材料</w:t>
      </w:r>
      <w:r>
        <w:rPr>
          <w:rFonts w:hint="eastAsia" w:ascii="宋体" w:hAnsi="宋体" w:cs="宋体"/>
          <w:b/>
          <w:color w:val="auto"/>
          <w:highlight w:val="none"/>
        </w:rPr>
        <w:t>（如有，请提供）</w:t>
      </w:r>
      <w:r>
        <w:rPr>
          <w:rFonts w:hint="eastAsia" w:ascii="宋体" w:hAnsi="宋体" w:cs="宋体"/>
          <w:color w:val="auto"/>
          <w:szCs w:val="21"/>
          <w:highlight w:val="none"/>
        </w:rPr>
        <w:t>。</w:t>
      </w:r>
    </w:p>
    <w:p w14:paraId="1A43ECB2">
      <w:pPr>
        <w:spacing w:line="440" w:lineRule="exact"/>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供应商提供的以上相关证明材料属于“必须提供”的文件应加盖供应商公章（CA签章）/自然人签字或加盖个人CA签章，否则响应无效。</w:t>
      </w:r>
    </w:p>
    <w:p w14:paraId="27150407">
      <w:pPr>
        <w:spacing w:line="440" w:lineRule="exact"/>
        <w:ind w:firstLine="422"/>
        <w:rPr>
          <w:rFonts w:hint="eastAsia" w:ascii="宋体" w:hAnsi="宋体" w:cs="宋体"/>
          <w:b/>
          <w:bCs/>
          <w:color w:val="auto"/>
          <w:szCs w:val="21"/>
          <w:highlight w:val="none"/>
        </w:rPr>
      </w:pPr>
    </w:p>
    <w:p w14:paraId="5B28558A">
      <w:pPr>
        <w:spacing w:line="440" w:lineRule="exact"/>
        <w:ind w:firstLine="422"/>
        <w:rPr>
          <w:rFonts w:hint="eastAsia" w:ascii="宋体" w:hAnsi="宋体" w:cs="宋体"/>
          <w:b/>
          <w:bCs/>
          <w:color w:val="auto"/>
          <w:szCs w:val="21"/>
          <w:highlight w:val="none"/>
        </w:rPr>
      </w:pPr>
    </w:p>
    <w:p w14:paraId="2E099D5F">
      <w:pPr>
        <w:spacing w:line="440" w:lineRule="exact"/>
        <w:ind w:firstLine="422"/>
        <w:rPr>
          <w:rFonts w:hint="eastAsia" w:ascii="宋体" w:hAnsi="宋体" w:cs="宋体"/>
          <w:b/>
          <w:bCs/>
          <w:color w:val="auto"/>
          <w:szCs w:val="21"/>
          <w:highlight w:val="none"/>
        </w:rPr>
      </w:pPr>
    </w:p>
    <w:p w14:paraId="58B09BB4">
      <w:pPr>
        <w:spacing w:line="440" w:lineRule="exact"/>
        <w:ind w:firstLine="422"/>
        <w:rPr>
          <w:rFonts w:hint="eastAsia" w:ascii="宋体" w:hAnsi="宋体" w:cs="宋体"/>
          <w:b/>
          <w:bCs/>
          <w:color w:val="auto"/>
          <w:szCs w:val="21"/>
          <w:highlight w:val="none"/>
        </w:rPr>
      </w:pPr>
    </w:p>
    <w:p w14:paraId="7AB498EE">
      <w:pPr>
        <w:spacing w:line="440" w:lineRule="exact"/>
        <w:ind w:firstLine="422"/>
        <w:rPr>
          <w:rFonts w:hint="eastAsia" w:ascii="宋体" w:hAnsi="宋体" w:cs="宋体"/>
          <w:b/>
          <w:bCs/>
          <w:color w:val="auto"/>
          <w:szCs w:val="21"/>
          <w:highlight w:val="none"/>
        </w:rPr>
      </w:pPr>
    </w:p>
    <w:p w14:paraId="2008AC92">
      <w:pPr>
        <w:spacing w:line="440" w:lineRule="exact"/>
        <w:ind w:firstLine="422"/>
        <w:rPr>
          <w:rFonts w:hint="eastAsia" w:ascii="宋体" w:hAnsi="宋体" w:cs="宋体"/>
          <w:b/>
          <w:bCs/>
          <w:color w:val="auto"/>
          <w:szCs w:val="21"/>
          <w:highlight w:val="none"/>
        </w:rPr>
      </w:pPr>
    </w:p>
    <w:p w14:paraId="4417C535">
      <w:pPr>
        <w:spacing w:line="440" w:lineRule="exact"/>
        <w:ind w:firstLine="422"/>
        <w:rPr>
          <w:rFonts w:hint="eastAsia" w:ascii="宋体" w:hAnsi="宋体" w:cs="宋体"/>
          <w:b/>
          <w:bCs/>
          <w:color w:val="auto"/>
          <w:szCs w:val="21"/>
          <w:highlight w:val="none"/>
        </w:rPr>
      </w:pPr>
    </w:p>
    <w:p w14:paraId="44B9548D">
      <w:pPr>
        <w:spacing w:line="440" w:lineRule="exact"/>
        <w:ind w:firstLine="422"/>
        <w:rPr>
          <w:rFonts w:hint="eastAsia" w:ascii="宋体" w:hAnsi="宋体" w:cs="宋体"/>
          <w:b/>
          <w:bCs/>
          <w:color w:val="auto"/>
          <w:szCs w:val="21"/>
          <w:highlight w:val="none"/>
        </w:rPr>
      </w:pPr>
    </w:p>
    <w:p w14:paraId="0850E7DD">
      <w:pPr>
        <w:spacing w:line="440" w:lineRule="exact"/>
        <w:ind w:firstLine="422"/>
        <w:rPr>
          <w:rFonts w:hint="eastAsia" w:ascii="宋体" w:hAnsi="宋体" w:cs="宋体"/>
          <w:b/>
          <w:bCs/>
          <w:color w:val="auto"/>
          <w:szCs w:val="21"/>
          <w:highlight w:val="none"/>
        </w:rPr>
      </w:pPr>
    </w:p>
    <w:p w14:paraId="117463FA">
      <w:pPr>
        <w:spacing w:line="440" w:lineRule="exact"/>
        <w:ind w:firstLine="422"/>
        <w:rPr>
          <w:rFonts w:hint="eastAsia" w:ascii="宋体" w:hAnsi="宋体" w:cs="宋体"/>
          <w:b/>
          <w:bCs/>
          <w:color w:val="auto"/>
          <w:szCs w:val="21"/>
          <w:highlight w:val="none"/>
        </w:rPr>
      </w:pPr>
    </w:p>
    <w:p w14:paraId="79C7FF96">
      <w:pPr>
        <w:spacing w:line="440" w:lineRule="exact"/>
        <w:ind w:firstLine="422"/>
        <w:rPr>
          <w:rFonts w:hint="eastAsia" w:ascii="宋体" w:hAnsi="宋体" w:cs="宋体"/>
          <w:b/>
          <w:bCs/>
          <w:color w:val="auto"/>
          <w:szCs w:val="21"/>
          <w:highlight w:val="none"/>
        </w:rPr>
      </w:pPr>
    </w:p>
    <w:p w14:paraId="1559D20B">
      <w:pPr>
        <w:spacing w:line="440" w:lineRule="exact"/>
        <w:ind w:firstLine="422"/>
        <w:rPr>
          <w:rFonts w:hint="eastAsia" w:ascii="宋体" w:hAnsi="宋体" w:cs="宋体"/>
          <w:b/>
          <w:bCs/>
          <w:color w:val="auto"/>
          <w:szCs w:val="21"/>
          <w:highlight w:val="none"/>
        </w:rPr>
      </w:pPr>
    </w:p>
    <w:p w14:paraId="7540A94A">
      <w:pPr>
        <w:spacing w:line="440" w:lineRule="exact"/>
        <w:ind w:firstLine="422"/>
        <w:rPr>
          <w:rFonts w:hint="eastAsia" w:ascii="宋体" w:hAnsi="宋体" w:cs="宋体"/>
          <w:b/>
          <w:bCs/>
          <w:color w:val="auto"/>
          <w:szCs w:val="21"/>
          <w:highlight w:val="none"/>
        </w:rPr>
      </w:pPr>
    </w:p>
    <w:p w14:paraId="47AFA03C">
      <w:pPr>
        <w:spacing w:line="440" w:lineRule="exact"/>
        <w:ind w:firstLine="422"/>
        <w:rPr>
          <w:rFonts w:hint="eastAsia" w:ascii="宋体" w:hAnsi="宋体" w:cs="宋体"/>
          <w:b/>
          <w:bCs/>
          <w:color w:val="auto"/>
          <w:szCs w:val="21"/>
          <w:highlight w:val="none"/>
        </w:rPr>
      </w:pPr>
    </w:p>
    <w:p w14:paraId="06E96143">
      <w:pPr>
        <w:pStyle w:val="41"/>
        <w:rPr>
          <w:rFonts w:hint="eastAsia"/>
          <w:color w:val="auto"/>
          <w:highlight w:val="none"/>
        </w:rPr>
      </w:pPr>
    </w:p>
    <w:p w14:paraId="27207147">
      <w:pPr>
        <w:pStyle w:val="21"/>
        <w:rPr>
          <w:rFonts w:hint="eastAsia" w:hAnsi="宋体" w:cs="宋体"/>
          <w:b/>
          <w:bCs/>
          <w:color w:val="auto"/>
          <w:sz w:val="28"/>
          <w:szCs w:val="28"/>
          <w:highlight w:val="none"/>
        </w:rPr>
      </w:pPr>
      <w:r>
        <w:rPr>
          <w:rFonts w:hint="eastAsia" w:hAnsi="宋体" w:cs="宋体"/>
          <w:b/>
          <w:bCs/>
          <w:color w:val="auto"/>
          <w:sz w:val="28"/>
          <w:szCs w:val="28"/>
          <w:highlight w:val="none"/>
        </w:rPr>
        <w:t>1.项目实施人员一览表（如有，请提供）</w:t>
      </w:r>
    </w:p>
    <w:p w14:paraId="720D2584">
      <w:pPr>
        <w:pStyle w:val="21"/>
        <w:rPr>
          <w:rFonts w:hint="eastAsia" w:ascii="Times New Roman" w:hAnsi="Times New Roman"/>
          <w:b/>
          <w:bCs/>
          <w:color w:val="auto"/>
          <w:sz w:val="32"/>
          <w:szCs w:val="32"/>
          <w:highlight w:val="none"/>
        </w:rPr>
      </w:pPr>
      <w:r>
        <w:rPr>
          <w:rFonts w:hint="eastAsia" w:ascii="Times New Roman" w:hAnsi="Times New Roman"/>
          <w:b/>
          <w:bCs/>
          <w:color w:val="auto"/>
          <w:sz w:val="32"/>
          <w:szCs w:val="32"/>
          <w:highlight w:val="none"/>
        </w:rPr>
        <w:t>附件：</w:t>
      </w:r>
    </w:p>
    <w:p w14:paraId="33FB97EF">
      <w:pPr>
        <w:pStyle w:val="21"/>
        <w:ind w:firstLine="472"/>
        <w:jc w:val="center"/>
        <w:rPr>
          <w:rFonts w:ascii="Times New Roman" w:hAnsi="Times New Roman"/>
          <w:b/>
          <w:bCs/>
          <w:color w:val="auto"/>
          <w:sz w:val="32"/>
          <w:szCs w:val="32"/>
          <w:highlight w:val="none"/>
        </w:rPr>
      </w:pPr>
      <w:r>
        <w:rPr>
          <w:rFonts w:ascii="Times New Roman" w:hAnsi="Times New Roman"/>
          <w:b/>
          <w:bCs/>
          <w:color w:val="auto"/>
          <w:sz w:val="32"/>
          <w:szCs w:val="32"/>
          <w:highlight w:val="none"/>
        </w:rPr>
        <w:t>项目实施人员一览表（格式）</w:t>
      </w:r>
    </w:p>
    <w:tbl>
      <w:tblPr>
        <w:tblStyle w:val="4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993"/>
        <w:gridCol w:w="1888"/>
        <w:gridCol w:w="1559"/>
        <w:gridCol w:w="2163"/>
        <w:gridCol w:w="1477"/>
      </w:tblGrid>
      <w:tr w14:paraId="09D34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shd w:val="clear" w:color="auto" w:fill="8DB3E2"/>
            <w:noWrap w:val="0"/>
            <w:vAlign w:val="center"/>
          </w:tcPr>
          <w:p w14:paraId="674F1512">
            <w:pPr>
              <w:spacing w:line="400" w:lineRule="exact"/>
              <w:jc w:val="center"/>
              <w:rPr>
                <w:rFonts w:ascii="宋体" w:hAnsi="宋体" w:cs="宋体"/>
                <w:b/>
                <w:bCs/>
                <w:color w:val="auto"/>
                <w:szCs w:val="21"/>
                <w:highlight w:val="none"/>
              </w:rPr>
            </w:pPr>
            <w:r>
              <w:rPr>
                <w:rFonts w:hint="eastAsia" w:ascii="宋体" w:hAnsi="宋体" w:cs="宋体"/>
                <w:b/>
                <w:bCs/>
                <w:color w:val="auto"/>
                <w:szCs w:val="21"/>
                <w:highlight w:val="none"/>
              </w:rPr>
              <w:t>姓 名</w:t>
            </w:r>
          </w:p>
        </w:tc>
        <w:tc>
          <w:tcPr>
            <w:tcW w:w="993" w:type="dxa"/>
            <w:shd w:val="clear" w:color="auto" w:fill="8DB3E2"/>
            <w:noWrap w:val="0"/>
            <w:vAlign w:val="center"/>
          </w:tcPr>
          <w:p w14:paraId="44E473D9">
            <w:pPr>
              <w:spacing w:line="400" w:lineRule="exact"/>
              <w:jc w:val="center"/>
              <w:rPr>
                <w:rFonts w:ascii="宋体" w:hAnsi="宋体" w:cs="宋体"/>
                <w:b/>
                <w:bCs/>
                <w:color w:val="auto"/>
                <w:szCs w:val="21"/>
                <w:highlight w:val="none"/>
              </w:rPr>
            </w:pPr>
            <w:r>
              <w:rPr>
                <w:rFonts w:hint="eastAsia" w:ascii="宋体" w:hAnsi="宋体" w:cs="宋体"/>
                <w:b/>
                <w:bCs/>
                <w:color w:val="auto"/>
                <w:szCs w:val="21"/>
                <w:highlight w:val="none"/>
              </w:rPr>
              <w:t>职务</w:t>
            </w:r>
          </w:p>
        </w:tc>
        <w:tc>
          <w:tcPr>
            <w:tcW w:w="1888" w:type="dxa"/>
            <w:shd w:val="clear" w:color="auto" w:fill="8DB3E2"/>
            <w:noWrap w:val="0"/>
            <w:vAlign w:val="center"/>
          </w:tcPr>
          <w:p w14:paraId="48534D40">
            <w:pPr>
              <w:spacing w:line="400" w:lineRule="exact"/>
              <w:jc w:val="center"/>
              <w:rPr>
                <w:rFonts w:ascii="宋体" w:hAnsi="宋体" w:cs="宋体"/>
                <w:b/>
                <w:bCs/>
                <w:color w:val="auto"/>
                <w:szCs w:val="21"/>
                <w:highlight w:val="none"/>
              </w:rPr>
            </w:pPr>
            <w:r>
              <w:rPr>
                <w:rFonts w:hint="eastAsia" w:ascii="宋体" w:hAnsi="宋体" w:cs="宋体"/>
                <w:b/>
                <w:bCs/>
                <w:color w:val="auto"/>
                <w:szCs w:val="21"/>
                <w:highlight w:val="none"/>
              </w:rPr>
              <w:t>专业技术资格</w:t>
            </w:r>
          </w:p>
        </w:tc>
        <w:tc>
          <w:tcPr>
            <w:tcW w:w="1559" w:type="dxa"/>
            <w:shd w:val="clear" w:color="auto" w:fill="8DB3E2"/>
            <w:noWrap w:val="0"/>
            <w:vAlign w:val="center"/>
          </w:tcPr>
          <w:p w14:paraId="79F221E6">
            <w:pPr>
              <w:spacing w:line="400" w:lineRule="exact"/>
              <w:jc w:val="center"/>
              <w:rPr>
                <w:rFonts w:ascii="宋体" w:hAnsi="宋体" w:cs="宋体"/>
                <w:b/>
                <w:bCs/>
                <w:color w:val="auto"/>
                <w:szCs w:val="21"/>
                <w:highlight w:val="none"/>
              </w:rPr>
            </w:pPr>
            <w:r>
              <w:rPr>
                <w:rFonts w:hint="eastAsia" w:ascii="宋体" w:hAnsi="宋体" w:cs="宋体"/>
                <w:b/>
                <w:bCs/>
                <w:color w:val="auto"/>
                <w:szCs w:val="21"/>
                <w:highlight w:val="none"/>
              </w:rPr>
              <w:t>证书编号</w:t>
            </w:r>
          </w:p>
        </w:tc>
        <w:tc>
          <w:tcPr>
            <w:tcW w:w="2163" w:type="dxa"/>
            <w:shd w:val="clear" w:color="auto" w:fill="8DB3E2"/>
            <w:noWrap w:val="0"/>
            <w:vAlign w:val="center"/>
          </w:tcPr>
          <w:p w14:paraId="518B84E7">
            <w:pPr>
              <w:spacing w:line="400" w:lineRule="exact"/>
              <w:jc w:val="center"/>
              <w:rPr>
                <w:rFonts w:ascii="宋体" w:hAnsi="宋体" w:cs="宋体"/>
                <w:b/>
                <w:bCs/>
                <w:color w:val="auto"/>
                <w:szCs w:val="21"/>
                <w:highlight w:val="none"/>
              </w:rPr>
            </w:pPr>
            <w:r>
              <w:rPr>
                <w:rFonts w:hint="eastAsia" w:ascii="宋体" w:hAnsi="宋体" w:cs="宋体"/>
                <w:b/>
                <w:bCs/>
                <w:color w:val="auto"/>
                <w:szCs w:val="21"/>
                <w:highlight w:val="none"/>
              </w:rPr>
              <w:t>参加工作时间</w:t>
            </w:r>
          </w:p>
        </w:tc>
        <w:tc>
          <w:tcPr>
            <w:tcW w:w="1477" w:type="dxa"/>
            <w:shd w:val="clear" w:color="auto" w:fill="8DB3E2"/>
            <w:noWrap w:val="0"/>
            <w:vAlign w:val="center"/>
          </w:tcPr>
          <w:p w14:paraId="6577844D">
            <w:pPr>
              <w:spacing w:line="400" w:lineRule="exact"/>
              <w:jc w:val="center"/>
              <w:rPr>
                <w:rFonts w:ascii="宋体" w:hAnsi="宋体" w:cs="宋体"/>
                <w:b/>
                <w:bCs/>
                <w:color w:val="auto"/>
                <w:szCs w:val="21"/>
                <w:highlight w:val="none"/>
              </w:rPr>
            </w:pPr>
            <w:r>
              <w:rPr>
                <w:rFonts w:hint="eastAsia" w:ascii="宋体" w:hAnsi="宋体" w:cs="宋体"/>
                <w:b/>
                <w:bCs/>
                <w:color w:val="auto"/>
                <w:szCs w:val="21"/>
                <w:highlight w:val="none"/>
              </w:rPr>
              <w:t>备注</w:t>
            </w:r>
          </w:p>
        </w:tc>
      </w:tr>
      <w:tr w14:paraId="0F734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noWrap w:val="0"/>
            <w:vAlign w:val="top"/>
          </w:tcPr>
          <w:p w14:paraId="5AB739E5">
            <w:pPr>
              <w:spacing w:line="400" w:lineRule="exact"/>
              <w:rPr>
                <w:rFonts w:ascii="宋体" w:hAnsi="宋体" w:cs="宋体"/>
                <w:color w:val="auto"/>
                <w:szCs w:val="21"/>
                <w:highlight w:val="none"/>
              </w:rPr>
            </w:pPr>
          </w:p>
        </w:tc>
        <w:tc>
          <w:tcPr>
            <w:tcW w:w="993" w:type="dxa"/>
            <w:noWrap w:val="0"/>
            <w:vAlign w:val="top"/>
          </w:tcPr>
          <w:p w14:paraId="623EF207">
            <w:pPr>
              <w:spacing w:line="400" w:lineRule="exact"/>
              <w:rPr>
                <w:rFonts w:ascii="宋体" w:hAnsi="宋体" w:cs="宋体"/>
                <w:color w:val="auto"/>
                <w:szCs w:val="21"/>
                <w:highlight w:val="none"/>
              </w:rPr>
            </w:pPr>
          </w:p>
        </w:tc>
        <w:tc>
          <w:tcPr>
            <w:tcW w:w="1888" w:type="dxa"/>
            <w:noWrap w:val="0"/>
            <w:vAlign w:val="top"/>
          </w:tcPr>
          <w:p w14:paraId="07E8E23F">
            <w:pPr>
              <w:spacing w:line="400" w:lineRule="exact"/>
              <w:rPr>
                <w:rFonts w:ascii="宋体" w:hAnsi="宋体" w:cs="宋体"/>
                <w:color w:val="auto"/>
                <w:szCs w:val="21"/>
                <w:highlight w:val="none"/>
              </w:rPr>
            </w:pPr>
          </w:p>
        </w:tc>
        <w:tc>
          <w:tcPr>
            <w:tcW w:w="1559" w:type="dxa"/>
            <w:noWrap w:val="0"/>
            <w:vAlign w:val="top"/>
          </w:tcPr>
          <w:p w14:paraId="7EFFDC59">
            <w:pPr>
              <w:spacing w:line="400" w:lineRule="exact"/>
              <w:rPr>
                <w:rFonts w:ascii="宋体" w:hAnsi="宋体" w:cs="宋体"/>
                <w:color w:val="auto"/>
                <w:szCs w:val="21"/>
                <w:highlight w:val="none"/>
              </w:rPr>
            </w:pPr>
          </w:p>
        </w:tc>
        <w:tc>
          <w:tcPr>
            <w:tcW w:w="2163" w:type="dxa"/>
            <w:noWrap w:val="0"/>
            <w:vAlign w:val="top"/>
          </w:tcPr>
          <w:p w14:paraId="35EE1D2F">
            <w:pPr>
              <w:spacing w:line="400" w:lineRule="exact"/>
              <w:rPr>
                <w:rFonts w:ascii="宋体" w:hAnsi="宋体" w:cs="宋体"/>
                <w:color w:val="auto"/>
                <w:szCs w:val="21"/>
                <w:highlight w:val="none"/>
              </w:rPr>
            </w:pPr>
          </w:p>
        </w:tc>
        <w:tc>
          <w:tcPr>
            <w:tcW w:w="1477" w:type="dxa"/>
            <w:noWrap w:val="0"/>
            <w:vAlign w:val="top"/>
          </w:tcPr>
          <w:p w14:paraId="50A552C2">
            <w:pPr>
              <w:spacing w:line="400" w:lineRule="exact"/>
              <w:rPr>
                <w:rFonts w:ascii="宋体" w:hAnsi="宋体" w:cs="宋体"/>
                <w:color w:val="auto"/>
                <w:szCs w:val="21"/>
                <w:highlight w:val="none"/>
              </w:rPr>
            </w:pPr>
          </w:p>
        </w:tc>
      </w:tr>
      <w:tr w14:paraId="65307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noWrap w:val="0"/>
            <w:vAlign w:val="top"/>
          </w:tcPr>
          <w:p w14:paraId="501E7A73">
            <w:pPr>
              <w:spacing w:line="400" w:lineRule="exact"/>
              <w:rPr>
                <w:rFonts w:ascii="宋体" w:hAnsi="宋体" w:cs="宋体"/>
                <w:color w:val="auto"/>
                <w:szCs w:val="21"/>
                <w:highlight w:val="none"/>
              </w:rPr>
            </w:pPr>
          </w:p>
        </w:tc>
        <w:tc>
          <w:tcPr>
            <w:tcW w:w="993" w:type="dxa"/>
            <w:noWrap w:val="0"/>
            <w:vAlign w:val="top"/>
          </w:tcPr>
          <w:p w14:paraId="10E3F4DC">
            <w:pPr>
              <w:spacing w:line="400" w:lineRule="exact"/>
              <w:rPr>
                <w:rFonts w:ascii="宋体" w:hAnsi="宋体" w:cs="宋体"/>
                <w:color w:val="auto"/>
                <w:szCs w:val="21"/>
                <w:highlight w:val="none"/>
              </w:rPr>
            </w:pPr>
          </w:p>
        </w:tc>
        <w:tc>
          <w:tcPr>
            <w:tcW w:w="1888" w:type="dxa"/>
            <w:noWrap w:val="0"/>
            <w:vAlign w:val="top"/>
          </w:tcPr>
          <w:p w14:paraId="48F40915">
            <w:pPr>
              <w:spacing w:line="400" w:lineRule="exact"/>
              <w:rPr>
                <w:rFonts w:ascii="宋体" w:hAnsi="宋体" w:cs="宋体"/>
                <w:color w:val="auto"/>
                <w:szCs w:val="21"/>
                <w:highlight w:val="none"/>
              </w:rPr>
            </w:pPr>
          </w:p>
        </w:tc>
        <w:tc>
          <w:tcPr>
            <w:tcW w:w="1559" w:type="dxa"/>
            <w:noWrap w:val="0"/>
            <w:vAlign w:val="top"/>
          </w:tcPr>
          <w:p w14:paraId="5AA3AF0E">
            <w:pPr>
              <w:spacing w:line="400" w:lineRule="exact"/>
              <w:rPr>
                <w:rFonts w:ascii="宋体" w:hAnsi="宋体" w:cs="宋体"/>
                <w:color w:val="auto"/>
                <w:szCs w:val="21"/>
                <w:highlight w:val="none"/>
              </w:rPr>
            </w:pPr>
          </w:p>
        </w:tc>
        <w:tc>
          <w:tcPr>
            <w:tcW w:w="2163" w:type="dxa"/>
            <w:noWrap w:val="0"/>
            <w:vAlign w:val="top"/>
          </w:tcPr>
          <w:p w14:paraId="55168A1A">
            <w:pPr>
              <w:spacing w:line="400" w:lineRule="exact"/>
              <w:rPr>
                <w:rFonts w:ascii="宋体" w:hAnsi="宋体" w:cs="宋体"/>
                <w:color w:val="auto"/>
                <w:szCs w:val="21"/>
                <w:highlight w:val="none"/>
              </w:rPr>
            </w:pPr>
          </w:p>
        </w:tc>
        <w:tc>
          <w:tcPr>
            <w:tcW w:w="1477" w:type="dxa"/>
            <w:noWrap w:val="0"/>
            <w:vAlign w:val="top"/>
          </w:tcPr>
          <w:p w14:paraId="152D0D05">
            <w:pPr>
              <w:spacing w:line="400" w:lineRule="exact"/>
              <w:rPr>
                <w:rFonts w:ascii="宋体" w:hAnsi="宋体" w:cs="宋体"/>
                <w:color w:val="auto"/>
                <w:szCs w:val="21"/>
                <w:highlight w:val="none"/>
              </w:rPr>
            </w:pPr>
          </w:p>
        </w:tc>
      </w:tr>
      <w:tr w14:paraId="14DBD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noWrap w:val="0"/>
            <w:vAlign w:val="top"/>
          </w:tcPr>
          <w:p w14:paraId="613E0338">
            <w:pPr>
              <w:spacing w:line="400" w:lineRule="exact"/>
              <w:rPr>
                <w:rFonts w:ascii="宋体" w:hAnsi="宋体" w:cs="宋体"/>
                <w:color w:val="auto"/>
                <w:szCs w:val="21"/>
                <w:highlight w:val="none"/>
              </w:rPr>
            </w:pPr>
          </w:p>
        </w:tc>
        <w:tc>
          <w:tcPr>
            <w:tcW w:w="993" w:type="dxa"/>
            <w:noWrap w:val="0"/>
            <w:vAlign w:val="top"/>
          </w:tcPr>
          <w:p w14:paraId="4394BC8E">
            <w:pPr>
              <w:spacing w:line="400" w:lineRule="exact"/>
              <w:rPr>
                <w:rFonts w:ascii="宋体" w:hAnsi="宋体" w:cs="宋体"/>
                <w:color w:val="auto"/>
                <w:szCs w:val="21"/>
                <w:highlight w:val="none"/>
              </w:rPr>
            </w:pPr>
          </w:p>
        </w:tc>
        <w:tc>
          <w:tcPr>
            <w:tcW w:w="1888" w:type="dxa"/>
            <w:noWrap w:val="0"/>
            <w:vAlign w:val="top"/>
          </w:tcPr>
          <w:p w14:paraId="203A5EBC">
            <w:pPr>
              <w:spacing w:line="400" w:lineRule="exact"/>
              <w:rPr>
                <w:rFonts w:ascii="宋体" w:hAnsi="宋体" w:cs="宋体"/>
                <w:color w:val="auto"/>
                <w:szCs w:val="21"/>
                <w:highlight w:val="none"/>
              </w:rPr>
            </w:pPr>
          </w:p>
        </w:tc>
        <w:tc>
          <w:tcPr>
            <w:tcW w:w="1559" w:type="dxa"/>
            <w:noWrap w:val="0"/>
            <w:vAlign w:val="top"/>
          </w:tcPr>
          <w:p w14:paraId="7D5FF155">
            <w:pPr>
              <w:spacing w:line="400" w:lineRule="exact"/>
              <w:rPr>
                <w:rFonts w:ascii="宋体" w:hAnsi="宋体" w:cs="宋体"/>
                <w:color w:val="auto"/>
                <w:szCs w:val="21"/>
                <w:highlight w:val="none"/>
              </w:rPr>
            </w:pPr>
          </w:p>
        </w:tc>
        <w:tc>
          <w:tcPr>
            <w:tcW w:w="2163" w:type="dxa"/>
            <w:noWrap w:val="0"/>
            <w:vAlign w:val="top"/>
          </w:tcPr>
          <w:p w14:paraId="0E8DAD81">
            <w:pPr>
              <w:spacing w:line="400" w:lineRule="exact"/>
              <w:rPr>
                <w:rFonts w:ascii="宋体" w:hAnsi="宋体" w:cs="宋体"/>
                <w:color w:val="auto"/>
                <w:szCs w:val="21"/>
                <w:highlight w:val="none"/>
              </w:rPr>
            </w:pPr>
          </w:p>
        </w:tc>
        <w:tc>
          <w:tcPr>
            <w:tcW w:w="1477" w:type="dxa"/>
            <w:noWrap w:val="0"/>
            <w:vAlign w:val="top"/>
          </w:tcPr>
          <w:p w14:paraId="350A9FFF">
            <w:pPr>
              <w:spacing w:line="400" w:lineRule="exact"/>
              <w:rPr>
                <w:rFonts w:ascii="宋体" w:hAnsi="宋体" w:cs="宋体"/>
                <w:color w:val="auto"/>
                <w:szCs w:val="21"/>
                <w:highlight w:val="none"/>
              </w:rPr>
            </w:pPr>
          </w:p>
        </w:tc>
      </w:tr>
      <w:tr w14:paraId="327D1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noWrap w:val="0"/>
            <w:vAlign w:val="top"/>
          </w:tcPr>
          <w:p w14:paraId="2C79D7B0">
            <w:pPr>
              <w:spacing w:line="400" w:lineRule="exact"/>
              <w:rPr>
                <w:rFonts w:ascii="宋体" w:hAnsi="宋体" w:cs="宋体"/>
                <w:color w:val="auto"/>
                <w:szCs w:val="21"/>
                <w:highlight w:val="none"/>
              </w:rPr>
            </w:pPr>
          </w:p>
        </w:tc>
        <w:tc>
          <w:tcPr>
            <w:tcW w:w="993" w:type="dxa"/>
            <w:noWrap w:val="0"/>
            <w:vAlign w:val="top"/>
          </w:tcPr>
          <w:p w14:paraId="76B9BED9">
            <w:pPr>
              <w:spacing w:line="400" w:lineRule="exact"/>
              <w:rPr>
                <w:rFonts w:ascii="宋体" w:hAnsi="宋体" w:cs="宋体"/>
                <w:color w:val="auto"/>
                <w:szCs w:val="21"/>
                <w:highlight w:val="none"/>
              </w:rPr>
            </w:pPr>
          </w:p>
        </w:tc>
        <w:tc>
          <w:tcPr>
            <w:tcW w:w="1888" w:type="dxa"/>
            <w:noWrap w:val="0"/>
            <w:vAlign w:val="top"/>
          </w:tcPr>
          <w:p w14:paraId="69B8E749">
            <w:pPr>
              <w:spacing w:line="400" w:lineRule="exact"/>
              <w:rPr>
                <w:rFonts w:ascii="宋体" w:hAnsi="宋体" w:cs="宋体"/>
                <w:color w:val="auto"/>
                <w:szCs w:val="21"/>
                <w:highlight w:val="none"/>
              </w:rPr>
            </w:pPr>
          </w:p>
        </w:tc>
        <w:tc>
          <w:tcPr>
            <w:tcW w:w="1559" w:type="dxa"/>
            <w:noWrap w:val="0"/>
            <w:vAlign w:val="top"/>
          </w:tcPr>
          <w:p w14:paraId="4AEA1EFA">
            <w:pPr>
              <w:spacing w:line="400" w:lineRule="exact"/>
              <w:rPr>
                <w:rFonts w:ascii="宋体" w:hAnsi="宋体" w:cs="宋体"/>
                <w:color w:val="auto"/>
                <w:szCs w:val="21"/>
                <w:highlight w:val="none"/>
              </w:rPr>
            </w:pPr>
          </w:p>
        </w:tc>
        <w:tc>
          <w:tcPr>
            <w:tcW w:w="2163" w:type="dxa"/>
            <w:noWrap w:val="0"/>
            <w:vAlign w:val="top"/>
          </w:tcPr>
          <w:p w14:paraId="08C4BA53">
            <w:pPr>
              <w:spacing w:line="400" w:lineRule="exact"/>
              <w:rPr>
                <w:rFonts w:ascii="宋体" w:hAnsi="宋体" w:cs="宋体"/>
                <w:color w:val="auto"/>
                <w:szCs w:val="21"/>
                <w:highlight w:val="none"/>
              </w:rPr>
            </w:pPr>
          </w:p>
        </w:tc>
        <w:tc>
          <w:tcPr>
            <w:tcW w:w="1477" w:type="dxa"/>
            <w:noWrap w:val="0"/>
            <w:vAlign w:val="top"/>
          </w:tcPr>
          <w:p w14:paraId="7C7A51AB">
            <w:pPr>
              <w:spacing w:line="400" w:lineRule="exact"/>
              <w:rPr>
                <w:rFonts w:ascii="宋体" w:hAnsi="宋体" w:cs="宋体"/>
                <w:color w:val="auto"/>
                <w:szCs w:val="21"/>
                <w:highlight w:val="none"/>
              </w:rPr>
            </w:pPr>
          </w:p>
        </w:tc>
      </w:tr>
      <w:tr w14:paraId="2B255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noWrap w:val="0"/>
            <w:vAlign w:val="top"/>
          </w:tcPr>
          <w:p w14:paraId="3BD4DA69">
            <w:pPr>
              <w:spacing w:line="400" w:lineRule="exact"/>
              <w:rPr>
                <w:rFonts w:ascii="宋体" w:hAnsi="宋体" w:cs="宋体"/>
                <w:color w:val="auto"/>
                <w:szCs w:val="21"/>
                <w:highlight w:val="none"/>
              </w:rPr>
            </w:pPr>
          </w:p>
        </w:tc>
        <w:tc>
          <w:tcPr>
            <w:tcW w:w="993" w:type="dxa"/>
            <w:noWrap w:val="0"/>
            <w:vAlign w:val="top"/>
          </w:tcPr>
          <w:p w14:paraId="17E864F4">
            <w:pPr>
              <w:spacing w:line="400" w:lineRule="exact"/>
              <w:rPr>
                <w:rFonts w:ascii="宋体" w:hAnsi="宋体" w:cs="宋体"/>
                <w:color w:val="auto"/>
                <w:szCs w:val="21"/>
                <w:highlight w:val="none"/>
              </w:rPr>
            </w:pPr>
          </w:p>
        </w:tc>
        <w:tc>
          <w:tcPr>
            <w:tcW w:w="1888" w:type="dxa"/>
            <w:noWrap w:val="0"/>
            <w:vAlign w:val="top"/>
          </w:tcPr>
          <w:p w14:paraId="3139141E">
            <w:pPr>
              <w:spacing w:line="400" w:lineRule="exact"/>
              <w:rPr>
                <w:rFonts w:ascii="宋体" w:hAnsi="宋体" w:cs="宋体"/>
                <w:color w:val="auto"/>
                <w:szCs w:val="21"/>
                <w:highlight w:val="none"/>
              </w:rPr>
            </w:pPr>
          </w:p>
        </w:tc>
        <w:tc>
          <w:tcPr>
            <w:tcW w:w="1559" w:type="dxa"/>
            <w:noWrap w:val="0"/>
            <w:vAlign w:val="top"/>
          </w:tcPr>
          <w:p w14:paraId="5858E8AB">
            <w:pPr>
              <w:spacing w:line="400" w:lineRule="exact"/>
              <w:rPr>
                <w:rFonts w:ascii="宋体" w:hAnsi="宋体" w:cs="宋体"/>
                <w:color w:val="auto"/>
                <w:szCs w:val="21"/>
                <w:highlight w:val="none"/>
              </w:rPr>
            </w:pPr>
          </w:p>
        </w:tc>
        <w:tc>
          <w:tcPr>
            <w:tcW w:w="2163" w:type="dxa"/>
            <w:noWrap w:val="0"/>
            <w:vAlign w:val="top"/>
          </w:tcPr>
          <w:p w14:paraId="6C236303">
            <w:pPr>
              <w:spacing w:line="400" w:lineRule="exact"/>
              <w:rPr>
                <w:rFonts w:ascii="宋体" w:hAnsi="宋体" w:cs="宋体"/>
                <w:color w:val="auto"/>
                <w:szCs w:val="21"/>
                <w:highlight w:val="none"/>
              </w:rPr>
            </w:pPr>
          </w:p>
        </w:tc>
        <w:tc>
          <w:tcPr>
            <w:tcW w:w="1477" w:type="dxa"/>
            <w:noWrap w:val="0"/>
            <w:vAlign w:val="top"/>
          </w:tcPr>
          <w:p w14:paraId="2F928BE0">
            <w:pPr>
              <w:spacing w:line="400" w:lineRule="exact"/>
              <w:rPr>
                <w:rFonts w:ascii="宋体" w:hAnsi="宋体" w:cs="宋体"/>
                <w:color w:val="auto"/>
                <w:szCs w:val="21"/>
                <w:highlight w:val="none"/>
              </w:rPr>
            </w:pPr>
          </w:p>
        </w:tc>
      </w:tr>
      <w:tr w14:paraId="11480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noWrap w:val="0"/>
            <w:vAlign w:val="top"/>
          </w:tcPr>
          <w:p w14:paraId="564F4CBC">
            <w:pPr>
              <w:spacing w:line="400" w:lineRule="exact"/>
              <w:rPr>
                <w:rFonts w:ascii="宋体" w:hAnsi="宋体" w:cs="宋体"/>
                <w:color w:val="auto"/>
                <w:szCs w:val="21"/>
                <w:highlight w:val="none"/>
              </w:rPr>
            </w:pPr>
          </w:p>
        </w:tc>
        <w:tc>
          <w:tcPr>
            <w:tcW w:w="993" w:type="dxa"/>
            <w:noWrap w:val="0"/>
            <w:vAlign w:val="top"/>
          </w:tcPr>
          <w:p w14:paraId="582D0DE5">
            <w:pPr>
              <w:spacing w:line="400" w:lineRule="exact"/>
              <w:rPr>
                <w:rFonts w:ascii="宋体" w:hAnsi="宋体" w:cs="宋体"/>
                <w:color w:val="auto"/>
                <w:szCs w:val="21"/>
                <w:highlight w:val="none"/>
              </w:rPr>
            </w:pPr>
          </w:p>
        </w:tc>
        <w:tc>
          <w:tcPr>
            <w:tcW w:w="1888" w:type="dxa"/>
            <w:noWrap w:val="0"/>
            <w:vAlign w:val="top"/>
          </w:tcPr>
          <w:p w14:paraId="488B5A2B">
            <w:pPr>
              <w:spacing w:line="400" w:lineRule="exact"/>
              <w:rPr>
                <w:rFonts w:ascii="宋体" w:hAnsi="宋体" w:cs="宋体"/>
                <w:color w:val="auto"/>
                <w:szCs w:val="21"/>
                <w:highlight w:val="none"/>
              </w:rPr>
            </w:pPr>
          </w:p>
        </w:tc>
        <w:tc>
          <w:tcPr>
            <w:tcW w:w="1559" w:type="dxa"/>
            <w:noWrap w:val="0"/>
            <w:vAlign w:val="top"/>
          </w:tcPr>
          <w:p w14:paraId="3690E695">
            <w:pPr>
              <w:spacing w:line="400" w:lineRule="exact"/>
              <w:rPr>
                <w:rFonts w:ascii="宋体" w:hAnsi="宋体" w:cs="宋体"/>
                <w:color w:val="auto"/>
                <w:szCs w:val="21"/>
                <w:highlight w:val="none"/>
              </w:rPr>
            </w:pPr>
          </w:p>
        </w:tc>
        <w:tc>
          <w:tcPr>
            <w:tcW w:w="2163" w:type="dxa"/>
            <w:noWrap w:val="0"/>
            <w:vAlign w:val="top"/>
          </w:tcPr>
          <w:p w14:paraId="3256301A">
            <w:pPr>
              <w:spacing w:line="400" w:lineRule="exact"/>
              <w:rPr>
                <w:rFonts w:ascii="宋体" w:hAnsi="宋体" w:cs="宋体"/>
                <w:color w:val="auto"/>
                <w:szCs w:val="21"/>
                <w:highlight w:val="none"/>
              </w:rPr>
            </w:pPr>
          </w:p>
        </w:tc>
        <w:tc>
          <w:tcPr>
            <w:tcW w:w="1477" w:type="dxa"/>
            <w:noWrap w:val="0"/>
            <w:vAlign w:val="top"/>
          </w:tcPr>
          <w:p w14:paraId="1BD1C1DA">
            <w:pPr>
              <w:spacing w:line="400" w:lineRule="exact"/>
              <w:rPr>
                <w:rFonts w:ascii="宋体" w:hAnsi="宋体" w:cs="宋体"/>
                <w:color w:val="auto"/>
                <w:szCs w:val="21"/>
                <w:highlight w:val="none"/>
              </w:rPr>
            </w:pPr>
          </w:p>
        </w:tc>
      </w:tr>
    </w:tbl>
    <w:p w14:paraId="5708A61C">
      <w:pPr>
        <w:spacing w:line="400" w:lineRule="exact"/>
        <w:rPr>
          <w:color w:val="auto"/>
          <w:szCs w:val="21"/>
          <w:highlight w:val="none"/>
        </w:rPr>
      </w:pPr>
      <w:r>
        <w:rPr>
          <w:color w:val="auto"/>
          <w:szCs w:val="21"/>
          <w:highlight w:val="none"/>
        </w:rPr>
        <w:t>注：1.在填写时，如本表格不适合供应商的实际情况，可根据本表格式自行制表填写。</w:t>
      </w:r>
    </w:p>
    <w:p w14:paraId="4FE1888E">
      <w:pPr>
        <w:spacing w:line="400" w:lineRule="exact"/>
        <w:ind w:left="420"/>
        <w:rPr>
          <w:color w:val="auto"/>
          <w:szCs w:val="21"/>
          <w:highlight w:val="none"/>
        </w:rPr>
      </w:pPr>
      <w:r>
        <w:rPr>
          <w:color w:val="auto"/>
          <w:szCs w:val="21"/>
          <w:highlight w:val="none"/>
        </w:rPr>
        <w:t>2.项目实施人员一览表须由法定代表人、负责人、自然人或相应的委托代理人签字</w:t>
      </w:r>
      <w:r>
        <w:rPr>
          <w:color w:val="auto"/>
          <w:highlight w:val="none"/>
        </w:rPr>
        <w:t>（属自然人的应在签名处加盖大拇指指印）</w:t>
      </w:r>
      <w:r>
        <w:rPr>
          <w:color w:val="auto"/>
          <w:szCs w:val="21"/>
          <w:highlight w:val="none"/>
        </w:rPr>
        <w:t>并加盖供应商公章</w:t>
      </w:r>
      <w:r>
        <w:rPr>
          <w:color w:val="auto"/>
          <w:highlight w:val="none"/>
        </w:rPr>
        <w:t>（自然人除外）</w:t>
      </w:r>
      <w:r>
        <w:rPr>
          <w:color w:val="auto"/>
          <w:szCs w:val="21"/>
          <w:highlight w:val="none"/>
        </w:rPr>
        <w:t>。</w:t>
      </w:r>
    </w:p>
    <w:p w14:paraId="527BC6D2">
      <w:pPr>
        <w:pStyle w:val="21"/>
        <w:spacing w:line="400" w:lineRule="exact"/>
        <w:rPr>
          <w:rFonts w:ascii="Times New Roman" w:hAnsi="Times New Roman"/>
          <w:color w:val="auto"/>
          <w:highlight w:val="none"/>
        </w:rPr>
      </w:pPr>
    </w:p>
    <w:p w14:paraId="2CF31CD6">
      <w:pPr>
        <w:spacing w:line="400" w:lineRule="exact"/>
        <w:ind w:firstLine="3570"/>
        <w:rPr>
          <w:rFonts w:ascii="Times New Roman" w:hAnsi="Times New Roman"/>
          <w:color w:val="auto"/>
          <w:highlight w:val="none"/>
        </w:rPr>
      </w:pPr>
      <w:r>
        <w:rPr>
          <w:color w:val="auto"/>
          <w:szCs w:val="21"/>
          <w:highlight w:val="none"/>
        </w:rPr>
        <w:t>供应商（</w:t>
      </w:r>
      <w:r>
        <w:rPr>
          <w:rFonts w:hint="eastAsia" w:ascii="宋体" w:hAnsi="宋体" w:cs="宋体"/>
          <w:color w:val="auto"/>
          <w:szCs w:val="21"/>
          <w:highlight w:val="none"/>
        </w:rPr>
        <w:t>公章(CA签章)，自然人签字或个人CA签章</w:t>
      </w:r>
      <w:r>
        <w:rPr>
          <w:color w:val="auto"/>
          <w:szCs w:val="21"/>
          <w:highlight w:val="none"/>
        </w:rPr>
        <w:t>）：</w:t>
      </w:r>
      <w:r>
        <w:rPr>
          <w:color w:val="auto"/>
          <w:szCs w:val="21"/>
          <w:highlight w:val="none"/>
          <w:u w:val="single"/>
        </w:rPr>
        <w:t xml:space="preserve">                           </w:t>
      </w:r>
    </w:p>
    <w:p w14:paraId="61D7DC97">
      <w:pPr>
        <w:pStyle w:val="21"/>
        <w:ind w:firstLine="3400"/>
        <w:rPr>
          <w:rFonts w:ascii="Times New Roman" w:hAnsi="Times New Roman"/>
          <w:color w:val="auto"/>
          <w:highlight w:val="none"/>
        </w:rPr>
      </w:pPr>
    </w:p>
    <w:p w14:paraId="4FFAF686">
      <w:pPr>
        <w:pStyle w:val="21"/>
        <w:ind w:firstLine="3400"/>
        <w:rPr>
          <w:rFonts w:hint="eastAsia" w:cs="宋体"/>
          <w:color w:val="auto"/>
          <w:sz w:val="30"/>
          <w:szCs w:val="30"/>
          <w:highlight w:val="none"/>
        </w:rPr>
      </w:pPr>
      <w:r>
        <w:rPr>
          <w:rFonts w:ascii="Times New Roman" w:hAnsi="Times New Roman"/>
          <w:color w:val="auto"/>
          <w:highlight w:val="none"/>
        </w:rPr>
        <w:t>日          期：</w:t>
      </w:r>
      <w:r>
        <w:rPr>
          <w:rFonts w:ascii="Times New Roman" w:hAnsi="Times New Roman"/>
          <w:color w:val="auto"/>
          <w:highlight w:val="none"/>
          <w:u w:val="single"/>
        </w:rPr>
        <w:t xml:space="preserve">                             </w:t>
      </w:r>
    </w:p>
    <w:p w14:paraId="45F7770D">
      <w:pPr>
        <w:spacing w:line="360" w:lineRule="auto"/>
        <w:rPr>
          <w:rFonts w:hint="eastAsia" w:ascii="宋体" w:cs="宋体"/>
          <w:b/>
          <w:bCs/>
          <w:color w:val="auto"/>
          <w:sz w:val="28"/>
          <w:szCs w:val="28"/>
          <w:highlight w:val="none"/>
        </w:rPr>
      </w:pPr>
      <w:r>
        <w:rPr>
          <w:rFonts w:hint="eastAsia" w:ascii="宋体" w:cs="宋体"/>
          <w:b/>
          <w:bCs/>
          <w:color w:val="auto"/>
          <w:sz w:val="28"/>
          <w:szCs w:val="28"/>
          <w:highlight w:val="none"/>
        </w:rPr>
        <w:t>注：供应商根据自身情况结合本项目自行制定</w:t>
      </w:r>
    </w:p>
    <w:p w14:paraId="0FD5FE56">
      <w:pPr>
        <w:rPr>
          <w:rFonts w:hint="eastAsia" w:ascii="宋体" w:cs="宋体"/>
          <w:b/>
          <w:bCs/>
          <w:color w:val="auto"/>
          <w:sz w:val="28"/>
          <w:szCs w:val="28"/>
          <w:highlight w:val="none"/>
        </w:rPr>
      </w:pPr>
    </w:p>
    <w:p w14:paraId="4393DAE8">
      <w:pPr>
        <w:pStyle w:val="13"/>
        <w:ind w:firstLine="0"/>
        <w:rPr>
          <w:rFonts w:hint="eastAsia"/>
          <w:color w:val="auto"/>
          <w:sz w:val="28"/>
          <w:szCs w:val="28"/>
          <w:highlight w:val="none"/>
        </w:rPr>
      </w:pPr>
    </w:p>
    <w:p w14:paraId="2836C392">
      <w:pPr>
        <w:rPr>
          <w:rFonts w:hint="eastAsia"/>
          <w:color w:val="auto"/>
          <w:sz w:val="28"/>
          <w:szCs w:val="28"/>
          <w:highlight w:val="none"/>
        </w:rPr>
      </w:pPr>
    </w:p>
    <w:p w14:paraId="65C4DD8C">
      <w:pPr>
        <w:tabs>
          <w:tab w:val="left" w:pos="1305"/>
        </w:tabs>
        <w:spacing w:line="400" w:lineRule="exact"/>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2.节能方面的证书扫描件（如有，请提供）；</w:t>
      </w:r>
    </w:p>
    <w:p w14:paraId="68F88FCC">
      <w:pPr>
        <w:tabs>
          <w:tab w:val="left" w:pos="1305"/>
        </w:tabs>
        <w:spacing w:line="400" w:lineRule="exact"/>
        <w:rPr>
          <w:rFonts w:hint="eastAsia" w:ascii="宋体" w:hAnsi="宋体" w:cs="宋体"/>
          <w:b/>
          <w:bCs/>
          <w:color w:val="auto"/>
          <w:sz w:val="28"/>
          <w:szCs w:val="28"/>
          <w:highlight w:val="none"/>
        </w:rPr>
      </w:pPr>
    </w:p>
    <w:p w14:paraId="2E8B7CA8">
      <w:pPr>
        <w:tabs>
          <w:tab w:val="left" w:pos="1305"/>
        </w:tabs>
        <w:spacing w:line="400" w:lineRule="exact"/>
        <w:rPr>
          <w:rFonts w:hint="eastAsia" w:ascii="宋体" w:hAnsi="宋体" w:cs="宋体"/>
          <w:b/>
          <w:bCs/>
          <w:color w:val="auto"/>
          <w:sz w:val="28"/>
          <w:szCs w:val="28"/>
          <w:highlight w:val="none"/>
        </w:rPr>
      </w:pPr>
    </w:p>
    <w:p w14:paraId="5D1F0BFA">
      <w:pPr>
        <w:tabs>
          <w:tab w:val="left" w:pos="1305"/>
        </w:tabs>
        <w:spacing w:line="400" w:lineRule="exact"/>
        <w:rPr>
          <w:rFonts w:hint="eastAsia" w:ascii="宋体" w:hAnsi="宋体" w:cs="宋体"/>
          <w:b/>
          <w:bCs/>
          <w:color w:val="auto"/>
          <w:sz w:val="28"/>
          <w:szCs w:val="28"/>
          <w:highlight w:val="none"/>
        </w:rPr>
      </w:pPr>
    </w:p>
    <w:p w14:paraId="2B224297">
      <w:pPr>
        <w:tabs>
          <w:tab w:val="left" w:pos="1305"/>
        </w:tabs>
        <w:spacing w:line="400" w:lineRule="exact"/>
        <w:rPr>
          <w:rFonts w:hint="eastAsia" w:ascii="宋体" w:hAnsi="宋体" w:cs="宋体"/>
          <w:b/>
          <w:bCs/>
          <w:color w:val="auto"/>
          <w:sz w:val="28"/>
          <w:szCs w:val="28"/>
          <w:highlight w:val="none"/>
        </w:rPr>
      </w:pPr>
    </w:p>
    <w:p w14:paraId="29B6AFA8">
      <w:pPr>
        <w:tabs>
          <w:tab w:val="left" w:pos="1305"/>
        </w:tabs>
        <w:spacing w:line="400" w:lineRule="exact"/>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3.环境标志方面的证书扫描件（如有，请提供）；</w:t>
      </w:r>
    </w:p>
    <w:p w14:paraId="42F2C651">
      <w:pPr>
        <w:tabs>
          <w:tab w:val="left" w:pos="1305"/>
        </w:tabs>
        <w:spacing w:line="400" w:lineRule="exact"/>
        <w:rPr>
          <w:rFonts w:hint="eastAsia" w:ascii="宋体" w:hAnsi="宋体" w:cs="宋体"/>
          <w:b/>
          <w:bCs/>
          <w:color w:val="auto"/>
          <w:sz w:val="28"/>
          <w:szCs w:val="28"/>
          <w:highlight w:val="none"/>
        </w:rPr>
      </w:pPr>
    </w:p>
    <w:p w14:paraId="61650067">
      <w:pPr>
        <w:tabs>
          <w:tab w:val="left" w:pos="1305"/>
        </w:tabs>
        <w:spacing w:line="400" w:lineRule="exact"/>
        <w:rPr>
          <w:rFonts w:hint="eastAsia" w:ascii="宋体" w:hAnsi="宋体" w:cs="宋体"/>
          <w:b/>
          <w:bCs/>
          <w:color w:val="auto"/>
          <w:sz w:val="28"/>
          <w:szCs w:val="28"/>
          <w:highlight w:val="none"/>
        </w:rPr>
      </w:pPr>
    </w:p>
    <w:p w14:paraId="4ADE3C47">
      <w:pPr>
        <w:tabs>
          <w:tab w:val="left" w:pos="1305"/>
        </w:tabs>
        <w:spacing w:line="400" w:lineRule="exact"/>
        <w:rPr>
          <w:rFonts w:hint="eastAsia" w:ascii="宋体" w:hAnsi="宋体" w:cs="宋体"/>
          <w:b/>
          <w:bCs/>
          <w:color w:val="auto"/>
          <w:sz w:val="28"/>
          <w:szCs w:val="28"/>
          <w:highlight w:val="none"/>
        </w:rPr>
      </w:pPr>
    </w:p>
    <w:p w14:paraId="0B0B832A">
      <w:pPr>
        <w:tabs>
          <w:tab w:val="left" w:pos="1305"/>
        </w:tabs>
        <w:spacing w:line="400" w:lineRule="exact"/>
        <w:rPr>
          <w:rFonts w:hint="eastAsia" w:ascii="宋体" w:hAnsi="宋体" w:cs="宋体"/>
          <w:b/>
          <w:bCs/>
          <w:color w:val="auto"/>
          <w:sz w:val="28"/>
          <w:szCs w:val="28"/>
          <w:highlight w:val="none"/>
        </w:rPr>
      </w:pPr>
    </w:p>
    <w:p w14:paraId="7A180EBE">
      <w:pPr>
        <w:tabs>
          <w:tab w:val="left" w:pos="1305"/>
        </w:tabs>
        <w:spacing w:line="400" w:lineRule="exact"/>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4.供应商自2023年1月1日以来具有同类产品的销售业绩 [以中标（成交）通知书或采购合同扫描件加盖电子签章为准（能清晰反映所销售的货物名称、种类、金额)，否则将不予计分；同一个编号的项目有两个或两个以上的分标中标的只算一次]（如有，请提供）；</w:t>
      </w:r>
    </w:p>
    <w:p w14:paraId="311F6F10">
      <w:pPr>
        <w:pStyle w:val="21"/>
        <w:spacing w:line="340" w:lineRule="exact"/>
        <w:rPr>
          <w:rFonts w:hint="eastAsia"/>
          <w:b/>
          <w:color w:val="auto"/>
          <w:sz w:val="28"/>
          <w:szCs w:val="28"/>
          <w:highlight w:val="none"/>
        </w:rPr>
      </w:pPr>
      <w:bookmarkStart w:id="1012" w:name="_Toc9978"/>
      <w:bookmarkEnd w:id="1012"/>
      <w:bookmarkStart w:id="1013" w:name="_Toc11660"/>
      <w:bookmarkEnd w:id="1013"/>
      <w:bookmarkStart w:id="1014" w:name="_Toc497927091"/>
      <w:bookmarkEnd w:id="1014"/>
      <w:r>
        <w:rPr>
          <w:rFonts w:hint="eastAsia"/>
          <w:b/>
          <w:color w:val="auto"/>
          <w:sz w:val="28"/>
          <w:szCs w:val="28"/>
          <w:highlight w:val="none"/>
        </w:rPr>
        <w:t>5.《中小企业声明函》（见附件）（如有，请提供）；</w:t>
      </w:r>
    </w:p>
    <w:p w14:paraId="6880EC6E">
      <w:pPr>
        <w:pStyle w:val="21"/>
        <w:rPr>
          <w:rFonts w:hint="eastAsia" w:ascii="Times New Roman" w:hAnsi="Times New Roman"/>
          <w:b/>
          <w:bCs/>
          <w:color w:val="auto"/>
          <w:sz w:val="32"/>
          <w:szCs w:val="32"/>
          <w:highlight w:val="none"/>
        </w:rPr>
      </w:pPr>
      <w:r>
        <w:rPr>
          <w:rFonts w:hint="eastAsia" w:ascii="Times New Roman" w:hAnsi="Times New Roman"/>
          <w:b/>
          <w:bCs/>
          <w:color w:val="auto"/>
          <w:sz w:val="32"/>
          <w:szCs w:val="32"/>
          <w:highlight w:val="none"/>
        </w:rPr>
        <w:t>附件：</w:t>
      </w:r>
    </w:p>
    <w:p w14:paraId="261021FF">
      <w:pPr>
        <w:pStyle w:val="241"/>
        <w:spacing w:after="0" w:line="400" w:lineRule="exact"/>
        <w:rPr>
          <w:b/>
          <w:color w:val="auto"/>
          <w:sz w:val="24"/>
          <w:szCs w:val="24"/>
          <w:highlight w:val="none"/>
        </w:rPr>
      </w:pPr>
      <w:r>
        <w:rPr>
          <w:rFonts w:hint="eastAsia"/>
          <w:b/>
          <w:color w:val="auto"/>
          <w:sz w:val="24"/>
          <w:szCs w:val="24"/>
          <w:highlight w:val="none"/>
        </w:rPr>
        <w:t>中小企业声明函(货物)</w:t>
      </w:r>
    </w:p>
    <w:p w14:paraId="6072430F">
      <w:pPr>
        <w:pStyle w:val="241"/>
        <w:spacing w:after="0" w:line="400" w:lineRule="exact"/>
        <w:rPr>
          <w:rFonts w:hint="eastAsia"/>
          <w:color w:val="auto"/>
          <w:sz w:val="24"/>
          <w:szCs w:val="24"/>
          <w:highlight w:val="none"/>
        </w:rPr>
      </w:pPr>
    </w:p>
    <w:p w14:paraId="79B020C8">
      <w:pPr>
        <w:pStyle w:val="237"/>
        <w:spacing w:line="400" w:lineRule="exact"/>
        <w:ind w:firstLine="640"/>
        <w:jc w:val="both"/>
        <w:rPr>
          <w:rFonts w:hint="eastAsia"/>
          <w:color w:val="auto"/>
          <w:sz w:val="24"/>
          <w:szCs w:val="24"/>
          <w:highlight w:val="none"/>
        </w:rPr>
      </w:pPr>
      <w:r>
        <w:rPr>
          <w:rFonts w:hint="eastAsia"/>
          <w:color w:val="auto"/>
          <w:sz w:val="24"/>
          <w:szCs w:val="24"/>
          <w:highlight w:val="none"/>
        </w:rPr>
        <w:t>本公司（联合体）郑重声明，根据《政府采购促进中小企业发展管理办法》（财库〔2020〕46号）的规定，本公司 （联合体）参加</w:t>
      </w:r>
      <w:r>
        <w:rPr>
          <w:rFonts w:hint="eastAsia"/>
          <w:color w:val="auto"/>
          <w:sz w:val="24"/>
          <w:szCs w:val="24"/>
          <w:highlight w:val="none"/>
          <w:u w:val="single"/>
        </w:rPr>
        <w:t>（单位名称）</w:t>
      </w:r>
      <w:r>
        <w:rPr>
          <w:rFonts w:hint="eastAsia"/>
          <w:color w:val="auto"/>
          <w:sz w:val="24"/>
          <w:szCs w:val="24"/>
          <w:highlight w:val="none"/>
        </w:rPr>
        <w:t>的</w:t>
      </w:r>
      <w:r>
        <w:rPr>
          <w:rFonts w:hint="eastAsia"/>
          <w:color w:val="auto"/>
          <w:sz w:val="24"/>
          <w:szCs w:val="24"/>
          <w:highlight w:val="none"/>
          <w:u w:val="single"/>
        </w:rPr>
        <w:t>（项目名称）</w:t>
      </w:r>
      <w:r>
        <w:rPr>
          <w:rFonts w:hint="eastAsia"/>
          <w:color w:val="auto"/>
          <w:sz w:val="24"/>
          <w:szCs w:val="24"/>
          <w:highlight w:val="none"/>
        </w:rPr>
        <w:t>釆购活动,提供的货物全部由符合政策要求的中小企业制造。相关企业（含联合体中的中小企业、签订分包意向协议的中小企业）的具体情况如下：</w:t>
      </w:r>
    </w:p>
    <w:p w14:paraId="55698824">
      <w:pPr>
        <w:pStyle w:val="237"/>
        <w:spacing w:line="400" w:lineRule="exact"/>
        <w:ind w:firstLine="640"/>
        <w:jc w:val="both"/>
        <w:rPr>
          <w:rFonts w:hint="eastAsia"/>
          <w:color w:val="auto"/>
          <w:sz w:val="24"/>
          <w:szCs w:val="24"/>
          <w:highlight w:val="none"/>
        </w:rPr>
      </w:pPr>
      <w:r>
        <w:rPr>
          <w:rFonts w:hint="eastAsia"/>
          <w:color w:val="auto"/>
          <w:sz w:val="24"/>
          <w:szCs w:val="24"/>
          <w:highlight w:val="none"/>
        </w:rPr>
        <w:t>1.</w:t>
      </w:r>
      <w:r>
        <w:rPr>
          <w:rFonts w:hint="eastAsia"/>
          <w:color w:val="auto"/>
          <w:sz w:val="24"/>
          <w:szCs w:val="24"/>
          <w:highlight w:val="none"/>
          <w:u w:val="single"/>
        </w:rPr>
        <w:t xml:space="preserve">     （标的名称）</w:t>
      </w:r>
      <w:r>
        <w:rPr>
          <w:rFonts w:hint="eastAsia"/>
          <w:color w:val="auto"/>
          <w:sz w:val="24"/>
          <w:szCs w:val="24"/>
          <w:highlight w:val="none"/>
        </w:rPr>
        <w:t>，属于</w:t>
      </w:r>
      <w:r>
        <w:rPr>
          <w:rFonts w:hint="eastAsia"/>
          <w:color w:val="auto"/>
          <w:sz w:val="24"/>
          <w:szCs w:val="24"/>
          <w:highlight w:val="none"/>
          <w:u w:val="single"/>
        </w:rPr>
        <w:t xml:space="preserve">     （釆购文件中明确的所属行业）行业</w:t>
      </w:r>
      <w:r>
        <w:rPr>
          <w:rFonts w:hint="eastAsia"/>
          <w:color w:val="auto"/>
          <w:sz w:val="24"/>
          <w:szCs w:val="24"/>
          <w:highlight w:val="none"/>
        </w:rPr>
        <w:t>；制造商为</w:t>
      </w:r>
      <w:r>
        <w:rPr>
          <w:rFonts w:hint="eastAsia"/>
          <w:color w:val="auto"/>
          <w:sz w:val="24"/>
          <w:szCs w:val="24"/>
          <w:highlight w:val="none"/>
          <w:u w:val="single"/>
        </w:rPr>
        <w:t>（企业名称）</w:t>
      </w:r>
      <w:r>
        <w:rPr>
          <w:rFonts w:hint="eastAsia"/>
          <w:color w:val="auto"/>
          <w:sz w:val="24"/>
          <w:szCs w:val="24"/>
          <w:highlight w:val="none"/>
        </w:rPr>
        <w:t>，从业人员</w:t>
      </w:r>
      <w:r>
        <w:rPr>
          <w:rFonts w:hint="eastAsia"/>
          <w:color w:val="auto"/>
          <w:sz w:val="24"/>
          <w:szCs w:val="24"/>
          <w:highlight w:val="none"/>
          <w:u w:val="single"/>
        </w:rPr>
        <w:t xml:space="preserve"> </w:t>
      </w:r>
      <w:r>
        <w:rPr>
          <w:rFonts w:hint="eastAsia"/>
          <w:color w:val="auto"/>
          <w:sz w:val="24"/>
          <w:szCs w:val="24"/>
          <w:highlight w:val="none"/>
          <w:u w:val="single"/>
        </w:rPr>
        <w:tab/>
      </w:r>
      <w:r>
        <w:rPr>
          <w:rFonts w:hint="eastAsia"/>
          <w:color w:val="auto"/>
          <w:sz w:val="24"/>
          <w:szCs w:val="24"/>
          <w:highlight w:val="none"/>
        </w:rPr>
        <w:t>人，营业收入为</w:t>
      </w:r>
      <w:r>
        <w:rPr>
          <w:rFonts w:hint="eastAsia"/>
          <w:color w:val="auto"/>
          <w:sz w:val="24"/>
          <w:szCs w:val="24"/>
          <w:highlight w:val="none"/>
          <w:u w:val="single"/>
        </w:rPr>
        <w:t xml:space="preserve">    </w:t>
      </w:r>
      <w:r>
        <w:rPr>
          <w:rFonts w:hint="eastAsia"/>
          <w:color w:val="auto"/>
          <w:sz w:val="24"/>
          <w:szCs w:val="24"/>
          <w:highlight w:val="none"/>
        </w:rPr>
        <w:t>万元，资产总额为</w:t>
      </w:r>
      <w:r>
        <w:rPr>
          <w:rFonts w:hint="eastAsia"/>
          <w:color w:val="auto"/>
          <w:sz w:val="24"/>
          <w:szCs w:val="24"/>
          <w:highlight w:val="none"/>
          <w:u w:val="single"/>
        </w:rPr>
        <w:t xml:space="preserve">     </w:t>
      </w:r>
      <w:r>
        <w:rPr>
          <w:rFonts w:hint="eastAsia"/>
          <w:color w:val="auto"/>
          <w:sz w:val="24"/>
          <w:szCs w:val="24"/>
          <w:highlight w:val="none"/>
        </w:rPr>
        <w:t>万元，属于</w:t>
      </w:r>
      <w:r>
        <w:rPr>
          <w:rFonts w:hint="eastAsia"/>
          <w:color w:val="auto"/>
          <w:sz w:val="24"/>
          <w:szCs w:val="24"/>
          <w:highlight w:val="none"/>
          <w:u w:val="single"/>
        </w:rPr>
        <w:t>（中型企业、小型企业、微型企业）</w:t>
      </w:r>
      <w:r>
        <w:rPr>
          <w:rFonts w:hint="eastAsia"/>
          <w:color w:val="auto"/>
          <w:sz w:val="24"/>
          <w:szCs w:val="24"/>
          <w:highlight w:val="none"/>
        </w:rPr>
        <w:t xml:space="preserve">； </w:t>
      </w:r>
    </w:p>
    <w:p w14:paraId="7C859DAC">
      <w:pPr>
        <w:pStyle w:val="237"/>
        <w:spacing w:line="400" w:lineRule="exact"/>
        <w:ind w:firstLine="640"/>
        <w:jc w:val="both"/>
        <w:rPr>
          <w:rFonts w:hint="eastAsia"/>
          <w:color w:val="auto"/>
          <w:sz w:val="24"/>
          <w:szCs w:val="24"/>
          <w:highlight w:val="none"/>
        </w:rPr>
      </w:pPr>
      <w:r>
        <w:rPr>
          <w:rFonts w:hint="eastAsia"/>
          <w:color w:val="auto"/>
          <w:sz w:val="24"/>
          <w:szCs w:val="24"/>
          <w:highlight w:val="none"/>
        </w:rPr>
        <w:t>2.</w:t>
      </w:r>
      <w:r>
        <w:rPr>
          <w:rFonts w:hint="eastAsia"/>
          <w:color w:val="auto"/>
          <w:sz w:val="24"/>
          <w:szCs w:val="24"/>
          <w:highlight w:val="none"/>
          <w:u w:val="single"/>
        </w:rPr>
        <w:t xml:space="preserve">    （标的名称）</w:t>
      </w:r>
      <w:r>
        <w:rPr>
          <w:rFonts w:hint="eastAsia"/>
          <w:color w:val="auto"/>
          <w:sz w:val="24"/>
          <w:szCs w:val="24"/>
          <w:highlight w:val="none"/>
        </w:rPr>
        <w:t>，属于</w:t>
      </w:r>
      <w:r>
        <w:rPr>
          <w:rFonts w:hint="eastAsia"/>
          <w:color w:val="auto"/>
          <w:sz w:val="24"/>
          <w:szCs w:val="24"/>
          <w:highlight w:val="none"/>
          <w:u w:val="single"/>
        </w:rPr>
        <w:t xml:space="preserve">     （釆购文件中明确的所属行业）行业</w:t>
      </w:r>
      <w:r>
        <w:rPr>
          <w:rFonts w:hint="eastAsia"/>
          <w:color w:val="auto"/>
          <w:sz w:val="24"/>
          <w:szCs w:val="24"/>
          <w:highlight w:val="none"/>
        </w:rPr>
        <w:t>；制造商为</w:t>
      </w:r>
      <w:r>
        <w:rPr>
          <w:rFonts w:hint="eastAsia"/>
          <w:color w:val="auto"/>
          <w:sz w:val="24"/>
          <w:szCs w:val="24"/>
          <w:highlight w:val="none"/>
          <w:u w:val="single"/>
        </w:rPr>
        <w:t>（企业名称）</w:t>
      </w:r>
      <w:r>
        <w:rPr>
          <w:rFonts w:hint="eastAsia"/>
          <w:color w:val="auto"/>
          <w:sz w:val="24"/>
          <w:szCs w:val="24"/>
          <w:highlight w:val="none"/>
        </w:rPr>
        <w:t>、从业人员</w:t>
      </w:r>
      <w:r>
        <w:rPr>
          <w:rFonts w:hint="eastAsia"/>
          <w:color w:val="auto"/>
          <w:sz w:val="24"/>
          <w:szCs w:val="24"/>
          <w:highlight w:val="none"/>
          <w:u w:val="single"/>
        </w:rPr>
        <w:tab/>
      </w:r>
      <w:r>
        <w:rPr>
          <w:rFonts w:hint="eastAsia"/>
          <w:color w:val="auto"/>
          <w:sz w:val="24"/>
          <w:szCs w:val="24"/>
          <w:highlight w:val="none"/>
        </w:rPr>
        <w:t>人，营业收入为</w:t>
      </w:r>
      <w:r>
        <w:rPr>
          <w:rFonts w:hint="eastAsia"/>
          <w:color w:val="auto"/>
          <w:sz w:val="24"/>
          <w:szCs w:val="24"/>
          <w:highlight w:val="none"/>
          <w:u w:val="single"/>
        </w:rPr>
        <w:t xml:space="preserve">    </w:t>
      </w:r>
      <w:r>
        <w:rPr>
          <w:rFonts w:hint="eastAsia"/>
          <w:color w:val="auto"/>
          <w:sz w:val="24"/>
          <w:szCs w:val="24"/>
          <w:highlight w:val="none"/>
        </w:rPr>
        <w:t>万元，资产总额为</w:t>
      </w:r>
      <w:r>
        <w:rPr>
          <w:rFonts w:hint="eastAsia"/>
          <w:color w:val="auto"/>
          <w:sz w:val="24"/>
          <w:szCs w:val="24"/>
          <w:highlight w:val="none"/>
          <w:u w:val="single"/>
        </w:rPr>
        <w:t xml:space="preserve">    </w:t>
      </w:r>
      <w:r>
        <w:rPr>
          <w:rFonts w:hint="eastAsia"/>
          <w:color w:val="auto"/>
          <w:sz w:val="24"/>
          <w:szCs w:val="24"/>
          <w:highlight w:val="none"/>
        </w:rPr>
        <w:t>万元，属于</w:t>
      </w:r>
      <w:r>
        <w:rPr>
          <w:rFonts w:hint="eastAsia"/>
          <w:color w:val="auto"/>
          <w:sz w:val="24"/>
          <w:szCs w:val="24"/>
          <w:highlight w:val="none"/>
          <w:u w:val="single"/>
        </w:rPr>
        <w:t>（中型企业、小型 企业、微型企业）</w:t>
      </w:r>
      <w:r>
        <w:rPr>
          <w:rFonts w:hint="eastAsia"/>
          <w:color w:val="auto"/>
          <w:sz w:val="24"/>
          <w:szCs w:val="24"/>
          <w:highlight w:val="none"/>
        </w:rPr>
        <w:t>；</w:t>
      </w:r>
    </w:p>
    <w:p w14:paraId="41EE6894">
      <w:pPr>
        <w:pStyle w:val="237"/>
        <w:spacing w:line="400" w:lineRule="exact"/>
        <w:ind w:firstLine="640"/>
        <w:jc w:val="both"/>
        <w:rPr>
          <w:rFonts w:hint="eastAsia"/>
          <w:color w:val="auto"/>
          <w:sz w:val="24"/>
          <w:szCs w:val="24"/>
          <w:highlight w:val="none"/>
        </w:rPr>
      </w:pPr>
      <w:r>
        <w:rPr>
          <w:rFonts w:hint="eastAsia"/>
          <w:color w:val="auto"/>
          <w:sz w:val="24"/>
          <w:szCs w:val="24"/>
          <w:highlight w:val="none"/>
        </w:rPr>
        <w:t>......</w:t>
      </w:r>
    </w:p>
    <w:p w14:paraId="4A05E2CF">
      <w:pPr>
        <w:pStyle w:val="237"/>
        <w:spacing w:line="400" w:lineRule="exact"/>
        <w:ind w:firstLine="640"/>
        <w:jc w:val="both"/>
        <w:rPr>
          <w:rFonts w:hint="eastAsia"/>
          <w:color w:val="auto"/>
          <w:sz w:val="24"/>
          <w:szCs w:val="24"/>
          <w:highlight w:val="none"/>
        </w:rPr>
      </w:pPr>
      <w:r>
        <w:rPr>
          <w:rFonts w:hint="eastAsia"/>
          <w:color w:val="auto"/>
          <w:sz w:val="24"/>
          <w:szCs w:val="24"/>
          <w:highlight w:val="none"/>
        </w:rPr>
        <w:t>以上企业，不属于大企业的分支机构，不存在控股股东为大企业的情形，也不存在与大企业的负责人为同一人的情形。</w:t>
      </w:r>
    </w:p>
    <w:p w14:paraId="601BCA38">
      <w:pPr>
        <w:pStyle w:val="237"/>
        <w:spacing w:after="40" w:line="400" w:lineRule="exact"/>
        <w:ind w:firstLine="640"/>
        <w:jc w:val="both"/>
        <w:rPr>
          <w:rFonts w:hint="eastAsia"/>
          <w:color w:val="auto"/>
          <w:sz w:val="24"/>
          <w:szCs w:val="24"/>
          <w:highlight w:val="none"/>
        </w:rPr>
      </w:pPr>
      <w:r>
        <w:rPr>
          <w:rFonts w:hint="eastAsia"/>
          <w:color w:val="auto"/>
          <w:sz w:val="24"/>
          <w:szCs w:val="24"/>
          <w:highlight w:val="none"/>
        </w:rPr>
        <w:t>本企业对上述声明内容的真实性负责。如有虚假，将依法承担相应责任。</w:t>
      </w:r>
    </w:p>
    <w:p w14:paraId="7785EFA2">
      <w:pPr>
        <w:pStyle w:val="237"/>
        <w:spacing w:after="40" w:line="400" w:lineRule="exact"/>
        <w:ind w:firstLine="640"/>
        <w:jc w:val="both"/>
        <w:rPr>
          <w:rFonts w:hint="eastAsia"/>
          <w:color w:val="auto"/>
          <w:sz w:val="24"/>
          <w:szCs w:val="24"/>
          <w:highlight w:val="none"/>
        </w:rPr>
      </w:pPr>
    </w:p>
    <w:p w14:paraId="66E1571B">
      <w:pPr>
        <w:pStyle w:val="237"/>
        <w:spacing w:line="400" w:lineRule="exact"/>
        <w:ind w:firstLine="640"/>
        <w:jc w:val="both"/>
        <w:rPr>
          <w:rFonts w:hint="eastAsia"/>
          <w:color w:val="auto"/>
          <w:sz w:val="24"/>
          <w:szCs w:val="24"/>
          <w:highlight w:val="none"/>
        </w:rPr>
      </w:pPr>
      <w:r>
        <w:rPr>
          <w:rFonts w:hint="eastAsia"/>
          <w:color w:val="auto"/>
          <w:sz w:val="24"/>
          <w:szCs w:val="24"/>
          <w:highlight w:val="none"/>
        </w:rPr>
        <w:t xml:space="preserve">                         </w:t>
      </w:r>
      <w:r>
        <w:rPr>
          <w:rFonts w:hint="eastAsia"/>
          <w:color w:val="auto"/>
          <w:sz w:val="24"/>
          <w:highlight w:val="none"/>
        </w:rPr>
        <w:t>企业名称[盖公章（CA签章）]：</w:t>
      </w:r>
    </w:p>
    <w:p w14:paraId="5BE51BB1">
      <w:pPr>
        <w:pStyle w:val="237"/>
        <w:spacing w:line="400" w:lineRule="exact"/>
        <w:ind w:firstLine="640"/>
        <w:jc w:val="both"/>
        <w:rPr>
          <w:rFonts w:hint="eastAsia"/>
          <w:color w:val="auto"/>
          <w:sz w:val="24"/>
          <w:szCs w:val="24"/>
          <w:highlight w:val="none"/>
        </w:rPr>
      </w:pPr>
      <w:r>
        <w:rPr>
          <w:rFonts w:hint="eastAsia"/>
          <w:color w:val="auto"/>
          <w:sz w:val="24"/>
          <w:szCs w:val="24"/>
          <w:highlight w:val="none"/>
        </w:rPr>
        <w:t xml:space="preserve">                         日期：</w:t>
      </w:r>
    </w:p>
    <w:p w14:paraId="2DB7F0D0">
      <w:pPr>
        <w:pStyle w:val="241"/>
        <w:spacing w:after="0" w:line="400" w:lineRule="exact"/>
        <w:rPr>
          <w:rFonts w:hint="eastAsia"/>
          <w:color w:val="auto"/>
          <w:sz w:val="24"/>
          <w:szCs w:val="24"/>
          <w:highlight w:val="none"/>
        </w:rPr>
      </w:pPr>
    </w:p>
    <w:p w14:paraId="61D590EA">
      <w:pPr>
        <w:pStyle w:val="241"/>
        <w:spacing w:after="0" w:line="400" w:lineRule="exact"/>
        <w:rPr>
          <w:rFonts w:hint="eastAsia"/>
          <w:color w:val="auto"/>
          <w:sz w:val="24"/>
          <w:szCs w:val="24"/>
          <w:highlight w:val="none"/>
        </w:rPr>
      </w:pPr>
    </w:p>
    <w:p w14:paraId="078C8C42">
      <w:pPr>
        <w:pStyle w:val="241"/>
        <w:spacing w:after="0" w:line="400" w:lineRule="exact"/>
        <w:jc w:val="left"/>
        <w:rPr>
          <w:rFonts w:hint="eastAsia"/>
          <w:color w:val="auto"/>
          <w:sz w:val="24"/>
          <w:szCs w:val="24"/>
          <w:highlight w:val="none"/>
        </w:rPr>
      </w:pPr>
      <w:r>
        <w:rPr>
          <w:rFonts w:hint="eastAsia"/>
          <w:color w:val="auto"/>
          <w:sz w:val="24"/>
          <w:szCs w:val="24"/>
          <w:highlight w:val="none"/>
        </w:rPr>
        <w:t>备注：</w:t>
      </w:r>
    </w:p>
    <w:p w14:paraId="24545DD7">
      <w:pPr>
        <w:pStyle w:val="241"/>
        <w:numPr>
          <w:ilvl w:val="0"/>
          <w:numId w:val="9"/>
        </w:numPr>
        <w:spacing w:after="0" w:line="400" w:lineRule="exact"/>
        <w:jc w:val="left"/>
        <w:rPr>
          <w:rFonts w:hint="eastAsia"/>
          <w:color w:val="auto"/>
          <w:sz w:val="24"/>
          <w:szCs w:val="24"/>
          <w:highlight w:val="none"/>
        </w:rPr>
      </w:pPr>
      <w:r>
        <w:rPr>
          <w:rFonts w:hint="eastAsia"/>
          <w:color w:val="auto"/>
          <w:sz w:val="24"/>
          <w:szCs w:val="24"/>
          <w:highlight w:val="none"/>
        </w:rPr>
        <w:t>从业人员、营业收入、资产总额填报上一年度数据，无上一年度数据的新成立企业可不填报。</w:t>
      </w:r>
    </w:p>
    <w:p w14:paraId="199E89AE">
      <w:pPr>
        <w:pStyle w:val="18"/>
        <w:rPr>
          <w:color w:val="auto"/>
          <w:highlight w:val="none"/>
        </w:rPr>
      </w:pPr>
      <w:r>
        <w:rPr>
          <w:color w:val="auto"/>
          <w:highlight w:val="none"/>
        </w:rPr>
        <w:br w:type="page" w:clear="all"/>
      </w:r>
    </w:p>
    <w:p w14:paraId="132C939F">
      <w:pPr>
        <w:pStyle w:val="21"/>
        <w:spacing w:line="340" w:lineRule="exact"/>
        <w:rPr>
          <w:rFonts w:hint="eastAsia"/>
          <w:b/>
          <w:color w:val="auto"/>
          <w:sz w:val="28"/>
          <w:szCs w:val="28"/>
          <w:highlight w:val="none"/>
        </w:rPr>
      </w:pPr>
      <w:r>
        <w:rPr>
          <w:rFonts w:hint="eastAsia"/>
          <w:b/>
          <w:color w:val="auto"/>
          <w:sz w:val="28"/>
          <w:szCs w:val="28"/>
          <w:highlight w:val="none"/>
        </w:rPr>
        <w:t>6.如货物生产企业属于监狱企业的，应当提供由省级以上监狱管理局、戒毒管理局等（含新疆生产建设兵团）出具的属于监狱企业的证明文件（如有，请提供）；</w:t>
      </w:r>
    </w:p>
    <w:p w14:paraId="7DE108DA">
      <w:pPr>
        <w:pStyle w:val="12"/>
        <w:rPr>
          <w:rFonts w:hint="eastAsia" w:hAnsi="Courier New"/>
          <w:b/>
          <w:color w:val="auto"/>
          <w:sz w:val="28"/>
          <w:szCs w:val="28"/>
          <w:highlight w:val="none"/>
        </w:rPr>
      </w:pPr>
    </w:p>
    <w:p w14:paraId="567BA116">
      <w:pPr>
        <w:rPr>
          <w:rFonts w:hint="eastAsia"/>
          <w:color w:val="auto"/>
          <w:highlight w:val="none"/>
        </w:rPr>
      </w:pPr>
    </w:p>
    <w:p w14:paraId="0DED3C2F">
      <w:pPr>
        <w:pStyle w:val="21"/>
        <w:spacing w:line="340" w:lineRule="exact"/>
        <w:rPr>
          <w:rFonts w:hint="eastAsia"/>
          <w:b/>
          <w:color w:val="auto"/>
          <w:sz w:val="28"/>
          <w:szCs w:val="28"/>
          <w:highlight w:val="none"/>
        </w:rPr>
      </w:pPr>
    </w:p>
    <w:p w14:paraId="3F2AD74A">
      <w:pPr>
        <w:pStyle w:val="21"/>
        <w:spacing w:line="340" w:lineRule="exact"/>
        <w:rPr>
          <w:rFonts w:cs="宋体"/>
          <w:b/>
          <w:color w:val="auto"/>
          <w:spacing w:val="6"/>
          <w:sz w:val="28"/>
          <w:szCs w:val="28"/>
          <w:highlight w:val="none"/>
        </w:rPr>
      </w:pPr>
      <w:r>
        <w:rPr>
          <w:rFonts w:hint="eastAsia"/>
          <w:b/>
          <w:color w:val="auto"/>
          <w:sz w:val="28"/>
          <w:szCs w:val="28"/>
          <w:highlight w:val="none"/>
        </w:rPr>
        <w:t>7.符合条件的残疾人福利性单位在参加政府采购活动时，应当提供《残疾人福利性单位声明函》（见附件），并对声明的真实性负责（如有，请提供）；</w:t>
      </w:r>
    </w:p>
    <w:p w14:paraId="0863E96D">
      <w:pPr>
        <w:spacing w:line="588" w:lineRule="exact"/>
        <w:rPr>
          <w:rFonts w:hint="eastAsia" w:ascii="宋体" w:hAnsi="宋体" w:cs="宋体"/>
          <w:b/>
          <w:color w:val="auto"/>
          <w:spacing w:val="6"/>
          <w:sz w:val="28"/>
          <w:szCs w:val="28"/>
          <w:highlight w:val="none"/>
        </w:rPr>
      </w:pPr>
      <w:r>
        <w:rPr>
          <w:rFonts w:hint="eastAsia" w:ascii="宋体" w:hAnsi="宋体" w:cs="宋体"/>
          <w:b/>
          <w:color w:val="auto"/>
          <w:spacing w:val="6"/>
          <w:sz w:val="28"/>
          <w:szCs w:val="28"/>
          <w:highlight w:val="none"/>
        </w:rPr>
        <w:t>附件：</w:t>
      </w:r>
    </w:p>
    <w:p w14:paraId="029F3FF2">
      <w:pPr>
        <w:spacing w:line="588" w:lineRule="exact"/>
        <w:jc w:val="center"/>
        <w:rPr>
          <w:rFonts w:ascii="宋体" w:cs="宋体"/>
          <w:b/>
          <w:color w:val="auto"/>
          <w:spacing w:val="6"/>
          <w:sz w:val="28"/>
          <w:szCs w:val="28"/>
          <w:highlight w:val="none"/>
        </w:rPr>
      </w:pPr>
      <w:r>
        <w:rPr>
          <w:rFonts w:hint="eastAsia" w:ascii="宋体" w:hAnsi="宋体" w:cs="宋体"/>
          <w:b/>
          <w:color w:val="auto"/>
          <w:spacing w:val="6"/>
          <w:sz w:val="28"/>
          <w:szCs w:val="28"/>
          <w:highlight w:val="none"/>
        </w:rPr>
        <w:t>残疾人福利性单位声明函</w:t>
      </w:r>
    </w:p>
    <w:p w14:paraId="21C9A3F9">
      <w:pPr>
        <w:spacing w:line="588" w:lineRule="exact"/>
        <w:ind w:firstLine="504"/>
        <w:rPr>
          <w:rFonts w:ascii="宋体" w:cs="宋体"/>
          <w:color w:val="auto"/>
          <w:spacing w:val="6"/>
          <w:sz w:val="24"/>
          <w:highlight w:val="none"/>
        </w:rPr>
      </w:pPr>
      <w:r>
        <w:rPr>
          <w:rFonts w:hint="eastAsia" w:ascii="宋体" w:hAnsi="宋体" w:cs="宋体"/>
          <w:color w:val="auto"/>
          <w:spacing w:val="6"/>
          <w:sz w:val="24"/>
          <w:highlight w:val="none"/>
        </w:rPr>
        <w:t>本单位郑重声明，根据《财政部</w:t>
      </w:r>
      <w:r>
        <w:rPr>
          <w:rFonts w:ascii="宋体" w:hAnsi="宋体" w:cs="宋体"/>
          <w:color w:val="auto"/>
          <w:spacing w:val="6"/>
          <w:sz w:val="24"/>
          <w:highlight w:val="none"/>
        </w:rPr>
        <w:t xml:space="preserve"> </w:t>
      </w:r>
      <w:r>
        <w:rPr>
          <w:rFonts w:hint="eastAsia" w:ascii="宋体" w:hAnsi="宋体" w:cs="宋体"/>
          <w:color w:val="auto"/>
          <w:spacing w:val="6"/>
          <w:sz w:val="24"/>
          <w:highlight w:val="none"/>
        </w:rPr>
        <w:t>民政部</w:t>
      </w:r>
      <w:r>
        <w:rPr>
          <w:rFonts w:ascii="宋体" w:hAnsi="宋体" w:cs="宋体"/>
          <w:color w:val="auto"/>
          <w:spacing w:val="6"/>
          <w:sz w:val="24"/>
          <w:highlight w:val="none"/>
        </w:rPr>
        <w:t xml:space="preserve"> </w:t>
      </w:r>
      <w:r>
        <w:rPr>
          <w:rFonts w:hint="eastAsia" w:ascii="宋体" w:hAnsi="宋体" w:cs="宋体"/>
          <w:color w:val="auto"/>
          <w:spacing w:val="6"/>
          <w:sz w:val="24"/>
          <w:highlight w:val="none"/>
        </w:rPr>
        <w:t>中国残疾人联合会关于促进残疾人就业政府采购政策的通知》（财库</w:t>
      </w:r>
      <w:r>
        <w:rPr>
          <w:rFonts w:hint="eastAsia" w:ascii="宋体" w:hAnsi="宋体" w:cs="宋体"/>
          <w:color w:val="auto"/>
          <w:sz w:val="24"/>
          <w:highlight w:val="none"/>
        </w:rPr>
        <w:t>〔</w:t>
      </w:r>
      <w:r>
        <w:rPr>
          <w:rFonts w:ascii="宋体" w:hAnsi="宋体" w:cs="宋体"/>
          <w:color w:val="auto"/>
          <w:sz w:val="24"/>
          <w:highlight w:val="none"/>
        </w:rPr>
        <w:t>2017</w:t>
      </w:r>
      <w:r>
        <w:rPr>
          <w:rFonts w:hint="eastAsia" w:ascii="宋体" w:hAnsi="宋体" w:cs="宋体"/>
          <w:color w:val="auto"/>
          <w:sz w:val="24"/>
          <w:highlight w:val="none"/>
        </w:rPr>
        <w:t>〕</w:t>
      </w:r>
      <w:r>
        <w:rPr>
          <w:rFonts w:ascii="宋体" w:hAnsi="宋体" w:cs="宋体"/>
          <w:color w:val="auto"/>
          <w:sz w:val="24"/>
          <w:highlight w:val="none"/>
        </w:rPr>
        <w:t xml:space="preserve"> 141</w:t>
      </w:r>
      <w:r>
        <w:rPr>
          <w:rFonts w:hint="eastAsia" w:ascii="宋体" w:hAnsi="宋体" w:cs="宋体"/>
          <w:color w:val="auto"/>
          <w:spacing w:val="6"/>
          <w:sz w:val="24"/>
          <w:highlight w:val="none"/>
        </w:rPr>
        <w:t>号）的规定，本单位为符合条件的残疾人福利性单位，且本单位参加</w:t>
      </w:r>
      <w:r>
        <w:rPr>
          <w:rFonts w:ascii="宋体" w:hAnsi="宋体" w:cs="宋体"/>
          <w:color w:val="auto"/>
          <w:spacing w:val="6"/>
          <w:sz w:val="24"/>
          <w:highlight w:val="none"/>
        </w:rPr>
        <w:t>______</w:t>
      </w:r>
      <w:r>
        <w:rPr>
          <w:rFonts w:hint="eastAsia" w:ascii="宋体" w:hAnsi="宋体" w:cs="宋体"/>
          <w:color w:val="auto"/>
          <w:spacing w:val="6"/>
          <w:sz w:val="24"/>
          <w:highlight w:val="none"/>
        </w:rPr>
        <w:t>单位的</w:t>
      </w:r>
      <w:r>
        <w:rPr>
          <w:rFonts w:ascii="宋体" w:hAnsi="宋体" w:cs="宋体"/>
          <w:color w:val="auto"/>
          <w:spacing w:val="6"/>
          <w:sz w:val="24"/>
          <w:highlight w:val="none"/>
        </w:rPr>
        <w:t>______</w:t>
      </w:r>
      <w:r>
        <w:rPr>
          <w:rFonts w:hint="eastAsia" w:ascii="宋体" w:hAnsi="宋体" w:cs="宋体"/>
          <w:color w:val="auto"/>
          <w:spacing w:val="6"/>
          <w:sz w:val="24"/>
          <w:highlight w:val="none"/>
        </w:rPr>
        <w:t>项目采购活动提供本单位制造的货物（由本单位承担工程</w:t>
      </w:r>
      <w:r>
        <w:rPr>
          <w:rFonts w:ascii="宋体" w:hAnsi="宋体" w:cs="宋体"/>
          <w:color w:val="auto"/>
          <w:spacing w:val="6"/>
          <w:sz w:val="24"/>
          <w:highlight w:val="none"/>
        </w:rPr>
        <w:t>/</w:t>
      </w:r>
      <w:r>
        <w:rPr>
          <w:rFonts w:hint="eastAsia" w:ascii="宋体" w:hAnsi="宋体" w:cs="宋体"/>
          <w:color w:val="auto"/>
          <w:spacing w:val="6"/>
          <w:sz w:val="24"/>
          <w:highlight w:val="none"/>
        </w:rPr>
        <w:t>提供服务），或者提供其他残疾人福利性单位制造的货物（不包括使用非残疾人福利性单位注册商标的货物）。</w:t>
      </w:r>
    </w:p>
    <w:p w14:paraId="0439913F">
      <w:pPr>
        <w:spacing w:line="588" w:lineRule="exact"/>
        <w:ind w:firstLine="504"/>
        <w:rPr>
          <w:rFonts w:ascii="宋体" w:cs="宋体"/>
          <w:color w:val="auto"/>
          <w:spacing w:val="6"/>
          <w:sz w:val="24"/>
          <w:highlight w:val="none"/>
        </w:rPr>
      </w:pPr>
      <w:r>
        <w:rPr>
          <w:rFonts w:hint="eastAsia" w:ascii="宋体" w:hAnsi="宋体" w:cs="宋体"/>
          <w:color w:val="auto"/>
          <w:spacing w:val="6"/>
          <w:sz w:val="24"/>
          <w:highlight w:val="none"/>
        </w:rPr>
        <w:t>本单位对上述声明的真实性负责。如有虚假，将依法承担相应责任。</w:t>
      </w:r>
    </w:p>
    <w:p w14:paraId="6BA58428">
      <w:pPr>
        <w:rPr>
          <w:rFonts w:ascii="宋体" w:cs="宋体"/>
          <w:color w:val="auto"/>
          <w:highlight w:val="none"/>
        </w:rPr>
      </w:pPr>
    </w:p>
    <w:p w14:paraId="575AF8C7">
      <w:pPr>
        <w:tabs>
          <w:tab w:val="left" w:pos="4860"/>
        </w:tabs>
        <w:spacing w:line="588" w:lineRule="exact"/>
        <w:ind w:right="1560" w:firstLine="584"/>
        <w:jc w:val="center"/>
        <w:rPr>
          <w:rFonts w:ascii="宋体" w:cs="宋体"/>
          <w:color w:val="auto"/>
          <w:spacing w:val="6"/>
          <w:sz w:val="24"/>
          <w:highlight w:val="none"/>
        </w:rPr>
      </w:pPr>
      <w:r>
        <w:rPr>
          <w:rFonts w:ascii="宋体" w:hAnsi="宋体" w:cs="宋体"/>
          <w:color w:val="auto"/>
          <w:spacing w:val="6"/>
          <w:sz w:val="28"/>
          <w:szCs w:val="28"/>
          <w:highlight w:val="none"/>
        </w:rPr>
        <w:t xml:space="preserve">          </w:t>
      </w:r>
      <w:r>
        <w:rPr>
          <w:rFonts w:ascii="宋体" w:hAnsi="宋体" w:cs="宋体"/>
          <w:color w:val="auto"/>
          <w:spacing w:val="6"/>
          <w:sz w:val="24"/>
          <w:highlight w:val="none"/>
        </w:rPr>
        <w:t xml:space="preserve">  </w:t>
      </w:r>
      <w:r>
        <w:rPr>
          <w:rFonts w:hint="eastAsia" w:ascii="宋体" w:hAnsi="宋体" w:cs="宋体"/>
          <w:color w:val="auto"/>
          <w:spacing w:val="6"/>
          <w:sz w:val="24"/>
          <w:highlight w:val="none"/>
        </w:rPr>
        <w:t>单位名称（公章(CA签章)）：</w:t>
      </w:r>
      <w:r>
        <w:rPr>
          <w:rFonts w:ascii="宋体" w:hAnsi="宋体" w:cs="宋体"/>
          <w:color w:val="auto"/>
          <w:spacing w:val="6"/>
          <w:sz w:val="24"/>
          <w:highlight w:val="none"/>
        </w:rPr>
        <w:t xml:space="preserve"> </w:t>
      </w:r>
    </w:p>
    <w:p w14:paraId="22851B29">
      <w:pPr>
        <w:pStyle w:val="21"/>
        <w:ind w:firstLine="4032"/>
        <w:rPr>
          <w:rFonts w:hAnsi="宋体" w:cs="宋体"/>
          <w:color w:val="auto"/>
          <w:spacing w:val="6"/>
          <w:sz w:val="24"/>
          <w:szCs w:val="24"/>
          <w:highlight w:val="none"/>
        </w:rPr>
      </w:pPr>
      <w:r>
        <w:rPr>
          <w:rFonts w:hint="eastAsia" w:hAnsi="宋体" w:cs="宋体"/>
          <w:color w:val="auto"/>
          <w:spacing w:val="6"/>
          <w:sz w:val="24"/>
          <w:szCs w:val="24"/>
          <w:highlight w:val="none"/>
        </w:rPr>
        <w:t>日</w:t>
      </w:r>
      <w:r>
        <w:rPr>
          <w:rFonts w:hAnsi="宋体" w:cs="宋体"/>
          <w:color w:val="auto"/>
          <w:spacing w:val="6"/>
          <w:sz w:val="24"/>
          <w:szCs w:val="24"/>
          <w:highlight w:val="none"/>
        </w:rPr>
        <w:t xml:space="preserve">    </w:t>
      </w:r>
      <w:r>
        <w:rPr>
          <w:rFonts w:hint="eastAsia" w:hAnsi="宋体" w:cs="宋体"/>
          <w:color w:val="auto"/>
          <w:spacing w:val="6"/>
          <w:sz w:val="24"/>
          <w:szCs w:val="24"/>
          <w:highlight w:val="none"/>
        </w:rPr>
        <w:t>期：</w:t>
      </w:r>
      <w:r>
        <w:rPr>
          <w:rFonts w:hAnsi="宋体" w:cs="宋体"/>
          <w:color w:val="auto"/>
          <w:spacing w:val="6"/>
          <w:sz w:val="24"/>
          <w:szCs w:val="24"/>
          <w:highlight w:val="none"/>
        </w:rPr>
        <w:t xml:space="preserve">  </w:t>
      </w:r>
      <w:r>
        <w:rPr>
          <w:rFonts w:hint="eastAsia" w:hAnsi="宋体" w:cs="宋体"/>
          <w:color w:val="auto"/>
          <w:spacing w:val="6"/>
          <w:sz w:val="24"/>
          <w:szCs w:val="24"/>
          <w:highlight w:val="none"/>
        </w:rPr>
        <w:t>年</w:t>
      </w:r>
      <w:r>
        <w:rPr>
          <w:rFonts w:hAnsi="宋体" w:cs="宋体"/>
          <w:color w:val="auto"/>
          <w:spacing w:val="6"/>
          <w:sz w:val="24"/>
          <w:szCs w:val="24"/>
          <w:highlight w:val="none"/>
        </w:rPr>
        <w:t xml:space="preserve">  </w:t>
      </w:r>
      <w:r>
        <w:rPr>
          <w:rFonts w:hint="eastAsia" w:hAnsi="宋体" w:cs="宋体"/>
          <w:color w:val="auto"/>
          <w:spacing w:val="6"/>
          <w:sz w:val="24"/>
          <w:szCs w:val="24"/>
          <w:highlight w:val="none"/>
        </w:rPr>
        <w:t>月</w:t>
      </w:r>
      <w:r>
        <w:rPr>
          <w:rFonts w:hAnsi="宋体" w:cs="宋体"/>
          <w:color w:val="auto"/>
          <w:spacing w:val="6"/>
          <w:sz w:val="24"/>
          <w:szCs w:val="24"/>
          <w:highlight w:val="none"/>
        </w:rPr>
        <w:t xml:space="preserve">  </w:t>
      </w:r>
      <w:r>
        <w:rPr>
          <w:rFonts w:hint="eastAsia" w:hAnsi="宋体" w:cs="宋体"/>
          <w:color w:val="auto"/>
          <w:spacing w:val="6"/>
          <w:sz w:val="24"/>
          <w:szCs w:val="24"/>
          <w:highlight w:val="none"/>
        </w:rPr>
        <w:t>日</w:t>
      </w:r>
    </w:p>
    <w:p w14:paraId="38212EF3">
      <w:pPr>
        <w:spacing w:line="400" w:lineRule="exact"/>
        <w:outlineLvl w:val="9"/>
        <w:rPr>
          <w:rFonts w:ascii="宋体" w:cs="宋体"/>
          <w:color w:val="auto"/>
          <w:sz w:val="24"/>
          <w:highlight w:val="none"/>
        </w:rPr>
      </w:pPr>
    </w:p>
    <w:p w14:paraId="7C5A3802">
      <w:pPr>
        <w:tabs>
          <w:tab w:val="left" w:pos="1305"/>
        </w:tabs>
        <w:rPr>
          <w:rFonts w:hint="eastAsia" w:ascii="宋体" w:hAnsi="宋体" w:cs="宋体"/>
          <w:color w:val="auto"/>
          <w:sz w:val="24"/>
          <w:highlight w:val="none"/>
        </w:rPr>
      </w:pPr>
      <w:r>
        <w:rPr>
          <w:rFonts w:hint="eastAsia" w:ascii="宋体" w:hAnsi="宋体" w:cs="宋体"/>
          <w:color w:val="auto"/>
          <w:sz w:val="24"/>
          <w:highlight w:val="none"/>
        </w:rPr>
        <w:t>注：</w:t>
      </w:r>
      <w:r>
        <w:rPr>
          <w:rFonts w:hint="eastAsia" w:ascii="宋体" w:hAnsi="宋体" w:cs="宋体"/>
          <w:b/>
          <w:color w:val="auto"/>
          <w:szCs w:val="21"/>
          <w:highlight w:val="none"/>
        </w:rPr>
        <w:t>中标、成交供应商为残疾人福利性单位的，采购人或者其委托的采购代理机构应当随中标、成交结果同时公告其《残疾人福利性单位声明函》，接受社会监督</w:t>
      </w:r>
      <w:r>
        <w:rPr>
          <w:rFonts w:hint="eastAsia" w:ascii="宋体" w:hAnsi="宋体" w:cs="宋体"/>
          <w:color w:val="auto"/>
          <w:sz w:val="24"/>
          <w:highlight w:val="none"/>
        </w:rPr>
        <w:t>。</w:t>
      </w:r>
    </w:p>
    <w:p w14:paraId="12D4B96A">
      <w:pPr>
        <w:pStyle w:val="21"/>
        <w:spacing w:line="340" w:lineRule="exact"/>
        <w:rPr>
          <w:rFonts w:hint="eastAsia"/>
          <w:color w:val="auto"/>
          <w:highlight w:val="none"/>
        </w:rPr>
      </w:pPr>
      <w:r>
        <w:rPr>
          <w:rFonts w:hint="eastAsia"/>
          <w:color w:val="auto"/>
          <w:highlight w:val="none"/>
        </w:rPr>
        <w:t>`</w:t>
      </w:r>
    </w:p>
    <w:p w14:paraId="09C0B1AA">
      <w:pPr>
        <w:pStyle w:val="41"/>
        <w:rPr>
          <w:rFonts w:hint="eastAsia"/>
          <w:color w:val="auto"/>
          <w:highlight w:val="none"/>
        </w:rPr>
      </w:pPr>
    </w:p>
    <w:p w14:paraId="0378D89F">
      <w:pPr>
        <w:pStyle w:val="41"/>
        <w:rPr>
          <w:rFonts w:hint="eastAsia"/>
          <w:color w:val="auto"/>
          <w:highlight w:val="none"/>
        </w:rPr>
      </w:pPr>
    </w:p>
    <w:p w14:paraId="519717A1">
      <w:pPr>
        <w:pStyle w:val="41"/>
        <w:rPr>
          <w:rFonts w:hint="eastAsia"/>
          <w:color w:val="auto"/>
          <w:highlight w:val="none"/>
        </w:rPr>
      </w:pPr>
    </w:p>
    <w:p w14:paraId="5947B571">
      <w:pPr>
        <w:rPr>
          <w:rFonts w:hint="eastAsia"/>
          <w:color w:val="auto"/>
          <w:highlight w:val="none"/>
        </w:rPr>
      </w:pPr>
    </w:p>
    <w:p w14:paraId="777A98D9">
      <w:pPr>
        <w:outlineLvl w:val="9"/>
        <w:rPr>
          <w:rFonts w:hint="eastAsia"/>
          <w:color w:val="auto"/>
          <w:highlight w:val="none"/>
        </w:rPr>
      </w:pPr>
    </w:p>
    <w:p w14:paraId="316BD3E8">
      <w:pPr>
        <w:rPr>
          <w:rFonts w:hint="eastAsia"/>
          <w:color w:val="auto"/>
          <w:highlight w:val="none"/>
        </w:rPr>
      </w:pPr>
    </w:p>
    <w:p w14:paraId="5FC79037">
      <w:pPr>
        <w:outlineLvl w:val="9"/>
        <w:rPr>
          <w:rFonts w:hint="eastAsia"/>
          <w:color w:val="auto"/>
          <w:highlight w:val="none"/>
        </w:rPr>
      </w:pPr>
    </w:p>
    <w:p w14:paraId="2C657AE6">
      <w:pPr>
        <w:rPr>
          <w:rFonts w:hint="eastAsia"/>
          <w:color w:val="auto"/>
          <w:highlight w:val="none"/>
        </w:rPr>
      </w:pPr>
    </w:p>
    <w:p w14:paraId="1A7FF153">
      <w:pPr>
        <w:rPr>
          <w:rFonts w:hint="eastAsia"/>
          <w:color w:val="auto"/>
          <w:highlight w:val="none"/>
        </w:rPr>
      </w:pPr>
    </w:p>
    <w:p w14:paraId="7E202579">
      <w:pPr>
        <w:rPr>
          <w:rFonts w:hint="eastAsia"/>
          <w:color w:val="auto"/>
          <w:highlight w:val="none"/>
        </w:rPr>
      </w:pPr>
    </w:p>
    <w:p w14:paraId="4AFF828A">
      <w:pPr>
        <w:rPr>
          <w:rFonts w:hint="eastAsia"/>
          <w:color w:val="auto"/>
          <w:highlight w:val="none"/>
        </w:rPr>
      </w:pPr>
    </w:p>
    <w:p w14:paraId="4330E4ED">
      <w:pPr>
        <w:rPr>
          <w:rFonts w:hint="eastAsia"/>
          <w:color w:val="auto"/>
          <w:highlight w:val="none"/>
        </w:rPr>
      </w:pPr>
    </w:p>
    <w:p w14:paraId="3FA6CD5F">
      <w:pPr>
        <w:tabs>
          <w:tab w:val="left" w:pos="1305"/>
        </w:tabs>
        <w:rPr>
          <w:rFonts w:ascii="宋体" w:cs="宋体"/>
          <w:color w:val="auto"/>
          <w:sz w:val="24"/>
          <w:highlight w:val="none"/>
        </w:rPr>
      </w:pPr>
    </w:p>
    <w:p w14:paraId="1B9303FF">
      <w:pPr>
        <w:outlineLvl w:val="9"/>
        <w:rPr>
          <w:rFonts w:hint="eastAsia" w:ascii="宋体" w:hAnsi="Courier New" w:eastAsia="宋体" w:cs="Times New Roman"/>
          <w:b/>
          <w:bCs w:val="0"/>
          <w:color w:val="auto"/>
          <w:sz w:val="28"/>
          <w:szCs w:val="28"/>
          <w:highlight w:val="none"/>
          <w:lang w:val="en-US" w:eastAsia="zh-CN"/>
        </w:rPr>
      </w:pPr>
    </w:p>
    <w:p w14:paraId="45E3FFCC">
      <w:pPr>
        <w:outlineLvl w:val="9"/>
        <w:rPr>
          <w:rFonts w:hint="eastAsia" w:ascii="宋体" w:hAnsi="Courier New" w:eastAsia="宋体" w:cs="Times New Roman"/>
          <w:b/>
          <w:bCs w:val="0"/>
          <w:color w:val="auto"/>
          <w:sz w:val="28"/>
          <w:szCs w:val="28"/>
          <w:highlight w:val="none"/>
          <w:lang w:eastAsia="zh-CN"/>
        </w:rPr>
      </w:pPr>
      <w:r>
        <w:rPr>
          <w:rFonts w:hint="eastAsia" w:ascii="宋体" w:hAnsi="Courier New" w:eastAsia="宋体" w:cs="Times New Roman"/>
          <w:b/>
          <w:bCs w:val="0"/>
          <w:color w:val="auto"/>
          <w:sz w:val="28"/>
          <w:szCs w:val="28"/>
          <w:highlight w:val="none"/>
          <w:lang w:val="en-US" w:eastAsia="zh-CN"/>
        </w:rPr>
        <w:t>8.</w:t>
      </w:r>
      <w:r>
        <w:rPr>
          <w:rFonts w:hint="eastAsia" w:ascii="宋体" w:hAnsi="Courier New" w:eastAsia="宋体" w:cs="Times New Roman"/>
          <w:b/>
          <w:bCs w:val="0"/>
          <w:color w:val="auto"/>
          <w:sz w:val="28"/>
          <w:szCs w:val="28"/>
          <w:highlight w:val="none"/>
          <w:lang w:eastAsia="zh-CN"/>
        </w:rPr>
        <w:t>关于符合本国产品标准的声明函</w:t>
      </w:r>
      <w:r>
        <w:rPr>
          <w:rFonts w:hint="eastAsia" w:ascii="宋体" w:hAnsi="Courier New" w:eastAsia="宋体" w:cs="Times New Roman"/>
          <w:b/>
          <w:bCs w:val="0"/>
          <w:color w:val="auto"/>
          <w:sz w:val="28"/>
          <w:szCs w:val="28"/>
          <w:highlight w:val="none"/>
        </w:rPr>
        <w:t>（见附件）（如有，请提供）；</w:t>
      </w:r>
    </w:p>
    <w:p w14:paraId="24802B0C">
      <w:pPr>
        <w:tabs>
          <w:tab w:val="left" w:pos="1305"/>
        </w:tabs>
        <w:spacing w:line="400" w:lineRule="exact"/>
        <w:rPr>
          <w:rFonts w:hint="eastAsia" w:ascii="宋体" w:hAnsi="宋体" w:cs="宋体"/>
          <w:b/>
          <w:bCs/>
          <w:color w:val="auto"/>
          <w:sz w:val="28"/>
          <w:szCs w:val="28"/>
          <w:highlight w:val="none"/>
        </w:rPr>
      </w:pPr>
    </w:p>
    <w:p w14:paraId="753A6CE1">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560" w:lineRule="atLeast"/>
        <w:ind w:left="0" w:right="0" w:firstLine="0"/>
        <w:jc w:val="center"/>
        <w:rPr>
          <w:rStyle w:val="45"/>
          <w:rFonts w:ascii="仿宋" w:hAnsi="仿宋" w:eastAsia="仿宋" w:cs="仿宋"/>
          <w:i w:val="0"/>
          <w:iCs w:val="0"/>
          <w:caps w:val="0"/>
          <w:color w:val="auto"/>
          <w:spacing w:val="0"/>
          <w:sz w:val="36"/>
          <w:szCs w:val="36"/>
          <w:highlight w:val="none"/>
          <w:shd w:val="clear" w:color="auto" w:fill="FFFFFF"/>
          <w:vertAlign w:val="baseline"/>
        </w:rPr>
      </w:pPr>
      <w:r>
        <w:rPr>
          <w:rStyle w:val="45"/>
          <w:rFonts w:ascii="仿宋" w:hAnsi="仿宋" w:eastAsia="仿宋" w:cs="仿宋"/>
          <w:i w:val="0"/>
          <w:iCs w:val="0"/>
          <w:caps w:val="0"/>
          <w:color w:val="auto"/>
          <w:spacing w:val="0"/>
          <w:sz w:val="36"/>
          <w:szCs w:val="36"/>
          <w:highlight w:val="none"/>
          <w:shd w:val="clear" w:color="auto" w:fill="FFFFFF"/>
          <w:vertAlign w:val="baseline"/>
        </w:rPr>
        <w:t>关于符合本国产品标准的声明函</w:t>
      </w:r>
    </w:p>
    <w:p w14:paraId="27115005">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420"/>
        <w:rPr>
          <w:rFonts w:hint="eastAsia" w:ascii="仿宋" w:hAnsi="仿宋" w:eastAsia="仿宋" w:cs="仿宋"/>
          <w:i w:val="0"/>
          <w:iCs w:val="0"/>
          <w:caps w:val="0"/>
          <w:color w:val="auto"/>
          <w:spacing w:val="6"/>
          <w:sz w:val="24"/>
          <w:szCs w:val="24"/>
          <w:highlight w:val="none"/>
        </w:rPr>
      </w:pPr>
      <w:r>
        <w:rPr>
          <w:rFonts w:hint="eastAsia" w:ascii="仿宋" w:hAnsi="仿宋" w:eastAsia="仿宋" w:cs="仿宋"/>
          <w:i w:val="0"/>
          <w:iCs w:val="0"/>
          <w:caps w:val="0"/>
          <w:color w:val="auto"/>
          <w:spacing w:val="6"/>
          <w:sz w:val="24"/>
          <w:szCs w:val="24"/>
          <w:highlight w:val="none"/>
          <w:shd w:val="clear" w:color="auto" w:fill="auto"/>
          <w:vertAlign w:val="baseline"/>
        </w:rPr>
        <w:t>本公司（单位）郑重声明，根据《国务院办公厅关于在政府采购中实施本国产品标准及相关政策的通知》（国办发〔2025〕34号）的规定，本公司（单位）提供的以下产品属于本国产品。具体情况如下：</w:t>
      </w:r>
    </w:p>
    <w:p w14:paraId="6E1B008E">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420"/>
        <w:rPr>
          <w:rFonts w:hint="eastAsia" w:ascii="仿宋" w:hAnsi="仿宋" w:eastAsia="仿宋" w:cs="仿宋"/>
          <w:i w:val="0"/>
          <w:iCs w:val="0"/>
          <w:caps w:val="0"/>
          <w:color w:val="auto"/>
          <w:spacing w:val="6"/>
          <w:sz w:val="24"/>
          <w:szCs w:val="24"/>
          <w:highlight w:val="none"/>
        </w:rPr>
      </w:pPr>
      <w:r>
        <w:rPr>
          <w:rFonts w:hint="eastAsia" w:ascii="仿宋" w:hAnsi="仿宋" w:eastAsia="仿宋" w:cs="仿宋"/>
          <w:i w:val="0"/>
          <w:iCs w:val="0"/>
          <w:caps w:val="0"/>
          <w:color w:val="auto"/>
          <w:spacing w:val="6"/>
          <w:sz w:val="24"/>
          <w:szCs w:val="24"/>
          <w:highlight w:val="none"/>
          <w:shd w:val="clear" w:color="auto" w:fill="auto"/>
          <w:vertAlign w:val="baseline"/>
        </w:rPr>
        <w:t>1.</w:t>
      </w:r>
      <w:r>
        <w:rPr>
          <w:rFonts w:hint="eastAsia" w:ascii="仿宋" w:hAnsi="仿宋" w:eastAsia="仿宋" w:cs="仿宋"/>
          <w:i w:val="0"/>
          <w:iCs w:val="0"/>
          <w:caps w:val="0"/>
          <w:color w:val="auto"/>
          <w:spacing w:val="6"/>
          <w:sz w:val="24"/>
          <w:szCs w:val="24"/>
          <w:highlight w:val="none"/>
          <w:u w:val="single"/>
          <w:shd w:val="clear" w:color="auto" w:fill="auto"/>
          <w:vertAlign w:val="baseline"/>
        </w:rPr>
        <w:t>（产品名称1）</w:t>
      </w:r>
      <w:r>
        <w:rPr>
          <w:rFonts w:hint="eastAsia" w:ascii="仿宋" w:hAnsi="仿宋" w:eastAsia="仿宋" w:cs="仿宋"/>
          <w:i w:val="0"/>
          <w:iCs w:val="0"/>
          <w:caps w:val="0"/>
          <w:color w:val="auto"/>
          <w:spacing w:val="6"/>
          <w:sz w:val="24"/>
          <w:szCs w:val="24"/>
          <w:highlight w:val="none"/>
          <w:shd w:val="clear" w:color="auto" w:fill="auto"/>
          <w:vertAlign w:val="baseline"/>
        </w:rPr>
        <w:t>1，生产厂为</w:t>
      </w:r>
      <w:r>
        <w:rPr>
          <w:rFonts w:hint="eastAsia" w:ascii="仿宋" w:hAnsi="仿宋" w:eastAsia="仿宋" w:cs="仿宋"/>
          <w:i w:val="0"/>
          <w:iCs w:val="0"/>
          <w:caps w:val="0"/>
          <w:color w:val="auto"/>
          <w:spacing w:val="6"/>
          <w:sz w:val="24"/>
          <w:szCs w:val="24"/>
          <w:highlight w:val="none"/>
          <w:u w:val="single"/>
          <w:shd w:val="clear" w:color="auto" w:fill="auto"/>
          <w:vertAlign w:val="baseline"/>
        </w:rPr>
        <w:t>（厂名）</w:t>
      </w:r>
      <w:r>
        <w:rPr>
          <w:rFonts w:hint="eastAsia" w:ascii="仿宋" w:hAnsi="仿宋" w:eastAsia="仿宋" w:cs="仿宋"/>
          <w:i w:val="0"/>
          <w:iCs w:val="0"/>
          <w:caps w:val="0"/>
          <w:color w:val="auto"/>
          <w:spacing w:val="6"/>
          <w:sz w:val="24"/>
          <w:szCs w:val="24"/>
          <w:highlight w:val="none"/>
          <w:shd w:val="clear" w:color="auto" w:fill="auto"/>
          <w:vertAlign w:val="baseline"/>
        </w:rPr>
        <w:t>2，厂址为</w:t>
      </w:r>
      <w:r>
        <w:rPr>
          <w:rFonts w:hint="eastAsia" w:ascii="仿宋" w:hAnsi="仿宋" w:eastAsia="仿宋" w:cs="仿宋"/>
          <w:i w:val="0"/>
          <w:iCs w:val="0"/>
          <w:caps w:val="0"/>
          <w:color w:val="auto"/>
          <w:spacing w:val="6"/>
          <w:sz w:val="24"/>
          <w:szCs w:val="24"/>
          <w:highlight w:val="none"/>
          <w:u w:val="single"/>
          <w:shd w:val="clear" w:color="auto" w:fill="auto"/>
          <w:vertAlign w:val="baseline"/>
        </w:rPr>
        <w:t>（生产厂址）</w:t>
      </w:r>
      <w:r>
        <w:rPr>
          <w:rFonts w:hint="eastAsia" w:ascii="仿宋" w:hAnsi="仿宋" w:eastAsia="仿宋" w:cs="仿宋"/>
          <w:i w:val="0"/>
          <w:iCs w:val="0"/>
          <w:caps w:val="0"/>
          <w:color w:val="auto"/>
          <w:spacing w:val="6"/>
          <w:sz w:val="24"/>
          <w:szCs w:val="24"/>
          <w:highlight w:val="none"/>
          <w:shd w:val="clear" w:color="auto" w:fill="auto"/>
          <w:vertAlign w:val="baseline"/>
        </w:rPr>
        <w:t>。</w:t>
      </w:r>
      <w:r>
        <w:rPr>
          <w:rFonts w:hint="eastAsia" w:ascii="仿宋" w:hAnsi="仿宋" w:eastAsia="仿宋" w:cs="仿宋"/>
          <w:i w:val="0"/>
          <w:iCs w:val="0"/>
          <w:caps w:val="0"/>
          <w:color w:val="auto"/>
          <w:spacing w:val="6"/>
          <w:sz w:val="24"/>
          <w:szCs w:val="24"/>
          <w:highlight w:val="none"/>
          <w:u w:val="single"/>
          <w:shd w:val="clear" w:color="auto" w:fill="auto"/>
          <w:vertAlign w:val="baseline"/>
        </w:rPr>
        <w:t>（产品名称1）</w:t>
      </w:r>
      <w:r>
        <w:rPr>
          <w:rFonts w:hint="eastAsia" w:ascii="仿宋" w:hAnsi="仿宋" w:eastAsia="仿宋" w:cs="仿宋"/>
          <w:i w:val="0"/>
          <w:iCs w:val="0"/>
          <w:caps w:val="0"/>
          <w:color w:val="auto"/>
          <w:spacing w:val="6"/>
          <w:sz w:val="24"/>
          <w:szCs w:val="24"/>
          <w:highlight w:val="none"/>
          <w:shd w:val="clear" w:color="auto" w:fill="auto"/>
          <w:vertAlign w:val="baseline"/>
        </w:rPr>
        <w:t>的中国境内生产的组件成本占比≥</w:t>
      </w:r>
      <w:r>
        <w:rPr>
          <w:rFonts w:hint="eastAsia" w:ascii="仿宋" w:hAnsi="仿宋" w:eastAsia="仿宋" w:cs="仿宋"/>
          <w:i w:val="0"/>
          <w:iCs w:val="0"/>
          <w:caps w:val="0"/>
          <w:color w:val="auto"/>
          <w:spacing w:val="6"/>
          <w:sz w:val="24"/>
          <w:szCs w:val="24"/>
          <w:highlight w:val="none"/>
          <w:u w:val="single"/>
          <w:shd w:val="clear" w:color="auto" w:fill="auto"/>
          <w:vertAlign w:val="baseline"/>
        </w:rPr>
        <w:t>（规定比例）</w:t>
      </w:r>
      <w:r>
        <w:rPr>
          <w:rFonts w:hint="eastAsia" w:ascii="仿宋" w:hAnsi="仿宋" w:eastAsia="仿宋" w:cs="仿宋"/>
          <w:i w:val="0"/>
          <w:iCs w:val="0"/>
          <w:caps w:val="0"/>
          <w:color w:val="auto"/>
          <w:spacing w:val="6"/>
          <w:sz w:val="24"/>
          <w:szCs w:val="24"/>
          <w:highlight w:val="none"/>
          <w:shd w:val="clear" w:color="auto" w:fill="auto"/>
          <w:vertAlign w:val="baseline"/>
        </w:rPr>
        <w:t>3。</w:t>
      </w:r>
      <w:r>
        <w:rPr>
          <w:rFonts w:hint="eastAsia" w:ascii="仿宋" w:hAnsi="仿宋" w:eastAsia="仿宋" w:cs="仿宋"/>
          <w:i w:val="0"/>
          <w:iCs w:val="0"/>
          <w:caps w:val="0"/>
          <w:color w:val="auto"/>
          <w:spacing w:val="6"/>
          <w:sz w:val="24"/>
          <w:szCs w:val="24"/>
          <w:highlight w:val="none"/>
          <w:u w:val="single"/>
          <w:shd w:val="clear" w:color="auto" w:fill="auto"/>
          <w:vertAlign w:val="baseline"/>
        </w:rPr>
        <w:t>（产品名称1）</w:t>
      </w:r>
      <w:r>
        <w:rPr>
          <w:rFonts w:hint="eastAsia" w:ascii="仿宋" w:hAnsi="仿宋" w:eastAsia="仿宋" w:cs="仿宋"/>
          <w:i w:val="0"/>
          <w:iCs w:val="0"/>
          <w:caps w:val="0"/>
          <w:color w:val="auto"/>
          <w:spacing w:val="6"/>
          <w:sz w:val="24"/>
          <w:szCs w:val="24"/>
          <w:highlight w:val="none"/>
          <w:shd w:val="clear" w:color="auto" w:fill="auto"/>
          <w:vertAlign w:val="baseline"/>
        </w:rPr>
        <w:t>的</w:t>
      </w:r>
      <w:r>
        <w:rPr>
          <w:rFonts w:hint="eastAsia" w:ascii="仿宋" w:hAnsi="仿宋" w:eastAsia="仿宋" w:cs="仿宋"/>
          <w:i w:val="0"/>
          <w:iCs w:val="0"/>
          <w:caps w:val="0"/>
          <w:color w:val="auto"/>
          <w:spacing w:val="6"/>
          <w:sz w:val="24"/>
          <w:szCs w:val="24"/>
          <w:highlight w:val="none"/>
          <w:u w:val="single"/>
          <w:shd w:val="clear" w:color="auto" w:fill="auto"/>
          <w:vertAlign w:val="baseline"/>
        </w:rPr>
        <w:t>（关键组件）</w:t>
      </w:r>
      <w:r>
        <w:rPr>
          <w:rFonts w:hint="eastAsia" w:ascii="仿宋" w:hAnsi="仿宋" w:eastAsia="仿宋" w:cs="仿宋"/>
          <w:i w:val="0"/>
          <w:iCs w:val="0"/>
          <w:caps w:val="0"/>
          <w:color w:val="auto"/>
          <w:spacing w:val="6"/>
          <w:sz w:val="24"/>
          <w:szCs w:val="24"/>
          <w:highlight w:val="none"/>
          <w:shd w:val="clear" w:color="auto" w:fill="auto"/>
          <w:vertAlign w:val="baseline"/>
        </w:rPr>
        <w:t>4在中国境内生产。</w:t>
      </w:r>
      <w:r>
        <w:rPr>
          <w:rFonts w:hint="eastAsia" w:ascii="仿宋" w:hAnsi="仿宋" w:eastAsia="仿宋" w:cs="仿宋"/>
          <w:i w:val="0"/>
          <w:iCs w:val="0"/>
          <w:caps w:val="0"/>
          <w:color w:val="auto"/>
          <w:spacing w:val="6"/>
          <w:sz w:val="24"/>
          <w:szCs w:val="24"/>
          <w:highlight w:val="none"/>
          <w:u w:val="single"/>
          <w:shd w:val="clear" w:color="auto" w:fill="auto"/>
          <w:vertAlign w:val="baseline"/>
        </w:rPr>
        <w:t>（产品名称1）</w:t>
      </w:r>
      <w:r>
        <w:rPr>
          <w:rFonts w:hint="eastAsia" w:ascii="仿宋" w:hAnsi="仿宋" w:eastAsia="仿宋" w:cs="仿宋"/>
          <w:i w:val="0"/>
          <w:iCs w:val="0"/>
          <w:caps w:val="0"/>
          <w:color w:val="auto"/>
          <w:spacing w:val="6"/>
          <w:sz w:val="24"/>
          <w:szCs w:val="24"/>
          <w:highlight w:val="none"/>
          <w:shd w:val="clear" w:color="auto" w:fill="auto"/>
          <w:vertAlign w:val="baseline"/>
        </w:rPr>
        <w:t>的</w:t>
      </w:r>
      <w:r>
        <w:rPr>
          <w:rFonts w:hint="eastAsia" w:ascii="仿宋" w:hAnsi="仿宋" w:eastAsia="仿宋" w:cs="仿宋"/>
          <w:i w:val="0"/>
          <w:iCs w:val="0"/>
          <w:caps w:val="0"/>
          <w:color w:val="auto"/>
          <w:spacing w:val="6"/>
          <w:sz w:val="24"/>
          <w:szCs w:val="24"/>
          <w:highlight w:val="none"/>
          <w:u w:val="single"/>
          <w:shd w:val="clear" w:color="auto" w:fill="auto"/>
          <w:vertAlign w:val="baseline"/>
        </w:rPr>
        <w:t>（关键工序）</w:t>
      </w:r>
      <w:r>
        <w:rPr>
          <w:rFonts w:hint="eastAsia" w:ascii="仿宋" w:hAnsi="仿宋" w:eastAsia="仿宋" w:cs="仿宋"/>
          <w:i w:val="0"/>
          <w:iCs w:val="0"/>
          <w:caps w:val="0"/>
          <w:color w:val="auto"/>
          <w:spacing w:val="6"/>
          <w:sz w:val="24"/>
          <w:szCs w:val="24"/>
          <w:highlight w:val="none"/>
          <w:shd w:val="clear" w:color="auto" w:fill="auto"/>
          <w:vertAlign w:val="baseline"/>
        </w:rPr>
        <w:t>5在中国境内完成。</w:t>
      </w:r>
    </w:p>
    <w:p w14:paraId="293D0A11">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420"/>
        <w:rPr>
          <w:rFonts w:hint="eastAsia" w:ascii="仿宋" w:hAnsi="仿宋" w:eastAsia="仿宋" w:cs="仿宋"/>
          <w:i w:val="0"/>
          <w:iCs w:val="0"/>
          <w:caps w:val="0"/>
          <w:color w:val="auto"/>
          <w:spacing w:val="6"/>
          <w:sz w:val="24"/>
          <w:szCs w:val="24"/>
          <w:highlight w:val="none"/>
        </w:rPr>
      </w:pPr>
      <w:r>
        <w:rPr>
          <w:rFonts w:hint="eastAsia" w:ascii="仿宋" w:hAnsi="仿宋" w:eastAsia="仿宋" w:cs="仿宋"/>
          <w:i w:val="0"/>
          <w:iCs w:val="0"/>
          <w:caps w:val="0"/>
          <w:color w:val="auto"/>
          <w:spacing w:val="6"/>
          <w:sz w:val="24"/>
          <w:szCs w:val="24"/>
          <w:highlight w:val="none"/>
          <w:shd w:val="clear" w:color="auto" w:fill="auto"/>
          <w:vertAlign w:val="baseline"/>
        </w:rPr>
        <w:t>2.</w:t>
      </w:r>
      <w:r>
        <w:rPr>
          <w:rFonts w:hint="eastAsia" w:ascii="仿宋" w:hAnsi="仿宋" w:eastAsia="仿宋" w:cs="仿宋"/>
          <w:i w:val="0"/>
          <w:iCs w:val="0"/>
          <w:caps w:val="0"/>
          <w:color w:val="auto"/>
          <w:spacing w:val="6"/>
          <w:sz w:val="24"/>
          <w:szCs w:val="24"/>
          <w:highlight w:val="none"/>
          <w:u w:val="single"/>
          <w:shd w:val="clear" w:color="auto" w:fill="auto"/>
          <w:vertAlign w:val="baseline"/>
        </w:rPr>
        <w:t>（产品名称2）</w:t>
      </w:r>
      <w:r>
        <w:rPr>
          <w:rFonts w:hint="eastAsia" w:ascii="仿宋" w:hAnsi="仿宋" w:eastAsia="仿宋" w:cs="仿宋"/>
          <w:i w:val="0"/>
          <w:iCs w:val="0"/>
          <w:caps w:val="0"/>
          <w:color w:val="auto"/>
          <w:spacing w:val="6"/>
          <w:sz w:val="24"/>
          <w:szCs w:val="24"/>
          <w:highlight w:val="none"/>
          <w:shd w:val="clear" w:color="auto" w:fill="auto"/>
          <w:vertAlign w:val="baseline"/>
        </w:rPr>
        <w:t>，生产厂为</w:t>
      </w:r>
      <w:r>
        <w:rPr>
          <w:rFonts w:hint="eastAsia" w:ascii="仿宋" w:hAnsi="仿宋" w:eastAsia="仿宋" w:cs="仿宋"/>
          <w:i w:val="0"/>
          <w:iCs w:val="0"/>
          <w:caps w:val="0"/>
          <w:color w:val="auto"/>
          <w:spacing w:val="6"/>
          <w:sz w:val="24"/>
          <w:szCs w:val="24"/>
          <w:highlight w:val="none"/>
          <w:u w:val="single"/>
          <w:shd w:val="clear" w:color="auto" w:fill="auto"/>
          <w:vertAlign w:val="baseline"/>
        </w:rPr>
        <w:t>（厂名）</w:t>
      </w:r>
      <w:r>
        <w:rPr>
          <w:rFonts w:hint="eastAsia" w:ascii="仿宋" w:hAnsi="仿宋" w:eastAsia="仿宋" w:cs="仿宋"/>
          <w:i w:val="0"/>
          <w:iCs w:val="0"/>
          <w:caps w:val="0"/>
          <w:color w:val="auto"/>
          <w:spacing w:val="6"/>
          <w:sz w:val="24"/>
          <w:szCs w:val="24"/>
          <w:highlight w:val="none"/>
          <w:shd w:val="clear" w:color="auto" w:fill="auto"/>
          <w:vertAlign w:val="baseline"/>
        </w:rPr>
        <w:t>，厂址为</w:t>
      </w:r>
      <w:r>
        <w:rPr>
          <w:rFonts w:hint="eastAsia" w:ascii="仿宋" w:hAnsi="仿宋" w:eastAsia="仿宋" w:cs="仿宋"/>
          <w:i w:val="0"/>
          <w:iCs w:val="0"/>
          <w:caps w:val="0"/>
          <w:color w:val="auto"/>
          <w:spacing w:val="6"/>
          <w:sz w:val="24"/>
          <w:szCs w:val="24"/>
          <w:highlight w:val="none"/>
          <w:u w:val="single"/>
          <w:shd w:val="clear" w:color="auto" w:fill="auto"/>
          <w:vertAlign w:val="baseline"/>
        </w:rPr>
        <w:t>（生产厂址）</w:t>
      </w:r>
      <w:r>
        <w:rPr>
          <w:rFonts w:hint="eastAsia" w:ascii="仿宋" w:hAnsi="仿宋" w:eastAsia="仿宋" w:cs="仿宋"/>
          <w:i w:val="0"/>
          <w:iCs w:val="0"/>
          <w:caps w:val="0"/>
          <w:color w:val="auto"/>
          <w:spacing w:val="6"/>
          <w:sz w:val="24"/>
          <w:szCs w:val="24"/>
          <w:highlight w:val="none"/>
          <w:shd w:val="clear" w:color="auto" w:fill="auto"/>
          <w:vertAlign w:val="baseline"/>
        </w:rPr>
        <w:t>。</w:t>
      </w:r>
      <w:r>
        <w:rPr>
          <w:rFonts w:hint="eastAsia" w:ascii="仿宋" w:hAnsi="仿宋" w:eastAsia="仿宋" w:cs="仿宋"/>
          <w:i w:val="0"/>
          <w:iCs w:val="0"/>
          <w:caps w:val="0"/>
          <w:color w:val="auto"/>
          <w:spacing w:val="6"/>
          <w:sz w:val="24"/>
          <w:szCs w:val="24"/>
          <w:highlight w:val="none"/>
          <w:u w:val="single"/>
          <w:shd w:val="clear" w:color="auto" w:fill="auto"/>
          <w:vertAlign w:val="baseline"/>
        </w:rPr>
        <w:t>（产品名称2）</w:t>
      </w:r>
      <w:r>
        <w:rPr>
          <w:rFonts w:hint="eastAsia" w:ascii="仿宋" w:hAnsi="仿宋" w:eastAsia="仿宋" w:cs="仿宋"/>
          <w:i w:val="0"/>
          <w:iCs w:val="0"/>
          <w:caps w:val="0"/>
          <w:color w:val="auto"/>
          <w:spacing w:val="6"/>
          <w:sz w:val="24"/>
          <w:szCs w:val="24"/>
          <w:highlight w:val="none"/>
          <w:shd w:val="clear" w:color="auto" w:fill="auto"/>
          <w:vertAlign w:val="baseline"/>
        </w:rPr>
        <w:t>的中国境内生产的组件成本占比≥</w:t>
      </w:r>
      <w:r>
        <w:rPr>
          <w:rFonts w:hint="eastAsia" w:ascii="仿宋" w:hAnsi="仿宋" w:eastAsia="仿宋" w:cs="仿宋"/>
          <w:i w:val="0"/>
          <w:iCs w:val="0"/>
          <w:caps w:val="0"/>
          <w:color w:val="auto"/>
          <w:spacing w:val="6"/>
          <w:sz w:val="24"/>
          <w:szCs w:val="24"/>
          <w:highlight w:val="none"/>
          <w:u w:val="single"/>
          <w:shd w:val="clear" w:color="auto" w:fill="auto"/>
          <w:vertAlign w:val="baseline"/>
        </w:rPr>
        <w:t>（规定比例）</w:t>
      </w:r>
      <w:r>
        <w:rPr>
          <w:rFonts w:hint="eastAsia" w:ascii="仿宋" w:hAnsi="仿宋" w:eastAsia="仿宋" w:cs="仿宋"/>
          <w:i w:val="0"/>
          <w:iCs w:val="0"/>
          <w:caps w:val="0"/>
          <w:color w:val="auto"/>
          <w:spacing w:val="6"/>
          <w:sz w:val="24"/>
          <w:szCs w:val="24"/>
          <w:highlight w:val="none"/>
          <w:shd w:val="clear" w:color="auto" w:fill="auto"/>
          <w:vertAlign w:val="baseline"/>
        </w:rPr>
        <w:t>。</w:t>
      </w:r>
      <w:r>
        <w:rPr>
          <w:rFonts w:hint="eastAsia" w:ascii="仿宋" w:hAnsi="仿宋" w:eastAsia="仿宋" w:cs="仿宋"/>
          <w:i w:val="0"/>
          <w:iCs w:val="0"/>
          <w:caps w:val="0"/>
          <w:color w:val="auto"/>
          <w:spacing w:val="6"/>
          <w:sz w:val="24"/>
          <w:szCs w:val="24"/>
          <w:highlight w:val="none"/>
          <w:u w:val="single"/>
          <w:shd w:val="clear" w:color="auto" w:fill="auto"/>
          <w:vertAlign w:val="baseline"/>
        </w:rPr>
        <w:t>（产品名称2）</w:t>
      </w:r>
      <w:r>
        <w:rPr>
          <w:rFonts w:hint="eastAsia" w:ascii="仿宋" w:hAnsi="仿宋" w:eastAsia="仿宋" w:cs="仿宋"/>
          <w:i w:val="0"/>
          <w:iCs w:val="0"/>
          <w:caps w:val="0"/>
          <w:color w:val="auto"/>
          <w:spacing w:val="6"/>
          <w:sz w:val="24"/>
          <w:szCs w:val="24"/>
          <w:highlight w:val="none"/>
          <w:shd w:val="clear" w:color="auto" w:fill="auto"/>
          <w:vertAlign w:val="baseline"/>
        </w:rPr>
        <w:t>的</w:t>
      </w:r>
      <w:r>
        <w:rPr>
          <w:rFonts w:hint="eastAsia" w:ascii="仿宋" w:hAnsi="仿宋" w:eastAsia="仿宋" w:cs="仿宋"/>
          <w:i w:val="0"/>
          <w:iCs w:val="0"/>
          <w:caps w:val="0"/>
          <w:color w:val="auto"/>
          <w:spacing w:val="6"/>
          <w:sz w:val="24"/>
          <w:szCs w:val="24"/>
          <w:highlight w:val="none"/>
          <w:u w:val="single"/>
          <w:shd w:val="clear" w:color="auto" w:fill="auto"/>
          <w:vertAlign w:val="baseline"/>
        </w:rPr>
        <w:t>（关键组件）</w:t>
      </w:r>
      <w:r>
        <w:rPr>
          <w:rFonts w:hint="eastAsia" w:ascii="仿宋" w:hAnsi="仿宋" w:eastAsia="仿宋" w:cs="仿宋"/>
          <w:i w:val="0"/>
          <w:iCs w:val="0"/>
          <w:caps w:val="0"/>
          <w:color w:val="auto"/>
          <w:spacing w:val="6"/>
          <w:sz w:val="24"/>
          <w:szCs w:val="24"/>
          <w:highlight w:val="none"/>
          <w:shd w:val="clear" w:color="auto" w:fill="auto"/>
          <w:vertAlign w:val="baseline"/>
        </w:rPr>
        <w:t>在中国境内生产。</w:t>
      </w:r>
      <w:r>
        <w:rPr>
          <w:rFonts w:hint="eastAsia" w:ascii="仿宋" w:hAnsi="仿宋" w:eastAsia="仿宋" w:cs="仿宋"/>
          <w:i w:val="0"/>
          <w:iCs w:val="0"/>
          <w:caps w:val="0"/>
          <w:color w:val="auto"/>
          <w:spacing w:val="6"/>
          <w:sz w:val="24"/>
          <w:szCs w:val="24"/>
          <w:highlight w:val="none"/>
          <w:u w:val="single"/>
          <w:shd w:val="clear" w:color="auto" w:fill="auto"/>
          <w:vertAlign w:val="baseline"/>
        </w:rPr>
        <w:t>（产品名称2</w:t>
      </w:r>
      <w:r>
        <w:rPr>
          <w:rFonts w:hint="eastAsia" w:ascii="仿宋" w:hAnsi="仿宋" w:eastAsia="仿宋" w:cs="仿宋"/>
          <w:i w:val="0"/>
          <w:iCs w:val="0"/>
          <w:caps w:val="0"/>
          <w:color w:val="auto"/>
          <w:spacing w:val="6"/>
          <w:sz w:val="24"/>
          <w:szCs w:val="24"/>
          <w:highlight w:val="none"/>
          <w:shd w:val="clear" w:color="auto" w:fill="auto"/>
          <w:vertAlign w:val="baseline"/>
        </w:rPr>
        <w:t>）的</w:t>
      </w:r>
      <w:r>
        <w:rPr>
          <w:rFonts w:hint="eastAsia" w:ascii="仿宋" w:hAnsi="仿宋" w:eastAsia="仿宋" w:cs="仿宋"/>
          <w:i w:val="0"/>
          <w:iCs w:val="0"/>
          <w:caps w:val="0"/>
          <w:color w:val="auto"/>
          <w:spacing w:val="6"/>
          <w:sz w:val="24"/>
          <w:szCs w:val="24"/>
          <w:highlight w:val="none"/>
          <w:u w:val="single"/>
          <w:shd w:val="clear" w:color="auto" w:fill="auto"/>
          <w:vertAlign w:val="baseline"/>
        </w:rPr>
        <w:t>（关键工序）</w:t>
      </w:r>
      <w:r>
        <w:rPr>
          <w:rFonts w:hint="eastAsia" w:ascii="仿宋" w:hAnsi="仿宋" w:eastAsia="仿宋" w:cs="仿宋"/>
          <w:i w:val="0"/>
          <w:iCs w:val="0"/>
          <w:caps w:val="0"/>
          <w:color w:val="auto"/>
          <w:spacing w:val="6"/>
          <w:sz w:val="24"/>
          <w:szCs w:val="24"/>
          <w:highlight w:val="none"/>
          <w:shd w:val="clear" w:color="auto" w:fill="auto"/>
          <w:vertAlign w:val="baseline"/>
        </w:rPr>
        <w:t>在中国境内完成。</w:t>
      </w:r>
    </w:p>
    <w:p w14:paraId="4D3057DC">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420"/>
        <w:rPr>
          <w:rFonts w:hint="eastAsia" w:ascii="仿宋" w:hAnsi="仿宋" w:eastAsia="仿宋" w:cs="仿宋"/>
          <w:i w:val="0"/>
          <w:iCs w:val="0"/>
          <w:caps w:val="0"/>
          <w:color w:val="auto"/>
          <w:spacing w:val="6"/>
          <w:sz w:val="24"/>
          <w:szCs w:val="24"/>
          <w:highlight w:val="none"/>
        </w:rPr>
      </w:pPr>
      <w:r>
        <w:rPr>
          <w:rFonts w:hint="eastAsia" w:ascii="仿宋" w:hAnsi="仿宋" w:eastAsia="仿宋" w:cs="仿宋"/>
          <w:i w:val="0"/>
          <w:iCs w:val="0"/>
          <w:caps w:val="0"/>
          <w:color w:val="auto"/>
          <w:spacing w:val="6"/>
          <w:sz w:val="24"/>
          <w:szCs w:val="24"/>
          <w:highlight w:val="none"/>
          <w:shd w:val="clear" w:color="auto" w:fill="auto"/>
          <w:vertAlign w:val="baseline"/>
        </w:rPr>
        <w:t>……</w:t>
      </w:r>
    </w:p>
    <w:p w14:paraId="1B889B97">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420"/>
        <w:rPr>
          <w:rFonts w:hint="eastAsia" w:ascii="仿宋" w:hAnsi="仿宋" w:eastAsia="仿宋" w:cs="仿宋"/>
          <w:i w:val="0"/>
          <w:iCs w:val="0"/>
          <w:caps w:val="0"/>
          <w:color w:val="auto"/>
          <w:spacing w:val="6"/>
          <w:sz w:val="24"/>
          <w:szCs w:val="24"/>
          <w:highlight w:val="none"/>
        </w:rPr>
      </w:pPr>
      <w:r>
        <w:rPr>
          <w:rFonts w:hint="eastAsia" w:ascii="仿宋" w:hAnsi="仿宋" w:eastAsia="仿宋" w:cs="仿宋"/>
          <w:i w:val="0"/>
          <w:iCs w:val="0"/>
          <w:caps w:val="0"/>
          <w:color w:val="auto"/>
          <w:spacing w:val="6"/>
          <w:sz w:val="24"/>
          <w:szCs w:val="24"/>
          <w:highlight w:val="none"/>
          <w:shd w:val="clear" w:color="auto" w:fill="auto"/>
          <w:vertAlign w:val="baseline"/>
        </w:rPr>
        <w:t>本公司（单位）对上述声明内容的真实性负责。如有虚假，愿承担相应法律责任。</w:t>
      </w:r>
    </w:p>
    <w:p w14:paraId="1478CD9B">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560" w:lineRule="atLeast"/>
        <w:ind w:left="0" w:right="0" w:firstLine="0"/>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vertAlign w:val="baseline"/>
        </w:rPr>
        <w:t> </w:t>
      </w:r>
    </w:p>
    <w:p w14:paraId="08DFBCBF">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420"/>
        <w:jc w:val="right"/>
        <w:rPr>
          <w:rFonts w:hint="eastAsia" w:ascii="仿宋" w:hAnsi="仿宋" w:eastAsia="仿宋" w:cs="仿宋"/>
          <w:i w:val="0"/>
          <w:iCs w:val="0"/>
          <w:caps w:val="0"/>
          <w:color w:val="auto"/>
          <w:spacing w:val="6"/>
          <w:sz w:val="24"/>
          <w:szCs w:val="24"/>
          <w:highlight w:val="none"/>
        </w:rPr>
      </w:pPr>
      <w:r>
        <w:rPr>
          <w:rFonts w:hint="eastAsia" w:ascii="仿宋" w:hAnsi="仿宋" w:eastAsia="仿宋" w:cs="仿宋"/>
          <w:i w:val="0"/>
          <w:iCs w:val="0"/>
          <w:caps w:val="0"/>
          <w:color w:val="auto"/>
          <w:spacing w:val="6"/>
          <w:sz w:val="24"/>
          <w:szCs w:val="24"/>
          <w:highlight w:val="none"/>
          <w:shd w:val="clear" w:color="auto" w:fill="auto"/>
          <w:vertAlign w:val="baseline"/>
        </w:rPr>
        <w:t>公司（单位）名称（盖章）：　        </w:t>
      </w:r>
    </w:p>
    <w:p w14:paraId="6520E9B3">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420"/>
        <w:jc w:val="right"/>
        <w:rPr>
          <w:rFonts w:hint="eastAsia" w:ascii="仿宋" w:hAnsi="仿宋" w:eastAsia="仿宋" w:cs="仿宋"/>
          <w:i w:val="0"/>
          <w:iCs w:val="0"/>
          <w:caps w:val="0"/>
          <w:color w:val="auto"/>
          <w:spacing w:val="0"/>
          <w:sz w:val="28"/>
          <w:szCs w:val="28"/>
          <w:highlight w:val="none"/>
          <w:shd w:val="clear" w:color="auto" w:fill="FFFFFF"/>
          <w:vertAlign w:val="baseline"/>
        </w:rPr>
      </w:pPr>
      <w:r>
        <w:rPr>
          <w:rFonts w:hint="eastAsia" w:ascii="仿宋" w:hAnsi="仿宋" w:eastAsia="仿宋" w:cs="仿宋"/>
          <w:i w:val="0"/>
          <w:iCs w:val="0"/>
          <w:caps w:val="0"/>
          <w:color w:val="auto"/>
          <w:spacing w:val="6"/>
          <w:sz w:val="24"/>
          <w:szCs w:val="24"/>
          <w:highlight w:val="none"/>
          <w:shd w:val="clear" w:color="auto" w:fill="auto"/>
          <w:vertAlign w:val="baseline"/>
        </w:rPr>
        <w:t>日期：　     年　  月　  日</w:t>
      </w:r>
      <w:r>
        <w:rPr>
          <w:rFonts w:hint="eastAsia" w:ascii="宋体" w:hAnsi="宋体" w:eastAsia="宋体" w:cs="宋体"/>
          <w:i w:val="0"/>
          <w:iCs w:val="0"/>
          <w:caps w:val="0"/>
          <w:color w:val="auto"/>
          <w:spacing w:val="6"/>
          <w:sz w:val="22"/>
          <w:szCs w:val="22"/>
          <w:highlight w:val="none"/>
          <w:shd w:val="clear" w:color="auto" w:fill="auto"/>
          <w:vertAlign w:val="baseline"/>
        </w:rPr>
        <w:t> </w:t>
      </w:r>
      <w:r>
        <w:rPr>
          <w:rFonts w:hint="eastAsia" w:ascii="宋体" w:hAnsi="宋体" w:eastAsia="宋体" w:cs="宋体"/>
          <w:i w:val="0"/>
          <w:iCs w:val="0"/>
          <w:caps w:val="0"/>
          <w:color w:val="auto"/>
          <w:spacing w:val="6"/>
          <w:sz w:val="24"/>
          <w:szCs w:val="24"/>
          <w:highlight w:val="none"/>
          <w:shd w:val="clear" w:color="auto" w:fill="auto"/>
          <w:vertAlign w:val="baseline"/>
        </w:rPr>
        <w:t>        </w:t>
      </w:r>
    </w:p>
    <w:p w14:paraId="035FE292">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560" w:lineRule="atLeast"/>
        <w:ind w:left="0" w:right="0" w:firstLine="0"/>
        <w:rPr>
          <w:rFonts w:hint="eastAsia" w:ascii="仿宋" w:hAnsi="仿宋" w:eastAsia="仿宋" w:cs="仿宋"/>
          <w:i w:val="0"/>
          <w:iCs w:val="0"/>
          <w:caps w:val="0"/>
          <w:color w:val="auto"/>
          <w:spacing w:val="0"/>
          <w:sz w:val="28"/>
          <w:szCs w:val="28"/>
          <w:highlight w:val="none"/>
          <w:shd w:val="clear" w:color="auto" w:fill="FFFFFF"/>
          <w:vertAlign w:val="baseline"/>
        </w:rPr>
      </w:pPr>
    </w:p>
    <w:p w14:paraId="5B5E401A">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560" w:lineRule="atLeast"/>
        <w:ind w:left="0" w:right="0" w:firstLine="0"/>
        <w:rPr>
          <w:rFonts w:hint="eastAsia" w:ascii="仿宋" w:hAnsi="仿宋" w:eastAsia="仿宋" w:cs="仿宋"/>
          <w:i w:val="0"/>
          <w:iCs w:val="0"/>
          <w:caps w:val="0"/>
          <w:color w:val="auto"/>
          <w:spacing w:val="0"/>
          <w:sz w:val="28"/>
          <w:szCs w:val="28"/>
          <w:highlight w:val="none"/>
          <w:shd w:val="clear" w:color="auto" w:fill="FFFFFF"/>
          <w:vertAlign w:val="baseline"/>
        </w:rPr>
      </w:pPr>
    </w:p>
    <w:p w14:paraId="61567E99">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560" w:lineRule="atLeast"/>
        <w:ind w:left="0" w:right="0" w:firstLine="0"/>
        <w:rPr>
          <w:rFonts w:hint="eastAsia" w:ascii="仿宋" w:hAnsi="仿宋" w:eastAsia="仿宋" w:cs="仿宋"/>
          <w:i w:val="0"/>
          <w:iCs w:val="0"/>
          <w:caps w:val="0"/>
          <w:color w:val="auto"/>
          <w:spacing w:val="0"/>
          <w:sz w:val="28"/>
          <w:szCs w:val="28"/>
          <w:highlight w:val="none"/>
        </w:rPr>
      </w:pPr>
      <w:r>
        <w:rPr>
          <w:rFonts w:hint="eastAsia" w:ascii="仿宋" w:hAnsi="仿宋" w:eastAsia="仿宋" w:cs="仿宋"/>
          <w:i w:val="0"/>
          <w:iCs w:val="0"/>
          <w:caps w:val="0"/>
          <w:color w:val="auto"/>
          <w:spacing w:val="0"/>
          <w:sz w:val="28"/>
          <w:szCs w:val="28"/>
          <w:highlight w:val="none"/>
          <w:shd w:val="clear" w:color="auto" w:fill="FFFFFF"/>
          <w:vertAlign w:val="baseline"/>
        </w:rPr>
        <w:t>_______________</w:t>
      </w:r>
    </w:p>
    <w:p w14:paraId="7823AD4F">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420"/>
        <w:rPr>
          <w:rFonts w:hint="eastAsia" w:ascii="仿宋" w:hAnsi="仿宋" w:eastAsia="仿宋" w:cs="仿宋"/>
          <w:b w:val="0"/>
          <w:bCs w:val="0"/>
          <w:i w:val="0"/>
          <w:iCs w:val="0"/>
          <w:caps w:val="0"/>
          <w:color w:val="auto"/>
          <w:spacing w:val="6"/>
          <w:sz w:val="22"/>
          <w:szCs w:val="22"/>
          <w:highlight w:val="none"/>
        </w:rPr>
      </w:pPr>
      <w:r>
        <w:rPr>
          <w:rFonts w:hint="eastAsia" w:ascii="仿宋" w:hAnsi="仿宋" w:eastAsia="仿宋" w:cs="仿宋"/>
          <w:b w:val="0"/>
          <w:bCs w:val="0"/>
          <w:i w:val="0"/>
          <w:iCs w:val="0"/>
          <w:caps w:val="0"/>
          <w:color w:val="auto"/>
          <w:spacing w:val="6"/>
          <w:sz w:val="22"/>
          <w:szCs w:val="22"/>
          <w:highlight w:val="none"/>
          <w:shd w:val="clear" w:color="auto" w:fill="auto"/>
          <w:vertAlign w:val="baseline"/>
          <w:lang w:eastAsia="zh-CN"/>
        </w:rPr>
        <w:t>注：</w:t>
      </w:r>
      <w:r>
        <w:rPr>
          <w:rFonts w:hint="eastAsia" w:ascii="仿宋" w:hAnsi="仿宋" w:eastAsia="仿宋" w:cs="仿宋"/>
          <w:b w:val="0"/>
          <w:bCs w:val="0"/>
          <w:i w:val="0"/>
          <w:iCs w:val="0"/>
          <w:caps w:val="0"/>
          <w:color w:val="auto"/>
          <w:spacing w:val="6"/>
          <w:sz w:val="22"/>
          <w:szCs w:val="22"/>
          <w:highlight w:val="none"/>
          <w:shd w:val="clear" w:color="auto" w:fill="auto"/>
          <w:vertAlign w:val="baseline"/>
        </w:rPr>
        <w:t>1.产品如有型号，请在“产品名称”栏一并填写。</w:t>
      </w:r>
    </w:p>
    <w:p w14:paraId="2096DBFA">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928"/>
        <w:rPr>
          <w:rFonts w:hint="eastAsia" w:ascii="仿宋" w:hAnsi="仿宋" w:eastAsia="仿宋" w:cs="仿宋"/>
          <w:b w:val="0"/>
          <w:bCs w:val="0"/>
          <w:i w:val="0"/>
          <w:iCs w:val="0"/>
          <w:caps w:val="0"/>
          <w:color w:val="auto"/>
          <w:spacing w:val="6"/>
          <w:sz w:val="22"/>
          <w:szCs w:val="22"/>
          <w:highlight w:val="none"/>
        </w:rPr>
      </w:pPr>
      <w:r>
        <w:rPr>
          <w:rFonts w:hint="eastAsia" w:ascii="仿宋" w:hAnsi="仿宋" w:eastAsia="仿宋" w:cs="仿宋"/>
          <w:b w:val="0"/>
          <w:bCs w:val="0"/>
          <w:i w:val="0"/>
          <w:iCs w:val="0"/>
          <w:caps w:val="0"/>
          <w:color w:val="auto"/>
          <w:spacing w:val="6"/>
          <w:sz w:val="22"/>
          <w:szCs w:val="22"/>
          <w:highlight w:val="none"/>
          <w:shd w:val="clear" w:color="auto" w:fill="auto"/>
          <w:vertAlign w:val="baseline"/>
        </w:rPr>
        <w:t>2.生产厂名与厂址应与生产厂营业执照载明的相关信息保持一致。</w:t>
      </w:r>
    </w:p>
    <w:p w14:paraId="08DB9D0A">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928"/>
        <w:rPr>
          <w:rFonts w:hint="eastAsia" w:ascii="仿宋" w:hAnsi="仿宋" w:eastAsia="仿宋" w:cs="仿宋"/>
          <w:b w:val="0"/>
          <w:bCs w:val="0"/>
          <w:i w:val="0"/>
          <w:iCs w:val="0"/>
          <w:caps w:val="0"/>
          <w:color w:val="auto"/>
          <w:spacing w:val="6"/>
          <w:sz w:val="22"/>
          <w:szCs w:val="22"/>
          <w:highlight w:val="none"/>
        </w:rPr>
      </w:pPr>
      <w:r>
        <w:rPr>
          <w:rFonts w:hint="eastAsia" w:ascii="仿宋" w:hAnsi="仿宋" w:eastAsia="仿宋" w:cs="仿宋"/>
          <w:b w:val="0"/>
          <w:bCs w:val="0"/>
          <w:i w:val="0"/>
          <w:iCs w:val="0"/>
          <w:caps w:val="0"/>
          <w:color w:val="auto"/>
          <w:spacing w:val="6"/>
          <w:sz w:val="22"/>
          <w:szCs w:val="22"/>
          <w:highlight w:val="none"/>
          <w:shd w:val="clear" w:color="auto" w:fill="auto"/>
          <w:vertAlign w:val="baseline"/>
        </w:rPr>
        <w:t>3.该产品的中国境内生产的组件成本占比相关要求实施前，“规定比例”栏可不填，下同。</w:t>
      </w:r>
    </w:p>
    <w:p w14:paraId="12918F99">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480" w:lineRule="atLeast"/>
        <w:ind w:left="0" w:right="0" w:firstLine="928"/>
        <w:rPr>
          <w:rFonts w:hint="eastAsia" w:ascii="仿宋" w:hAnsi="仿宋" w:eastAsia="仿宋" w:cs="仿宋"/>
          <w:b w:val="0"/>
          <w:bCs w:val="0"/>
          <w:i w:val="0"/>
          <w:iCs w:val="0"/>
          <w:caps w:val="0"/>
          <w:color w:val="auto"/>
          <w:spacing w:val="6"/>
          <w:sz w:val="22"/>
          <w:szCs w:val="22"/>
          <w:highlight w:val="none"/>
          <w:shd w:val="clear" w:color="auto" w:fill="auto"/>
        </w:rPr>
      </w:pPr>
      <w:r>
        <w:rPr>
          <w:rFonts w:hint="eastAsia" w:ascii="仿宋" w:hAnsi="仿宋" w:eastAsia="仿宋" w:cs="仿宋"/>
          <w:b w:val="0"/>
          <w:bCs w:val="0"/>
          <w:i w:val="0"/>
          <w:iCs w:val="0"/>
          <w:caps w:val="0"/>
          <w:color w:val="auto"/>
          <w:spacing w:val="6"/>
          <w:sz w:val="22"/>
          <w:szCs w:val="22"/>
          <w:highlight w:val="none"/>
          <w:shd w:val="clear" w:color="auto" w:fill="auto"/>
          <w:vertAlign w:val="baseline"/>
        </w:rPr>
        <w:t>4.该产品的关键组件要求实施前，“关键组件”栏可不填，下同。</w:t>
      </w:r>
    </w:p>
    <w:p w14:paraId="44E2D726">
      <w:pPr>
        <w:pStyle w:val="36"/>
        <w:widowControl/>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480" w:lineRule="atLeast"/>
        <w:ind w:firstLine="928"/>
        <w:rPr>
          <w:rFonts w:hint="eastAsia" w:ascii="宋体" w:hAnsi="宋体" w:eastAsia="宋体" w:cs="宋体"/>
          <w:b/>
          <w:bCs w:val="0"/>
          <w:color w:val="auto"/>
          <w:sz w:val="28"/>
          <w:szCs w:val="28"/>
          <w:highlight w:val="none"/>
          <w:lang w:val="en-US" w:eastAsia="zh-CN"/>
        </w:rPr>
      </w:pPr>
      <w:r>
        <w:rPr>
          <w:rFonts w:hint="eastAsia" w:ascii="仿宋" w:hAnsi="仿宋" w:eastAsia="仿宋" w:cs="仿宋"/>
          <w:b w:val="0"/>
          <w:bCs w:val="0"/>
          <w:i w:val="0"/>
          <w:iCs w:val="0"/>
          <w:caps w:val="0"/>
          <w:color w:val="auto"/>
          <w:spacing w:val="6"/>
          <w:sz w:val="22"/>
          <w:szCs w:val="22"/>
          <w:highlight w:val="none"/>
          <w:shd w:val="clear" w:color="auto" w:fill="auto"/>
          <w:vertAlign w:val="baseline"/>
        </w:rPr>
        <w:t>5.该产品的关键工序要求实施前，“关键工序”栏可不填，下同。</w:t>
      </w:r>
    </w:p>
    <w:p w14:paraId="6256542E">
      <w:pPr>
        <w:tabs>
          <w:tab w:val="left" w:pos="1305"/>
        </w:tabs>
        <w:rPr>
          <w:rFonts w:ascii="宋体" w:cs="宋体"/>
          <w:color w:val="auto"/>
          <w:sz w:val="24"/>
          <w:highlight w:val="none"/>
        </w:rPr>
      </w:pPr>
    </w:p>
    <w:p w14:paraId="414E7C7C">
      <w:pPr>
        <w:tabs>
          <w:tab w:val="left" w:pos="1305"/>
        </w:tabs>
        <w:rPr>
          <w:rFonts w:ascii="宋体" w:cs="宋体"/>
          <w:color w:val="auto"/>
          <w:sz w:val="24"/>
          <w:highlight w:val="none"/>
        </w:rPr>
      </w:pPr>
    </w:p>
    <w:p w14:paraId="32B239F2">
      <w:pPr>
        <w:tabs>
          <w:tab w:val="left" w:pos="1305"/>
        </w:tabs>
        <w:rPr>
          <w:rFonts w:ascii="宋体" w:cs="宋体"/>
          <w:color w:val="auto"/>
          <w:sz w:val="24"/>
          <w:highlight w:val="none"/>
        </w:rPr>
      </w:pPr>
    </w:p>
    <w:p w14:paraId="4BCDA29C">
      <w:pPr>
        <w:outlineLvl w:val="9"/>
        <w:rPr>
          <w:rFonts w:ascii="宋体" w:hAnsi="宋体" w:cs="宋体"/>
          <w:b/>
          <w:bCs/>
          <w:color w:val="auto"/>
          <w:sz w:val="28"/>
          <w:szCs w:val="28"/>
          <w:highlight w:val="none"/>
        </w:rPr>
      </w:pPr>
      <w:r>
        <w:rPr>
          <w:rFonts w:hint="eastAsia" w:ascii="宋体" w:hAnsi="宋体" w:cs="宋体"/>
          <w:b/>
          <w:bCs/>
          <w:color w:val="auto"/>
          <w:sz w:val="28"/>
          <w:szCs w:val="28"/>
          <w:highlight w:val="none"/>
          <w:lang w:val="en-US" w:eastAsia="zh-CN"/>
        </w:rPr>
        <w:t>9</w:t>
      </w:r>
      <w:r>
        <w:rPr>
          <w:rFonts w:hint="eastAsia" w:ascii="宋体" w:hAnsi="宋体" w:cs="宋体"/>
          <w:b/>
          <w:bCs/>
          <w:color w:val="auto"/>
          <w:sz w:val="28"/>
          <w:szCs w:val="28"/>
          <w:highlight w:val="none"/>
        </w:rPr>
        <w:t>.</w:t>
      </w:r>
      <w:r>
        <w:rPr>
          <w:rFonts w:hint="eastAsia" w:ascii="宋体" w:hAnsi="Courier New"/>
          <w:b/>
          <w:color w:val="auto"/>
          <w:sz w:val="28"/>
          <w:szCs w:val="28"/>
          <w:highlight w:val="none"/>
        </w:rPr>
        <w:t>项目实施方案</w:t>
      </w:r>
      <w:r>
        <w:rPr>
          <w:rFonts w:hint="eastAsia" w:ascii="宋体" w:hAnsi="宋体" w:cs="宋体"/>
          <w:b/>
          <w:bCs/>
          <w:color w:val="auto"/>
          <w:sz w:val="28"/>
          <w:szCs w:val="28"/>
          <w:highlight w:val="none"/>
        </w:rPr>
        <w:t>（格式见附件）（如有，请提供）；</w:t>
      </w:r>
    </w:p>
    <w:p w14:paraId="3D52E2FB">
      <w:pPr>
        <w:rPr>
          <w:rFonts w:ascii="宋体" w:hAnsi="宋体" w:cs="宋体"/>
          <w:b/>
          <w:bCs/>
          <w:color w:val="auto"/>
          <w:sz w:val="32"/>
          <w:szCs w:val="32"/>
          <w:highlight w:val="none"/>
        </w:rPr>
      </w:pPr>
      <w:r>
        <w:rPr>
          <w:rFonts w:hint="eastAsia" w:ascii="宋体" w:hAnsi="宋体" w:cs="宋体"/>
          <w:b/>
          <w:bCs/>
          <w:color w:val="auto"/>
          <w:sz w:val="32"/>
          <w:szCs w:val="32"/>
          <w:highlight w:val="none"/>
        </w:rPr>
        <w:t>附件：</w:t>
      </w:r>
    </w:p>
    <w:p w14:paraId="205D92CA">
      <w:pPr>
        <w:rPr>
          <w:color w:val="auto"/>
          <w:highlight w:val="none"/>
        </w:rPr>
      </w:pPr>
    </w:p>
    <w:p w14:paraId="54254B28">
      <w:pPr>
        <w:pStyle w:val="18"/>
        <w:rPr>
          <w:color w:val="auto"/>
          <w:highlight w:val="none"/>
        </w:rPr>
      </w:pPr>
    </w:p>
    <w:p w14:paraId="10194650">
      <w:pPr>
        <w:jc w:val="center"/>
        <w:rPr>
          <w:color w:val="auto"/>
          <w:highlight w:val="none"/>
        </w:rPr>
      </w:pPr>
    </w:p>
    <w:p w14:paraId="1FE3CF43">
      <w:pPr>
        <w:pStyle w:val="21"/>
        <w:spacing w:line="340" w:lineRule="exact"/>
        <w:jc w:val="center"/>
        <w:outlineLvl w:val="9"/>
        <w:rPr>
          <w:b/>
          <w:color w:val="auto"/>
          <w:sz w:val="32"/>
          <w:szCs w:val="32"/>
          <w:highlight w:val="none"/>
        </w:rPr>
      </w:pPr>
      <w:bookmarkStart w:id="1015" w:name="_Toc13394"/>
      <w:bookmarkStart w:id="1016" w:name="_Toc22868"/>
      <w:bookmarkStart w:id="1017" w:name="_Toc5411"/>
      <w:r>
        <w:rPr>
          <w:rFonts w:hint="eastAsia"/>
          <w:b/>
          <w:color w:val="auto"/>
          <w:sz w:val="28"/>
          <w:szCs w:val="28"/>
          <w:highlight w:val="none"/>
        </w:rPr>
        <w:t>项目实施方案</w:t>
      </w:r>
      <w:r>
        <w:rPr>
          <w:rFonts w:hint="eastAsia"/>
          <w:b/>
          <w:color w:val="auto"/>
          <w:sz w:val="32"/>
          <w:szCs w:val="32"/>
          <w:highlight w:val="none"/>
        </w:rPr>
        <w:t xml:space="preserve"> （格式）</w:t>
      </w:r>
      <w:bookmarkEnd w:id="1015"/>
      <w:bookmarkEnd w:id="1016"/>
      <w:bookmarkEnd w:id="1017"/>
    </w:p>
    <w:p w14:paraId="0F7F0713">
      <w:pPr>
        <w:jc w:val="center"/>
        <w:rPr>
          <w:rFonts w:hAnsi="Courier New"/>
          <w:b/>
          <w:color w:val="auto"/>
          <w:sz w:val="32"/>
          <w:szCs w:val="32"/>
          <w:highlight w:val="none"/>
        </w:rPr>
      </w:pPr>
    </w:p>
    <w:p w14:paraId="2BE73E49">
      <w:pPr>
        <w:pStyle w:val="18"/>
        <w:jc w:val="center"/>
        <w:rPr>
          <w:color w:val="auto"/>
          <w:highlight w:val="none"/>
        </w:rPr>
      </w:pPr>
    </w:p>
    <w:p w14:paraId="3569A4A7">
      <w:pPr>
        <w:widowControl/>
        <w:jc w:val="center"/>
        <w:outlineLvl w:val="9"/>
        <w:rPr>
          <w:rFonts w:ascii="宋体" w:hAnsi="宋体" w:cs="宋体"/>
          <w:b/>
          <w:color w:val="auto"/>
          <w:sz w:val="28"/>
          <w:szCs w:val="28"/>
          <w:highlight w:val="none"/>
          <w:lang w:bidi="ar"/>
        </w:rPr>
      </w:pPr>
      <w:bookmarkStart w:id="1018" w:name="_Toc25066"/>
      <w:bookmarkStart w:id="1019" w:name="_Toc20746"/>
      <w:bookmarkStart w:id="1020" w:name="_Toc10481"/>
      <w:r>
        <w:rPr>
          <w:rFonts w:hint="eastAsia" w:ascii="宋体" w:hAnsi="宋体" w:cs="宋体"/>
          <w:b/>
          <w:color w:val="auto"/>
          <w:sz w:val="28"/>
          <w:szCs w:val="28"/>
          <w:highlight w:val="none"/>
          <w:lang w:bidi="ar"/>
        </w:rPr>
        <w:t>（根据采购需求自行编制）</w:t>
      </w:r>
      <w:bookmarkEnd w:id="1018"/>
      <w:bookmarkEnd w:id="1019"/>
      <w:bookmarkEnd w:id="1020"/>
    </w:p>
    <w:p w14:paraId="2ABA2F90">
      <w:pPr>
        <w:widowControl/>
        <w:ind w:firstLine="3092"/>
        <w:jc w:val="left"/>
        <w:rPr>
          <w:rFonts w:ascii="宋体" w:hAnsi="宋体" w:cs="宋体"/>
          <w:b/>
          <w:color w:val="auto"/>
          <w:sz w:val="28"/>
          <w:szCs w:val="28"/>
          <w:highlight w:val="none"/>
          <w:lang w:bidi="ar"/>
        </w:rPr>
      </w:pPr>
    </w:p>
    <w:p w14:paraId="4BEE13EF">
      <w:pPr>
        <w:widowControl/>
        <w:ind w:firstLine="1470"/>
        <w:jc w:val="left"/>
        <w:rPr>
          <w:rFonts w:ascii="宋体"/>
          <w:color w:val="auto"/>
          <w:szCs w:val="21"/>
          <w:highlight w:val="none"/>
        </w:rPr>
      </w:pP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[公章(CA签章)，自然人签字或个人CA签章]：</w:t>
      </w:r>
      <w:r>
        <w:rPr>
          <w:rFonts w:hint="eastAsia" w:ascii="宋体" w:hAnsi="宋体" w:cs="宋体"/>
          <w:color w:val="auto"/>
          <w:szCs w:val="21"/>
          <w:highlight w:val="none"/>
          <w:u w:val="single"/>
        </w:rPr>
        <w:t xml:space="preserve">                            </w:t>
      </w:r>
      <w:r>
        <w:rPr>
          <w:rFonts w:ascii="宋体" w:hAnsi="宋体"/>
          <w:color w:val="auto"/>
          <w:szCs w:val="21"/>
          <w:highlight w:val="none"/>
          <w:u w:val="single"/>
        </w:rPr>
        <w:t xml:space="preserve">                           </w:t>
      </w:r>
    </w:p>
    <w:p w14:paraId="17E18959">
      <w:pPr>
        <w:pStyle w:val="21"/>
        <w:spacing w:line="300" w:lineRule="exact"/>
        <w:ind w:left="2940" w:firstLine="600"/>
        <w:rPr>
          <w:rFonts w:hAnsi="宋体"/>
          <w:color w:val="auto"/>
          <w:highlight w:val="none"/>
        </w:rPr>
      </w:pPr>
    </w:p>
    <w:p w14:paraId="029AA75D">
      <w:pPr>
        <w:pStyle w:val="21"/>
        <w:spacing w:line="300" w:lineRule="exact"/>
        <w:ind w:firstLine="4638"/>
        <w:rPr>
          <w:b/>
          <w:color w:val="auto"/>
          <w:sz w:val="28"/>
          <w:szCs w:val="28"/>
          <w:highlight w:val="none"/>
        </w:rPr>
      </w:pPr>
    </w:p>
    <w:p w14:paraId="1A4A394D">
      <w:pPr>
        <w:pStyle w:val="21"/>
        <w:spacing w:line="300" w:lineRule="exact"/>
        <w:rPr>
          <w:b/>
          <w:color w:val="auto"/>
          <w:sz w:val="28"/>
          <w:szCs w:val="28"/>
          <w:highlight w:val="none"/>
        </w:rPr>
      </w:pPr>
    </w:p>
    <w:p w14:paraId="1668C8FA">
      <w:pPr>
        <w:spacing w:line="300" w:lineRule="exact"/>
        <w:ind w:firstLine="3570"/>
        <w:rPr>
          <w:color w:val="auto"/>
          <w:highlight w:val="none"/>
          <w:u w:val="single"/>
        </w:rPr>
      </w:pPr>
      <w:r>
        <w:rPr>
          <w:color w:val="auto"/>
          <w:highlight w:val="none"/>
        </w:rPr>
        <w:t>日          期：</w:t>
      </w:r>
      <w:r>
        <w:rPr>
          <w:color w:val="auto"/>
          <w:highlight w:val="none"/>
          <w:u w:val="single"/>
        </w:rPr>
        <w:t xml:space="preserve">                              </w:t>
      </w:r>
    </w:p>
    <w:p w14:paraId="292668A9">
      <w:pPr>
        <w:outlineLvl w:val="9"/>
        <w:rPr>
          <w:color w:val="auto"/>
          <w:highlight w:val="none"/>
        </w:rPr>
      </w:pPr>
    </w:p>
    <w:p w14:paraId="7B5F5CA9">
      <w:pPr>
        <w:rPr>
          <w:color w:val="auto"/>
          <w:highlight w:val="none"/>
        </w:rPr>
      </w:pPr>
    </w:p>
    <w:p w14:paraId="40BF7CD3">
      <w:pPr>
        <w:rPr>
          <w:color w:val="auto"/>
          <w:highlight w:val="none"/>
        </w:rPr>
      </w:pPr>
    </w:p>
    <w:p w14:paraId="7FA944A0">
      <w:pPr>
        <w:rPr>
          <w:color w:val="auto"/>
          <w:highlight w:val="none"/>
        </w:rPr>
      </w:pPr>
    </w:p>
    <w:p w14:paraId="13335E52">
      <w:pPr>
        <w:rPr>
          <w:color w:val="auto"/>
          <w:highlight w:val="none"/>
        </w:rPr>
      </w:pPr>
    </w:p>
    <w:p w14:paraId="36841C5D">
      <w:pPr>
        <w:tabs>
          <w:tab w:val="left" w:pos="1305"/>
        </w:tabs>
        <w:spacing w:line="400" w:lineRule="exact"/>
        <w:rPr>
          <w:rFonts w:hint="eastAsia" w:ascii="宋体" w:hAnsi="宋体" w:cs="宋体"/>
          <w:b/>
          <w:bCs/>
          <w:color w:val="auto"/>
          <w:sz w:val="28"/>
          <w:szCs w:val="28"/>
          <w:highlight w:val="none"/>
        </w:rPr>
      </w:pPr>
      <w:r>
        <w:rPr>
          <w:rFonts w:hint="eastAsia" w:ascii="宋体" w:hAnsi="宋体" w:cs="宋体"/>
          <w:b/>
          <w:bCs/>
          <w:color w:val="auto"/>
          <w:sz w:val="28"/>
          <w:szCs w:val="28"/>
          <w:highlight w:val="none"/>
          <w:lang w:val="en-US" w:eastAsia="zh-CN"/>
        </w:rPr>
        <w:t>10</w:t>
      </w:r>
      <w:r>
        <w:rPr>
          <w:rFonts w:hint="eastAsia" w:ascii="宋体" w:hAnsi="宋体" w:cs="宋体"/>
          <w:b/>
          <w:bCs/>
          <w:color w:val="auto"/>
          <w:sz w:val="28"/>
          <w:szCs w:val="28"/>
          <w:highlight w:val="none"/>
        </w:rPr>
        <w:t>.供应商可结合本项目的评审办法视自身情况自行提交相关证明材料（如有，请提供）。</w:t>
      </w:r>
    </w:p>
    <w:p w14:paraId="554C916F">
      <w:pPr>
        <w:outlineLvl w:val="9"/>
        <w:rPr>
          <w:color w:val="auto"/>
          <w:highlight w:val="none"/>
        </w:rPr>
      </w:pPr>
    </w:p>
    <w:p w14:paraId="3BE149A9">
      <w:pPr>
        <w:tabs>
          <w:tab w:val="left" w:pos="1305"/>
        </w:tabs>
        <w:spacing w:line="400" w:lineRule="exact"/>
        <w:rPr>
          <w:rFonts w:hint="eastAsia" w:ascii="宋体" w:hAnsi="宋体" w:cs="宋体"/>
          <w:b/>
          <w:bCs/>
          <w:color w:val="auto"/>
          <w:sz w:val="28"/>
          <w:szCs w:val="28"/>
          <w:highlight w:val="none"/>
        </w:rPr>
      </w:pPr>
    </w:p>
    <w:p w14:paraId="23C14E13">
      <w:pPr>
        <w:spacing w:line="300" w:lineRule="exact"/>
        <w:rPr>
          <w:rFonts w:hint="eastAsia" w:ascii="宋体" w:hAnsi="宋体"/>
          <w:color w:val="auto"/>
          <w:szCs w:val="21"/>
          <w:highlight w:val="none"/>
        </w:rPr>
      </w:pPr>
    </w:p>
    <w:p w14:paraId="38921BDA">
      <w:pPr>
        <w:rPr>
          <w:rFonts w:hint="eastAsia"/>
          <w:color w:val="auto"/>
          <w:highlight w:val="none"/>
        </w:rPr>
      </w:pPr>
    </w:p>
    <w:sectPr>
      <w:footerReference r:id="rId12" w:type="default"/>
      <w:pgSz w:w="11906" w:h="16838"/>
      <w:pgMar w:top="1440" w:right="935" w:bottom="1440" w:left="777" w:header="851" w:footer="992" w:gutter="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0"/>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20B0603030804020204"/>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AvantGarde Bk BT">
    <w:altName w:val="Segoe Print"/>
    <w:panose1 w:val="020B0603030804020204"/>
    <w:charset w:val="00"/>
    <w:family w:val="auto"/>
    <w:pitch w:val="default"/>
    <w:sig w:usb0="00000000" w:usb1="00000000" w:usb2="00000000" w:usb3="00000000" w:csb0="00000000" w:csb1="00000000"/>
  </w:font>
  <w:font w:name="等线 Light">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6BD41C">
    <w:pPr>
      <w:pStyle w:val="26"/>
      <w:pBdr>
        <w:bottom w:val="single" w:color="000000" w:sz="4" w:space="0"/>
      </w:pBdr>
      <w:rPr>
        <w:rFonts w:hint="eastAsia"/>
      </w:rPr>
    </w:pPr>
  </w:p>
  <w:p w14:paraId="4772EB4E">
    <w:pPr>
      <w:pStyle w:val="26"/>
    </w:pPr>
    <w:r>
      <w:rPr>
        <w:rFonts w:hint="eastAsia"/>
      </w:rPr>
      <w:t>桂林市政府集中采购中心                                                                                 竞争性谈判</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C43230">
    <w:pPr>
      <w:pStyle w:val="2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0FC16">
    <w:pPr>
      <w:pStyle w:val="2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68649C">
    <w:pPr>
      <w:pStyle w:val="26"/>
      <w:pBdr>
        <w:bottom w:val="single" w:color="000000" w:sz="4" w:space="0"/>
      </w:pBdr>
      <w:tabs>
        <w:tab w:val="center" w:pos="5096"/>
        <w:tab w:val="clear" w:pos="4153"/>
      </w:tabs>
      <w:rPr>
        <w:rFonts w:hint="eastAsia"/>
      </w:rPr>
    </w:pPr>
    <w:r>
      <w:rPr>
        <w:rFonts w:hint="eastAsia"/>
      </w:rPr>
      <w:tab/>
    </w:r>
  </w:p>
  <w:p w14:paraId="1C4ADFC8">
    <w:pPr>
      <w:pStyle w:val="26"/>
    </w:pPr>
    <w:r>
      <w:rPr>
        <w:rFonts w:hint="eastAsia"/>
      </w:rPr>
      <w:t>桂林市政府集中采购中心                                                                                 竞争性谈判</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F90DBC">
    <w:pPr>
      <w:pStyle w:val="26"/>
      <w:pBdr>
        <w:bottom w:val="single" w:color="000000" w:sz="4" w:space="0"/>
      </w:pBdr>
      <w:tabs>
        <w:tab w:val="center" w:pos="5096"/>
        <w:tab w:val="clear" w:pos="4153"/>
      </w:tabs>
      <w:rPr>
        <w:rFonts w:hint="eastAsia"/>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37"/>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2583A5BC">
                          <w:pPr>
                            <w:pStyle w:val="26"/>
                            <w:rPr>
                              <w:rFonts w:hint="eastAsia"/>
                            </w:rPr>
                          </w:pPr>
                          <w:r>
                            <w:rPr>
                              <w:rFonts w:hint="eastAsia"/>
                            </w:rPr>
                            <w:fldChar w:fldCharType="begin"/>
                          </w:r>
                          <w:r>
                            <w:rPr>
                              <w:rFonts w:hint="eastAsia"/>
                            </w:rPr>
                            <w:instrText xml:space="preserve"> PAGE  \* MERGEFORMAT </w:instrText>
                          </w:r>
                          <w:r>
                            <w:rPr>
                              <w:rFonts w:hint="eastAsia"/>
                            </w:rPr>
                            <w:fldChar w:fldCharType="separate"/>
                          </w:r>
                          <w:r>
                            <w:t>- 3 -</w:t>
                          </w:r>
                          <w:r>
                            <w:rPr>
                              <w:rFonts w:hint="eastAsia"/>
                            </w:rPr>
                            <w:fldChar w:fldCharType="end"/>
                          </w:r>
                        </w:p>
                      </w:txbxContent>
                    </wps:txbx>
                    <wps:bodyPr wrap="none" lIns="0" tIns="0" rIns="0" bIns="0" upright="0">
                      <a:spAutoFit/>
                    </wps:bodyPr>
                  </wps:wsp>
                </a:graphicData>
              </a:graphic>
            </wp:anchor>
          </w:drawing>
        </mc:Choice>
        <mc:Fallback>
          <w:pict>
            <v:shape id="文本框 103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6pebnPAAAABQEAAA8AAAAAAAAAAQAgAAAAIgAAAGRy&#10;cy9kb3ducmV2LnhtbFBLAQIUABQAAAAIAIdO4kDa3E+I1QEAAKoDAAAOAAAAAAAAAAEAIAAAAB4B&#10;AABkcnMvZTJvRG9jLnhtbFBLBQYAAAAABgAGAFkBAABlBQAAAAA=&#10;">
              <v:fill on="f" focussize="0,0"/>
              <v:stroke on="f"/>
              <v:imagedata o:title=""/>
              <o:lock v:ext="edit" aspectratio="f"/>
              <v:textbox inset="0mm,0mm,0mm,0mm" style="mso-fit-shape-to-text:t;">
                <w:txbxContent>
                  <w:p w14:paraId="2583A5BC">
                    <w:pPr>
                      <w:pStyle w:val="26"/>
                      <w:rPr>
                        <w:rFonts w:hint="eastAsia"/>
                      </w:rPr>
                    </w:pPr>
                    <w:r>
                      <w:rPr>
                        <w:rFonts w:hint="eastAsia"/>
                      </w:rPr>
                      <w:fldChar w:fldCharType="begin"/>
                    </w:r>
                    <w:r>
                      <w:rPr>
                        <w:rFonts w:hint="eastAsia"/>
                      </w:rPr>
                      <w:instrText xml:space="preserve"> PAGE  \* MERGEFORMAT </w:instrText>
                    </w:r>
                    <w:r>
                      <w:rPr>
                        <w:rFonts w:hint="eastAsia"/>
                      </w:rPr>
                      <w:fldChar w:fldCharType="separate"/>
                    </w:r>
                    <w:r>
                      <w:t>- 3 -</w:t>
                    </w:r>
                    <w:r>
                      <w:rPr>
                        <w:rFonts w:hint="eastAsia"/>
                      </w:rPr>
                      <w:fldChar w:fldCharType="end"/>
                    </w:r>
                  </w:p>
                </w:txbxContent>
              </v:textbox>
            </v:shape>
          </w:pict>
        </mc:Fallback>
      </mc:AlternateContent>
    </w:r>
    <w:r>
      <w:rPr>
        <w:rFonts w:hint="eastAsia"/>
      </w:rPr>
      <w:tab/>
    </w:r>
  </w:p>
  <w:p w14:paraId="100D3BED">
    <w:pPr>
      <w:pStyle w:val="26"/>
    </w:pPr>
    <w:r>
      <w:rPr>
        <w:rFonts w:hint="eastAsia"/>
      </w:rPr>
      <w:t>桂林市政府集中采购中心                                                                                 竞争性谈判</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A811F">
    <w:pPr>
      <w:pStyle w:val="26"/>
      <w:pBdr>
        <w:bottom w:val="single" w:color="000000" w:sz="4" w:space="0"/>
      </w:pBdr>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33"/>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03BE1E81">
                          <w:pPr>
                            <w:pStyle w:val="26"/>
                            <w:rPr>
                              <w:rFonts w:hint="eastAsia"/>
                            </w:rPr>
                          </w:pPr>
                          <w:r>
                            <w:rPr>
                              <w:rFonts w:hint="eastAsia"/>
                            </w:rPr>
                            <w:fldChar w:fldCharType="begin"/>
                          </w:r>
                          <w:r>
                            <w:rPr>
                              <w:rFonts w:hint="eastAsia"/>
                            </w:rPr>
                            <w:instrText xml:space="preserve"> PAGE  \* MERGEFORMAT </w:instrText>
                          </w:r>
                          <w:r>
                            <w:rPr>
                              <w:rFonts w:hint="eastAsia"/>
                            </w:rPr>
                            <w:fldChar w:fldCharType="separate"/>
                          </w:r>
                          <w:r>
                            <w:t>- 123 -</w:t>
                          </w:r>
                          <w:r>
                            <w:rPr>
                              <w:rFonts w:hint="eastAsia"/>
                            </w:rPr>
                            <w:fldChar w:fldCharType="end"/>
                          </w:r>
                        </w:p>
                      </w:txbxContent>
                    </wps:txbx>
                    <wps:bodyPr wrap="none" lIns="0" tIns="0" rIns="0" bIns="0" upright="0">
                      <a:spAutoFit/>
                    </wps:bodyPr>
                  </wps:wsp>
                </a:graphicData>
              </a:graphic>
            </wp:anchor>
          </w:drawing>
        </mc:Choice>
        <mc:Fallback>
          <w:pict>
            <v:shape id="文本框 103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&#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6pebnPAAAABQEAAA8AAAAAAAAAAQAgAAAAIgAAAGRy&#10;cy9kb3ducmV2LnhtbFBLAQIUABQAAAAIAIdO4kAHu5ba1QEAAKoDAAAOAAAAAAAAAAEAIAAAAB4B&#10;AABkcnMvZTJvRG9jLnhtbFBLBQYAAAAABgAGAFkBAABlBQAAAAA=&#10;">
              <v:fill on="f" focussize="0,0"/>
              <v:stroke on="f"/>
              <v:imagedata o:title=""/>
              <o:lock v:ext="edit" aspectratio="f"/>
              <v:textbox inset="0mm,0mm,0mm,0mm" style="mso-fit-shape-to-text:t;">
                <w:txbxContent>
                  <w:p w14:paraId="03BE1E81">
                    <w:pPr>
                      <w:pStyle w:val="26"/>
                      <w:rPr>
                        <w:rFonts w:hint="eastAsia"/>
                      </w:rPr>
                    </w:pPr>
                    <w:r>
                      <w:rPr>
                        <w:rFonts w:hint="eastAsia"/>
                      </w:rPr>
                      <w:fldChar w:fldCharType="begin"/>
                    </w:r>
                    <w:r>
                      <w:rPr>
                        <w:rFonts w:hint="eastAsia"/>
                      </w:rPr>
                      <w:instrText xml:space="preserve"> PAGE  \* MERGEFORMAT </w:instrText>
                    </w:r>
                    <w:r>
                      <w:rPr>
                        <w:rFonts w:hint="eastAsia"/>
                      </w:rPr>
                      <w:fldChar w:fldCharType="separate"/>
                    </w:r>
                    <w:r>
                      <w:t>- 123 -</w:t>
                    </w:r>
                    <w:r>
                      <w:rPr>
                        <w:rFonts w:hint="eastAsia"/>
                      </w:rPr>
                      <w:fldChar w:fldCharType="end"/>
                    </w:r>
                  </w:p>
                </w:txbxContent>
              </v:textbox>
            </v:shape>
          </w:pict>
        </mc:Fallback>
      </mc:AlternateContent>
    </w:r>
  </w:p>
  <w:p w14:paraId="72365DD8">
    <w:pPr>
      <w:pStyle w:val="26"/>
    </w:pPr>
    <w:r>
      <w:rPr>
        <w:rFonts w:hint="eastAsia"/>
      </w:rPr>
      <w:t>桂林市政府集中采购中心                                                                                 竞争性谈判</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DCEBB6">
    <w:pPr>
      <w:pStyle w:val="26"/>
      <w:pBdr>
        <w:bottom w:val="single" w:color="000000" w:sz="4" w:space="0"/>
      </w:pBdr>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32"/>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38F26941">
                          <w:pPr>
                            <w:pStyle w:val="26"/>
                            <w:rPr>
                              <w:rFonts w:hint="eastAsia"/>
                            </w:rPr>
                          </w:pPr>
                          <w:r>
                            <w:rPr>
                              <w:rFonts w:hint="eastAsia"/>
                            </w:rPr>
                            <w:fldChar w:fldCharType="begin"/>
                          </w:r>
                          <w:r>
                            <w:rPr>
                              <w:rFonts w:hint="eastAsia"/>
                            </w:rPr>
                            <w:instrText xml:space="preserve"> PAGE  \* MERGEFORMAT </w:instrText>
                          </w:r>
                          <w:r>
                            <w:rPr>
                              <w:rFonts w:hint="eastAsia"/>
                            </w:rPr>
                            <w:fldChar w:fldCharType="separate"/>
                          </w:r>
                          <w:r>
                            <w:t>- 131 -</w:t>
                          </w:r>
                          <w:r>
                            <w:rPr>
                              <w:rFonts w:hint="eastAsia"/>
                            </w:rPr>
                            <w:fldChar w:fldCharType="end"/>
                          </w:r>
                        </w:p>
                      </w:txbxContent>
                    </wps:txbx>
                    <wps:bodyPr wrap="none" lIns="0" tIns="0" rIns="0" bIns="0" upright="0">
                      <a:spAutoFit/>
                    </wps:bodyPr>
                  </wps:wsp>
                </a:graphicData>
              </a:graphic>
            </wp:anchor>
          </w:drawing>
        </mc:Choice>
        <mc:Fallback>
          <w:pict>
            <v:shape id="文本框 103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&#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6pebnPAAAABQEAAA8AAAAAAAAAAQAgAAAAIgAAAGRy&#10;cy9kb3ducmV2LnhtbFBLAQIUABQAAAAIAIdO4kAjizQn1QEAAKoDAAAOAAAAAAAAAAEAIAAAAB4B&#10;AABkcnMvZTJvRG9jLnhtbFBLBQYAAAAABgAGAFkBAABlBQAAAAA=&#10;">
              <v:fill on="f" focussize="0,0"/>
              <v:stroke on="f"/>
              <v:imagedata o:title=""/>
              <o:lock v:ext="edit" aspectratio="f"/>
              <v:textbox inset="0mm,0mm,0mm,0mm" style="mso-fit-shape-to-text:t;">
                <w:txbxContent>
                  <w:p w14:paraId="38F26941">
                    <w:pPr>
                      <w:pStyle w:val="26"/>
                      <w:rPr>
                        <w:rFonts w:hint="eastAsia"/>
                      </w:rPr>
                    </w:pPr>
                    <w:r>
                      <w:rPr>
                        <w:rFonts w:hint="eastAsia"/>
                      </w:rPr>
                      <w:fldChar w:fldCharType="begin"/>
                    </w:r>
                    <w:r>
                      <w:rPr>
                        <w:rFonts w:hint="eastAsia"/>
                      </w:rPr>
                      <w:instrText xml:space="preserve"> PAGE  \* MERGEFORMAT </w:instrText>
                    </w:r>
                    <w:r>
                      <w:rPr>
                        <w:rFonts w:hint="eastAsia"/>
                      </w:rPr>
                      <w:fldChar w:fldCharType="separate"/>
                    </w:r>
                    <w:r>
                      <w:t>- 131 -</w:t>
                    </w:r>
                    <w:r>
                      <w:rPr>
                        <w:rFonts w:hint="eastAsia"/>
                      </w:rPr>
                      <w:fldChar w:fldCharType="end"/>
                    </w:r>
                  </w:p>
                </w:txbxContent>
              </v:textbox>
            </v:shape>
          </w:pict>
        </mc:Fallback>
      </mc:AlternateContent>
    </w:r>
  </w:p>
  <w:p w14:paraId="5B5CCEED">
    <w:pPr>
      <w:pStyle w:val="26"/>
    </w:pPr>
    <w:r>
      <w:rPr>
        <w:rFonts w:hint="eastAsia"/>
      </w:rPr>
      <w:t>桂林市政府集中采购中心                                                                            竞争性谈判</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FBE29">
    <w:pPr>
      <w:pStyle w:val="27"/>
      <w:jc w:val="left"/>
      <w:rPr>
        <w:rFonts w:hint="eastAsia" w:ascii="宋体" w:hAnsi="宋体" w:eastAsia="宋体" w:cs="宋体"/>
        <w:color w:val="000000" w:themeColor="text1"/>
        <w:sz w:val="20"/>
        <w:szCs w:val="20"/>
        <w:lang w:eastAsia="zh-CN"/>
        <w14:textFill>
          <w14:solidFill>
            <w14:schemeClr w14:val="tx1"/>
          </w14:solidFill>
        </w14:textFill>
      </w:rPr>
    </w:pPr>
    <w:r>
      <w:rPr>
        <w:rFonts w:hint="eastAsia" w:ascii="宋体" w:hAnsi="宋体" w:cs="宋体"/>
        <w:color w:val="000000" w:themeColor="text1"/>
        <w:sz w:val="20"/>
        <w:szCs w:val="20"/>
        <w:shd w:val="clear" w:color="auto" w:fill="FFFFFF"/>
        <w:lang w:eastAsia="zh-CN"/>
        <w14:textFill>
          <w14:solidFill>
            <w14:schemeClr w14:val="tx1"/>
          </w14:solidFill>
        </w14:textFill>
      </w:rPr>
      <w:t>AI数智语言综合实训中心</w:t>
    </w:r>
    <w:r>
      <w:rPr>
        <w:rFonts w:hint="eastAsia" w:ascii="宋体" w:hAnsi="宋体" w:eastAsia="宋体" w:cs="宋体"/>
        <w:color w:val="000000" w:themeColor="text1"/>
        <w:sz w:val="20"/>
        <w:szCs w:val="20"/>
        <w:shd w:val="clear" w:color="auto" w:fill="FFFFFF"/>
        <w14:textFill>
          <w14:solidFill>
            <w14:schemeClr w14:val="tx1"/>
          </w14:solidFill>
        </w14:textFill>
      </w:rPr>
      <w:t xml:space="preserve">  </w:t>
    </w:r>
    <w:r>
      <w:rPr>
        <w:rFonts w:hint="eastAsia" w:ascii="宋体" w:hAnsi="宋体" w:eastAsia="宋体" w:cs="宋体"/>
        <w:color w:val="000000" w:themeColor="text1"/>
        <w:sz w:val="20"/>
        <w:szCs w:val="20"/>
        <w14:textFill>
          <w14:solidFill>
            <w14:schemeClr w14:val="tx1"/>
          </w14:solidFill>
        </w14:textFill>
      </w:rPr>
      <w:t xml:space="preserve">    </w:t>
    </w:r>
    <w:r>
      <w:rPr>
        <w:rFonts w:hint="eastAsia" w:ascii="宋体" w:hAnsi="宋体" w:eastAsia="宋体" w:cs="宋体"/>
        <w:color w:val="000000" w:themeColor="text1"/>
        <w:sz w:val="20"/>
        <w:szCs w:val="20"/>
        <w:lang w:val="en-US" w:eastAsia="zh-CN"/>
        <w14:textFill>
          <w14:solidFill>
            <w14:schemeClr w14:val="tx1"/>
          </w14:solidFill>
        </w14:textFill>
      </w:rPr>
      <w:t xml:space="preserve">            </w:t>
    </w:r>
    <w:r>
      <w:rPr>
        <w:rFonts w:hint="eastAsia" w:ascii="宋体" w:hAnsi="宋体" w:cs="宋体"/>
        <w:color w:val="000000" w:themeColor="text1"/>
        <w:sz w:val="20"/>
        <w:szCs w:val="20"/>
        <w:lang w:val="en-US" w:eastAsia="zh-CN"/>
        <w14:textFill>
          <w14:solidFill>
            <w14:schemeClr w14:val="tx1"/>
          </w14:solidFill>
        </w14:textFill>
      </w:rPr>
      <w:t xml:space="preserve">                                      </w:t>
    </w:r>
    <w:r>
      <w:rPr>
        <w:rFonts w:hint="eastAsia" w:ascii="宋体" w:hAnsi="宋体" w:cs="宋体"/>
        <w:color w:val="000000" w:themeColor="text1"/>
        <w:sz w:val="20"/>
        <w:szCs w:val="20"/>
        <w:shd w:val="clear" w:color="auto" w:fill="FFFFFF"/>
        <w:lang w:eastAsia="zh-CN"/>
        <w14:textFill>
          <w14:solidFill>
            <w14:schemeClr w14:val="tx1"/>
          </w14:solidFill>
        </w14:textFill>
      </w:rPr>
      <w:t>GXZC2026-J1-002254-GLSZ</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DFF1A1">
    <w:pPr>
      <w:pStyle w:val="2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92FEFC">
    <w:pPr>
      <w:pStyle w:val="2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6B0A9C"/>
    <w:multiLevelType w:val="multilevel"/>
    <w:tmpl w:val="A06B0A9C"/>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C8041509"/>
    <w:multiLevelType w:val="multilevel"/>
    <w:tmpl w:val="C8041509"/>
    <w:lvl w:ilvl="0" w:tentative="0">
      <w:start w:val="4"/>
      <w:numFmt w:val="decimal"/>
      <w:lvlText w:val="%1."/>
      <w:lvlJc w:val="left"/>
      <w:pPr>
        <w:tabs>
          <w:tab w:val="left" w:pos="312"/>
        </w:tabs>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2">
    <w:nsid w:val="FC7D9C84"/>
    <w:multiLevelType w:val="singleLevel"/>
    <w:tmpl w:val="FC7D9C84"/>
    <w:lvl w:ilvl="0" w:tentative="0">
      <w:start w:val="1"/>
      <w:numFmt w:val="chineseCounting"/>
      <w:suff w:val="nothing"/>
      <w:lvlText w:val="%1、"/>
      <w:lvlJc w:val="left"/>
      <w:rPr>
        <w:rFonts w:hint="eastAsia"/>
      </w:rPr>
    </w:lvl>
  </w:abstractNum>
  <w:abstractNum w:abstractNumId="3">
    <w:nsid w:val="056A25C8"/>
    <w:multiLevelType w:val="singleLevel"/>
    <w:tmpl w:val="056A25C8"/>
    <w:lvl w:ilvl="0" w:tentative="0">
      <w:start w:val="1"/>
      <w:numFmt w:val="decimal"/>
      <w:lvlText w:val="%1."/>
      <w:lvlJc w:val="left"/>
      <w:pPr>
        <w:tabs>
          <w:tab w:val="left" w:pos="312"/>
        </w:tabs>
      </w:pPr>
    </w:lvl>
  </w:abstractNum>
  <w:abstractNum w:abstractNumId="4">
    <w:nsid w:val="0F3F0521"/>
    <w:multiLevelType w:val="multilevel"/>
    <w:tmpl w:val="0F3F0521"/>
    <w:lvl w:ilvl="0" w:tentative="0">
      <w:start w:val="1"/>
      <w:numFmt w:val="decimal"/>
      <w:lvlText w:val="%1)"/>
      <w:lvlJc w:val="left"/>
      <w:pPr>
        <w:ind w:left="425" w:hanging="425"/>
      </w:pPr>
      <w:rPr>
        <w:rFonts w:hint="default"/>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5">
    <w:nsid w:val="525786A0"/>
    <w:multiLevelType w:val="multilevel"/>
    <w:tmpl w:val="525786A0"/>
    <w:lvl w:ilvl="0" w:tentative="0">
      <w:start w:val="3"/>
      <w:numFmt w:val="chineseCounting"/>
      <w:suff w:val="nothing"/>
      <w:lvlText w:val="%1、"/>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6">
    <w:nsid w:val="525D1BD4"/>
    <w:multiLevelType w:val="multilevel"/>
    <w:tmpl w:val="525D1BD4"/>
    <w:lvl w:ilvl="0" w:tentative="0">
      <w:start w:val="1"/>
      <w:numFmt w:val="decimal"/>
      <w:suff w:val="space"/>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7">
    <w:nsid w:val="5E32929B"/>
    <w:multiLevelType w:val="multilevel"/>
    <w:tmpl w:val="5E32929B"/>
    <w:lvl w:ilvl="0" w:tentative="0">
      <w:start w:val="4"/>
      <w:numFmt w:val="chineseCounting"/>
      <w:suff w:val="nothing"/>
      <w:lvlText w:val="%1、"/>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8">
    <w:nsid w:val="7732D762"/>
    <w:multiLevelType w:val="singleLevel"/>
    <w:tmpl w:val="7732D762"/>
    <w:lvl w:ilvl="0" w:tentative="0">
      <w:start w:val="1"/>
      <w:numFmt w:val="decimal"/>
      <w:lvlText w:val="%1."/>
      <w:lvlJc w:val="left"/>
      <w:pPr>
        <w:tabs>
          <w:tab w:val="left" w:pos="312"/>
        </w:tabs>
      </w:pPr>
    </w:lvl>
  </w:abstractNum>
  <w:num w:numId="1">
    <w:abstractNumId w:val="5"/>
  </w:num>
  <w:num w:numId="2">
    <w:abstractNumId w:val="7"/>
  </w:num>
  <w:num w:numId="3">
    <w:abstractNumId w:val="1"/>
  </w:num>
  <w:num w:numId="4">
    <w:abstractNumId w:val="4"/>
  </w:num>
  <w:num w:numId="5">
    <w:abstractNumId w:val="3"/>
  </w:num>
  <w:num w:numId="6">
    <w:abstractNumId w:val="2"/>
  </w:num>
  <w:num w:numId="7">
    <w:abstractNumId w:val="8"/>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924A37"/>
    <w:rsid w:val="039463D3"/>
    <w:rsid w:val="0A334D52"/>
    <w:rsid w:val="0C7D22B4"/>
    <w:rsid w:val="0DEF04DD"/>
    <w:rsid w:val="0EB75826"/>
    <w:rsid w:val="137814E8"/>
    <w:rsid w:val="14346C48"/>
    <w:rsid w:val="154109CF"/>
    <w:rsid w:val="16443E43"/>
    <w:rsid w:val="18756535"/>
    <w:rsid w:val="18DF60A5"/>
    <w:rsid w:val="1A614809"/>
    <w:rsid w:val="1AA50220"/>
    <w:rsid w:val="1AF35C55"/>
    <w:rsid w:val="1B656D35"/>
    <w:rsid w:val="1D6002AC"/>
    <w:rsid w:val="1ED3045A"/>
    <w:rsid w:val="1EEB7D19"/>
    <w:rsid w:val="203F1CFC"/>
    <w:rsid w:val="206C6470"/>
    <w:rsid w:val="209B4FA7"/>
    <w:rsid w:val="217952E8"/>
    <w:rsid w:val="25B06DFF"/>
    <w:rsid w:val="27FF01AF"/>
    <w:rsid w:val="28F45255"/>
    <w:rsid w:val="29A057F6"/>
    <w:rsid w:val="2ACB7B38"/>
    <w:rsid w:val="2B807273"/>
    <w:rsid w:val="2D274C19"/>
    <w:rsid w:val="2DA57465"/>
    <w:rsid w:val="2E681528"/>
    <w:rsid w:val="312C033C"/>
    <w:rsid w:val="32582CF8"/>
    <w:rsid w:val="347F27BE"/>
    <w:rsid w:val="372907BF"/>
    <w:rsid w:val="38341B11"/>
    <w:rsid w:val="384E55ED"/>
    <w:rsid w:val="389E0447"/>
    <w:rsid w:val="38BE0728"/>
    <w:rsid w:val="38CA5FD2"/>
    <w:rsid w:val="38D271AF"/>
    <w:rsid w:val="38F551DF"/>
    <w:rsid w:val="3A331955"/>
    <w:rsid w:val="3A837D60"/>
    <w:rsid w:val="3B0A78BE"/>
    <w:rsid w:val="3B536163"/>
    <w:rsid w:val="3B582BC5"/>
    <w:rsid w:val="3CEC78D1"/>
    <w:rsid w:val="3D514D46"/>
    <w:rsid w:val="3E691F71"/>
    <w:rsid w:val="407D263C"/>
    <w:rsid w:val="40E21673"/>
    <w:rsid w:val="40FD22A6"/>
    <w:rsid w:val="41197AF6"/>
    <w:rsid w:val="41801D8E"/>
    <w:rsid w:val="43AA2C88"/>
    <w:rsid w:val="44CC0A56"/>
    <w:rsid w:val="450A67B6"/>
    <w:rsid w:val="463A20D3"/>
    <w:rsid w:val="47280A93"/>
    <w:rsid w:val="4A487D98"/>
    <w:rsid w:val="4BB226DE"/>
    <w:rsid w:val="4C96649F"/>
    <w:rsid w:val="54422A68"/>
    <w:rsid w:val="55AA6B17"/>
    <w:rsid w:val="565A196C"/>
    <w:rsid w:val="5A167D9C"/>
    <w:rsid w:val="5E461310"/>
    <w:rsid w:val="5E5764DF"/>
    <w:rsid w:val="609A0C38"/>
    <w:rsid w:val="612533F8"/>
    <w:rsid w:val="6243013E"/>
    <w:rsid w:val="63BD6C96"/>
    <w:rsid w:val="679B5F07"/>
    <w:rsid w:val="68D45F2D"/>
    <w:rsid w:val="6908323A"/>
    <w:rsid w:val="69FE02E3"/>
    <w:rsid w:val="6BC07A59"/>
    <w:rsid w:val="6D1C60F5"/>
    <w:rsid w:val="70196683"/>
    <w:rsid w:val="74E514C2"/>
    <w:rsid w:val="762604B7"/>
    <w:rsid w:val="766A6123"/>
    <w:rsid w:val="76D857D1"/>
    <w:rsid w:val="77211655"/>
    <w:rsid w:val="78B96EEE"/>
    <w:rsid w:val="7920000A"/>
    <w:rsid w:val="79324116"/>
    <w:rsid w:val="7A85352B"/>
    <w:rsid w:val="7EBC2DA3"/>
    <w:rsid w:val="7F5259A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semiHidden="0" w:name="toc 1"/>
    <w:lsdException w:qFormat="1" w:uiPriority="39" w:semiHidden="0" w:name="toc 2"/>
    <w:lsdException w:qFormat="1" w:uiPriority="39" w:semiHidden="0" w:name="toc 3"/>
    <w:lsdException w:qFormat="1" w:unhideWhenUsed="0" w:uiPriority="0"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0" w:semiHidden="0" w:name="Normal Indent"/>
    <w:lsdException w:qFormat="1"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qFormat="1" w:unhideWhenUsed="0" w:uiPriority="99" w:semiHidden="0" w:name="annotation reference"/>
    <w:lsdException w:uiPriority="99" w:name="line number"/>
    <w:lsdException w:qFormat="1" w:unhideWhenUsed="0" w:uiPriority="99" w:semiHidden="0"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0" w:semiHidden="0" w:name="Emphasis"/>
    <w:lsdException w:qFormat="1" w:unhideWhenUsed="0" w:uiPriority="99" w:name="Document Map"/>
    <w:lsdException w:qFormat="1" w:unhideWhenUsed="0" w:uiPriority="99" w:semiHidden="0" w:name="Plain Text"/>
    <w:lsdException w:uiPriority="99" w:name="E-mail Signature"/>
    <w:lsdException w:qFormat="1" w:unhideWhenUsed="0" w:uiPriority="99"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uiPriority="99" w:name="HTML Preformatted"/>
    <w:lsdException w:qFormat="1" w:uiPriority="99" w:semiHidden="0" w:name="HTML Sample"/>
    <w:lsdException w:qFormat="1" w:uiPriority="99" w:semiHidden="0" w:name="HTML Typewriter"/>
    <w:lsdException w:qFormat="1" w:uiPriority="99" w:semiHidden="0" w:name="HTML Variable"/>
    <w:lsdException w:qFormat="1" w:uiPriority="99" w:semiHidden="0"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9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Calibri" w:hAnsi="Calibri" w:eastAsia="宋体" w:cs="Times New Roman"/>
      <w:sz w:val="21"/>
      <w:szCs w:val="24"/>
      <w:lang w:val="en-US" w:eastAsia="zh-CN" w:bidi="ar-SA"/>
    </w:rPr>
  </w:style>
  <w:style w:type="paragraph" w:styleId="2">
    <w:name w:val="heading 1"/>
    <w:basedOn w:val="1"/>
    <w:next w:val="1"/>
    <w:link w:val="254"/>
    <w:qFormat/>
    <w:uiPriority w:val="9"/>
    <w:pPr>
      <w:keepNext/>
      <w:keepLines/>
      <w:spacing w:before="340" w:after="330" w:line="578" w:lineRule="auto"/>
      <w:outlineLvl w:val="0"/>
    </w:pPr>
    <w:rPr>
      <w:b/>
      <w:bCs/>
      <w:sz w:val="44"/>
      <w:szCs w:val="44"/>
    </w:rPr>
  </w:style>
  <w:style w:type="paragraph" w:styleId="3">
    <w:name w:val="heading 2"/>
    <w:basedOn w:val="1"/>
    <w:next w:val="1"/>
    <w:qFormat/>
    <w:uiPriority w:val="0"/>
    <w:pPr>
      <w:keepNext/>
      <w:keepLines/>
      <w:tabs>
        <w:tab w:val="left" w:pos="567"/>
      </w:tabs>
      <w:spacing w:line="360" w:lineRule="auto"/>
      <w:ind w:left="567" w:hanging="567"/>
      <w:outlineLvl w:val="1"/>
    </w:pPr>
    <w:rPr>
      <w:rFonts w:ascii="Arial" w:hAnsi="Arial"/>
      <w:bCs/>
      <w:color w:val="000000"/>
      <w:sz w:val="28"/>
      <w:szCs w:val="32"/>
      <w:lang w:val="pt-BR"/>
    </w:rPr>
  </w:style>
  <w:style w:type="paragraph" w:styleId="4">
    <w:name w:val="heading 3"/>
    <w:basedOn w:val="1"/>
    <w:next w:val="1"/>
    <w:link w:val="213"/>
    <w:qFormat/>
    <w:uiPriority w:val="0"/>
    <w:pPr>
      <w:keepNext/>
      <w:keepLines/>
      <w:spacing w:before="260" w:beforeAutospacing="0" w:after="260" w:afterAutospacing="0" w:line="240" w:lineRule="auto"/>
      <w:outlineLvl w:val="2"/>
    </w:pPr>
    <w:rPr>
      <w:b/>
      <w:sz w:val="32"/>
      <w:szCs w:val="20"/>
    </w:rPr>
  </w:style>
  <w:style w:type="paragraph" w:styleId="5">
    <w:name w:val="heading 4"/>
    <w:basedOn w:val="1"/>
    <w:next w:val="1"/>
    <w:qFormat/>
    <w:uiPriority w:val="0"/>
    <w:pPr>
      <w:keepNext/>
      <w:spacing w:before="240" w:after="60"/>
      <w:outlineLvl w:val="3"/>
    </w:pPr>
    <w:rPr>
      <w:b/>
      <w:bCs/>
      <w:sz w:val="28"/>
      <w:szCs w:val="28"/>
    </w:rPr>
  </w:style>
  <w:style w:type="paragraph" w:styleId="6">
    <w:name w:val="heading 5"/>
    <w:basedOn w:val="1"/>
    <w:next w:val="1"/>
    <w:link w:val="191"/>
    <w:unhideWhenUsed/>
    <w:qFormat/>
    <w:uiPriority w:val="9"/>
    <w:pPr>
      <w:keepNext/>
      <w:keepLines/>
      <w:spacing w:before="80" w:after="40"/>
      <w:outlineLvl w:val="4"/>
    </w:pPr>
    <w:rPr>
      <w:rFonts w:ascii="Arial" w:hAnsi="Arial" w:eastAsia="Arial" w:cs="Arial"/>
      <w:color w:val="376092" w:themeColor="accent1" w:themeShade="BF"/>
    </w:rPr>
  </w:style>
  <w:style w:type="paragraph" w:styleId="7">
    <w:name w:val="heading 6"/>
    <w:basedOn w:val="1"/>
    <w:next w:val="1"/>
    <w:link w:val="192"/>
    <w:unhideWhenUsed/>
    <w:qFormat/>
    <w:uiPriority w:val="9"/>
    <w:pPr>
      <w:keepNext/>
      <w:keepLines/>
      <w:spacing w:before="40" w:after="0"/>
      <w:outlineLvl w:val="5"/>
    </w:pPr>
    <w:rPr>
      <w:rFonts w:ascii="Arial" w:hAnsi="Arial" w:eastAsia="Arial" w:cs="Arial"/>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193"/>
    <w:unhideWhenUsed/>
    <w:qFormat/>
    <w:uiPriority w:val="9"/>
    <w:pPr>
      <w:keepNext/>
      <w:keepLines/>
      <w:spacing w:before="40" w:after="0"/>
      <w:outlineLvl w:val="6"/>
    </w:pPr>
    <w:rPr>
      <w:rFonts w:ascii="Arial" w:hAnsi="Arial" w:eastAsia="Arial" w:cs="Arial"/>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194"/>
    <w:unhideWhenUsed/>
    <w:qFormat/>
    <w:uiPriority w:val="9"/>
    <w:pPr>
      <w:keepNext/>
      <w:keepLines/>
      <w:spacing w:after="0"/>
      <w:outlineLvl w:val="7"/>
    </w:pPr>
    <w:rPr>
      <w:rFonts w:ascii="Arial" w:hAnsi="Arial" w:eastAsia="Arial" w:cs="Arial"/>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195"/>
    <w:unhideWhenUsed/>
    <w:qFormat/>
    <w:uiPriority w:val="9"/>
    <w:pPr>
      <w:keepNext/>
      <w:keepLines/>
      <w:spacing w:after="0"/>
      <w:outlineLvl w:val="8"/>
    </w:pPr>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default="1" w:styleId="44">
    <w:name w:val="Default Paragraph Font"/>
    <w:unhideWhenUsed/>
    <w:qFormat/>
    <w:uiPriority w:val="1"/>
  </w:style>
  <w:style w:type="table" w:default="1" w:styleId="42">
    <w:name w:val="Normal Table"/>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qFormat/>
    <w:uiPriority w:val="39"/>
    <w:pPr>
      <w:spacing w:after="100"/>
      <w:ind w:left="1320"/>
    </w:pPr>
  </w:style>
  <w:style w:type="paragraph" w:styleId="12">
    <w:name w:val="index 8"/>
    <w:basedOn w:val="1"/>
    <w:next w:val="1"/>
    <w:qFormat/>
    <w:uiPriority w:val="0"/>
    <w:pPr>
      <w:ind w:left="2940"/>
    </w:pPr>
  </w:style>
  <w:style w:type="paragraph" w:styleId="13">
    <w:name w:val="Normal Indent"/>
    <w:basedOn w:val="1"/>
    <w:next w:val="14"/>
    <w:unhideWhenUsed/>
    <w:qFormat/>
    <w:uiPriority w:val="0"/>
    <w:pPr>
      <w:ind w:firstLine="420"/>
    </w:pPr>
    <w:rPr>
      <w:rFonts w:ascii="Calibri" w:hAnsi="Calibri" w:eastAsia="宋体" w:cs="Times New Roman"/>
      <w:szCs w:val="22"/>
    </w:rPr>
  </w:style>
  <w:style w:type="paragraph" w:styleId="14">
    <w:name w:val="Body Text Indent"/>
    <w:basedOn w:val="1"/>
    <w:next w:val="13"/>
    <w:qFormat/>
    <w:uiPriority w:val="0"/>
    <w:pPr>
      <w:spacing w:after="120"/>
      <w:ind w:left="420"/>
    </w:pPr>
  </w:style>
  <w:style w:type="paragraph" w:styleId="15">
    <w:name w:val="caption"/>
    <w:basedOn w:val="1"/>
    <w:next w:val="1"/>
    <w:unhideWhenUsed/>
    <w:qFormat/>
    <w:uiPriority w:val="35"/>
    <w:pPr>
      <w:spacing w:after="200" w:line="240" w:lineRule="auto"/>
    </w:pPr>
    <w:rPr>
      <w:i/>
      <w:iCs/>
      <w:color w:val="1F497D" w:themeColor="text2"/>
      <w:sz w:val="18"/>
      <w:szCs w:val="18"/>
      <w14:textFill>
        <w14:solidFill>
          <w14:schemeClr w14:val="tx2"/>
        </w14:solidFill>
      </w14:textFill>
    </w:rPr>
  </w:style>
  <w:style w:type="paragraph" w:styleId="16">
    <w:name w:val="Document Map"/>
    <w:basedOn w:val="1"/>
    <w:link w:val="214"/>
    <w:semiHidden/>
    <w:qFormat/>
    <w:uiPriority w:val="99"/>
    <w:pPr>
      <w:shd w:val="clear" w:color="auto" w:fill="000080"/>
    </w:pPr>
    <w:rPr>
      <w:rFonts w:ascii="Times New Roman" w:hAnsi="Times New Roman"/>
      <w:sz w:val="16"/>
      <w:szCs w:val="16"/>
    </w:rPr>
  </w:style>
  <w:style w:type="paragraph" w:styleId="17">
    <w:name w:val="annotation text"/>
    <w:basedOn w:val="1"/>
    <w:link w:val="215"/>
    <w:qFormat/>
    <w:uiPriority w:val="99"/>
    <w:pPr>
      <w:jc w:val="left"/>
    </w:pPr>
    <w:rPr>
      <w:sz w:val="24"/>
    </w:rPr>
  </w:style>
  <w:style w:type="paragraph" w:styleId="18">
    <w:name w:val="Body Text"/>
    <w:basedOn w:val="1"/>
    <w:next w:val="1"/>
    <w:link w:val="216"/>
    <w:qFormat/>
    <w:uiPriority w:val="0"/>
  </w:style>
  <w:style w:type="paragraph" w:styleId="19">
    <w:name w:val="toc 5"/>
    <w:basedOn w:val="1"/>
    <w:next w:val="1"/>
    <w:unhideWhenUsed/>
    <w:qFormat/>
    <w:uiPriority w:val="39"/>
    <w:pPr>
      <w:spacing w:after="100"/>
      <w:ind w:left="880"/>
    </w:pPr>
  </w:style>
  <w:style w:type="paragraph" w:styleId="20">
    <w:name w:val="toc 3"/>
    <w:basedOn w:val="1"/>
    <w:next w:val="1"/>
    <w:unhideWhenUsed/>
    <w:qFormat/>
    <w:uiPriority w:val="39"/>
    <w:pPr>
      <w:ind w:left="840"/>
    </w:pPr>
  </w:style>
  <w:style w:type="paragraph" w:styleId="21">
    <w:name w:val="Plain Text"/>
    <w:basedOn w:val="1"/>
    <w:next w:val="2"/>
    <w:link w:val="217"/>
    <w:qFormat/>
    <w:uiPriority w:val="99"/>
    <w:rPr>
      <w:rFonts w:ascii="宋体" w:hAnsi="Courier New"/>
      <w:sz w:val="20"/>
      <w:szCs w:val="21"/>
    </w:rPr>
  </w:style>
  <w:style w:type="paragraph" w:styleId="22">
    <w:name w:val="toc 8"/>
    <w:basedOn w:val="1"/>
    <w:next w:val="1"/>
    <w:unhideWhenUsed/>
    <w:qFormat/>
    <w:uiPriority w:val="39"/>
    <w:pPr>
      <w:spacing w:after="100"/>
      <w:ind w:left="1540"/>
    </w:pPr>
  </w:style>
  <w:style w:type="paragraph" w:styleId="23">
    <w:name w:val="Body Text Indent 2"/>
    <w:basedOn w:val="1"/>
    <w:qFormat/>
    <w:uiPriority w:val="0"/>
    <w:pPr>
      <w:ind w:firstLine="630"/>
    </w:pPr>
    <w:rPr>
      <w:sz w:val="32"/>
      <w:szCs w:val="20"/>
    </w:rPr>
  </w:style>
  <w:style w:type="paragraph" w:styleId="24">
    <w:name w:val="endnote text"/>
    <w:basedOn w:val="1"/>
    <w:link w:val="210"/>
    <w:semiHidden/>
    <w:unhideWhenUsed/>
    <w:qFormat/>
    <w:uiPriority w:val="99"/>
    <w:pPr>
      <w:spacing w:after="0" w:line="240" w:lineRule="auto"/>
    </w:pPr>
    <w:rPr>
      <w:sz w:val="20"/>
      <w:szCs w:val="20"/>
    </w:rPr>
  </w:style>
  <w:style w:type="paragraph" w:styleId="25">
    <w:name w:val="Balloon Text"/>
    <w:basedOn w:val="1"/>
    <w:link w:val="218"/>
    <w:qFormat/>
    <w:uiPriority w:val="99"/>
    <w:rPr>
      <w:sz w:val="18"/>
      <w:szCs w:val="18"/>
    </w:rPr>
  </w:style>
  <w:style w:type="paragraph" w:styleId="26">
    <w:name w:val="footer"/>
    <w:basedOn w:val="1"/>
    <w:link w:val="219"/>
    <w:qFormat/>
    <w:uiPriority w:val="99"/>
    <w:pPr>
      <w:tabs>
        <w:tab w:val="center" w:pos="4153"/>
        <w:tab w:val="right" w:pos="8306"/>
      </w:tabs>
      <w:jc w:val="left"/>
    </w:pPr>
    <w:rPr>
      <w:sz w:val="18"/>
      <w:szCs w:val="18"/>
    </w:rPr>
  </w:style>
  <w:style w:type="paragraph" w:styleId="27">
    <w:name w:val="header"/>
    <w:basedOn w:val="1"/>
    <w:link w:val="220"/>
    <w:qFormat/>
    <w:uiPriority w:val="99"/>
    <w:pPr>
      <w:pBdr>
        <w:bottom w:val="single" w:color="000000" w:sz="6" w:space="1"/>
      </w:pBdr>
      <w:tabs>
        <w:tab w:val="center" w:pos="4153"/>
        <w:tab w:val="right" w:pos="8306"/>
      </w:tabs>
      <w:jc w:val="center"/>
    </w:pPr>
    <w:rPr>
      <w:sz w:val="18"/>
      <w:szCs w:val="18"/>
    </w:rPr>
  </w:style>
  <w:style w:type="paragraph" w:styleId="28">
    <w:name w:val="toc 1"/>
    <w:basedOn w:val="1"/>
    <w:next w:val="1"/>
    <w:unhideWhenUsed/>
    <w:qFormat/>
    <w:uiPriority w:val="39"/>
  </w:style>
  <w:style w:type="paragraph" w:styleId="29">
    <w:name w:val="toc 4"/>
    <w:basedOn w:val="1"/>
    <w:next w:val="1"/>
    <w:qFormat/>
    <w:uiPriority w:val="0"/>
    <w:pPr>
      <w:ind w:left="1260"/>
    </w:pPr>
    <w:rPr>
      <w:rFonts w:ascii="Calibri" w:hAnsi="Calibri" w:eastAsia="宋体" w:cs="Times New Roman"/>
      <w:szCs w:val="22"/>
    </w:rPr>
  </w:style>
  <w:style w:type="paragraph" w:styleId="30">
    <w:name w:val="Subtitle"/>
    <w:basedOn w:val="1"/>
    <w:next w:val="1"/>
    <w:link w:val="197"/>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31">
    <w:name w:val="footnote text"/>
    <w:basedOn w:val="1"/>
    <w:link w:val="209"/>
    <w:semiHidden/>
    <w:unhideWhenUsed/>
    <w:qFormat/>
    <w:uiPriority w:val="99"/>
    <w:pPr>
      <w:spacing w:after="0" w:line="240" w:lineRule="auto"/>
    </w:pPr>
    <w:rPr>
      <w:sz w:val="20"/>
      <w:szCs w:val="20"/>
    </w:rPr>
  </w:style>
  <w:style w:type="paragraph" w:styleId="32">
    <w:name w:val="toc 6"/>
    <w:basedOn w:val="1"/>
    <w:next w:val="1"/>
    <w:unhideWhenUsed/>
    <w:qFormat/>
    <w:uiPriority w:val="39"/>
    <w:pPr>
      <w:spacing w:after="100"/>
      <w:ind w:left="1100"/>
    </w:pPr>
  </w:style>
  <w:style w:type="paragraph" w:styleId="33">
    <w:name w:val="table of figures"/>
    <w:basedOn w:val="1"/>
    <w:next w:val="1"/>
    <w:unhideWhenUsed/>
    <w:qFormat/>
    <w:uiPriority w:val="99"/>
    <w:pPr>
      <w:spacing w:after="0" w:afterAutospacing="0"/>
    </w:pPr>
  </w:style>
  <w:style w:type="paragraph" w:styleId="34">
    <w:name w:val="toc 2"/>
    <w:basedOn w:val="1"/>
    <w:next w:val="1"/>
    <w:unhideWhenUsed/>
    <w:qFormat/>
    <w:uiPriority w:val="39"/>
    <w:pPr>
      <w:ind w:left="420"/>
    </w:pPr>
  </w:style>
  <w:style w:type="paragraph" w:styleId="35">
    <w:name w:val="toc 9"/>
    <w:basedOn w:val="1"/>
    <w:next w:val="1"/>
    <w:unhideWhenUsed/>
    <w:qFormat/>
    <w:uiPriority w:val="39"/>
    <w:pPr>
      <w:spacing w:after="100"/>
      <w:ind w:left="1760"/>
    </w:pPr>
  </w:style>
  <w:style w:type="paragraph" w:styleId="36">
    <w:name w:val="Normal (Web)"/>
    <w:basedOn w:val="1"/>
    <w:qFormat/>
    <w:uiPriority w:val="99"/>
    <w:pPr>
      <w:widowControl/>
      <w:spacing w:before="100" w:beforeAutospacing="1" w:after="100" w:afterAutospacing="1"/>
      <w:jc w:val="left"/>
    </w:pPr>
    <w:rPr>
      <w:rFonts w:ascii="宋体" w:hAnsi="宋体"/>
      <w:sz w:val="24"/>
      <w:szCs w:val="20"/>
    </w:rPr>
  </w:style>
  <w:style w:type="paragraph" w:styleId="37">
    <w:name w:val="index 1"/>
    <w:basedOn w:val="1"/>
    <w:next w:val="1"/>
    <w:semiHidden/>
    <w:qFormat/>
    <w:uiPriority w:val="0"/>
    <w:pPr>
      <w:spacing w:line="400" w:lineRule="exact"/>
      <w:ind w:firstLine="420"/>
    </w:pPr>
    <w:rPr>
      <w:rFonts w:ascii="宋体" w:hAnsi="Courier New"/>
      <w:b/>
      <w:szCs w:val="20"/>
    </w:rPr>
  </w:style>
  <w:style w:type="paragraph" w:styleId="38">
    <w:name w:val="Title"/>
    <w:basedOn w:val="1"/>
    <w:next w:val="1"/>
    <w:link w:val="196"/>
    <w:qFormat/>
    <w:uiPriority w:val="10"/>
    <w:pPr>
      <w:spacing w:after="80" w:line="240" w:lineRule="auto"/>
      <w:contextualSpacing/>
    </w:pPr>
    <w:rPr>
      <w:rFonts w:ascii="Arial" w:hAnsi="Arial" w:eastAsia="Arial" w:cs="Arial"/>
      <w:spacing w:val="-10"/>
      <w:sz w:val="56"/>
      <w:szCs w:val="56"/>
    </w:rPr>
  </w:style>
  <w:style w:type="paragraph" w:styleId="39">
    <w:name w:val="annotation subject"/>
    <w:basedOn w:val="17"/>
    <w:next w:val="17"/>
    <w:link w:val="221"/>
    <w:qFormat/>
    <w:uiPriority w:val="99"/>
    <w:rPr>
      <w:b/>
      <w:bCs/>
      <w:sz w:val="24"/>
    </w:rPr>
  </w:style>
  <w:style w:type="paragraph" w:styleId="40">
    <w:name w:val="Body Text First Indent"/>
    <w:basedOn w:val="18"/>
    <w:qFormat/>
    <w:uiPriority w:val="0"/>
    <w:pPr>
      <w:ind w:firstLine="420"/>
    </w:pPr>
  </w:style>
  <w:style w:type="paragraph" w:styleId="41">
    <w:name w:val="Body Text First Indent 2"/>
    <w:basedOn w:val="14"/>
    <w:next w:val="1"/>
    <w:unhideWhenUsed/>
    <w:qFormat/>
    <w:uiPriority w:val="99"/>
    <w:pPr>
      <w:ind w:firstLine="420"/>
    </w:pPr>
  </w:style>
  <w:style w:type="table" w:styleId="43">
    <w:name w:val="Table Grid"/>
    <w:basedOn w:val="42"/>
    <w:qFormat/>
    <w:uiPriority w:val="99"/>
    <w:pPr>
      <w:widowControl w:val="0"/>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45">
    <w:name w:val="Strong"/>
    <w:basedOn w:val="44"/>
    <w:qFormat/>
    <w:uiPriority w:val="99"/>
    <w:rPr>
      <w:rFonts w:cs="Times New Roman"/>
      <w:b/>
    </w:rPr>
  </w:style>
  <w:style w:type="character" w:styleId="46">
    <w:name w:val="endnote reference"/>
    <w:basedOn w:val="44"/>
    <w:semiHidden/>
    <w:unhideWhenUsed/>
    <w:qFormat/>
    <w:uiPriority w:val="99"/>
    <w:rPr>
      <w:vertAlign w:val="superscript"/>
    </w:rPr>
  </w:style>
  <w:style w:type="character" w:styleId="47">
    <w:name w:val="page number"/>
    <w:qFormat/>
    <w:uiPriority w:val="99"/>
    <w:rPr>
      <w:rFonts w:cs="Times New Roman"/>
    </w:rPr>
  </w:style>
  <w:style w:type="character" w:styleId="48">
    <w:name w:val="FollowedHyperlink"/>
    <w:qFormat/>
    <w:uiPriority w:val="99"/>
    <w:rPr>
      <w:rFonts w:cs="Times New Roman"/>
      <w:color w:val="333333"/>
      <w:u w:val="none"/>
    </w:rPr>
  </w:style>
  <w:style w:type="character" w:styleId="49">
    <w:name w:val="Emphasis"/>
    <w:qFormat/>
    <w:uiPriority w:val="0"/>
  </w:style>
  <w:style w:type="character" w:styleId="50">
    <w:name w:val="HTML Definition"/>
    <w:unhideWhenUsed/>
    <w:qFormat/>
    <w:uiPriority w:val="99"/>
  </w:style>
  <w:style w:type="character" w:styleId="51">
    <w:name w:val="HTML Typewriter"/>
    <w:unhideWhenUsed/>
    <w:qFormat/>
    <w:uiPriority w:val="99"/>
    <w:rPr>
      <w:rFonts w:hint="default" w:ascii="monospace" w:hAnsi="monospace" w:eastAsia="monospace" w:cs="monospace"/>
      <w:sz w:val="20"/>
    </w:rPr>
  </w:style>
  <w:style w:type="character" w:styleId="52">
    <w:name w:val="HTML Acronym"/>
    <w:unhideWhenUsed/>
    <w:qFormat/>
    <w:uiPriority w:val="99"/>
    <w:rPr>
      <w:rFonts w:ascii="微软雅黑" w:hAnsi="微软雅黑" w:eastAsia="微软雅黑" w:cs="微软雅黑"/>
      <w:sz w:val="14"/>
      <w:szCs w:val="14"/>
    </w:rPr>
  </w:style>
  <w:style w:type="character" w:styleId="53">
    <w:name w:val="HTML Variable"/>
    <w:unhideWhenUsed/>
    <w:qFormat/>
    <w:uiPriority w:val="99"/>
  </w:style>
  <w:style w:type="character" w:styleId="54">
    <w:name w:val="Hyperlink"/>
    <w:qFormat/>
    <w:uiPriority w:val="99"/>
    <w:rPr>
      <w:rFonts w:cs="Times New Roman"/>
      <w:color w:val="0000FF"/>
      <w:u w:val="single"/>
    </w:rPr>
  </w:style>
  <w:style w:type="character" w:styleId="55">
    <w:name w:val="HTML Code"/>
    <w:unhideWhenUsed/>
    <w:qFormat/>
    <w:uiPriority w:val="99"/>
    <w:rPr>
      <w:rFonts w:hint="default" w:ascii="monospace" w:hAnsi="monospace" w:eastAsia="monospace" w:cs="monospace"/>
      <w:sz w:val="20"/>
    </w:rPr>
  </w:style>
  <w:style w:type="character" w:styleId="56">
    <w:name w:val="annotation reference"/>
    <w:basedOn w:val="44"/>
    <w:qFormat/>
    <w:uiPriority w:val="99"/>
    <w:rPr>
      <w:rFonts w:cs="Times New Roman"/>
      <w:sz w:val="21"/>
      <w:szCs w:val="21"/>
    </w:rPr>
  </w:style>
  <w:style w:type="character" w:styleId="57">
    <w:name w:val="HTML Cite"/>
    <w:unhideWhenUsed/>
    <w:qFormat/>
    <w:uiPriority w:val="99"/>
  </w:style>
  <w:style w:type="character" w:styleId="58">
    <w:name w:val="footnote reference"/>
    <w:basedOn w:val="44"/>
    <w:semiHidden/>
    <w:unhideWhenUsed/>
    <w:qFormat/>
    <w:uiPriority w:val="99"/>
    <w:rPr>
      <w:vertAlign w:val="superscript"/>
    </w:rPr>
  </w:style>
  <w:style w:type="character" w:styleId="59">
    <w:name w:val="HTML Keyboard"/>
    <w:unhideWhenUsed/>
    <w:qFormat/>
    <w:uiPriority w:val="99"/>
    <w:rPr>
      <w:rFonts w:ascii="monospace" w:hAnsi="monospace" w:eastAsia="monospace" w:cs="monospace"/>
      <w:sz w:val="20"/>
    </w:rPr>
  </w:style>
  <w:style w:type="character" w:styleId="60">
    <w:name w:val="HTML Sample"/>
    <w:unhideWhenUsed/>
    <w:qFormat/>
    <w:uiPriority w:val="99"/>
    <w:rPr>
      <w:rFonts w:hint="default" w:ascii="monospace" w:hAnsi="monospace" w:eastAsia="monospace" w:cs="monospace"/>
    </w:rPr>
  </w:style>
  <w:style w:type="paragraph" w:customStyle="1" w:styleId="61">
    <w:name w:val="Default"/>
    <w:qFormat/>
    <w:uiPriority w:val="99"/>
    <w:pPr>
      <w:widowControl w:val="0"/>
    </w:pPr>
    <w:rPr>
      <w:rFonts w:hint="default" w:ascii="Times New Roman" w:hAnsi="Times New Roman" w:eastAsia="宋体" w:cs="Times New Roman"/>
      <w:color w:val="000000"/>
      <w:sz w:val="24"/>
      <w:szCs w:val="24"/>
      <w:lang w:val="en-US" w:eastAsia="zh-CN" w:bidi="ar-SA"/>
    </w:rPr>
  </w:style>
  <w:style w:type="table" w:customStyle="1" w:styleId="62">
    <w:name w:val="Table Grid Light"/>
    <w:basedOn w:val="42"/>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63">
    <w:name w:val="Plain Table 1"/>
    <w:basedOn w:val="42"/>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64">
    <w:name w:val="Plain Table 2"/>
    <w:basedOn w:val="42"/>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65">
    <w:name w:val="Plain Table 3"/>
    <w:basedOn w:val="42"/>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66">
    <w:name w:val="Plain Table 4"/>
    <w:basedOn w:val="42"/>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67">
    <w:name w:val="Plain Table 5"/>
    <w:basedOn w:val="42"/>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68">
    <w:name w:val="Grid Table 1 Light"/>
    <w:basedOn w:val="42"/>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69">
    <w:name w:val="Grid Table 1 Light - Accent 1"/>
    <w:basedOn w:val="42"/>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70">
    <w:name w:val="Grid Table 1 Light - Accent 2"/>
    <w:basedOn w:val="4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71">
    <w:name w:val="Grid Table 1 Light - Accent 3"/>
    <w:basedOn w:val="42"/>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72">
    <w:name w:val="Grid Table 1 Light - Accent 4"/>
    <w:basedOn w:val="42"/>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73">
    <w:name w:val="Grid Table 1 Light - Accent 5"/>
    <w:basedOn w:val="42"/>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74">
    <w:name w:val="Grid Table 1 Light - Accent 6"/>
    <w:basedOn w:val="42"/>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75">
    <w:name w:val="Grid Table 2"/>
    <w:basedOn w:val="42"/>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76">
    <w:name w:val="Grid Table 2 - Accent 1"/>
    <w:basedOn w:val="42"/>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77">
    <w:name w:val="Grid Table 2 - Accent 2"/>
    <w:basedOn w:val="4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78">
    <w:name w:val="Grid Table 2 - Accent 3"/>
    <w:basedOn w:val="42"/>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79">
    <w:name w:val="Grid Table 2 - Accent 4"/>
    <w:basedOn w:val="42"/>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80">
    <w:name w:val="Grid Table 2 - Accent 5"/>
    <w:basedOn w:val="42"/>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81">
    <w:name w:val="Grid Table 2 - Accent 6"/>
    <w:basedOn w:val="42"/>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82">
    <w:name w:val="Grid Table 3"/>
    <w:basedOn w:val="42"/>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83">
    <w:name w:val="Grid Table 3 - Accent 1"/>
    <w:basedOn w:val="42"/>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84">
    <w:name w:val="Grid Table 3 - Accent 2"/>
    <w:basedOn w:val="4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85">
    <w:name w:val="Grid Table 3 - Accent 3"/>
    <w:basedOn w:val="42"/>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86">
    <w:name w:val="Grid Table 3 - Accent 4"/>
    <w:basedOn w:val="42"/>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87">
    <w:name w:val="Grid Table 3 - Accent 5"/>
    <w:basedOn w:val="42"/>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88">
    <w:name w:val="Grid Table 3 - Accent 6"/>
    <w:basedOn w:val="42"/>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89">
    <w:name w:val="Grid Table 4"/>
    <w:basedOn w:val="42"/>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90">
    <w:name w:val="Grid Table 4 - Accent 1"/>
    <w:basedOn w:val="42"/>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91">
    <w:name w:val="Grid Table 4 - Accent 2"/>
    <w:basedOn w:val="42"/>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92">
    <w:name w:val="Grid Table 4 - Accent 3"/>
    <w:basedOn w:val="42"/>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93">
    <w:name w:val="Grid Table 4 - Accent 4"/>
    <w:basedOn w:val="42"/>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94">
    <w:name w:val="Grid Table 4 - Accent 5"/>
    <w:basedOn w:val="42"/>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95">
    <w:name w:val="Grid Table 4 - Accent 6"/>
    <w:basedOn w:val="42"/>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96">
    <w:name w:val="Grid Table 5 Dark"/>
    <w:basedOn w:val="4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97">
    <w:name w:val="Grid Table 5 Dark- Accent 1"/>
    <w:basedOn w:val="4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98">
    <w:name w:val="Grid Table 5 Dark - Accent 2"/>
    <w:basedOn w:val="4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99">
    <w:name w:val="Grid Table 5 Dark - Accent 3"/>
    <w:basedOn w:val="4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100">
    <w:name w:val="Grid Table 5 Dark- Accent 4"/>
    <w:basedOn w:val="4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101">
    <w:name w:val="Grid Table 5 Dark - Accent 5"/>
    <w:basedOn w:val="4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102">
    <w:name w:val="Grid Table 5 Dark - Accent 6"/>
    <w:basedOn w:val="4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103">
    <w:name w:val="Grid Table 6 Colorful"/>
    <w:basedOn w:val="42"/>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04">
    <w:name w:val="Grid Table 6 Colorful - Accent 1"/>
    <w:basedOn w:val="42"/>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05">
    <w:name w:val="Grid Table 6 Colorful - Accent 2"/>
    <w:basedOn w:val="4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06">
    <w:name w:val="Grid Table 6 Colorful - Accent 3"/>
    <w:basedOn w:val="42"/>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07">
    <w:name w:val="Grid Table 6 Colorful - Accent 4"/>
    <w:basedOn w:val="42"/>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08">
    <w:name w:val="Grid Table 6 Colorful - Accent 5"/>
    <w:basedOn w:val="42"/>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9">
    <w:name w:val="Grid Table 6 Colorful - Accent 6"/>
    <w:basedOn w:val="42"/>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10">
    <w:name w:val="Grid Table 7 Colorful"/>
    <w:basedOn w:val="42"/>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11">
    <w:name w:val="Grid Table 7 Colorful - Accent 1"/>
    <w:basedOn w:val="42"/>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12">
    <w:name w:val="Grid Table 7 Colorful - Accent 2"/>
    <w:basedOn w:val="42"/>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13">
    <w:name w:val="Grid Table 7 Colorful - Accent 3"/>
    <w:basedOn w:val="42"/>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14">
    <w:name w:val="Grid Table 7 Colorful - Accent 4"/>
    <w:basedOn w:val="42"/>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15">
    <w:name w:val="Grid Table 7 Colorful - Accent 5"/>
    <w:basedOn w:val="42"/>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16">
    <w:name w:val="Grid Table 7 Colorful - Accent 6"/>
    <w:basedOn w:val="42"/>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117">
    <w:name w:val="List Table 1 Light"/>
    <w:basedOn w:val="42"/>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18">
    <w:name w:val="List Table 1 Light - Accent 1"/>
    <w:basedOn w:val="42"/>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19">
    <w:name w:val="List Table 1 Light - Accent 2"/>
    <w:basedOn w:val="42"/>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20">
    <w:name w:val="List Table 1 Light - Accent 3"/>
    <w:basedOn w:val="42"/>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21">
    <w:name w:val="List Table 1 Light - Accent 4"/>
    <w:basedOn w:val="42"/>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22">
    <w:name w:val="List Table 1 Light - Accent 5"/>
    <w:basedOn w:val="42"/>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23">
    <w:name w:val="List Table 1 Light - Accent 6"/>
    <w:basedOn w:val="42"/>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24">
    <w:name w:val="List Table 2"/>
    <w:basedOn w:val="42"/>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25">
    <w:name w:val="List Table 2 - Accent 1"/>
    <w:basedOn w:val="42"/>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26">
    <w:name w:val="List Table 2 - Accent 2"/>
    <w:basedOn w:val="42"/>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27">
    <w:name w:val="List Table 2 - Accent 3"/>
    <w:basedOn w:val="42"/>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28">
    <w:name w:val="List Table 2 - Accent 4"/>
    <w:basedOn w:val="42"/>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29">
    <w:name w:val="List Table 2 - Accent 5"/>
    <w:basedOn w:val="42"/>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30">
    <w:name w:val="List Table 2 - Accent 6"/>
    <w:basedOn w:val="42"/>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31">
    <w:name w:val="List Table 3"/>
    <w:basedOn w:val="42"/>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32">
    <w:name w:val="List Table 3 - Accent 1"/>
    <w:basedOn w:val="42"/>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33">
    <w:name w:val="List Table 3 - Accent 2"/>
    <w:basedOn w:val="4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34">
    <w:name w:val="List Table 3 - Accent 3"/>
    <w:basedOn w:val="42"/>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35">
    <w:name w:val="List Table 3 - Accent 4"/>
    <w:basedOn w:val="42"/>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36">
    <w:name w:val="List Table 3 - Accent 5"/>
    <w:basedOn w:val="42"/>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37">
    <w:name w:val="List Table 3 - Accent 6"/>
    <w:basedOn w:val="42"/>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38">
    <w:name w:val="List Table 4"/>
    <w:basedOn w:val="42"/>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39">
    <w:name w:val="List Table 4 - Accent 1"/>
    <w:basedOn w:val="42"/>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40">
    <w:name w:val="List Table 4 - Accent 2"/>
    <w:basedOn w:val="42"/>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41">
    <w:name w:val="List Table 4 - Accent 3"/>
    <w:basedOn w:val="42"/>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42">
    <w:name w:val="List Table 4 - Accent 4"/>
    <w:basedOn w:val="42"/>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43">
    <w:name w:val="List Table 4 - Accent 5"/>
    <w:basedOn w:val="42"/>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44">
    <w:name w:val="List Table 4 - Accent 6"/>
    <w:basedOn w:val="42"/>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45">
    <w:name w:val="List Table 5 Dark"/>
    <w:basedOn w:val="42"/>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46">
    <w:name w:val="List Table 5 Dark - Accent 1"/>
    <w:basedOn w:val="42"/>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47">
    <w:name w:val="List Table 5 Dark - Accent 2"/>
    <w:basedOn w:val="42"/>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48">
    <w:name w:val="List Table 5 Dark - Accent 3"/>
    <w:basedOn w:val="42"/>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49">
    <w:name w:val="List Table 5 Dark - Accent 4"/>
    <w:basedOn w:val="42"/>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50">
    <w:name w:val="List Table 5 Dark - Accent 5"/>
    <w:basedOn w:val="42"/>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51">
    <w:name w:val="List Table 5 Dark - Accent 6"/>
    <w:basedOn w:val="42"/>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52">
    <w:name w:val="List Table 6 Colorful"/>
    <w:basedOn w:val="42"/>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53">
    <w:name w:val="List Table 6 Colorful - Accent 1"/>
    <w:basedOn w:val="42"/>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54">
    <w:name w:val="List Table 6 Colorful - Accent 2"/>
    <w:basedOn w:val="42"/>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55">
    <w:name w:val="List Table 6 Colorful - Accent 3"/>
    <w:basedOn w:val="42"/>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56">
    <w:name w:val="List Table 6 Colorful - Accent 4"/>
    <w:basedOn w:val="42"/>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57">
    <w:name w:val="List Table 6 Colorful - Accent 5"/>
    <w:basedOn w:val="42"/>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58">
    <w:name w:val="List Table 6 Colorful - Accent 6"/>
    <w:basedOn w:val="42"/>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59">
    <w:name w:val="List Table 7 Colorful"/>
    <w:basedOn w:val="42"/>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60">
    <w:name w:val="List Table 7 Colorful - Accent 1"/>
    <w:basedOn w:val="42"/>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61">
    <w:name w:val="List Table 7 Colorful - Accent 2"/>
    <w:basedOn w:val="42"/>
    <w:qFormat/>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62">
    <w:name w:val="List Table 7 Colorful - Accent 3"/>
    <w:basedOn w:val="42"/>
    <w:qFormat/>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63">
    <w:name w:val="List Table 7 Colorful - Accent 4"/>
    <w:basedOn w:val="42"/>
    <w:qFormat/>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64">
    <w:name w:val="List Table 7 Colorful - Accent 5"/>
    <w:basedOn w:val="42"/>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65">
    <w:name w:val="List Table 7 Colorful - Accent 6"/>
    <w:basedOn w:val="42"/>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66">
    <w:name w:val="Lined - Accent"/>
    <w:basedOn w:val="42"/>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67">
    <w:name w:val="Lined - Accent 1"/>
    <w:basedOn w:val="42"/>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68">
    <w:name w:val="Lined - Accent 2"/>
    <w:basedOn w:val="42"/>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69">
    <w:name w:val="Lined - Accent 3"/>
    <w:basedOn w:val="42"/>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70">
    <w:name w:val="Lined - Accent 4"/>
    <w:basedOn w:val="42"/>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71">
    <w:name w:val="Lined - Accent 5"/>
    <w:basedOn w:val="42"/>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72">
    <w:name w:val="Lined - Accent 6"/>
    <w:basedOn w:val="42"/>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73">
    <w:name w:val="Bordered &amp; Lined - Accent"/>
    <w:basedOn w:val="42"/>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74">
    <w:name w:val="Bordered &amp; Lined - Accent 1"/>
    <w:basedOn w:val="42"/>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75">
    <w:name w:val="Bordered &amp; Lined - Accent 2"/>
    <w:basedOn w:val="42"/>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76">
    <w:name w:val="Bordered &amp; Lined - Accent 3"/>
    <w:basedOn w:val="42"/>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77">
    <w:name w:val="Bordered &amp; Lined - Accent 4"/>
    <w:basedOn w:val="42"/>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78">
    <w:name w:val="Bordered &amp; Lined - Accent 5"/>
    <w:basedOn w:val="42"/>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79">
    <w:name w:val="Bordered &amp; Lined - Accent 6"/>
    <w:basedOn w:val="42"/>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80">
    <w:name w:val="Bordered"/>
    <w:basedOn w:val="42"/>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81">
    <w:name w:val="Bordered - Accent 1"/>
    <w:basedOn w:val="42"/>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82">
    <w:name w:val="Bordered - Accent 2"/>
    <w:basedOn w:val="4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83">
    <w:name w:val="Bordered - Accent 3"/>
    <w:basedOn w:val="42"/>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84">
    <w:name w:val="Bordered - Accent 4"/>
    <w:basedOn w:val="42"/>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85">
    <w:name w:val="Bordered - Accent 5"/>
    <w:basedOn w:val="42"/>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86">
    <w:name w:val="Bordered - Accent 6"/>
    <w:basedOn w:val="42"/>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87">
    <w:name w:val="Heading 1 Char"/>
    <w:basedOn w:val="44"/>
    <w:qFormat/>
    <w:uiPriority w:val="9"/>
    <w:rPr>
      <w:rFonts w:ascii="Arial" w:hAnsi="Arial" w:eastAsia="Arial" w:cs="Arial"/>
      <w:color w:val="376092" w:themeColor="accent1" w:themeShade="BF"/>
      <w:sz w:val="40"/>
      <w:szCs w:val="40"/>
    </w:rPr>
  </w:style>
  <w:style w:type="character" w:customStyle="1" w:styleId="188">
    <w:name w:val="Heading 2 Char"/>
    <w:basedOn w:val="44"/>
    <w:qFormat/>
    <w:uiPriority w:val="9"/>
    <w:rPr>
      <w:rFonts w:ascii="Arial" w:hAnsi="Arial" w:eastAsia="Arial" w:cs="Arial"/>
      <w:color w:val="376092" w:themeColor="accent1" w:themeShade="BF"/>
      <w:sz w:val="32"/>
      <w:szCs w:val="32"/>
    </w:rPr>
  </w:style>
  <w:style w:type="character" w:customStyle="1" w:styleId="189">
    <w:name w:val="Heading 3 Char"/>
    <w:basedOn w:val="44"/>
    <w:qFormat/>
    <w:uiPriority w:val="9"/>
    <w:rPr>
      <w:rFonts w:ascii="Arial" w:hAnsi="Arial" w:eastAsia="Arial" w:cs="Arial"/>
      <w:color w:val="376092" w:themeColor="accent1" w:themeShade="BF"/>
      <w:sz w:val="28"/>
      <w:szCs w:val="28"/>
    </w:rPr>
  </w:style>
  <w:style w:type="character" w:customStyle="1" w:styleId="190">
    <w:name w:val="Heading 4 Char"/>
    <w:basedOn w:val="44"/>
    <w:qFormat/>
    <w:uiPriority w:val="9"/>
    <w:rPr>
      <w:rFonts w:ascii="Arial" w:hAnsi="Arial" w:eastAsia="Arial" w:cs="Arial"/>
      <w:i/>
      <w:iCs/>
      <w:color w:val="376092" w:themeColor="accent1" w:themeShade="BF"/>
    </w:rPr>
  </w:style>
  <w:style w:type="character" w:customStyle="1" w:styleId="191">
    <w:name w:val="Heading 5 Char"/>
    <w:basedOn w:val="44"/>
    <w:link w:val="6"/>
    <w:qFormat/>
    <w:uiPriority w:val="9"/>
    <w:rPr>
      <w:rFonts w:ascii="Arial" w:hAnsi="Arial" w:eastAsia="Arial" w:cs="Arial"/>
      <w:color w:val="376092" w:themeColor="accent1" w:themeShade="BF"/>
    </w:rPr>
  </w:style>
  <w:style w:type="character" w:customStyle="1" w:styleId="192">
    <w:name w:val="Heading 6 Char"/>
    <w:basedOn w:val="44"/>
    <w:link w:val="7"/>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193">
    <w:name w:val="Heading 7 Char"/>
    <w:basedOn w:val="44"/>
    <w:link w:val="8"/>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194">
    <w:name w:val="Heading 8 Char"/>
    <w:basedOn w:val="44"/>
    <w:link w:val="9"/>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95">
    <w:name w:val="Heading 9 Char"/>
    <w:basedOn w:val="44"/>
    <w:link w:val="10"/>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96">
    <w:name w:val="Title Char"/>
    <w:basedOn w:val="44"/>
    <w:link w:val="38"/>
    <w:qFormat/>
    <w:uiPriority w:val="10"/>
    <w:rPr>
      <w:rFonts w:ascii="Arial" w:hAnsi="Arial" w:eastAsia="Arial" w:cs="Arial"/>
      <w:spacing w:val="-10"/>
      <w:sz w:val="56"/>
      <w:szCs w:val="56"/>
    </w:rPr>
  </w:style>
  <w:style w:type="character" w:customStyle="1" w:styleId="197">
    <w:name w:val="Subtitle Char"/>
    <w:basedOn w:val="44"/>
    <w:link w:val="30"/>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198">
    <w:name w:val="Quote"/>
    <w:basedOn w:val="1"/>
    <w:next w:val="1"/>
    <w:link w:val="199"/>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199">
    <w:name w:val="Quote Char"/>
    <w:basedOn w:val="44"/>
    <w:link w:val="198"/>
    <w:qFormat/>
    <w:uiPriority w:val="29"/>
    <w:rPr>
      <w:i/>
      <w:iCs/>
      <w:color w:val="404040" w:themeColor="text1" w:themeTint="BF"/>
      <w14:textFill>
        <w14:solidFill>
          <w14:schemeClr w14:val="tx1">
            <w14:lumMod w14:val="75000"/>
            <w14:lumOff w14:val="25000"/>
          </w14:schemeClr>
        </w14:solidFill>
      </w14:textFill>
    </w:rPr>
  </w:style>
  <w:style w:type="character" w:customStyle="1" w:styleId="200">
    <w:name w:val="Intense Emphasis"/>
    <w:basedOn w:val="44"/>
    <w:qFormat/>
    <w:uiPriority w:val="21"/>
    <w:rPr>
      <w:i/>
      <w:iCs/>
      <w:color w:val="376092" w:themeColor="accent1" w:themeShade="BF"/>
    </w:rPr>
  </w:style>
  <w:style w:type="paragraph" w:styleId="201">
    <w:name w:val="Intense Quote"/>
    <w:basedOn w:val="1"/>
    <w:next w:val="1"/>
    <w:link w:val="202"/>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202">
    <w:name w:val="Intense Quote Char"/>
    <w:basedOn w:val="44"/>
    <w:link w:val="201"/>
    <w:qFormat/>
    <w:uiPriority w:val="30"/>
    <w:rPr>
      <w:i/>
      <w:iCs/>
      <w:color w:val="376092" w:themeColor="accent1" w:themeShade="BF"/>
    </w:rPr>
  </w:style>
  <w:style w:type="character" w:customStyle="1" w:styleId="203">
    <w:name w:val="Intense Reference"/>
    <w:basedOn w:val="44"/>
    <w:qFormat/>
    <w:uiPriority w:val="32"/>
    <w:rPr>
      <w:b/>
      <w:bCs/>
      <w:smallCaps/>
      <w:color w:val="376092" w:themeColor="accent1" w:themeShade="BF"/>
      <w:spacing w:val="5"/>
    </w:rPr>
  </w:style>
  <w:style w:type="character" w:customStyle="1" w:styleId="204">
    <w:name w:val="Subtle Emphasis"/>
    <w:basedOn w:val="44"/>
    <w:qFormat/>
    <w:uiPriority w:val="19"/>
    <w:rPr>
      <w:i/>
      <w:iCs/>
      <w:color w:val="404040" w:themeColor="text1" w:themeTint="BF"/>
      <w14:textFill>
        <w14:solidFill>
          <w14:schemeClr w14:val="tx1">
            <w14:lumMod w14:val="75000"/>
            <w14:lumOff w14:val="25000"/>
          </w14:schemeClr>
        </w14:solidFill>
      </w14:textFill>
    </w:rPr>
  </w:style>
  <w:style w:type="character" w:customStyle="1" w:styleId="205">
    <w:name w:val="Subtle Reference"/>
    <w:basedOn w:val="44"/>
    <w:qFormat/>
    <w:uiPriority w:val="31"/>
    <w:rPr>
      <w:smallCaps/>
      <w:color w:val="595959" w:themeColor="text1" w:themeTint="A6"/>
      <w14:textFill>
        <w14:solidFill>
          <w14:schemeClr w14:val="tx1">
            <w14:lumMod w14:val="65000"/>
            <w14:lumOff w14:val="35000"/>
          </w14:schemeClr>
        </w14:solidFill>
      </w14:textFill>
    </w:rPr>
  </w:style>
  <w:style w:type="character" w:customStyle="1" w:styleId="206">
    <w:name w:val="Book Title"/>
    <w:basedOn w:val="44"/>
    <w:qFormat/>
    <w:uiPriority w:val="33"/>
    <w:rPr>
      <w:b/>
      <w:bCs/>
      <w:i/>
      <w:iCs/>
      <w:spacing w:val="5"/>
    </w:rPr>
  </w:style>
  <w:style w:type="character" w:customStyle="1" w:styleId="207">
    <w:name w:val="Header Char"/>
    <w:basedOn w:val="44"/>
    <w:qFormat/>
    <w:uiPriority w:val="99"/>
  </w:style>
  <w:style w:type="character" w:customStyle="1" w:styleId="208">
    <w:name w:val="Footer Char"/>
    <w:basedOn w:val="44"/>
    <w:qFormat/>
    <w:uiPriority w:val="99"/>
  </w:style>
  <w:style w:type="character" w:customStyle="1" w:styleId="209">
    <w:name w:val="Footnote Text Char"/>
    <w:basedOn w:val="44"/>
    <w:link w:val="31"/>
    <w:semiHidden/>
    <w:qFormat/>
    <w:uiPriority w:val="99"/>
    <w:rPr>
      <w:sz w:val="20"/>
      <w:szCs w:val="20"/>
    </w:rPr>
  </w:style>
  <w:style w:type="character" w:customStyle="1" w:styleId="210">
    <w:name w:val="Endnote Text Char"/>
    <w:basedOn w:val="44"/>
    <w:link w:val="24"/>
    <w:semiHidden/>
    <w:qFormat/>
    <w:uiPriority w:val="99"/>
    <w:rPr>
      <w:sz w:val="20"/>
      <w:szCs w:val="20"/>
    </w:rPr>
  </w:style>
  <w:style w:type="character" w:styleId="211">
    <w:name w:val="Placeholder Text"/>
    <w:basedOn w:val="44"/>
    <w:semiHidden/>
    <w:qFormat/>
    <w:uiPriority w:val="99"/>
    <w:rPr>
      <w:color w:val="666666"/>
    </w:rPr>
  </w:style>
  <w:style w:type="paragraph" w:customStyle="1" w:styleId="212">
    <w:name w:val="TOC Heading"/>
    <w:unhideWhenUsed/>
    <w:qFormat/>
    <w:uiPriority w:val="39"/>
    <w:rPr>
      <w:rFonts w:hint="default" w:ascii="Times New Roman" w:hAnsi="Times New Roman" w:eastAsia="宋体" w:cs="Times New Roman"/>
    </w:rPr>
  </w:style>
  <w:style w:type="character" w:customStyle="1" w:styleId="213">
    <w:name w:val="标题 3 Char"/>
    <w:link w:val="4"/>
    <w:qFormat/>
    <w:uiPriority w:val="0"/>
    <w:rPr>
      <w:rFonts w:ascii="Calibri" w:hAnsi="Calibri" w:eastAsia="宋体"/>
      <w:b/>
      <w:sz w:val="32"/>
    </w:rPr>
  </w:style>
  <w:style w:type="character" w:customStyle="1" w:styleId="214">
    <w:name w:val="文档结构图 Char"/>
    <w:link w:val="16"/>
    <w:semiHidden/>
    <w:qFormat/>
    <w:uiPriority w:val="99"/>
    <w:rPr>
      <w:sz w:val="16"/>
      <w:szCs w:val="0"/>
    </w:rPr>
  </w:style>
  <w:style w:type="character" w:customStyle="1" w:styleId="215">
    <w:name w:val="批注文字 Char"/>
    <w:link w:val="17"/>
    <w:qFormat/>
    <w:uiPriority w:val="99"/>
    <w:rPr>
      <w:rFonts w:ascii="Calibri" w:hAnsi="Calibri" w:eastAsia="宋体" w:cs="Times New Roman"/>
      <w:sz w:val="24"/>
      <w:szCs w:val="24"/>
    </w:rPr>
  </w:style>
  <w:style w:type="character" w:customStyle="1" w:styleId="216">
    <w:name w:val="正文文本 Char"/>
    <w:link w:val="18"/>
    <w:qFormat/>
    <w:uiPriority w:val="0"/>
  </w:style>
  <w:style w:type="character" w:customStyle="1" w:styleId="217">
    <w:name w:val="纯文本 Char"/>
    <w:link w:val="21"/>
    <w:semiHidden/>
    <w:qFormat/>
    <w:uiPriority w:val="99"/>
    <w:rPr>
      <w:rFonts w:ascii="宋体" w:hAnsi="Courier New" w:cs="Courier New"/>
      <w:szCs w:val="21"/>
    </w:rPr>
  </w:style>
  <w:style w:type="character" w:customStyle="1" w:styleId="218">
    <w:name w:val="批注框文本 Char"/>
    <w:link w:val="25"/>
    <w:qFormat/>
    <w:uiPriority w:val="99"/>
    <w:rPr>
      <w:rFonts w:ascii="Calibri" w:hAnsi="Calibri" w:eastAsia="宋体" w:cs="Times New Roman"/>
      <w:sz w:val="18"/>
      <w:szCs w:val="18"/>
    </w:rPr>
  </w:style>
  <w:style w:type="character" w:customStyle="1" w:styleId="219">
    <w:name w:val="页脚 Char"/>
    <w:link w:val="26"/>
    <w:semiHidden/>
    <w:qFormat/>
    <w:uiPriority w:val="99"/>
    <w:rPr>
      <w:rFonts w:ascii="Calibri" w:hAnsi="Calibri"/>
      <w:sz w:val="18"/>
      <w:szCs w:val="18"/>
    </w:rPr>
  </w:style>
  <w:style w:type="character" w:customStyle="1" w:styleId="220">
    <w:name w:val="页眉 Char"/>
    <w:link w:val="27"/>
    <w:semiHidden/>
    <w:qFormat/>
    <w:uiPriority w:val="99"/>
    <w:rPr>
      <w:rFonts w:ascii="Calibri" w:hAnsi="Calibri"/>
      <w:sz w:val="18"/>
      <w:szCs w:val="18"/>
    </w:rPr>
  </w:style>
  <w:style w:type="character" w:customStyle="1" w:styleId="221">
    <w:name w:val="批注主题 Char"/>
    <w:link w:val="39"/>
    <w:qFormat/>
    <w:uiPriority w:val="99"/>
    <w:rPr>
      <w:rFonts w:ascii="Calibri" w:hAnsi="Calibri" w:eastAsia="宋体" w:cs="Times New Roman"/>
      <w:b/>
      <w:bCs/>
      <w:sz w:val="24"/>
      <w:szCs w:val="24"/>
    </w:rPr>
  </w:style>
  <w:style w:type="character" w:customStyle="1" w:styleId="222">
    <w:name w:val="15"/>
    <w:qFormat/>
    <w:uiPriority w:val="0"/>
    <w:rPr>
      <w:rFonts w:hint="default" w:ascii="Times New Roman" w:hAnsi="Times New Roman" w:cs="Times New Roman"/>
      <w:color w:val="0000FF"/>
      <w:u w:val="single"/>
    </w:rPr>
  </w:style>
  <w:style w:type="character" w:customStyle="1" w:styleId="223">
    <w:name w:val="hover1"/>
    <w:qFormat/>
    <w:uiPriority w:val="0"/>
    <w:rPr>
      <w:color w:val="2590EB"/>
    </w:rPr>
  </w:style>
  <w:style w:type="character" w:customStyle="1" w:styleId="224">
    <w:name w:val="font31"/>
    <w:qFormat/>
    <w:uiPriority w:val="0"/>
    <w:rPr>
      <w:rFonts w:hint="eastAsia" w:ascii="宋体" w:hAnsi="宋体" w:eastAsia="宋体" w:cs="宋体"/>
      <w:color w:val="FF0000"/>
      <w:sz w:val="24"/>
      <w:szCs w:val="24"/>
      <w:u w:val="none"/>
    </w:rPr>
  </w:style>
  <w:style w:type="character" w:customStyle="1" w:styleId="225">
    <w:name w:val="font101"/>
    <w:qFormat/>
    <w:uiPriority w:val="0"/>
    <w:rPr>
      <w:rFonts w:hint="eastAsia" w:ascii="宋体" w:hAnsi="宋体" w:eastAsia="宋体" w:cs="宋体"/>
      <w:color w:val="000000"/>
      <w:sz w:val="20"/>
      <w:szCs w:val="20"/>
      <w:u w:val="none"/>
    </w:rPr>
  </w:style>
  <w:style w:type="character" w:customStyle="1" w:styleId="226">
    <w:name w:val="font11"/>
    <w:qFormat/>
    <w:uiPriority w:val="0"/>
    <w:rPr>
      <w:rFonts w:hint="eastAsia" w:ascii="宋体" w:hAnsi="宋体" w:eastAsia="宋体" w:cs="宋体"/>
      <w:color w:val="000000"/>
      <w:sz w:val="24"/>
      <w:szCs w:val="24"/>
      <w:u w:val="none"/>
    </w:rPr>
  </w:style>
  <w:style w:type="character" w:customStyle="1" w:styleId="227">
    <w:name w:val="font71"/>
    <w:qFormat/>
    <w:uiPriority w:val="0"/>
    <w:rPr>
      <w:rFonts w:hint="eastAsia" w:ascii="宋体" w:hAnsi="宋体" w:eastAsia="宋体" w:cs="宋体"/>
      <w:color w:val="FF0000"/>
      <w:sz w:val="24"/>
      <w:szCs w:val="24"/>
      <w:u w:val="none"/>
    </w:rPr>
  </w:style>
  <w:style w:type="character" w:customStyle="1" w:styleId="228">
    <w:name w:val="apple-style-span"/>
    <w:qFormat/>
    <w:uiPriority w:val="99"/>
    <w:rPr>
      <w:rFonts w:cs="Times New Roman"/>
    </w:rPr>
  </w:style>
  <w:style w:type="character" w:customStyle="1" w:styleId="229">
    <w:name w:val="font01"/>
    <w:basedOn w:val="44"/>
    <w:qFormat/>
    <w:uiPriority w:val="0"/>
    <w:rPr>
      <w:rFonts w:hint="eastAsia" w:ascii="宋体" w:hAnsi="宋体" w:eastAsia="宋体" w:cs="宋体"/>
      <w:b/>
      <w:color w:val="000000"/>
      <w:sz w:val="20"/>
      <w:szCs w:val="20"/>
      <w:u w:val="none"/>
    </w:rPr>
  </w:style>
  <w:style w:type="character" w:customStyle="1" w:styleId="230">
    <w:name w:val="font61"/>
    <w:qFormat/>
    <w:uiPriority w:val="0"/>
    <w:rPr>
      <w:rFonts w:hint="eastAsia" w:ascii="宋体" w:hAnsi="宋体" w:eastAsia="宋体" w:cs="宋体"/>
      <w:color w:val="FF0000"/>
      <w:sz w:val="24"/>
      <w:szCs w:val="24"/>
      <w:u w:val="none"/>
    </w:rPr>
  </w:style>
  <w:style w:type="character" w:customStyle="1" w:styleId="231">
    <w:name w:val="font41"/>
    <w:qFormat/>
    <w:uiPriority w:val="0"/>
    <w:rPr>
      <w:rFonts w:hint="eastAsia" w:ascii="宋体" w:hAnsi="宋体" w:eastAsia="宋体" w:cs="宋体"/>
      <w:color w:val="FF0000"/>
      <w:sz w:val="24"/>
      <w:szCs w:val="24"/>
      <w:u w:val="none"/>
    </w:rPr>
  </w:style>
  <w:style w:type="character" w:customStyle="1" w:styleId="232">
    <w:name w:val="hover"/>
    <w:qFormat/>
    <w:uiPriority w:val="0"/>
  </w:style>
  <w:style w:type="character" w:customStyle="1" w:styleId="233">
    <w:name w:val="hover2"/>
    <w:qFormat/>
    <w:uiPriority w:val="0"/>
    <w:rPr>
      <w:color w:val="2590EB"/>
    </w:rPr>
  </w:style>
  <w:style w:type="character" w:customStyle="1" w:styleId="234">
    <w:name w:val="mini-outputtext1"/>
    <w:qFormat/>
    <w:uiPriority w:val="0"/>
  </w:style>
  <w:style w:type="character" w:customStyle="1" w:styleId="235">
    <w:name w:val="font21"/>
    <w:basedOn w:val="44"/>
    <w:qFormat/>
    <w:uiPriority w:val="0"/>
    <w:rPr>
      <w:rFonts w:hint="default" w:ascii="Calibri" w:hAnsi="Calibri" w:cs="Calibri"/>
      <w:color w:val="000000"/>
      <w:sz w:val="21"/>
      <w:szCs w:val="21"/>
      <w:u w:val="none"/>
    </w:rPr>
  </w:style>
  <w:style w:type="character" w:customStyle="1" w:styleId="236">
    <w:name w:val="font51"/>
    <w:qFormat/>
    <w:uiPriority w:val="0"/>
    <w:rPr>
      <w:rFonts w:ascii="AvantGarde Bk BT" w:hAnsi="AvantGarde Bk BT" w:eastAsia="AvantGarde Bk BT" w:cs="AvantGarde Bk BT"/>
      <w:color w:val="000000"/>
      <w:sz w:val="24"/>
      <w:szCs w:val="24"/>
      <w:u w:val="none"/>
    </w:rPr>
  </w:style>
  <w:style w:type="paragraph" w:customStyle="1" w:styleId="237">
    <w:name w:val="Body text|1"/>
    <w:basedOn w:val="1"/>
    <w:qFormat/>
    <w:uiPriority w:val="0"/>
    <w:pPr>
      <w:spacing w:line="350" w:lineRule="auto"/>
      <w:ind w:firstLine="400"/>
      <w:jc w:val="left"/>
    </w:pPr>
    <w:rPr>
      <w:rFonts w:ascii="宋体" w:hAnsi="宋体" w:cs="宋体"/>
      <w:sz w:val="30"/>
      <w:szCs w:val="30"/>
    </w:rPr>
  </w:style>
  <w:style w:type="paragraph" w:customStyle="1" w:styleId="238">
    <w:name w:val="正文 New New New New"/>
    <w:qFormat/>
    <w:uiPriority w:val="0"/>
    <w:pPr>
      <w:widowControl w:val="0"/>
      <w:jc w:val="both"/>
    </w:pPr>
    <w:rPr>
      <w:rFonts w:hint="default" w:ascii="Times New Roman" w:hAnsi="Times New Roman" w:eastAsia="宋体" w:cs="Times New Roman"/>
      <w:szCs w:val="24"/>
      <w:lang w:val="en-US" w:eastAsia="zh-CN" w:bidi="ar-SA"/>
    </w:rPr>
  </w:style>
  <w:style w:type="paragraph" w:customStyle="1" w:styleId="239">
    <w:name w:val="TOC 标题1"/>
    <w:basedOn w:val="2"/>
    <w:next w:val="1"/>
    <w:unhideWhenUsed/>
    <w:qFormat/>
    <w:uiPriority w:val="39"/>
    <w:pPr>
      <w:widowControl/>
      <w:spacing w:before="240" w:after="0" w:line="256" w:lineRule="auto"/>
      <w:jc w:val="left"/>
      <w:outlineLvl w:val="9"/>
    </w:pPr>
    <w:rPr>
      <w:rFonts w:ascii="等线 Light" w:hAnsi="等线 Light" w:eastAsia="等线 Light"/>
      <w:b w:val="0"/>
      <w:bCs w:val="0"/>
      <w:color w:val="2F5496"/>
      <w:sz w:val="32"/>
      <w:szCs w:val="32"/>
    </w:rPr>
  </w:style>
  <w:style w:type="paragraph" w:customStyle="1" w:styleId="240">
    <w:name w:val="No Spacing"/>
    <w:basedOn w:val="1"/>
    <w:qFormat/>
    <w:uiPriority w:val="0"/>
    <w:pPr>
      <w:widowControl w:val="0"/>
      <w:jc w:val="both"/>
    </w:pPr>
    <w:rPr>
      <w:rFonts w:ascii="Calibri" w:hAnsi="Calibri"/>
      <w:sz w:val="21"/>
      <w:szCs w:val="22"/>
      <w:lang w:val="en-US" w:eastAsia="zh-CN" w:bidi="ar-SA"/>
    </w:rPr>
  </w:style>
  <w:style w:type="paragraph" w:customStyle="1" w:styleId="241">
    <w:name w:val="Body text|3"/>
    <w:basedOn w:val="1"/>
    <w:qFormat/>
    <w:uiPriority w:val="0"/>
    <w:pPr>
      <w:spacing w:after="460"/>
      <w:jc w:val="center"/>
    </w:pPr>
    <w:rPr>
      <w:rFonts w:ascii="宋体" w:hAnsi="宋体" w:cs="宋体"/>
      <w:sz w:val="34"/>
      <w:szCs w:val="34"/>
    </w:rPr>
  </w:style>
  <w:style w:type="paragraph" w:customStyle="1" w:styleId="242">
    <w:name w:val="p0"/>
    <w:basedOn w:val="1"/>
    <w:qFormat/>
    <w:uiPriority w:val="99"/>
    <w:pPr>
      <w:widowControl/>
      <w:jc w:val="left"/>
    </w:pPr>
    <w:rPr>
      <w:rFonts w:ascii="Times New Roman" w:hAnsi="Times New Roman"/>
      <w:szCs w:val="21"/>
    </w:rPr>
  </w:style>
  <w:style w:type="paragraph" w:customStyle="1" w:styleId="243">
    <w:name w:val="正文_0"/>
    <w:qFormat/>
    <w:uiPriority w:val="1"/>
    <w:pPr>
      <w:widowControl w:val="0"/>
    </w:pPr>
    <w:rPr>
      <w:rFonts w:hint="default" w:ascii="宋体" w:hAnsi="宋体" w:eastAsia="宋体" w:cs="宋体"/>
      <w:sz w:val="22"/>
      <w:szCs w:val="22"/>
      <w:lang w:val="en-US" w:eastAsia="en-US" w:bidi="ar-SA"/>
    </w:rPr>
  </w:style>
  <w:style w:type="paragraph" w:customStyle="1" w:styleId="244">
    <w:name w:val="Char Char Char Char Char Char Char"/>
    <w:basedOn w:val="1"/>
    <w:qFormat/>
    <w:uiPriority w:val="0"/>
    <w:rPr>
      <w:color w:val="auto"/>
    </w:rPr>
  </w:style>
  <w:style w:type="paragraph" w:customStyle="1" w:styleId="245">
    <w:name w:val="_Style 1"/>
    <w:qFormat/>
    <w:uiPriority w:val="1"/>
    <w:pPr>
      <w:widowControl w:val="0"/>
      <w:jc w:val="both"/>
    </w:pPr>
    <w:rPr>
      <w:rFonts w:hint="default" w:ascii="Times New Roman" w:hAnsi="Times New Roman" w:eastAsia="宋体" w:cs="Times New Roman"/>
      <w:sz w:val="21"/>
      <w:szCs w:val="24"/>
      <w:lang w:val="en-US" w:eastAsia="zh-CN" w:bidi="ar-SA"/>
    </w:rPr>
  </w:style>
  <w:style w:type="paragraph" w:customStyle="1" w:styleId="246">
    <w:name w:val="首行缩进"/>
    <w:basedOn w:val="1"/>
    <w:qFormat/>
    <w:uiPriority w:val="0"/>
    <w:pPr>
      <w:spacing w:line="360" w:lineRule="auto"/>
      <w:ind w:firstLine="480"/>
    </w:pPr>
    <w:rPr>
      <w:rFonts w:ascii="宋体" w:hAnsi="宋体" w:cs="宋体"/>
      <w:sz w:val="24"/>
    </w:rPr>
  </w:style>
  <w:style w:type="paragraph" w:customStyle="1" w:styleId="247">
    <w:name w:val="List Paragraph"/>
    <w:basedOn w:val="1"/>
    <w:qFormat/>
    <w:uiPriority w:val="99"/>
    <w:pPr>
      <w:ind w:firstLine="420"/>
    </w:pPr>
    <w:rPr>
      <w:rFonts w:ascii="Times New Roman" w:hAnsi="Times New Roman"/>
    </w:rPr>
  </w:style>
  <w:style w:type="paragraph" w:customStyle="1" w:styleId="248">
    <w:name w:val="BodyText"/>
    <w:basedOn w:val="1"/>
    <w:next w:val="1"/>
    <w:qFormat/>
    <w:uiPriority w:val="0"/>
    <w:pPr>
      <w:spacing w:line="380" w:lineRule="exact"/>
    </w:pPr>
    <w:rPr>
      <w:sz w:val="24"/>
    </w:rPr>
  </w:style>
  <w:style w:type="paragraph" w:customStyle="1" w:styleId="249">
    <w:name w:val="列出段落3"/>
    <w:basedOn w:val="1"/>
    <w:qFormat/>
    <w:uiPriority w:val="34"/>
    <w:pPr>
      <w:ind w:firstLine="420"/>
    </w:pPr>
  </w:style>
  <w:style w:type="paragraph" w:customStyle="1" w:styleId="250">
    <w:name w:val="WPSOffice手动目录 1"/>
    <w:qFormat/>
    <w:uiPriority w:val="0"/>
    <w:rPr>
      <w:rFonts w:hint="default" w:ascii="Times New Roman" w:hAnsi="Times New Roman" w:eastAsia="宋体" w:cs="Times New Roman"/>
      <w:lang w:val="en-US" w:eastAsia="zh-CN" w:bidi="ar-SA"/>
    </w:rPr>
  </w:style>
  <w:style w:type="paragraph" w:customStyle="1" w:styleId="251">
    <w:name w:val="_Style 361"/>
    <w:basedOn w:val="1"/>
    <w:next w:val="247"/>
    <w:qFormat/>
    <w:uiPriority w:val="34"/>
    <w:pPr>
      <w:ind w:firstLine="420"/>
    </w:pPr>
  </w:style>
  <w:style w:type="paragraph" w:customStyle="1" w:styleId="252">
    <w:name w:val="Table Paragraph"/>
    <w:basedOn w:val="1"/>
    <w:qFormat/>
    <w:uiPriority w:val="1"/>
    <w:rPr>
      <w:rFonts w:ascii="宋体" w:hAnsi="宋体" w:eastAsia="宋体" w:cs="宋体"/>
      <w:lang w:val="zh-CN" w:eastAsia="zh-CN" w:bidi="zh-CN"/>
    </w:rPr>
  </w:style>
  <w:style w:type="character" w:customStyle="1" w:styleId="253">
    <w:name w:val="NormalCharacter"/>
    <w:qFormat/>
    <w:uiPriority w:val="0"/>
  </w:style>
  <w:style w:type="character" w:customStyle="1" w:styleId="254">
    <w:name w:val="标题 1 Char"/>
    <w:link w:val="2"/>
    <w:qFormat/>
    <w:uiPriority w:val="0"/>
    <w:rPr>
      <w:b/>
      <w:bCs/>
      <w:sz w:val="44"/>
      <w:szCs w:val="44"/>
    </w:rPr>
  </w:style>
  <w:style w:type="paragraph" w:customStyle="1" w:styleId="255">
    <w:name w:val="正文_66"/>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83</Pages>
  <Words>9957</Words>
  <Characters>10838</Characters>
  <TotalTime>76</TotalTime>
  <ScaleCrop>false</ScaleCrop>
  <LinksUpToDate>false</LinksUpToDate>
  <CharactersWithSpaces>11225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2025-12-12T08:54:00Z</dcterms:created>
  <dc:creator>Administrator</dc:creator>
  <cp:lastModifiedBy>LLcat</cp:lastModifiedBy>
  <dcterms:modified xsi:type="dcterms:W3CDTF">2026-08-07T02:14:47Z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052E745DC2544794AA53085A3A197362_13</vt:lpwstr>
  </property>
  <property fmtid="{D5CDD505-2E9C-101B-9397-08002B2CF9AE}" pid="4" name="KSOTemplateDocerSaveRecord">
    <vt:lpwstr>eyJoZGlkIjoiODQxMzM4OTFkMTRiMTgyYzM5ODcxM2FjYWFhOTQ2MmMiLCJ1c2VySWQiOiIxMjgzODQzODQwIn0=</vt:lpwstr>
  </property>
</Properties>
</file>