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487A1">
      <w:pPr>
        <w:pStyle w:val="213"/>
        <w:jc w:val="left"/>
        <w:rPr>
          <w:rFonts w:hint="eastAsia" w:hAnsi="宋体" w:cs="宋体"/>
          <w:b/>
          <w:bCs/>
          <w:color w:val="000000"/>
          <w:spacing w:val="80"/>
          <w:sz w:val="64"/>
          <w:highlight w:val="none"/>
        </w:rPr>
      </w:pPr>
      <w:bookmarkStart w:id="296" w:name="_GoBack"/>
      <w:bookmarkEnd w:id="296"/>
    </w:p>
    <w:p w14:paraId="3ABDA24B">
      <w:pPr>
        <w:pStyle w:val="213"/>
        <w:jc w:val="center"/>
        <w:rPr>
          <w:rFonts w:hAnsi="宋体" w:cs="宋体"/>
          <w:b/>
          <w:bCs/>
          <w:color w:val="000000"/>
          <w:spacing w:val="80"/>
          <w:sz w:val="60"/>
          <w:szCs w:val="60"/>
          <w:highlight w:val="none"/>
        </w:rPr>
      </w:pPr>
      <w:r>
        <w:rPr>
          <w:rFonts w:hint="eastAsia" w:hAnsi="宋体" w:cs="宋体"/>
          <w:b/>
          <w:bCs/>
          <w:color w:val="000000"/>
          <w:spacing w:val="80"/>
          <w:sz w:val="60"/>
          <w:szCs w:val="60"/>
          <w:highlight w:val="none"/>
        </w:rPr>
        <w:t>桂林市政府集中采购中心</w:t>
      </w:r>
    </w:p>
    <w:p w14:paraId="55393782">
      <w:pPr>
        <w:pStyle w:val="213"/>
        <w:jc w:val="center"/>
        <w:rPr>
          <w:rFonts w:hAnsi="宋体" w:cs="宋体"/>
          <w:b/>
          <w:bCs/>
          <w:color w:val="000000"/>
          <w:spacing w:val="80"/>
          <w:sz w:val="72"/>
          <w:highlight w:val="none"/>
        </w:rPr>
      </w:pPr>
    </w:p>
    <w:p w14:paraId="0A7877CF">
      <w:pPr>
        <w:pStyle w:val="213"/>
        <w:jc w:val="center"/>
        <w:rPr>
          <w:rFonts w:hAnsi="宋体" w:cs="宋体"/>
          <w:b/>
          <w:bCs/>
          <w:color w:val="000000"/>
          <w:sz w:val="72"/>
          <w:highlight w:val="none"/>
        </w:rPr>
      </w:pPr>
    </w:p>
    <w:p w14:paraId="1D4B9FE5">
      <w:pPr>
        <w:pStyle w:val="213"/>
        <w:jc w:val="center"/>
        <w:rPr>
          <w:rFonts w:hAnsi="宋体" w:cs="宋体"/>
          <w:color w:val="000000"/>
          <w:highlight w:val="none"/>
        </w:rPr>
      </w:pPr>
    </w:p>
    <w:p w14:paraId="1282198C">
      <w:pPr>
        <w:spacing w:line="1400" w:lineRule="exact"/>
        <w:jc w:val="center"/>
        <w:rPr>
          <w:rFonts w:ascii="宋体" w:hAnsi="宋体" w:cs="宋体"/>
          <w:b/>
          <w:color w:val="000000"/>
          <w:spacing w:val="60"/>
          <w:sz w:val="112"/>
          <w:szCs w:val="112"/>
          <w:highlight w:val="none"/>
        </w:rPr>
      </w:pPr>
      <w:r>
        <w:rPr>
          <w:rFonts w:hint="eastAsia" w:ascii="宋体" w:hAnsi="宋体" w:cs="宋体"/>
          <w:b/>
          <w:color w:val="000000"/>
          <w:spacing w:val="60"/>
          <w:sz w:val="112"/>
          <w:szCs w:val="112"/>
          <w:highlight w:val="none"/>
        </w:rPr>
        <w:t>招标文件</w:t>
      </w:r>
    </w:p>
    <w:p w14:paraId="2A8589DB">
      <w:pPr>
        <w:pStyle w:val="213"/>
        <w:rPr>
          <w:rFonts w:hAnsi="宋体" w:cs="宋体"/>
          <w:color w:val="000000"/>
          <w:highlight w:val="none"/>
        </w:rPr>
      </w:pPr>
    </w:p>
    <w:p w14:paraId="30B612E2">
      <w:pPr>
        <w:pStyle w:val="213"/>
        <w:ind w:firstLine="3885"/>
        <w:rPr>
          <w:rFonts w:hAnsi="宋体" w:cs="宋体"/>
          <w:color w:val="000000"/>
          <w:highlight w:val="none"/>
        </w:rPr>
      </w:pPr>
    </w:p>
    <w:p w14:paraId="3C5299D3">
      <w:pPr>
        <w:pStyle w:val="213"/>
        <w:rPr>
          <w:rFonts w:hAnsi="宋体" w:cs="宋体"/>
          <w:color w:val="000000"/>
          <w:highlight w:val="none"/>
        </w:rPr>
      </w:pPr>
    </w:p>
    <w:p w14:paraId="55385892">
      <w:pPr>
        <w:pStyle w:val="213"/>
        <w:rPr>
          <w:rFonts w:hint="eastAsia" w:hAnsi="宋体" w:cs="宋体"/>
          <w:color w:val="000000"/>
          <w:highlight w:val="none"/>
        </w:rPr>
      </w:pPr>
    </w:p>
    <w:p w14:paraId="4DB6E2B5">
      <w:pPr>
        <w:pStyle w:val="213"/>
        <w:rPr>
          <w:rFonts w:hAnsi="宋体" w:cs="宋体"/>
          <w:color w:val="000000"/>
          <w:highlight w:val="none"/>
        </w:rPr>
      </w:pPr>
    </w:p>
    <w:p w14:paraId="5E6386F5">
      <w:pPr>
        <w:jc w:val="center"/>
        <w:rPr>
          <w:rFonts w:ascii="宋体" w:hAnsi="宋体" w:cs="宋体"/>
          <w:b/>
          <w:bCs/>
          <w:color w:val="000000"/>
          <w:spacing w:val="-36"/>
          <w:sz w:val="32"/>
          <w:highlight w:val="none"/>
        </w:rPr>
      </w:pPr>
      <w:r>
        <w:rPr>
          <w:rFonts w:hint="eastAsia" w:ascii="宋体" w:hAnsi="宋体" w:cs="宋体"/>
          <w:b/>
          <w:bCs/>
          <w:color w:val="000000"/>
          <w:spacing w:val="40"/>
          <w:sz w:val="32"/>
          <w:highlight w:val="none"/>
        </w:rPr>
        <w:t>项目名称：</w:t>
      </w:r>
      <w:r>
        <w:rPr>
          <w:rFonts w:hint="eastAsia" w:ascii="宋体" w:hAnsi="宋体" w:cs="宋体"/>
          <w:b/>
          <w:bCs/>
          <w:color w:val="000000"/>
          <w:spacing w:val="0"/>
          <w:sz w:val="32"/>
          <w:highlight w:val="none"/>
          <w:lang w:val="en-US" w:eastAsia="zh-CN"/>
        </w:rPr>
        <w:t>桂林市市直机关办公区物业管理服务项目</w:t>
      </w:r>
    </w:p>
    <w:p w14:paraId="43C919BA">
      <w:pPr>
        <w:tabs>
          <w:tab w:val="left" w:pos="4830"/>
        </w:tabs>
        <w:jc w:val="center"/>
        <w:rPr>
          <w:rFonts w:ascii="宋体" w:hAnsi="宋体" w:cs="宋体"/>
          <w:b/>
          <w:bCs/>
          <w:color w:val="000000"/>
          <w:sz w:val="32"/>
          <w:highlight w:val="none"/>
        </w:rPr>
      </w:pPr>
      <w:r>
        <w:rPr>
          <w:rFonts w:hint="eastAsia" w:ascii="宋体" w:hAnsi="宋体" w:cs="宋体"/>
          <w:b/>
          <w:bCs/>
          <w:color w:val="000000"/>
          <w:spacing w:val="40"/>
          <w:sz w:val="32"/>
          <w:highlight w:val="none"/>
        </w:rPr>
        <w:t>项目编号：</w:t>
      </w:r>
      <w:r>
        <w:rPr>
          <w:rFonts w:hint="eastAsia" w:ascii="宋体" w:hAnsi="宋体" w:cs="宋体"/>
          <w:b/>
          <w:bCs/>
          <w:color w:val="000000"/>
          <w:spacing w:val="0"/>
          <w:sz w:val="32"/>
          <w:highlight w:val="none"/>
          <w:lang w:eastAsia="zh-CN"/>
        </w:rPr>
        <w:t>GLZC2026-G3-990149-GLSZ</w:t>
      </w:r>
    </w:p>
    <w:p w14:paraId="73B2171C">
      <w:pPr>
        <w:ind w:left="-2" w:firstLine="1446"/>
        <w:rPr>
          <w:rFonts w:hint="eastAsia" w:ascii="宋体" w:hAnsi="宋体" w:cs="宋体"/>
          <w:color w:val="000000"/>
          <w:highlight w:val="none"/>
        </w:rPr>
      </w:pPr>
      <w:r>
        <w:rPr>
          <w:rFonts w:hint="eastAsia" w:ascii="宋体" w:hAnsi="宋体" w:cs="宋体"/>
          <w:b/>
          <w:bCs/>
          <w:color w:val="000000"/>
          <w:sz w:val="36"/>
          <w:highlight w:val="none"/>
        </w:rPr>
        <w:t xml:space="preserve">        </w:t>
      </w:r>
    </w:p>
    <w:p w14:paraId="473AEBC7">
      <w:pPr>
        <w:ind w:left="-2" w:firstLine="1446"/>
        <w:rPr>
          <w:rFonts w:ascii="宋体" w:hAnsi="宋体" w:cs="宋体"/>
          <w:color w:val="000000"/>
          <w:highlight w:val="none"/>
        </w:rPr>
      </w:pPr>
    </w:p>
    <w:p w14:paraId="4DE2B516">
      <w:pPr>
        <w:ind w:left="-2" w:firstLine="840"/>
        <w:rPr>
          <w:rFonts w:ascii="宋体" w:hAnsi="宋体" w:cs="宋体"/>
          <w:color w:val="000000"/>
          <w:highlight w:val="none"/>
        </w:rPr>
      </w:pPr>
    </w:p>
    <w:p w14:paraId="43F8E188">
      <w:pPr>
        <w:ind w:left="-2" w:firstLine="630"/>
        <w:rPr>
          <w:rFonts w:ascii="宋体" w:hAnsi="宋体" w:cs="宋体"/>
          <w:color w:val="000000"/>
          <w:highlight w:val="none"/>
        </w:rPr>
      </w:pPr>
      <w:r>
        <w:rPr>
          <w:rFonts w:hint="eastAsia" w:ascii="宋体" w:hAnsi="宋体" w:cs="宋体"/>
          <w:color w:val="000000"/>
          <w:highlight w:val="none"/>
        </w:rPr>
        <w:t>　</w:t>
      </w:r>
      <w:r>
        <w:rPr>
          <w:rFonts w:hint="eastAsia" w:ascii="宋体" w:hAnsi="宋体" w:cs="宋体"/>
          <w:color w:val="000000"/>
          <w:highlight w:val="none"/>
        </w:rPr>
        <w:tab/>
      </w:r>
    </w:p>
    <w:p w14:paraId="788B79F7">
      <w:pPr>
        <w:ind w:left="103" w:firstLine="1470"/>
        <w:jc w:val="center"/>
        <w:rPr>
          <w:rFonts w:hint="eastAsia" w:ascii="宋体" w:hAnsi="宋体" w:cs="宋体"/>
          <w:color w:val="000000"/>
          <w:highlight w:val="none"/>
        </w:rPr>
      </w:pPr>
    </w:p>
    <w:p w14:paraId="0AA39260">
      <w:pPr>
        <w:ind w:left="103" w:firstLine="1470"/>
        <w:jc w:val="center"/>
        <w:rPr>
          <w:rFonts w:ascii="宋体" w:hAnsi="宋体" w:cs="宋体"/>
          <w:b/>
          <w:bCs/>
          <w:color w:val="000000"/>
          <w:spacing w:val="40"/>
          <w:sz w:val="32"/>
          <w:szCs w:val="32"/>
          <w:highlight w:val="none"/>
        </w:rPr>
      </w:pPr>
      <w:r>
        <w:rPr>
          <w:rFonts w:hint="eastAsia" w:ascii="宋体" w:hAnsi="宋体" w:cs="宋体"/>
          <w:b/>
          <w:bCs/>
          <w:color w:val="000000"/>
          <w:spacing w:val="40"/>
          <w:sz w:val="32"/>
          <w:szCs w:val="32"/>
          <w:highlight w:val="none"/>
        </w:rPr>
        <w:t>采购代理机构：桂林市政府集中采购中心</w:t>
      </w:r>
    </w:p>
    <w:p w14:paraId="53F6185E">
      <w:pPr>
        <w:jc w:val="center"/>
        <w:rPr>
          <w:rFonts w:hint="eastAsia" w:ascii="宋体" w:hAnsi="宋体" w:eastAsia="宋体" w:cs="宋体"/>
          <w:b/>
          <w:bCs/>
          <w:color w:val="000000"/>
          <w:sz w:val="32"/>
          <w:highlight w:val="none"/>
          <w:lang w:eastAsia="zh-CN"/>
        </w:rPr>
      </w:pPr>
      <w:r>
        <w:rPr>
          <w:rFonts w:hint="eastAsia" w:ascii="宋体" w:hAnsi="宋体" w:cs="宋体"/>
          <w:b/>
          <w:bCs/>
          <w:color w:val="000000"/>
          <w:sz w:val="32"/>
          <w:highlight w:val="none"/>
          <w:lang w:eastAsia="zh-CN"/>
        </w:rPr>
        <w:t>202</w:t>
      </w:r>
      <w:r>
        <w:rPr>
          <w:rFonts w:hint="eastAsia" w:ascii="宋体" w:hAnsi="宋体" w:cs="宋体"/>
          <w:b/>
          <w:bCs/>
          <w:color w:val="000000"/>
          <w:sz w:val="32"/>
          <w:highlight w:val="none"/>
          <w:lang w:val="en-US" w:eastAsia="zh-CN"/>
        </w:rPr>
        <w:t>6</w:t>
      </w:r>
      <w:r>
        <w:rPr>
          <w:rFonts w:hint="eastAsia" w:ascii="宋体" w:hAnsi="宋体" w:cs="宋体"/>
          <w:b/>
          <w:bCs/>
          <w:color w:val="000000"/>
          <w:sz w:val="32"/>
          <w:highlight w:val="none"/>
          <w:lang w:eastAsia="zh-CN"/>
        </w:rPr>
        <w:t>年</w:t>
      </w:r>
      <w:r>
        <w:rPr>
          <w:rFonts w:hint="eastAsia" w:ascii="宋体" w:hAnsi="宋体" w:cs="宋体"/>
          <w:b/>
          <w:bCs/>
          <w:color w:val="000000"/>
          <w:sz w:val="32"/>
          <w:highlight w:val="none"/>
          <w:lang w:val="en-US" w:eastAsia="zh-CN"/>
        </w:rPr>
        <w:t>5</w:t>
      </w:r>
      <w:r>
        <w:rPr>
          <w:rFonts w:hint="eastAsia" w:ascii="宋体" w:hAnsi="宋体" w:cs="宋体"/>
          <w:b/>
          <w:bCs/>
          <w:color w:val="000000"/>
          <w:sz w:val="32"/>
          <w:highlight w:val="none"/>
          <w:lang w:eastAsia="zh-CN"/>
        </w:rPr>
        <w:t>月</w:t>
      </w:r>
      <w:r>
        <w:rPr>
          <w:rFonts w:hint="eastAsia" w:ascii="宋体" w:hAnsi="宋体" w:cs="宋体"/>
          <w:b/>
          <w:bCs/>
          <w:color w:val="000000"/>
          <w:sz w:val="32"/>
          <w:highlight w:val="none"/>
          <w:lang w:val="en-US" w:eastAsia="zh-CN"/>
        </w:rPr>
        <w:t>15</w:t>
      </w:r>
      <w:r>
        <w:rPr>
          <w:rFonts w:hint="eastAsia" w:ascii="宋体" w:hAnsi="宋体" w:cs="宋体"/>
          <w:b/>
          <w:bCs/>
          <w:color w:val="000000"/>
          <w:sz w:val="32"/>
          <w:highlight w:val="none"/>
          <w:lang w:eastAsia="zh-CN"/>
        </w:rPr>
        <w:t>日</w:t>
      </w:r>
    </w:p>
    <w:p w14:paraId="4ADADAC0">
      <w:pPr>
        <w:jc w:val="center"/>
        <w:rPr>
          <w:rFonts w:ascii="宋体" w:hAnsi="宋体" w:cs="宋体"/>
          <w:bCs/>
          <w:color w:val="000000"/>
          <w:sz w:val="30"/>
          <w:szCs w:val="30"/>
          <w:highlight w:val="none"/>
        </w:rPr>
      </w:pPr>
    </w:p>
    <w:p w14:paraId="0A006D09">
      <w:pPr>
        <w:pStyle w:val="326"/>
        <w:jc w:val="center"/>
        <w:rPr>
          <w:rFonts w:ascii="宋体" w:hAnsi="宋体" w:eastAsia="宋体" w:cs="宋体"/>
          <w:color w:val="000000"/>
          <w:highlight w:val="none"/>
          <w:lang w:val="zh-CN"/>
        </w:rPr>
        <w:sectPr>
          <w:headerReference r:id="rId3" w:type="default"/>
          <w:footerReference r:id="rId4" w:type="default"/>
          <w:pgSz w:w="11906" w:h="16838"/>
          <w:pgMar w:top="1440" w:right="1080" w:bottom="1440" w:left="1080" w:header="851" w:footer="992" w:gutter="0"/>
          <w:cols w:space="1701" w:num="1"/>
        </w:sectPr>
      </w:pPr>
    </w:p>
    <w:p w14:paraId="7DDCC585">
      <w:pPr>
        <w:jc w:val="center"/>
        <w:rPr>
          <w:rFonts w:ascii="宋体" w:hAnsi="宋体" w:cs="宋体"/>
          <w:b/>
          <w:bCs/>
          <w:color w:val="000000"/>
          <w:highlight w:val="none"/>
        </w:rPr>
      </w:pPr>
      <w:r>
        <w:rPr>
          <w:rFonts w:hint="eastAsia" w:ascii="宋体" w:hAnsi="宋体" w:cs="宋体"/>
          <w:b/>
          <w:bCs/>
          <w:color w:val="000000"/>
          <w:highlight w:val="none"/>
        </w:rPr>
        <w:t>目 录</w:t>
      </w:r>
    </w:p>
    <w:p w14:paraId="7EF373F2">
      <w:pPr>
        <w:rPr>
          <w:rFonts w:ascii="宋体" w:hAnsi="宋体" w:cs="宋体"/>
          <w:color w:val="000000"/>
          <w:szCs w:val="21"/>
          <w:highlight w:val="none"/>
        </w:rPr>
      </w:pPr>
    </w:p>
    <w:p w14:paraId="201158C6">
      <w:pPr>
        <w:pStyle w:val="223"/>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TOC \o "1-3" \h \u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_Toc18316 </w:instrText>
      </w:r>
      <w:r>
        <w:rPr>
          <w:rFonts w:hint="eastAsia" w:ascii="宋体" w:hAnsi="宋体" w:cs="宋体"/>
          <w:color w:val="000000"/>
          <w:szCs w:val="21"/>
          <w:highlight w:val="none"/>
        </w:rPr>
        <w:fldChar w:fldCharType="separate"/>
      </w:r>
      <w:r>
        <w:rPr>
          <w:rFonts w:hint="eastAsia" w:ascii="宋体" w:hAnsi="宋体" w:cs="宋体"/>
          <w:color w:val="000000"/>
          <w:szCs w:val="32"/>
          <w:highlight w:val="none"/>
        </w:rPr>
        <w:t>第一章 公开招标公告</w:t>
      </w:r>
      <w:r>
        <w:rPr>
          <w:color w:val="000000"/>
          <w:highlight w:val="none"/>
        </w:rPr>
        <w:tab/>
      </w:r>
      <w:r>
        <w:rPr>
          <w:color w:val="000000"/>
          <w:highlight w:val="none"/>
        </w:rPr>
        <w:fldChar w:fldCharType="begin"/>
      </w:r>
      <w:r>
        <w:rPr>
          <w:color w:val="000000"/>
          <w:highlight w:val="none"/>
        </w:rPr>
        <w:instrText xml:space="preserve"> PAGEREF _Toc18316 \h </w:instrText>
      </w:r>
      <w:r>
        <w:rPr>
          <w:color w:val="000000"/>
          <w:highlight w:val="none"/>
        </w:rPr>
        <w:fldChar w:fldCharType="separate"/>
      </w:r>
      <w:r>
        <w:rPr>
          <w:color w:val="000000"/>
          <w:highlight w:val="none"/>
        </w:rPr>
        <w:t>1</w:t>
      </w:r>
      <w:r>
        <w:rPr>
          <w:color w:val="000000"/>
          <w:highlight w:val="none"/>
        </w:rPr>
        <w:fldChar w:fldCharType="end"/>
      </w:r>
      <w:r>
        <w:rPr>
          <w:rFonts w:hint="eastAsia" w:ascii="宋体" w:hAnsi="宋体" w:cs="宋体"/>
          <w:color w:val="000000"/>
          <w:szCs w:val="21"/>
          <w:highlight w:val="none"/>
        </w:rPr>
        <w:fldChar w:fldCharType="end"/>
      </w:r>
    </w:p>
    <w:p w14:paraId="1303E296">
      <w:pPr>
        <w:pStyle w:val="223"/>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_Toc28921 </w:instrText>
      </w:r>
      <w:r>
        <w:rPr>
          <w:rFonts w:hint="eastAsia" w:ascii="宋体" w:hAnsi="宋体" w:cs="宋体"/>
          <w:color w:val="000000"/>
          <w:szCs w:val="21"/>
          <w:highlight w:val="none"/>
        </w:rPr>
        <w:fldChar w:fldCharType="separate"/>
      </w:r>
      <w:r>
        <w:rPr>
          <w:rFonts w:hint="eastAsia" w:ascii="宋体" w:hAnsi="宋体" w:cs="宋体"/>
          <w:bCs/>
          <w:color w:val="000000"/>
          <w:szCs w:val="32"/>
          <w:highlight w:val="none"/>
        </w:rPr>
        <w:t>第二章  投标人须知</w:t>
      </w:r>
      <w:r>
        <w:rPr>
          <w:color w:val="000000"/>
          <w:highlight w:val="none"/>
        </w:rPr>
        <w:tab/>
      </w:r>
      <w:r>
        <w:rPr>
          <w:color w:val="000000"/>
          <w:highlight w:val="none"/>
        </w:rPr>
        <w:fldChar w:fldCharType="begin"/>
      </w:r>
      <w:r>
        <w:rPr>
          <w:color w:val="000000"/>
          <w:highlight w:val="none"/>
        </w:rPr>
        <w:instrText xml:space="preserve"> PAGEREF _Toc28921 \h </w:instrText>
      </w:r>
      <w:r>
        <w:rPr>
          <w:color w:val="000000"/>
          <w:highlight w:val="none"/>
        </w:rPr>
        <w:fldChar w:fldCharType="separate"/>
      </w:r>
      <w:r>
        <w:rPr>
          <w:color w:val="000000"/>
          <w:highlight w:val="none"/>
        </w:rPr>
        <w:t>4</w:t>
      </w:r>
      <w:r>
        <w:rPr>
          <w:color w:val="000000"/>
          <w:highlight w:val="none"/>
        </w:rPr>
        <w:fldChar w:fldCharType="end"/>
      </w:r>
      <w:r>
        <w:rPr>
          <w:rFonts w:hint="eastAsia" w:ascii="宋体" w:hAnsi="宋体" w:cs="宋体"/>
          <w:color w:val="000000"/>
          <w:szCs w:val="21"/>
          <w:highlight w:val="none"/>
        </w:rPr>
        <w:fldChar w:fldCharType="end"/>
      </w:r>
    </w:p>
    <w:p w14:paraId="13C2854F">
      <w:pPr>
        <w:pStyle w:val="225"/>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_Toc3794 </w:instrText>
      </w:r>
      <w:r>
        <w:rPr>
          <w:rFonts w:hint="eastAsia" w:ascii="宋体" w:hAnsi="宋体" w:cs="宋体"/>
          <w:color w:val="000000"/>
          <w:szCs w:val="21"/>
          <w:highlight w:val="none"/>
        </w:rPr>
        <w:fldChar w:fldCharType="separate"/>
      </w:r>
      <w:r>
        <w:rPr>
          <w:rFonts w:hint="eastAsia" w:ascii="宋体" w:hAnsi="宋体" w:cs="宋体"/>
          <w:color w:val="000000"/>
          <w:highlight w:val="none"/>
        </w:rPr>
        <w:t>投标人须知前附表</w:t>
      </w:r>
      <w:r>
        <w:rPr>
          <w:color w:val="000000"/>
          <w:highlight w:val="none"/>
        </w:rPr>
        <w:tab/>
      </w:r>
      <w:r>
        <w:rPr>
          <w:color w:val="000000"/>
          <w:highlight w:val="none"/>
        </w:rPr>
        <w:fldChar w:fldCharType="begin"/>
      </w:r>
      <w:r>
        <w:rPr>
          <w:color w:val="000000"/>
          <w:highlight w:val="none"/>
        </w:rPr>
        <w:instrText xml:space="preserve"> PAGEREF _Toc3794 \h </w:instrText>
      </w:r>
      <w:r>
        <w:rPr>
          <w:color w:val="000000"/>
          <w:highlight w:val="none"/>
        </w:rPr>
        <w:fldChar w:fldCharType="separate"/>
      </w:r>
      <w:r>
        <w:rPr>
          <w:color w:val="000000"/>
          <w:highlight w:val="none"/>
        </w:rPr>
        <w:t>4</w:t>
      </w:r>
      <w:r>
        <w:rPr>
          <w:color w:val="000000"/>
          <w:highlight w:val="none"/>
        </w:rPr>
        <w:fldChar w:fldCharType="end"/>
      </w:r>
      <w:r>
        <w:rPr>
          <w:rFonts w:hint="eastAsia" w:ascii="宋体" w:hAnsi="宋体" w:cs="宋体"/>
          <w:color w:val="000000"/>
          <w:szCs w:val="21"/>
          <w:highlight w:val="none"/>
        </w:rPr>
        <w:fldChar w:fldCharType="end"/>
      </w:r>
    </w:p>
    <w:p w14:paraId="0369AA5B">
      <w:pPr>
        <w:pStyle w:val="225"/>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_Toc10967 </w:instrText>
      </w:r>
      <w:r>
        <w:rPr>
          <w:rFonts w:hint="eastAsia" w:ascii="宋体" w:hAnsi="宋体" w:cs="宋体"/>
          <w:color w:val="000000"/>
          <w:szCs w:val="21"/>
          <w:highlight w:val="none"/>
        </w:rPr>
        <w:fldChar w:fldCharType="separate"/>
      </w:r>
      <w:r>
        <w:rPr>
          <w:rFonts w:hint="eastAsia" w:ascii="宋体" w:hAnsi="宋体" w:cs="宋体"/>
          <w:color w:val="000000"/>
          <w:szCs w:val="28"/>
          <w:highlight w:val="none"/>
        </w:rPr>
        <w:t>一、总则</w:t>
      </w:r>
      <w:r>
        <w:rPr>
          <w:color w:val="000000"/>
          <w:highlight w:val="none"/>
        </w:rPr>
        <w:tab/>
      </w:r>
      <w:r>
        <w:rPr>
          <w:color w:val="000000"/>
          <w:highlight w:val="none"/>
        </w:rPr>
        <w:fldChar w:fldCharType="begin"/>
      </w:r>
      <w:r>
        <w:rPr>
          <w:color w:val="000000"/>
          <w:highlight w:val="none"/>
        </w:rPr>
        <w:instrText xml:space="preserve"> PAGEREF _Toc10967 \h </w:instrText>
      </w:r>
      <w:r>
        <w:rPr>
          <w:color w:val="000000"/>
          <w:highlight w:val="none"/>
        </w:rPr>
        <w:fldChar w:fldCharType="separate"/>
      </w:r>
      <w:r>
        <w:rPr>
          <w:color w:val="000000"/>
          <w:highlight w:val="none"/>
        </w:rPr>
        <w:t>8</w:t>
      </w:r>
      <w:r>
        <w:rPr>
          <w:color w:val="000000"/>
          <w:highlight w:val="none"/>
        </w:rPr>
        <w:fldChar w:fldCharType="end"/>
      </w:r>
      <w:r>
        <w:rPr>
          <w:rFonts w:hint="eastAsia" w:ascii="宋体" w:hAnsi="宋体" w:cs="宋体"/>
          <w:color w:val="000000"/>
          <w:szCs w:val="21"/>
          <w:highlight w:val="none"/>
        </w:rPr>
        <w:fldChar w:fldCharType="end"/>
      </w:r>
    </w:p>
    <w:p w14:paraId="73865330">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_Toc27209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1. 项目名称及项目编号</w:t>
      </w:r>
      <w:r>
        <w:rPr>
          <w:color w:val="000000"/>
          <w:highlight w:val="none"/>
        </w:rPr>
        <w:tab/>
      </w:r>
      <w:r>
        <w:rPr>
          <w:color w:val="000000"/>
          <w:highlight w:val="none"/>
        </w:rPr>
        <w:fldChar w:fldCharType="begin"/>
      </w:r>
      <w:r>
        <w:rPr>
          <w:color w:val="000000"/>
          <w:highlight w:val="none"/>
        </w:rPr>
        <w:instrText xml:space="preserve"> PAGEREF _Toc27209 \h </w:instrText>
      </w:r>
      <w:r>
        <w:rPr>
          <w:color w:val="000000"/>
          <w:highlight w:val="none"/>
        </w:rPr>
        <w:fldChar w:fldCharType="separate"/>
      </w:r>
      <w:r>
        <w:rPr>
          <w:color w:val="000000"/>
          <w:highlight w:val="none"/>
        </w:rPr>
        <w:t>8</w:t>
      </w:r>
      <w:r>
        <w:rPr>
          <w:color w:val="000000"/>
          <w:highlight w:val="none"/>
        </w:rPr>
        <w:fldChar w:fldCharType="end"/>
      </w:r>
      <w:r>
        <w:rPr>
          <w:rFonts w:hint="eastAsia" w:ascii="宋体" w:hAnsi="宋体" w:cs="宋体"/>
          <w:color w:val="000000"/>
          <w:szCs w:val="21"/>
          <w:highlight w:val="none"/>
        </w:rPr>
        <w:fldChar w:fldCharType="end"/>
      </w:r>
    </w:p>
    <w:p w14:paraId="5C61C7D7">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_Toc21725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2. 适应范围</w:t>
      </w:r>
      <w:r>
        <w:rPr>
          <w:color w:val="000000"/>
          <w:highlight w:val="none"/>
        </w:rPr>
        <w:tab/>
      </w:r>
      <w:r>
        <w:rPr>
          <w:color w:val="000000"/>
          <w:highlight w:val="none"/>
        </w:rPr>
        <w:fldChar w:fldCharType="begin"/>
      </w:r>
      <w:r>
        <w:rPr>
          <w:color w:val="000000"/>
          <w:highlight w:val="none"/>
        </w:rPr>
        <w:instrText xml:space="preserve"> PAGEREF _Toc21725 \h </w:instrText>
      </w:r>
      <w:r>
        <w:rPr>
          <w:color w:val="000000"/>
          <w:highlight w:val="none"/>
        </w:rPr>
        <w:fldChar w:fldCharType="separate"/>
      </w:r>
      <w:r>
        <w:rPr>
          <w:color w:val="000000"/>
          <w:highlight w:val="none"/>
        </w:rPr>
        <w:t>8</w:t>
      </w:r>
      <w:r>
        <w:rPr>
          <w:color w:val="000000"/>
          <w:highlight w:val="none"/>
        </w:rPr>
        <w:fldChar w:fldCharType="end"/>
      </w:r>
      <w:r>
        <w:rPr>
          <w:rFonts w:hint="eastAsia" w:ascii="宋体" w:hAnsi="宋体" w:cs="宋体"/>
          <w:color w:val="000000"/>
          <w:szCs w:val="21"/>
          <w:highlight w:val="none"/>
        </w:rPr>
        <w:fldChar w:fldCharType="end"/>
      </w:r>
    </w:p>
    <w:p w14:paraId="5D715D92">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_Toc12309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3. 定义</w:t>
      </w:r>
      <w:r>
        <w:rPr>
          <w:color w:val="000000"/>
          <w:highlight w:val="none"/>
        </w:rPr>
        <w:tab/>
      </w:r>
      <w:r>
        <w:rPr>
          <w:color w:val="000000"/>
          <w:highlight w:val="none"/>
        </w:rPr>
        <w:fldChar w:fldCharType="begin"/>
      </w:r>
      <w:r>
        <w:rPr>
          <w:color w:val="000000"/>
          <w:highlight w:val="none"/>
        </w:rPr>
        <w:instrText xml:space="preserve"> PAGEREF _Toc12309 \h </w:instrText>
      </w:r>
      <w:r>
        <w:rPr>
          <w:color w:val="000000"/>
          <w:highlight w:val="none"/>
        </w:rPr>
        <w:fldChar w:fldCharType="separate"/>
      </w:r>
      <w:r>
        <w:rPr>
          <w:color w:val="000000"/>
          <w:highlight w:val="none"/>
        </w:rPr>
        <w:t>8</w:t>
      </w:r>
      <w:r>
        <w:rPr>
          <w:color w:val="000000"/>
          <w:highlight w:val="none"/>
        </w:rPr>
        <w:fldChar w:fldCharType="end"/>
      </w:r>
      <w:r>
        <w:rPr>
          <w:rFonts w:hint="eastAsia" w:ascii="宋体" w:hAnsi="宋体" w:cs="宋体"/>
          <w:color w:val="000000"/>
          <w:szCs w:val="21"/>
          <w:highlight w:val="none"/>
        </w:rPr>
        <w:fldChar w:fldCharType="end"/>
      </w:r>
    </w:p>
    <w:p w14:paraId="40785C71">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_Toc19589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4. 招标方式、评分办法</w:t>
      </w:r>
      <w:r>
        <w:rPr>
          <w:color w:val="000000"/>
          <w:highlight w:val="none"/>
        </w:rPr>
        <w:tab/>
      </w:r>
      <w:r>
        <w:rPr>
          <w:color w:val="000000"/>
          <w:highlight w:val="none"/>
        </w:rPr>
        <w:fldChar w:fldCharType="begin"/>
      </w:r>
      <w:r>
        <w:rPr>
          <w:color w:val="000000"/>
          <w:highlight w:val="none"/>
        </w:rPr>
        <w:instrText xml:space="preserve"> PAGEREF _Toc19589 \h </w:instrText>
      </w:r>
      <w:r>
        <w:rPr>
          <w:color w:val="000000"/>
          <w:highlight w:val="none"/>
        </w:rPr>
        <w:fldChar w:fldCharType="separate"/>
      </w:r>
      <w:r>
        <w:rPr>
          <w:color w:val="000000"/>
          <w:highlight w:val="none"/>
        </w:rPr>
        <w:t>8</w:t>
      </w:r>
      <w:r>
        <w:rPr>
          <w:color w:val="000000"/>
          <w:highlight w:val="none"/>
        </w:rPr>
        <w:fldChar w:fldCharType="end"/>
      </w:r>
      <w:r>
        <w:rPr>
          <w:rFonts w:hint="eastAsia" w:ascii="宋体" w:hAnsi="宋体" w:cs="宋体"/>
          <w:color w:val="000000"/>
          <w:szCs w:val="21"/>
          <w:highlight w:val="none"/>
        </w:rPr>
        <w:fldChar w:fldCharType="end"/>
      </w:r>
    </w:p>
    <w:p w14:paraId="0765FF75">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_Toc12319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5. 投标人资格</w:t>
      </w:r>
      <w:r>
        <w:rPr>
          <w:color w:val="000000"/>
          <w:highlight w:val="none"/>
        </w:rPr>
        <w:tab/>
      </w:r>
      <w:r>
        <w:rPr>
          <w:color w:val="000000"/>
          <w:highlight w:val="none"/>
        </w:rPr>
        <w:fldChar w:fldCharType="begin"/>
      </w:r>
      <w:r>
        <w:rPr>
          <w:color w:val="000000"/>
          <w:highlight w:val="none"/>
        </w:rPr>
        <w:instrText xml:space="preserve"> PAGEREF _Toc12319 \h </w:instrText>
      </w:r>
      <w:r>
        <w:rPr>
          <w:color w:val="000000"/>
          <w:highlight w:val="none"/>
        </w:rPr>
        <w:fldChar w:fldCharType="separate"/>
      </w:r>
      <w:r>
        <w:rPr>
          <w:color w:val="000000"/>
          <w:highlight w:val="none"/>
        </w:rPr>
        <w:t>8</w:t>
      </w:r>
      <w:r>
        <w:rPr>
          <w:color w:val="000000"/>
          <w:highlight w:val="none"/>
        </w:rPr>
        <w:fldChar w:fldCharType="end"/>
      </w:r>
      <w:r>
        <w:rPr>
          <w:rFonts w:hint="eastAsia" w:ascii="宋体" w:hAnsi="宋体" w:cs="宋体"/>
          <w:color w:val="000000"/>
          <w:szCs w:val="21"/>
          <w:highlight w:val="none"/>
        </w:rPr>
        <w:fldChar w:fldCharType="end"/>
      </w:r>
    </w:p>
    <w:p w14:paraId="7B6367A2">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_Toc20735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6. 投标费用</w:t>
      </w:r>
      <w:r>
        <w:rPr>
          <w:color w:val="000000"/>
          <w:highlight w:val="none"/>
        </w:rPr>
        <w:tab/>
      </w:r>
      <w:r>
        <w:rPr>
          <w:color w:val="000000"/>
          <w:highlight w:val="none"/>
        </w:rPr>
        <w:fldChar w:fldCharType="begin"/>
      </w:r>
      <w:r>
        <w:rPr>
          <w:color w:val="000000"/>
          <w:highlight w:val="none"/>
        </w:rPr>
        <w:instrText xml:space="preserve"> PAGEREF _Toc20735 \h </w:instrText>
      </w:r>
      <w:r>
        <w:rPr>
          <w:color w:val="000000"/>
          <w:highlight w:val="none"/>
        </w:rPr>
        <w:fldChar w:fldCharType="separate"/>
      </w:r>
      <w:r>
        <w:rPr>
          <w:color w:val="000000"/>
          <w:highlight w:val="none"/>
        </w:rPr>
        <w:t>8</w:t>
      </w:r>
      <w:r>
        <w:rPr>
          <w:color w:val="000000"/>
          <w:highlight w:val="none"/>
        </w:rPr>
        <w:fldChar w:fldCharType="end"/>
      </w:r>
      <w:r>
        <w:rPr>
          <w:rFonts w:hint="eastAsia" w:ascii="宋体" w:hAnsi="宋体" w:cs="宋体"/>
          <w:color w:val="000000"/>
          <w:szCs w:val="21"/>
          <w:highlight w:val="none"/>
        </w:rPr>
        <w:fldChar w:fldCharType="end"/>
      </w:r>
    </w:p>
    <w:p w14:paraId="61DBFC7B">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_Toc26625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7. 联合体投标要求</w:t>
      </w:r>
      <w:r>
        <w:rPr>
          <w:color w:val="000000"/>
          <w:highlight w:val="none"/>
        </w:rPr>
        <w:tab/>
      </w:r>
      <w:r>
        <w:rPr>
          <w:color w:val="000000"/>
          <w:highlight w:val="none"/>
        </w:rPr>
        <w:fldChar w:fldCharType="begin"/>
      </w:r>
      <w:r>
        <w:rPr>
          <w:color w:val="000000"/>
          <w:highlight w:val="none"/>
        </w:rPr>
        <w:instrText xml:space="preserve"> PAGEREF _Toc26625 \h </w:instrText>
      </w:r>
      <w:r>
        <w:rPr>
          <w:color w:val="000000"/>
          <w:highlight w:val="none"/>
        </w:rPr>
        <w:fldChar w:fldCharType="separate"/>
      </w:r>
      <w:r>
        <w:rPr>
          <w:color w:val="000000"/>
          <w:highlight w:val="none"/>
        </w:rPr>
        <w:t>8</w:t>
      </w:r>
      <w:r>
        <w:rPr>
          <w:color w:val="000000"/>
          <w:highlight w:val="none"/>
        </w:rPr>
        <w:fldChar w:fldCharType="end"/>
      </w:r>
      <w:r>
        <w:rPr>
          <w:rFonts w:hint="eastAsia" w:ascii="宋体" w:hAnsi="宋体" w:cs="宋体"/>
          <w:color w:val="000000"/>
          <w:szCs w:val="21"/>
          <w:highlight w:val="none"/>
        </w:rPr>
        <w:fldChar w:fldCharType="end"/>
      </w:r>
    </w:p>
    <w:p w14:paraId="2162BEE4">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_Toc24584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8. 转包与分包</w:t>
      </w:r>
      <w:r>
        <w:rPr>
          <w:color w:val="000000"/>
          <w:highlight w:val="none"/>
        </w:rPr>
        <w:tab/>
      </w:r>
      <w:r>
        <w:rPr>
          <w:color w:val="000000"/>
          <w:highlight w:val="none"/>
        </w:rPr>
        <w:fldChar w:fldCharType="begin"/>
      </w:r>
      <w:r>
        <w:rPr>
          <w:color w:val="000000"/>
          <w:highlight w:val="none"/>
        </w:rPr>
        <w:instrText xml:space="preserve"> PAGEREF _Toc24584 \h </w:instrText>
      </w:r>
      <w:r>
        <w:rPr>
          <w:color w:val="000000"/>
          <w:highlight w:val="none"/>
        </w:rPr>
        <w:fldChar w:fldCharType="separate"/>
      </w:r>
      <w:r>
        <w:rPr>
          <w:color w:val="000000"/>
          <w:highlight w:val="none"/>
        </w:rPr>
        <w:t>8</w:t>
      </w:r>
      <w:r>
        <w:rPr>
          <w:color w:val="000000"/>
          <w:highlight w:val="none"/>
        </w:rPr>
        <w:fldChar w:fldCharType="end"/>
      </w:r>
      <w:r>
        <w:rPr>
          <w:rFonts w:hint="eastAsia" w:ascii="宋体" w:hAnsi="宋体" w:cs="宋体"/>
          <w:color w:val="000000"/>
          <w:szCs w:val="21"/>
          <w:highlight w:val="none"/>
        </w:rPr>
        <w:fldChar w:fldCharType="end"/>
      </w:r>
    </w:p>
    <w:p w14:paraId="49417AB9">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_Toc771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9. 特别说明</w:t>
      </w:r>
      <w:r>
        <w:rPr>
          <w:color w:val="000000"/>
          <w:highlight w:val="none"/>
        </w:rPr>
        <w:tab/>
      </w:r>
      <w:r>
        <w:rPr>
          <w:color w:val="000000"/>
          <w:highlight w:val="none"/>
        </w:rPr>
        <w:fldChar w:fldCharType="begin"/>
      </w:r>
      <w:r>
        <w:rPr>
          <w:color w:val="000000"/>
          <w:highlight w:val="none"/>
        </w:rPr>
        <w:instrText xml:space="preserve"> PAGEREF _Toc771 \h </w:instrText>
      </w:r>
      <w:r>
        <w:rPr>
          <w:color w:val="000000"/>
          <w:highlight w:val="none"/>
        </w:rPr>
        <w:fldChar w:fldCharType="separate"/>
      </w:r>
      <w:r>
        <w:rPr>
          <w:color w:val="000000"/>
          <w:highlight w:val="none"/>
        </w:rPr>
        <w:t>9</w:t>
      </w:r>
      <w:r>
        <w:rPr>
          <w:color w:val="000000"/>
          <w:highlight w:val="none"/>
        </w:rPr>
        <w:fldChar w:fldCharType="end"/>
      </w:r>
      <w:r>
        <w:rPr>
          <w:rFonts w:hint="eastAsia" w:ascii="宋体" w:hAnsi="宋体" w:cs="宋体"/>
          <w:color w:val="000000"/>
          <w:szCs w:val="21"/>
          <w:highlight w:val="none"/>
        </w:rPr>
        <w:fldChar w:fldCharType="end"/>
      </w:r>
    </w:p>
    <w:p w14:paraId="68530E60">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_Toc29267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10. 质疑和投诉</w:t>
      </w:r>
      <w:r>
        <w:rPr>
          <w:color w:val="000000"/>
          <w:highlight w:val="none"/>
        </w:rPr>
        <w:tab/>
      </w:r>
      <w:r>
        <w:rPr>
          <w:color w:val="000000"/>
          <w:highlight w:val="none"/>
        </w:rPr>
        <w:fldChar w:fldCharType="begin"/>
      </w:r>
      <w:r>
        <w:rPr>
          <w:color w:val="000000"/>
          <w:highlight w:val="none"/>
        </w:rPr>
        <w:instrText xml:space="preserve"> PAGEREF _Toc29267 \h </w:instrText>
      </w:r>
      <w:r>
        <w:rPr>
          <w:color w:val="000000"/>
          <w:highlight w:val="none"/>
        </w:rPr>
        <w:fldChar w:fldCharType="separate"/>
      </w:r>
      <w:r>
        <w:rPr>
          <w:color w:val="000000"/>
          <w:highlight w:val="none"/>
        </w:rPr>
        <w:t>9</w:t>
      </w:r>
      <w:r>
        <w:rPr>
          <w:color w:val="000000"/>
          <w:highlight w:val="none"/>
        </w:rPr>
        <w:fldChar w:fldCharType="end"/>
      </w:r>
      <w:r>
        <w:rPr>
          <w:rFonts w:hint="eastAsia" w:ascii="宋体" w:hAnsi="宋体" w:cs="宋体"/>
          <w:color w:val="000000"/>
          <w:szCs w:val="21"/>
          <w:highlight w:val="none"/>
        </w:rPr>
        <w:fldChar w:fldCharType="end"/>
      </w:r>
    </w:p>
    <w:p w14:paraId="0F05CB35">
      <w:pPr>
        <w:pStyle w:val="225"/>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_Toc28494 </w:instrText>
      </w:r>
      <w:r>
        <w:rPr>
          <w:rFonts w:hint="eastAsia" w:ascii="宋体" w:hAnsi="宋体" w:cs="宋体"/>
          <w:color w:val="000000"/>
          <w:szCs w:val="21"/>
          <w:highlight w:val="none"/>
        </w:rPr>
        <w:fldChar w:fldCharType="separate"/>
      </w:r>
      <w:r>
        <w:rPr>
          <w:rFonts w:hint="eastAsia" w:ascii="宋体" w:hAnsi="宋体" w:cs="宋体"/>
          <w:color w:val="000000"/>
          <w:szCs w:val="28"/>
          <w:highlight w:val="none"/>
        </w:rPr>
        <w:t>二、招标文件</w:t>
      </w:r>
      <w:r>
        <w:rPr>
          <w:color w:val="000000"/>
          <w:highlight w:val="none"/>
        </w:rPr>
        <w:tab/>
      </w:r>
      <w:r>
        <w:rPr>
          <w:color w:val="000000"/>
          <w:highlight w:val="none"/>
        </w:rPr>
        <w:fldChar w:fldCharType="begin"/>
      </w:r>
      <w:r>
        <w:rPr>
          <w:color w:val="000000"/>
          <w:highlight w:val="none"/>
        </w:rPr>
        <w:instrText xml:space="preserve"> PAGEREF _Toc28494 \h </w:instrText>
      </w:r>
      <w:r>
        <w:rPr>
          <w:color w:val="000000"/>
          <w:highlight w:val="none"/>
        </w:rPr>
        <w:fldChar w:fldCharType="separate"/>
      </w:r>
      <w:r>
        <w:rPr>
          <w:color w:val="000000"/>
          <w:highlight w:val="none"/>
        </w:rPr>
        <w:t>10</w:t>
      </w:r>
      <w:r>
        <w:rPr>
          <w:color w:val="000000"/>
          <w:highlight w:val="none"/>
        </w:rPr>
        <w:fldChar w:fldCharType="end"/>
      </w:r>
      <w:r>
        <w:rPr>
          <w:rFonts w:hint="eastAsia" w:ascii="宋体" w:hAnsi="宋体" w:cs="宋体"/>
          <w:color w:val="000000"/>
          <w:szCs w:val="21"/>
          <w:highlight w:val="none"/>
        </w:rPr>
        <w:fldChar w:fldCharType="end"/>
      </w:r>
    </w:p>
    <w:p w14:paraId="7924F1DF">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_Toc23687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11. 招标文件的构成</w:t>
      </w:r>
      <w:r>
        <w:rPr>
          <w:color w:val="000000"/>
          <w:highlight w:val="none"/>
        </w:rPr>
        <w:tab/>
      </w:r>
      <w:r>
        <w:rPr>
          <w:color w:val="000000"/>
          <w:highlight w:val="none"/>
        </w:rPr>
        <w:fldChar w:fldCharType="begin"/>
      </w:r>
      <w:r>
        <w:rPr>
          <w:color w:val="000000"/>
          <w:highlight w:val="none"/>
        </w:rPr>
        <w:instrText xml:space="preserve"> PAGEREF _Toc23687 \h </w:instrText>
      </w:r>
      <w:r>
        <w:rPr>
          <w:color w:val="000000"/>
          <w:highlight w:val="none"/>
        </w:rPr>
        <w:fldChar w:fldCharType="separate"/>
      </w:r>
      <w:r>
        <w:rPr>
          <w:color w:val="000000"/>
          <w:highlight w:val="none"/>
        </w:rPr>
        <w:t>10</w:t>
      </w:r>
      <w:r>
        <w:rPr>
          <w:color w:val="000000"/>
          <w:highlight w:val="none"/>
        </w:rPr>
        <w:fldChar w:fldCharType="end"/>
      </w:r>
      <w:r>
        <w:rPr>
          <w:rFonts w:hint="eastAsia" w:ascii="宋体" w:hAnsi="宋体" w:cs="宋体"/>
          <w:color w:val="000000"/>
          <w:szCs w:val="21"/>
          <w:highlight w:val="none"/>
        </w:rPr>
        <w:fldChar w:fldCharType="end"/>
      </w:r>
    </w:p>
    <w:p w14:paraId="7EB01B1A">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_Toc22924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12. 招标文件的澄清与修改</w:t>
      </w:r>
      <w:r>
        <w:rPr>
          <w:color w:val="000000"/>
          <w:highlight w:val="none"/>
        </w:rPr>
        <w:tab/>
      </w:r>
      <w:r>
        <w:rPr>
          <w:color w:val="000000"/>
          <w:highlight w:val="none"/>
        </w:rPr>
        <w:fldChar w:fldCharType="begin"/>
      </w:r>
      <w:r>
        <w:rPr>
          <w:color w:val="000000"/>
          <w:highlight w:val="none"/>
        </w:rPr>
        <w:instrText xml:space="preserve"> PAGEREF _Toc22924 \h </w:instrText>
      </w:r>
      <w:r>
        <w:rPr>
          <w:color w:val="000000"/>
          <w:highlight w:val="none"/>
        </w:rPr>
        <w:fldChar w:fldCharType="separate"/>
      </w:r>
      <w:r>
        <w:rPr>
          <w:color w:val="000000"/>
          <w:highlight w:val="none"/>
        </w:rPr>
        <w:t>10</w:t>
      </w:r>
      <w:r>
        <w:rPr>
          <w:color w:val="000000"/>
          <w:highlight w:val="none"/>
        </w:rPr>
        <w:fldChar w:fldCharType="end"/>
      </w:r>
      <w:r>
        <w:rPr>
          <w:rFonts w:hint="eastAsia" w:ascii="宋体" w:hAnsi="宋体" w:cs="宋体"/>
          <w:color w:val="000000"/>
          <w:szCs w:val="21"/>
          <w:highlight w:val="none"/>
        </w:rPr>
        <w:fldChar w:fldCharType="end"/>
      </w:r>
    </w:p>
    <w:p w14:paraId="16FA8E81">
      <w:pPr>
        <w:pStyle w:val="225"/>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_Toc222 </w:instrText>
      </w:r>
      <w:r>
        <w:rPr>
          <w:rFonts w:hint="eastAsia" w:ascii="宋体" w:hAnsi="宋体" w:cs="宋体"/>
          <w:color w:val="000000"/>
          <w:szCs w:val="21"/>
          <w:highlight w:val="none"/>
        </w:rPr>
        <w:fldChar w:fldCharType="separate"/>
      </w:r>
      <w:r>
        <w:rPr>
          <w:rFonts w:hint="eastAsia" w:ascii="宋体" w:hAnsi="宋体" w:cs="宋体"/>
          <w:color w:val="000000"/>
          <w:szCs w:val="28"/>
          <w:highlight w:val="none"/>
        </w:rPr>
        <w:t>三、投标文件的编制</w:t>
      </w:r>
      <w:r>
        <w:rPr>
          <w:color w:val="000000"/>
          <w:highlight w:val="none"/>
        </w:rPr>
        <w:tab/>
      </w:r>
      <w:r>
        <w:rPr>
          <w:color w:val="000000"/>
          <w:highlight w:val="none"/>
        </w:rPr>
        <w:fldChar w:fldCharType="begin"/>
      </w:r>
      <w:r>
        <w:rPr>
          <w:color w:val="000000"/>
          <w:highlight w:val="none"/>
        </w:rPr>
        <w:instrText xml:space="preserve"> PAGEREF _Toc222 \h </w:instrText>
      </w:r>
      <w:r>
        <w:rPr>
          <w:color w:val="000000"/>
          <w:highlight w:val="none"/>
        </w:rPr>
        <w:fldChar w:fldCharType="separate"/>
      </w:r>
      <w:r>
        <w:rPr>
          <w:color w:val="000000"/>
          <w:highlight w:val="none"/>
        </w:rPr>
        <w:t>10</w:t>
      </w:r>
      <w:r>
        <w:rPr>
          <w:color w:val="000000"/>
          <w:highlight w:val="none"/>
        </w:rPr>
        <w:fldChar w:fldCharType="end"/>
      </w:r>
      <w:r>
        <w:rPr>
          <w:rFonts w:hint="eastAsia" w:ascii="宋体" w:hAnsi="宋体" w:cs="宋体"/>
          <w:color w:val="000000"/>
          <w:szCs w:val="21"/>
          <w:highlight w:val="none"/>
        </w:rPr>
        <w:fldChar w:fldCharType="end"/>
      </w:r>
    </w:p>
    <w:p w14:paraId="450EDD0D">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_Toc10875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13. 投标文件的组成及要求</w:t>
      </w:r>
      <w:r>
        <w:rPr>
          <w:color w:val="000000"/>
          <w:highlight w:val="none"/>
        </w:rPr>
        <w:tab/>
      </w:r>
      <w:r>
        <w:rPr>
          <w:color w:val="000000"/>
          <w:highlight w:val="none"/>
        </w:rPr>
        <w:fldChar w:fldCharType="begin"/>
      </w:r>
      <w:r>
        <w:rPr>
          <w:color w:val="000000"/>
          <w:highlight w:val="none"/>
        </w:rPr>
        <w:instrText xml:space="preserve"> PAGEREF _Toc10875 \h </w:instrText>
      </w:r>
      <w:r>
        <w:rPr>
          <w:color w:val="000000"/>
          <w:highlight w:val="none"/>
        </w:rPr>
        <w:fldChar w:fldCharType="separate"/>
      </w:r>
      <w:r>
        <w:rPr>
          <w:color w:val="000000"/>
          <w:highlight w:val="none"/>
        </w:rPr>
        <w:t>10</w:t>
      </w:r>
      <w:r>
        <w:rPr>
          <w:color w:val="000000"/>
          <w:highlight w:val="none"/>
        </w:rPr>
        <w:fldChar w:fldCharType="end"/>
      </w:r>
      <w:r>
        <w:rPr>
          <w:rFonts w:hint="eastAsia" w:ascii="宋体" w:hAnsi="宋体" w:cs="宋体"/>
          <w:color w:val="000000"/>
          <w:szCs w:val="21"/>
          <w:highlight w:val="none"/>
        </w:rPr>
        <w:fldChar w:fldCharType="end"/>
      </w:r>
    </w:p>
    <w:p w14:paraId="5C559029">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_Toc7897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14. 投标文件的语言及计量</w:t>
      </w:r>
      <w:r>
        <w:rPr>
          <w:color w:val="000000"/>
          <w:highlight w:val="none"/>
        </w:rPr>
        <w:tab/>
      </w:r>
      <w:r>
        <w:rPr>
          <w:color w:val="000000"/>
          <w:highlight w:val="none"/>
        </w:rPr>
        <w:fldChar w:fldCharType="begin"/>
      </w:r>
      <w:r>
        <w:rPr>
          <w:color w:val="000000"/>
          <w:highlight w:val="none"/>
        </w:rPr>
        <w:instrText xml:space="preserve"> PAGEREF _Toc7897 \h </w:instrText>
      </w:r>
      <w:r>
        <w:rPr>
          <w:color w:val="000000"/>
          <w:highlight w:val="none"/>
        </w:rPr>
        <w:fldChar w:fldCharType="separate"/>
      </w:r>
      <w:r>
        <w:rPr>
          <w:color w:val="000000"/>
          <w:highlight w:val="none"/>
        </w:rPr>
        <w:t>12</w:t>
      </w:r>
      <w:r>
        <w:rPr>
          <w:color w:val="000000"/>
          <w:highlight w:val="none"/>
        </w:rPr>
        <w:fldChar w:fldCharType="end"/>
      </w:r>
      <w:r>
        <w:rPr>
          <w:rFonts w:hint="eastAsia" w:ascii="宋体" w:hAnsi="宋体" w:cs="宋体"/>
          <w:color w:val="000000"/>
          <w:szCs w:val="21"/>
          <w:highlight w:val="none"/>
        </w:rPr>
        <w:fldChar w:fldCharType="end"/>
      </w:r>
    </w:p>
    <w:p w14:paraId="61D39885">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_Toc15948 </w:instrText>
      </w:r>
      <w:r>
        <w:rPr>
          <w:rFonts w:hint="eastAsia" w:ascii="宋体" w:hAnsi="宋体" w:cs="宋体"/>
          <w:color w:val="000000"/>
          <w:szCs w:val="21"/>
          <w:highlight w:val="none"/>
        </w:rPr>
        <w:fldChar w:fldCharType="separate"/>
      </w:r>
      <w:r>
        <w:rPr>
          <w:rFonts w:ascii="宋体" w:hAnsi="宋体" w:cs="宋体"/>
          <w:color w:val="000000"/>
          <w:szCs w:val="21"/>
          <w:highlight w:val="none"/>
        </w:rPr>
        <w:t xml:space="preserve">15. </w:t>
      </w:r>
      <w:r>
        <w:rPr>
          <w:rFonts w:hint="eastAsia" w:ascii="宋体" w:hAnsi="宋体" w:cs="宋体"/>
          <w:color w:val="000000"/>
          <w:szCs w:val="21"/>
          <w:highlight w:val="none"/>
        </w:rPr>
        <w:t>投标报价</w:t>
      </w:r>
      <w:r>
        <w:rPr>
          <w:color w:val="000000"/>
          <w:highlight w:val="none"/>
        </w:rPr>
        <w:tab/>
      </w:r>
      <w:r>
        <w:rPr>
          <w:color w:val="000000"/>
          <w:highlight w:val="none"/>
        </w:rPr>
        <w:fldChar w:fldCharType="begin"/>
      </w:r>
      <w:r>
        <w:rPr>
          <w:color w:val="000000"/>
          <w:highlight w:val="none"/>
        </w:rPr>
        <w:instrText xml:space="preserve"> PAGEREF _Toc15948 \h </w:instrText>
      </w:r>
      <w:r>
        <w:rPr>
          <w:color w:val="000000"/>
          <w:highlight w:val="none"/>
        </w:rPr>
        <w:fldChar w:fldCharType="separate"/>
      </w:r>
      <w:r>
        <w:rPr>
          <w:color w:val="000000"/>
          <w:highlight w:val="none"/>
        </w:rPr>
        <w:t>12</w:t>
      </w:r>
      <w:r>
        <w:rPr>
          <w:color w:val="000000"/>
          <w:highlight w:val="none"/>
        </w:rPr>
        <w:fldChar w:fldCharType="end"/>
      </w:r>
      <w:r>
        <w:rPr>
          <w:rFonts w:hint="eastAsia" w:ascii="宋体" w:hAnsi="宋体" w:cs="宋体"/>
          <w:color w:val="000000"/>
          <w:szCs w:val="21"/>
          <w:highlight w:val="none"/>
        </w:rPr>
        <w:fldChar w:fldCharType="end"/>
      </w:r>
    </w:p>
    <w:p w14:paraId="5A885E8E">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_Toc14781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16. 投标有效期</w:t>
      </w:r>
      <w:r>
        <w:rPr>
          <w:color w:val="000000"/>
          <w:highlight w:val="none"/>
        </w:rPr>
        <w:tab/>
      </w:r>
      <w:r>
        <w:rPr>
          <w:color w:val="000000"/>
          <w:highlight w:val="none"/>
        </w:rPr>
        <w:fldChar w:fldCharType="begin"/>
      </w:r>
      <w:r>
        <w:rPr>
          <w:color w:val="000000"/>
          <w:highlight w:val="none"/>
        </w:rPr>
        <w:instrText xml:space="preserve"> PAGEREF _Toc14781 \h </w:instrText>
      </w:r>
      <w:r>
        <w:rPr>
          <w:color w:val="000000"/>
          <w:highlight w:val="none"/>
        </w:rPr>
        <w:fldChar w:fldCharType="separate"/>
      </w:r>
      <w:r>
        <w:rPr>
          <w:color w:val="000000"/>
          <w:highlight w:val="none"/>
        </w:rPr>
        <w:t>13</w:t>
      </w:r>
      <w:r>
        <w:rPr>
          <w:color w:val="000000"/>
          <w:highlight w:val="none"/>
        </w:rPr>
        <w:fldChar w:fldCharType="end"/>
      </w:r>
      <w:r>
        <w:rPr>
          <w:rFonts w:hint="eastAsia" w:ascii="宋体" w:hAnsi="宋体" w:cs="宋体"/>
          <w:color w:val="000000"/>
          <w:szCs w:val="21"/>
          <w:highlight w:val="none"/>
        </w:rPr>
        <w:fldChar w:fldCharType="end"/>
      </w:r>
    </w:p>
    <w:p w14:paraId="01B5D7B0">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_Toc3008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17. 投标保证金</w:t>
      </w:r>
      <w:r>
        <w:rPr>
          <w:color w:val="000000"/>
          <w:highlight w:val="none"/>
        </w:rPr>
        <w:tab/>
      </w:r>
      <w:r>
        <w:rPr>
          <w:color w:val="000000"/>
          <w:highlight w:val="none"/>
        </w:rPr>
        <w:fldChar w:fldCharType="begin"/>
      </w:r>
      <w:r>
        <w:rPr>
          <w:color w:val="000000"/>
          <w:highlight w:val="none"/>
        </w:rPr>
        <w:instrText xml:space="preserve"> PAGEREF _Toc3008 \h </w:instrText>
      </w:r>
      <w:r>
        <w:rPr>
          <w:color w:val="000000"/>
          <w:highlight w:val="none"/>
        </w:rPr>
        <w:fldChar w:fldCharType="separate"/>
      </w:r>
      <w:r>
        <w:rPr>
          <w:color w:val="000000"/>
          <w:highlight w:val="none"/>
        </w:rPr>
        <w:t>13</w:t>
      </w:r>
      <w:r>
        <w:rPr>
          <w:color w:val="000000"/>
          <w:highlight w:val="none"/>
        </w:rPr>
        <w:fldChar w:fldCharType="end"/>
      </w:r>
      <w:r>
        <w:rPr>
          <w:rFonts w:hint="eastAsia" w:ascii="宋体" w:hAnsi="宋体" w:cs="宋体"/>
          <w:color w:val="000000"/>
          <w:szCs w:val="21"/>
          <w:highlight w:val="none"/>
        </w:rPr>
        <w:fldChar w:fldCharType="end"/>
      </w:r>
    </w:p>
    <w:p w14:paraId="7F15DED2">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_Toc5027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18. 投标文件的制作</w:t>
      </w:r>
      <w:r>
        <w:rPr>
          <w:color w:val="000000"/>
          <w:highlight w:val="none"/>
        </w:rPr>
        <w:tab/>
      </w:r>
      <w:r>
        <w:rPr>
          <w:color w:val="000000"/>
          <w:highlight w:val="none"/>
        </w:rPr>
        <w:fldChar w:fldCharType="begin"/>
      </w:r>
      <w:r>
        <w:rPr>
          <w:color w:val="000000"/>
          <w:highlight w:val="none"/>
        </w:rPr>
        <w:instrText xml:space="preserve"> PAGEREF _Toc5027 \h </w:instrText>
      </w:r>
      <w:r>
        <w:rPr>
          <w:color w:val="000000"/>
          <w:highlight w:val="none"/>
        </w:rPr>
        <w:fldChar w:fldCharType="separate"/>
      </w:r>
      <w:r>
        <w:rPr>
          <w:color w:val="000000"/>
          <w:highlight w:val="none"/>
        </w:rPr>
        <w:t>13</w:t>
      </w:r>
      <w:r>
        <w:rPr>
          <w:color w:val="000000"/>
          <w:highlight w:val="none"/>
        </w:rPr>
        <w:fldChar w:fldCharType="end"/>
      </w:r>
      <w:r>
        <w:rPr>
          <w:rFonts w:hint="eastAsia" w:ascii="宋体" w:hAnsi="宋体" w:cs="宋体"/>
          <w:color w:val="000000"/>
          <w:szCs w:val="21"/>
          <w:highlight w:val="none"/>
        </w:rPr>
        <w:fldChar w:fldCharType="end"/>
      </w:r>
    </w:p>
    <w:p w14:paraId="76562517">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_Toc24928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19. 投标文件的补充、修改和撤回</w:t>
      </w:r>
      <w:r>
        <w:rPr>
          <w:color w:val="000000"/>
          <w:highlight w:val="none"/>
        </w:rPr>
        <w:tab/>
      </w:r>
      <w:r>
        <w:rPr>
          <w:color w:val="000000"/>
          <w:highlight w:val="none"/>
        </w:rPr>
        <w:fldChar w:fldCharType="begin"/>
      </w:r>
      <w:r>
        <w:rPr>
          <w:color w:val="000000"/>
          <w:highlight w:val="none"/>
        </w:rPr>
        <w:instrText xml:space="preserve"> PAGEREF _Toc24928 \h </w:instrText>
      </w:r>
      <w:r>
        <w:rPr>
          <w:color w:val="000000"/>
          <w:highlight w:val="none"/>
        </w:rPr>
        <w:fldChar w:fldCharType="separate"/>
      </w:r>
      <w:r>
        <w:rPr>
          <w:color w:val="000000"/>
          <w:highlight w:val="none"/>
        </w:rPr>
        <w:t>13</w:t>
      </w:r>
      <w:r>
        <w:rPr>
          <w:color w:val="000000"/>
          <w:highlight w:val="none"/>
        </w:rPr>
        <w:fldChar w:fldCharType="end"/>
      </w:r>
      <w:r>
        <w:rPr>
          <w:rFonts w:hint="eastAsia" w:ascii="宋体" w:hAnsi="宋体" w:cs="宋体"/>
          <w:color w:val="000000"/>
          <w:szCs w:val="21"/>
          <w:highlight w:val="none"/>
        </w:rPr>
        <w:fldChar w:fldCharType="end"/>
      </w:r>
    </w:p>
    <w:p w14:paraId="2D2FDF96">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_Toc27240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20. 投标文件的递交和解密</w:t>
      </w:r>
      <w:r>
        <w:rPr>
          <w:color w:val="000000"/>
          <w:highlight w:val="none"/>
        </w:rPr>
        <w:tab/>
      </w:r>
      <w:r>
        <w:rPr>
          <w:color w:val="000000"/>
          <w:highlight w:val="none"/>
        </w:rPr>
        <w:fldChar w:fldCharType="begin"/>
      </w:r>
      <w:r>
        <w:rPr>
          <w:color w:val="000000"/>
          <w:highlight w:val="none"/>
        </w:rPr>
        <w:instrText xml:space="preserve"> PAGEREF _Toc27240 \h </w:instrText>
      </w:r>
      <w:r>
        <w:rPr>
          <w:color w:val="000000"/>
          <w:highlight w:val="none"/>
        </w:rPr>
        <w:fldChar w:fldCharType="separate"/>
      </w:r>
      <w:r>
        <w:rPr>
          <w:color w:val="000000"/>
          <w:highlight w:val="none"/>
        </w:rPr>
        <w:t>13</w:t>
      </w:r>
      <w:r>
        <w:rPr>
          <w:color w:val="000000"/>
          <w:highlight w:val="none"/>
        </w:rPr>
        <w:fldChar w:fldCharType="end"/>
      </w:r>
      <w:r>
        <w:rPr>
          <w:rFonts w:hint="eastAsia" w:ascii="宋体" w:hAnsi="宋体" w:cs="宋体"/>
          <w:color w:val="000000"/>
          <w:szCs w:val="21"/>
          <w:highlight w:val="none"/>
        </w:rPr>
        <w:fldChar w:fldCharType="end"/>
      </w:r>
    </w:p>
    <w:p w14:paraId="2B3C8329">
      <w:pPr>
        <w:pStyle w:val="225"/>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_Toc20805 </w:instrText>
      </w:r>
      <w:r>
        <w:rPr>
          <w:rFonts w:hint="eastAsia" w:ascii="宋体" w:hAnsi="宋体" w:cs="宋体"/>
          <w:color w:val="000000"/>
          <w:szCs w:val="21"/>
          <w:highlight w:val="none"/>
        </w:rPr>
        <w:fldChar w:fldCharType="separate"/>
      </w:r>
      <w:r>
        <w:rPr>
          <w:rFonts w:hint="eastAsia" w:ascii="宋体" w:hAnsi="宋体" w:cs="宋体"/>
          <w:color w:val="000000"/>
          <w:szCs w:val="28"/>
          <w:highlight w:val="none"/>
        </w:rPr>
        <w:t>四、开标</w:t>
      </w:r>
      <w:r>
        <w:rPr>
          <w:color w:val="000000"/>
          <w:highlight w:val="none"/>
        </w:rPr>
        <w:tab/>
      </w:r>
      <w:r>
        <w:rPr>
          <w:color w:val="000000"/>
          <w:highlight w:val="none"/>
        </w:rPr>
        <w:fldChar w:fldCharType="begin"/>
      </w:r>
      <w:r>
        <w:rPr>
          <w:color w:val="000000"/>
          <w:highlight w:val="none"/>
        </w:rPr>
        <w:instrText xml:space="preserve"> PAGEREF _Toc20805 \h </w:instrText>
      </w:r>
      <w:r>
        <w:rPr>
          <w:color w:val="000000"/>
          <w:highlight w:val="none"/>
        </w:rPr>
        <w:fldChar w:fldCharType="separate"/>
      </w:r>
      <w:r>
        <w:rPr>
          <w:color w:val="000000"/>
          <w:highlight w:val="none"/>
        </w:rPr>
        <w:t>14</w:t>
      </w:r>
      <w:r>
        <w:rPr>
          <w:color w:val="000000"/>
          <w:highlight w:val="none"/>
        </w:rPr>
        <w:fldChar w:fldCharType="end"/>
      </w:r>
      <w:r>
        <w:rPr>
          <w:rFonts w:hint="eastAsia" w:ascii="宋体" w:hAnsi="宋体" w:cs="宋体"/>
          <w:color w:val="000000"/>
          <w:szCs w:val="21"/>
          <w:highlight w:val="none"/>
        </w:rPr>
        <w:fldChar w:fldCharType="end"/>
      </w:r>
    </w:p>
    <w:p w14:paraId="1D988200">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_Toc19649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21. 开标时间及地点</w:t>
      </w:r>
      <w:r>
        <w:rPr>
          <w:color w:val="000000"/>
          <w:highlight w:val="none"/>
        </w:rPr>
        <w:tab/>
      </w:r>
      <w:r>
        <w:rPr>
          <w:color w:val="000000"/>
          <w:highlight w:val="none"/>
        </w:rPr>
        <w:fldChar w:fldCharType="begin"/>
      </w:r>
      <w:r>
        <w:rPr>
          <w:color w:val="000000"/>
          <w:highlight w:val="none"/>
        </w:rPr>
        <w:instrText xml:space="preserve"> PAGEREF _Toc19649 \h </w:instrText>
      </w:r>
      <w:r>
        <w:rPr>
          <w:color w:val="000000"/>
          <w:highlight w:val="none"/>
        </w:rPr>
        <w:fldChar w:fldCharType="separate"/>
      </w:r>
      <w:r>
        <w:rPr>
          <w:color w:val="000000"/>
          <w:highlight w:val="none"/>
        </w:rPr>
        <w:t>14</w:t>
      </w:r>
      <w:r>
        <w:rPr>
          <w:color w:val="000000"/>
          <w:highlight w:val="none"/>
        </w:rPr>
        <w:fldChar w:fldCharType="end"/>
      </w:r>
      <w:r>
        <w:rPr>
          <w:rFonts w:hint="eastAsia" w:ascii="宋体" w:hAnsi="宋体" w:cs="宋体"/>
          <w:color w:val="000000"/>
          <w:szCs w:val="21"/>
          <w:highlight w:val="none"/>
        </w:rPr>
        <w:fldChar w:fldCharType="end"/>
      </w:r>
    </w:p>
    <w:p w14:paraId="45422262">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_Toc26694 </w:instrText>
      </w:r>
      <w:r>
        <w:rPr>
          <w:rFonts w:hint="eastAsia" w:ascii="宋体" w:hAnsi="宋体" w:cs="宋体"/>
          <w:color w:val="000000"/>
          <w:szCs w:val="21"/>
          <w:highlight w:val="none"/>
        </w:rPr>
        <w:fldChar w:fldCharType="separate"/>
      </w:r>
      <w:r>
        <w:rPr>
          <w:rFonts w:hint="eastAsia" w:ascii="宋体" w:hAnsi="宋体" w:cs="宋体"/>
          <w:bCs/>
          <w:color w:val="000000"/>
          <w:szCs w:val="21"/>
          <w:highlight w:val="none"/>
        </w:rPr>
        <w:t>22. 开标程序</w:t>
      </w:r>
      <w:r>
        <w:rPr>
          <w:color w:val="000000"/>
          <w:highlight w:val="none"/>
        </w:rPr>
        <w:tab/>
      </w:r>
      <w:r>
        <w:rPr>
          <w:color w:val="000000"/>
          <w:highlight w:val="none"/>
        </w:rPr>
        <w:fldChar w:fldCharType="begin"/>
      </w:r>
      <w:r>
        <w:rPr>
          <w:color w:val="000000"/>
          <w:highlight w:val="none"/>
        </w:rPr>
        <w:instrText xml:space="preserve"> PAGEREF _Toc26694 \h </w:instrText>
      </w:r>
      <w:r>
        <w:rPr>
          <w:color w:val="000000"/>
          <w:highlight w:val="none"/>
        </w:rPr>
        <w:fldChar w:fldCharType="separate"/>
      </w:r>
      <w:r>
        <w:rPr>
          <w:color w:val="000000"/>
          <w:highlight w:val="none"/>
        </w:rPr>
        <w:t>14</w:t>
      </w:r>
      <w:r>
        <w:rPr>
          <w:color w:val="000000"/>
          <w:highlight w:val="none"/>
        </w:rPr>
        <w:fldChar w:fldCharType="end"/>
      </w:r>
      <w:r>
        <w:rPr>
          <w:rFonts w:hint="eastAsia" w:ascii="宋体" w:hAnsi="宋体" w:cs="宋体"/>
          <w:color w:val="000000"/>
          <w:szCs w:val="21"/>
          <w:highlight w:val="none"/>
        </w:rPr>
        <w:fldChar w:fldCharType="end"/>
      </w:r>
    </w:p>
    <w:p w14:paraId="6C06B87D">
      <w:pPr>
        <w:pStyle w:val="225"/>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_Toc20792 </w:instrText>
      </w:r>
      <w:r>
        <w:rPr>
          <w:rFonts w:hint="eastAsia" w:ascii="宋体" w:hAnsi="宋体" w:cs="宋体"/>
          <w:color w:val="000000"/>
          <w:szCs w:val="21"/>
          <w:highlight w:val="none"/>
        </w:rPr>
        <w:fldChar w:fldCharType="separate"/>
      </w:r>
      <w:r>
        <w:rPr>
          <w:rFonts w:hint="eastAsia" w:ascii="宋体" w:hAnsi="宋体" w:cs="宋体"/>
          <w:color w:val="000000"/>
          <w:szCs w:val="28"/>
          <w:highlight w:val="none"/>
        </w:rPr>
        <w:t>五、资格性审查</w:t>
      </w:r>
      <w:r>
        <w:rPr>
          <w:color w:val="000000"/>
          <w:highlight w:val="none"/>
        </w:rPr>
        <w:tab/>
      </w:r>
      <w:r>
        <w:rPr>
          <w:color w:val="000000"/>
          <w:highlight w:val="none"/>
        </w:rPr>
        <w:fldChar w:fldCharType="begin"/>
      </w:r>
      <w:r>
        <w:rPr>
          <w:color w:val="000000"/>
          <w:highlight w:val="none"/>
        </w:rPr>
        <w:instrText xml:space="preserve"> PAGEREF _Toc20792 \h </w:instrText>
      </w:r>
      <w:r>
        <w:rPr>
          <w:color w:val="000000"/>
          <w:highlight w:val="none"/>
        </w:rPr>
        <w:fldChar w:fldCharType="separate"/>
      </w:r>
      <w:r>
        <w:rPr>
          <w:color w:val="000000"/>
          <w:highlight w:val="none"/>
        </w:rPr>
        <w:t>15</w:t>
      </w:r>
      <w:r>
        <w:rPr>
          <w:color w:val="000000"/>
          <w:highlight w:val="none"/>
        </w:rPr>
        <w:fldChar w:fldCharType="end"/>
      </w:r>
      <w:r>
        <w:rPr>
          <w:rFonts w:hint="eastAsia" w:ascii="宋体" w:hAnsi="宋体" w:cs="宋体"/>
          <w:color w:val="000000"/>
          <w:szCs w:val="21"/>
          <w:highlight w:val="none"/>
        </w:rPr>
        <w:fldChar w:fldCharType="end"/>
      </w:r>
    </w:p>
    <w:p w14:paraId="767B549B">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_Toc29585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23. 资格性审查</w:t>
      </w:r>
      <w:r>
        <w:rPr>
          <w:color w:val="000000"/>
          <w:highlight w:val="none"/>
        </w:rPr>
        <w:tab/>
      </w:r>
      <w:r>
        <w:rPr>
          <w:color w:val="000000"/>
          <w:highlight w:val="none"/>
        </w:rPr>
        <w:fldChar w:fldCharType="begin"/>
      </w:r>
      <w:r>
        <w:rPr>
          <w:color w:val="000000"/>
          <w:highlight w:val="none"/>
        </w:rPr>
        <w:instrText xml:space="preserve"> PAGEREF _Toc29585 \h </w:instrText>
      </w:r>
      <w:r>
        <w:rPr>
          <w:color w:val="000000"/>
          <w:highlight w:val="none"/>
        </w:rPr>
        <w:fldChar w:fldCharType="separate"/>
      </w:r>
      <w:r>
        <w:rPr>
          <w:color w:val="000000"/>
          <w:highlight w:val="none"/>
        </w:rPr>
        <w:t>15</w:t>
      </w:r>
      <w:r>
        <w:rPr>
          <w:color w:val="000000"/>
          <w:highlight w:val="none"/>
        </w:rPr>
        <w:fldChar w:fldCharType="end"/>
      </w:r>
      <w:r>
        <w:rPr>
          <w:rFonts w:hint="eastAsia" w:ascii="宋体" w:hAnsi="宋体" w:cs="宋体"/>
          <w:color w:val="000000"/>
          <w:szCs w:val="21"/>
          <w:highlight w:val="none"/>
        </w:rPr>
        <w:fldChar w:fldCharType="end"/>
      </w:r>
    </w:p>
    <w:p w14:paraId="51CBE172">
      <w:pPr>
        <w:pStyle w:val="225"/>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_Toc1512 </w:instrText>
      </w:r>
      <w:r>
        <w:rPr>
          <w:rFonts w:hint="eastAsia" w:ascii="宋体" w:hAnsi="宋体" w:cs="宋体"/>
          <w:color w:val="000000"/>
          <w:szCs w:val="21"/>
          <w:highlight w:val="none"/>
        </w:rPr>
        <w:fldChar w:fldCharType="separate"/>
      </w:r>
      <w:r>
        <w:rPr>
          <w:rFonts w:hint="eastAsia" w:ascii="宋体" w:hAnsi="宋体" w:cs="宋体"/>
          <w:color w:val="000000"/>
          <w:szCs w:val="28"/>
          <w:highlight w:val="none"/>
        </w:rPr>
        <w:t>六、评标</w:t>
      </w:r>
      <w:r>
        <w:rPr>
          <w:color w:val="000000"/>
          <w:highlight w:val="none"/>
        </w:rPr>
        <w:tab/>
      </w:r>
      <w:r>
        <w:rPr>
          <w:color w:val="000000"/>
          <w:highlight w:val="none"/>
        </w:rPr>
        <w:fldChar w:fldCharType="begin"/>
      </w:r>
      <w:r>
        <w:rPr>
          <w:color w:val="000000"/>
          <w:highlight w:val="none"/>
        </w:rPr>
        <w:instrText xml:space="preserve"> PAGEREF _Toc1512 \h </w:instrText>
      </w:r>
      <w:r>
        <w:rPr>
          <w:color w:val="000000"/>
          <w:highlight w:val="none"/>
        </w:rPr>
        <w:fldChar w:fldCharType="separate"/>
      </w:r>
      <w:r>
        <w:rPr>
          <w:color w:val="000000"/>
          <w:highlight w:val="none"/>
        </w:rPr>
        <w:t>15</w:t>
      </w:r>
      <w:r>
        <w:rPr>
          <w:color w:val="000000"/>
          <w:highlight w:val="none"/>
        </w:rPr>
        <w:fldChar w:fldCharType="end"/>
      </w:r>
      <w:r>
        <w:rPr>
          <w:rFonts w:hint="eastAsia" w:ascii="宋体" w:hAnsi="宋体" w:cs="宋体"/>
          <w:color w:val="000000"/>
          <w:szCs w:val="21"/>
          <w:highlight w:val="none"/>
        </w:rPr>
        <w:fldChar w:fldCharType="end"/>
      </w:r>
    </w:p>
    <w:p w14:paraId="7935CEBB">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_Toc26407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24. 评标委员会组成</w:t>
      </w:r>
      <w:r>
        <w:rPr>
          <w:color w:val="000000"/>
          <w:highlight w:val="none"/>
        </w:rPr>
        <w:tab/>
      </w:r>
      <w:r>
        <w:rPr>
          <w:color w:val="000000"/>
          <w:highlight w:val="none"/>
        </w:rPr>
        <w:fldChar w:fldCharType="begin"/>
      </w:r>
      <w:r>
        <w:rPr>
          <w:color w:val="000000"/>
          <w:highlight w:val="none"/>
        </w:rPr>
        <w:instrText xml:space="preserve"> PAGEREF _Toc26407 \h </w:instrText>
      </w:r>
      <w:r>
        <w:rPr>
          <w:color w:val="000000"/>
          <w:highlight w:val="none"/>
        </w:rPr>
        <w:fldChar w:fldCharType="separate"/>
      </w:r>
      <w:r>
        <w:rPr>
          <w:color w:val="000000"/>
          <w:highlight w:val="none"/>
        </w:rPr>
        <w:t>15</w:t>
      </w:r>
      <w:r>
        <w:rPr>
          <w:color w:val="000000"/>
          <w:highlight w:val="none"/>
        </w:rPr>
        <w:fldChar w:fldCharType="end"/>
      </w:r>
      <w:r>
        <w:rPr>
          <w:rFonts w:hint="eastAsia" w:ascii="宋体" w:hAnsi="宋体" w:cs="宋体"/>
          <w:color w:val="000000"/>
          <w:szCs w:val="21"/>
          <w:highlight w:val="none"/>
        </w:rPr>
        <w:fldChar w:fldCharType="end"/>
      </w:r>
    </w:p>
    <w:p w14:paraId="5311E962">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_Toc22597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25. 评标原则</w:t>
      </w:r>
      <w:r>
        <w:rPr>
          <w:color w:val="000000"/>
          <w:highlight w:val="none"/>
        </w:rPr>
        <w:tab/>
      </w:r>
      <w:r>
        <w:rPr>
          <w:color w:val="000000"/>
          <w:highlight w:val="none"/>
        </w:rPr>
        <w:fldChar w:fldCharType="begin"/>
      </w:r>
      <w:r>
        <w:rPr>
          <w:color w:val="000000"/>
          <w:highlight w:val="none"/>
        </w:rPr>
        <w:instrText xml:space="preserve"> PAGEREF _Toc22597 \h </w:instrText>
      </w:r>
      <w:r>
        <w:rPr>
          <w:color w:val="000000"/>
          <w:highlight w:val="none"/>
        </w:rPr>
        <w:fldChar w:fldCharType="separate"/>
      </w:r>
      <w:r>
        <w:rPr>
          <w:color w:val="000000"/>
          <w:highlight w:val="none"/>
        </w:rPr>
        <w:t>15</w:t>
      </w:r>
      <w:r>
        <w:rPr>
          <w:color w:val="000000"/>
          <w:highlight w:val="none"/>
        </w:rPr>
        <w:fldChar w:fldCharType="end"/>
      </w:r>
      <w:r>
        <w:rPr>
          <w:rFonts w:hint="eastAsia" w:ascii="宋体" w:hAnsi="宋体" w:cs="宋体"/>
          <w:color w:val="000000"/>
          <w:szCs w:val="21"/>
          <w:highlight w:val="none"/>
        </w:rPr>
        <w:fldChar w:fldCharType="end"/>
      </w:r>
    </w:p>
    <w:p w14:paraId="49B762B5">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_Toc23689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26. 评标</w:t>
      </w:r>
      <w:r>
        <w:rPr>
          <w:color w:val="000000"/>
          <w:highlight w:val="none"/>
        </w:rPr>
        <w:tab/>
      </w:r>
      <w:r>
        <w:rPr>
          <w:color w:val="000000"/>
          <w:highlight w:val="none"/>
        </w:rPr>
        <w:fldChar w:fldCharType="begin"/>
      </w:r>
      <w:r>
        <w:rPr>
          <w:color w:val="000000"/>
          <w:highlight w:val="none"/>
        </w:rPr>
        <w:instrText xml:space="preserve"> PAGEREF _Toc23689 \h </w:instrText>
      </w:r>
      <w:r>
        <w:rPr>
          <w:color w:val="000000"/>
          <w:highlight w:val="none"/>
        </w:rPr>
        <w:fldChar w:fldCharType="separate"/>
      </w:r>
      <w:r>
        <w:rPr>
          <w:color w:val="000000"/>
          <w:highlight w:val="none"/>
        </w:rPr>
        <w:t>15</w:t>
      </w:r>
      <w:r>
        <w:rPr>
          <w:color w:val="000000"/>
          <w:highlight w:val="none"/>
        </w:rPr>
        <w:fldChar w:fldCharType="end"/>
      </w:r>
      <w:r>
        <w:rPr>
          <w:rFonts w:hint="eastAsia" w:ascii="宋体" w:hAnsi="宋体" w:cs="宋体"/>
          <w:color w:val="000000"/>
          <w:szCs w:val="21"/>
          <w:highlight w:val="none"/>
        </w:rPr>
        <w:fldChar w:fldCharType="end"/>
      </w:r>
    </w:p>
    <w:p w14:paraId="3E103F53">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_Toc29973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27. 推荐及确定中标候选供应商原则</w:t>
      </w:r>
      <w:r>
        <w:rPr>
          <w:color w:val="000000"/>
          <w:highlight w:val="none"/>
        </w:rPr>
        <w:tab/>
      </w:r>
      <w:r>
        <w:rPr>
          <w:color w:val="000000"/>
          <w:highlight w:val="none"/>
        </w:rPr>
        <w:fldChar w:fldCharType="begin"/>
      </w:r>
      <w:r>
        <w:rPr>
          <w:color w:val="000000"/>
          <w:highlight w:val="none"/>
        </w:rPr>
        <w:instrText xml:space="preserve"> PAGEREF _Toc29973 \h </w:instrText>
      </w:r>
      <w:r>
        <w:rPr>
          <w:color w:val="000000"/>
          <w:highlight w:val="none"/>
        </w:rPr>
        <w:fldChar w:fldCharType="separate"/>
      </w:r>
      <w:r>
        <w:rPr>
          <w:color w:val="000000"/>
          <w:highlight w:val="none"/>
        </w:rPr>
        <w:t>17</w:t>
      </w:r>
      <w:r>
        <w:rPr>
          <w:color w:val="000000"/>
          <w:highlight w:val="none"/>
        </w:rPr>
        <w:fldChar w:fldCharType="end"/>
      </w:r>
      <w:r>
        <w:rPr>
          <w:rFonts w:hint="eastAsia" w:ascii="宋体" w:hAnsi="宋体" w:cs="宋体"/>
          <w:color w:val="000000"/>
          <w:szCs w:val="21"/>
          <w:highlight w:val="none"/>
        </w:rPr>
        <w:fldChar w:fldCharType="end"/>
      </w:r>
    </w:p>
    <w:p w14:paraId="477950BE">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_Toc30424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28. 属于下列情况之一者，投标无效</w:t>
      </w:r>
      <w:r>
        <w:rPr>
          <w:color w:val="000000"/>
          <w:highlight w:val="none"/>
        </w:rPr>
        <w:tab/>
      </w:r>
      <w:r>
        <w:rPr>
          <w:color w:val="000000"/>
          <w:highlight w:val="none"/>
        </w:rPr>
        <w:fldChar w:fldCharType="begin"/>
      </w:r>
      <w:r>
        <w:rPr>
          <w:color w:val="000000"/>
          <w:highlight w:val="none"/>
        </w:rPr>
        <w:instrText xml:space="preserve"> PAGEREF _Toc30424 \h </w:instrText>
      </w:r>
      <w:r>
        <w:rPr>
          <w:color w:val="000000"/>
          <w:highlight w:val="none"/>
        </w:rPr>
        <w:fldChar w:fldCharType="separate"/>
      </w:r>
      <w:r>
        <w:rPr>
          <w:color w:val="000000"/>
          <w:highlight w:val="none"/>
        </w:rPr>
        <w:t>17</w:t>
      </w:r>
      <w:r>
        <w:rPr>
          <w:color w:val="000000"/>
          <w:highlight w:val="none"/>
        </w:rPr>
        <w:fldChar w:fldCharType="end"/>
      </w:r>
      <w:r>
        <w:rPr>
          <w:rFonts w:hint="eastAsia" w:ascii="宋体" w:hAnsi="宋体" w:cs="宋体"/>
          <w:color w:val="000000"/>
          <w:szCs w:val="21"/>
          <w:highlight w:val="none"/>
        </w:rPr>
        <w:fldChar w:fldCharType="end"/>
      </w:r>
    </w:p>
    <w:p w14:paraId="719237B0">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_Toc7434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29. 投标人有下列情形之一的，视为串通投标，投标文件将被视为无效</w:t>
      </w:r>
      <w:r>
        <w:rPr>
          <w:color w:val="000000"/>
          <w:highlight w:val="none"/>
        </w:rPr>
        <w:tab/>
      </w:r>
      <w:r>
        <w:rPr>
          <w:color w:val="000000"/>
          <w:highlight w:val="none"/>
        </w:rPr>
        <w:fldChar w:fldCharType="begin"/>
      </w:r>
      <w:r>
        <w:rPr>
          <w:color w:val="000000"/>
          <w:highlight w:val="none"/>
        </w:rPr>
        <w:instrText xml:space="preserve"> PAGEREF _Toc7434 \h </w:instrText>
      </w:r>
      <w:r>
        <w:rPr>
          <w:color w:val="000000"/>
          <w:highlight w:val="none"/>
        </w:rPr>
        <w:fldChar w:fldCharType="separate"/>
      </w:r>
      <w:r>
        <w:rPr>
          <w:color w:val="000000"/>
          <w:highlight w:val="none"/>
        </w:rPr>
        <w:t>17</w:t>
      </w:r>
      <w:r>
        <w:rPr>
          <w:color w:val="000000"/>
          <w:highlight w:val="none"/>
        </w:rPr>
        <w:fldChar w:fldCharType="end"/>
      </w:r>
      <w:r>
        <w:rPr>
          <w:rFonts w:hint="eastAsia" w:ascii="宋体" w:hAnsi="宋体" w:cs="宋体"/>
          <w:color w:val="000000"/>
          <w:szCs w:val="21"/>
          <w:highlight w:val="none"/>
        </w:rPr>
        <w:fldChar w:fldCharType="end"/>
      </w:r>
    </w:p>
    <w:p w14:paraId="6DF65238">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_Toc16120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30. 属于下列情形之一的，应予废标</w:t>
      </w:r>
      <w:r>
        <w:rPr>
          <w:color w:val="000000"/>
          <w:highlight w:val="none"/>
        </w:rPr>
        <w:tab/>
      </w:r>
      <w:r>
        <w:rPr>
          <w:color w:val="000000"/>
          <w:highlight w:val="none"/>
        </w:rPr>
        <w:fldChar w:fldCharType="begin"/>
      </w:r>
      <w:r>
        <w:rPr>
          <w:color w:val="000000"/>
          <w:highlight w:val="none"/>
        </w:rPr>
        <w:instrText xml:space="preserve"> PAGEREF _Toc16120 \h </w:instrText>
      </w:r>
      <w:r>
        <w:rPr>
          <w:color w:val="000000"/>
          <w:highlight w:val="none"/>
        </w:rPr>
        <w:fldChar w:fldCharType="separate"/>
      </w:r>
      <w:r>
        <w:rPr>
          <w:color w:val="000000"/>
          <w:highlight w:val="none"/>
        </w:rPr>
        <w:t>18</w:t>
      </w:r>
      <w:r>
        <w:rPr>
          <w:color w:val="000000"/>
          <w:highlight w:val="none"/>
        </w:rPr>
        <w:fldChar w:fldCharType="end"/>
      </w:r>
      <w:r>
        <w:rPr>
          <w:rFonts w:hint="eastAsia" w:ascii="宋体" w:hAnsi="宋体" w:cs="宋体"/>
          <w:color w:val="000000"/>
          <w:szCs w:val="21"/>
          <w:highlight w:val="none"/>
        </w:rPr>
        <w:fldChar w:fldCharType="end"/>
      </w:r>
    </w:p>
    <w:p w14:paraId="451EEDCE">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_Toc5839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31. 开标、评标过程的监控</w:t>
      </w:r>
      <w:r>
        <w:rPr>
          <w:color w:val="000000"/>
          <w:highlight w:val="none"/>
        </w:rPr>
        <w:tab/>
      </w:r>
      <w:r>
        <w:rPr>
          <w:color w:val="000000"/>
          <w:highlight w:val="none"/>
        </w:rPr>
        <w:fldChar w:fldCharType="begin"/>
      </w:r>
      <w:r>
        <w:rPr>
          <w:color w:val="000000"/>
          <w:highlight w:val="none"/>
        </w:rPr>
        <w:instrText xml:space="preserve"> PAGEREF _Toc5839 \h </w:instrText>
      </w:r>
      <w:r>
        <w:rPr>
          <w:color w:val="000000"/>
          <w:highlight w:val="none"/>
        </w:rPr>
        <w:fldChar w:fldCharType="separate"/>
      </w:r>
      <w:r>
        <w:rPr>
          <w:color w:val="000000"/>
          <w:highlight w:val="none"/>
        </w:rPr>
        <w:t>18</w:t>
      </w:r>
      <w:r>
        <w:rPr>
          <w:color w:val="000000"/>
          <w:highlight w:val="none"/>
        </w:rPr>
        <w:fldChar w:fldCharType="end"/>
      </w:r>
      <w:r>
        <w:rPr>
          <w:rFonts w:hint="eastAsia" w:ascii="宋体" w:hAnsi="宋体" w:cs="宋体"/>
          <w:color w:val="000000"/>
          <w:szCs w:val="21"/>
          <w:highlight w:val="none"/>
        </w:rPr>
        <w:fldChar w:fldCharType="end"/>
      </w:r>
    </w:p>
    <w:p w14:paraId="0495489F">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_Toc9431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32. 信用查询</w:t>
      </w:r>
      <w:r>
        <w:rPr>
          <w:color w:val="000000"/>
          <w:highlight w:val="none"/>
        </w:rPr>
        <w:tab/>
      </w:r>
      <w:r>
        <w:rPr>
          <w:color w:val="000000"/>
          <w:highlight w:val="none"/>
        </w:rPr>
        <w:fldChar w:fldCharType="begin"/>
      </w:r>
      <w:r>
        <w:rPr>
          <w:color w:val="000000"/>
          <w:highlight w:val="none"/>
        </w:rPr>
        <w:instrText xml:space="preserve"> PAGEREF _Toc9431 \h </w:instrText>
      </w:r>
      <w:r>
        <w:rPr>
          <w:color w:val="000000"/>
          <w:highlight w:val="none"/>
        </w:rPr>
        <w:fldChar w:fldCharType="separate"/>
      </w:r>
      <w:r>
        <w:rPr>
          <w:color w:val="000000"/>
          <w:highlight w:val="none"/>
        </w:rPr>
        <w:t>18</w:t>
      </w:r>
      <w:r>
        <w:rPr>
          <w:color w:val="000000"/>
          <w:highlight w:val="none"/>
        </w:rPr>
        <w:fldChar w:fldCharType="end"/>
      </w:r>
      <w:r>
        <w:rPr>
          <w:rFonts w:hint="eastAsia" w:ascii="宋体" w:hAnsi="宋体" w:cs="宋体"/>
          <w:color w:val="000000"/>
          <w:szCs w:val="21"/>
          <w:highlight w:val="none"/>
        </w:rPr>
        <w:fldChar w:fldCharType="end"/>
      </w:r>
    </w:p>
    <w:p w14:paraId="7D2DF703">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_Toc3784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33. 中标公告及中标通知书</w:t>
      </w:r>
      <w:r>
        <w:rPr>
          <w:color w:val="000000"/>
          <w:highlight w:val="none"/>
        </w:rPr>
        <w:tab/>
      </w:r>
      <w:r>
        <w:rPr>
          <w:color w:val="000000"/>
          <w:highlight w:val="none"/>
        </w:rPr>
        <w:fldChar w:fldCharType="begin"/>
      </w:r>
      <w:r>
        <w:rPr>
          <w:color w:val="000000"/>
          <w:highlight w:val="none"/>
        </w:rPr>
        <w:instrText xml:space="preserve"> PAGEREF _Toc3784 \h </w:instrText>
      </w:r>
      <w:r>
        <w:rPr>
          <w:color w:val="000000"/>
          <w:highlight w:val="none"/>
        </w:rPr>
        <w:fldChar w:fldCharType="separate"/>
      </w:r>
      <w:r>
        <w:rPr>
          <w:color w:val="000000"/>
          <w:highlight w:val="none"/>
        </w:rPr>
        <w:t>18</w:t>
      </w:r>
      <w:r>
        <w:rPr>
          <w:color w:val="000000"/>
          <w:highlight w:val="none"/>
        </w:rPr>
        <w:fldChar w:fldCharType="end"/>
      </w:r>
      <w:r>
        <w:rPr>
          <w:rFonts w:hint="eastAsia" w:ascii="宋体" w:hAnsi="宋体" w:cs="宋体"/>
          <w:color w:val="000000"/>
          <w:szCs w:val="21"/>
          <w:highlight w:val="none"/>
        </w:rPr>
        <w:fldChar w:fldCharType="end"/>
      </w:r>
    </w:p>
    <w:p w14:paraId="40F99E8E">
      <w:pPr>
        <w:pStyle w:val="225"/>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_Toc22221 </w:instrText>
      </w:r>
      <w:r>
        <w:rPr>
          <w:rFonts w:hint="eastAsia" w:ascii="宋体" w:hAnsi="宋体" w:cs="宋体"/>
          <w:color w:val="000000"/>
          <w:szCs w:val="21"/>
          <w:highlight w:val="none"/>
        </w:rPr>
        <w:fldChar w:fldCharType="separate"/>
      </w:r>
      <w:r>
        <w:rPr>
          <w:rFonts w:hint="eastAsia" w:ascii="宋体" w:hAnsi="宋体" w:cs="宋体"/>
          <w:color w:val="000000"/>
          <w:szCs w:val="28"/>
          <w:highlight w:val="none"/>
        </w:rPr>
        <w:t>七、履约保证金及签订合同</w:t>
      </w:r>
      <w:r>
        <w:rPr>
          <w:color w:val="000000"/>
          <w:highlight w:val="none"/>
        </w:rPr>
        <w:tab/>
      </w:r>
      <w:r>
        <w:rPr>
          <w:color w:val="000000"/>
          <w:highlight w:val="none"/>
        </w:rPr>
        <w:fldChar w:fldCharType="begin"/>
      </w:r>
      <w:r>
        <w:rPr>
          <w:color w:val="000000"/>
          <w:highlight w:val="none"/>
        </w:rPr>
        <w:instrText xml:space="preserve"> PAGEREF _Toc22221 \h </w:instrText>
      </w:r>
      <w:r>
        <w:rPr>
          <w:color w:val="000000"/>
          <w:highlight w:val="none"/>
        </w:rPr>
        <w:fldChar w:fldCharType="separate"/>
      </w:r>
      <w:r>
        <w:rPr>
          <w:color w:val="000000"/>
          <w:highlight w:val="none"/>
        </w:rPr>
        <w:t>18</w:t>
      </w:r>
      <w:r>
        <w:rPr>
          <w:color w:val="000000"/>
          <w:highlight w:val="none"/>
        </w:rPr>
        <w:fldChar w:fldCharType="end"/>
      </w:r>
      <w:r>
        <w:rPr>
          <w:rFonts w:hint="eastAsia" w:ascii="宋体" w:hAnsi="宋体" w:cs="宋体"/>
          <w:color w:val="000000"/>
          <w:szCs w:val="21"/>
          <w:highlight w:val="none"/>
        </w:rPr>
        <w:fldChar w:fldCharType="end"/>
      </w:r>
    </w:p>
    <w:p w14:paraId="287AE334">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_Toc26467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34. 履约保证金</w:t>
      </w:r>
      <w:r>
        <w:rPr>
          <w:color w:val="000000"/>
          <w:highlight w:val="none"/>
        </w:rPr>
        <w:tab/>
      </w:r>
      <w:r>
        <w:rPr>
          <w:color w:val="000000"/>
          <w:highlight w:val="none"/>
        </w:rPr>
        <w:fldChar w:fldCharType="begin"/>
      </w:r>
      <w:r>
        <w:rPr>
          <w:color w:val="000000"/>
          <w:highlight w:val="none"/>
        </w:rPr>
        <w:instrText xml:space="preserve"> PAGEREF _Toc26467 \h </w:instrText>
      </w:r>
      <w:r>
        <w:rPr>
          <w:color w:val="000000"/>
          <w:highlight w:val="none"/>
        </w:rPr>
        <w:fldChar w:fldCharType="separate"/>
      </w:r>
      <w:r>
        <w:rPr>
          <w:color w:val="000000"/>
          <w:highlight w:val="none"/>
        </w:rPr>
        <w:t>18</w:t>
      </w:r>
      <w:r>
        <w:rPr>
          <w:color w:val="000000"/>
          <w:highlight w:val="none"/>
        </w:rPr>
        <w:fldChar w:fldCharType="end"/>
      </w:r>
      <w:r>
        <w:rPr>
          <w:rFonts w:hint="eastAsia" w:ascii="宋体" w:hAnsi="宋体" w:cs="宋体"/>
          <w:color w:val="000000"/>
          <w:szCs w:val="21"/>
          <w:highlight w:val="none"/>
        </w:rPr>
        <w:fldChar w:fldCharType="end"/>
      </w:r>
    </w:p>
    <w:p w14:paraId="00E93ED2">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_Toc19745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35. 签订合同</w:t>
      </w:r>
      <w:r>
        <w:rPr>
          <w:color w:val="000000"/>
          <w:highlight w:val="none"/>
        </w:rPr>
        <w:tab/>
      </w:r>
      <w:r>
        <w:rPr>
          <w:color w:val="000000"/>
          <w:highlight w:val="none"/>
        </w:rPr>
        <w:fldChar w:fldCharType="begin"/>
      </w:r>
      <w:r>
        <w:rPr>
          <w:color w:val="000000"/>
          <w:highlight w:val="none"/>
        </w:rPr>
        <w:instrText xml:space="preserve"> PAGEREF _Toc19745 \h </w:instrText>
      </w:r>
      <w:r>
        <w:rPr>
          <w:color w:val="000000"/>
          <w:highlight w:val="none"/>
        </w:rPr>
        <w:fldChar w:fldCharType="separate"/>
      </w:r>
      <w:r>
        <w:rPr>
          <w:color w:val="000000"/>
          <w:highlight w:val="none"/>
        </w:rPr>
        <w:t>18</w:t>
      </w:r>
      <w:r>
        <w:rPr>
          <w:color w:val="000000"/>
          <w:highlight w:val="none"/>
        </w:rPr>
        <w:fldChar w:fldCharType="end"/>
      </w:r>
      <w:r>
        <w:rPr>
          <w:rFonts w:hint="eastAsia" w:ascii="宋体" w:hAnsi="宋体" w:cs="宋体"/>
          <w:color w:val="000000"/>
          <w:szCs w:val="21"/>
          <w:highlight w:val="none"/>
        </w:rPr>
        <w:fldChar w:fldCharType="end"/>
      </w:r>
    </w:p>
    <w:p w14:paraId="3DF2D7C2">
      <w:pPr>
        <w:pStyle w:val="225"/>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_Toc8473 </w:instrText>
      </w:r>
      <w:r>
        <w:rPr>
          <w:rFonts w:hint="eastAsia" w:ascii="宋体" w:hAnsi="宋体" w:cs="宋体"/>
          <w:color w:val="000000"/>
          <w:szCs w:val="21"/>
          <w:highlight w:val="none"/>
        </w:rPr>
        <w:fldChar w:fldCharType="separate"/>
      </w:r>
      <w:r>
        <w:rPr>
          <w:rFonts w:hint="eastAsia" w:ascii="宋体" w:hAnsi="宋体" w:cs="宋体"/>
          <w:color w:val="000000"/>
          <w:szCs w:val="28"/>
          <w:highlight w:val="none"/>
        </w:rPr>
        <w:t>八、其他事项</w:t>
      </w:r>
      <w:r>
        <w:rPr>
          <w:color w:val="000000"/>
          <w:highlight w:val="none"/>
        </w:rPr>
        <w:tab/>
      </w:r>
      <w:r>
        <w:rPr>
          <w:color w:val="000000"/>
          <w:highlight w:val="none"/>
        </w:rPr>
        <w:fldChar w:fldCharType="begin"/>
      </w:r>
      <w:r>
        <w:rPr>
          <w:color w:val="000000"/>
          <w:highlight w:val="none"/>
        </w:rPr>
        <w:instrText xml:space="preserve"> PAGEREF _Toc8473 \h </w:instrText>
      </w:r>
      <w:r>
        <w:rPr>
          <w:color w:val="000000"/>
          <w:highlight w:val="none"/>
        </w:rPr>
        <w:fldChar w:fldCharType="separate"/>
      </w:r>
      <w:r>
        <w:rPr>
          <w:color w:val="000000"/>
          <w:highlight w:val="none"/>
        </w:rPr>
        <w:t>19</w:t>
      </w:r>
      <w:r>
        <w:rPr>
          <w:color w:val="000000"/>
          <w:highlight w:val="none"/>
        </w:rPr>
        <w:fldChar w:fldCharType="end"/>
      </w:r>
      <w:r>
        <w:rPr>
          <w:rFonts w:hint="eastAsia" w:ascii="宋体" w:hAnsi="宋体" w:cs="宋体"/>
          <w:color w:val="000000"/>
          <w:szCs w:val="21"/>
          <w:highlight w:val="none"/>
        </w:rPr>
        <w:fldChar w:fldCharType="end"/>
      </w:r>
    </w:p>
    <w:p w14:paraId="093BBCF7">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_Toc29323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36. 招标代理服务费</w:t>
      </w:r>
      <w:r>
        <w:rPr>
          <w:color w:val="000000"/>
          <w:highlight w:val="none"/>
        </w:rPr>
        <w:tab/>
      </w:r>
      <w:r>
        <w:rPr>
          <w:color w:val="000000"/>
          <w:highlight w:val="none"/>
        </w:rPr>
        <w:fldChar w:fldCharType="begin"/>
      </w:r>
      <w:r>
        <w:rPr>
          <w:color w:val="000000"/>
          <w:highlight w:val="none"/>
        </w:rPr>
        <w:instrText xml:space="preserve"> PAGEREF _Toc29323 \h </w:instrText>
      </w:r>
      <w:r>
        <w:rPr>
          <w:color w:val="000000"/>
          <w:highlight w:val="none"/>
        </w:rPr>
        <w:fldChar w:fldCharType="separate"/>
      </w:r>
      <w:r>
        <w:rPr>
          <w:color w:val="000000"/>
          <w:highlight w:val="none"/>
        </w:rPr>
        <w:t>19</w:t>
      </w:r>
      <w:r>
        <w:rPr>
          <w:color w:val="000000"/>
          <w:highlight w:val="none"/>
        </w:rPr>
        <w:fldChar w:fldCharType="end"/>
      </w:r>
      <w:r>
        <w:rPr>
          <w:rFonts w:hint="eastAsia" w:ascii="宋体" w:hAnsi="宋体" w:cs="宋体"/>
          <w:color w:val="000000"/>
          <w:szCs w:val="21"/>
          <w:highlight w:val="none"/>
        </w:rPr>
        <w:fldChar w:fldCharType="end"/>
      </w:r>
    </w:p>
    <w:p w14:paraId="06CECA71">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_Toc16219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37. 解释权</w:t>
      </w:r>
      <w:r>
        <w:rPr>
          <w:color w:val="000000"/>
          <w:highlight w:val="none"/>
        </w:rPr>
        <w:tab/>
      </w:r>
      <w:r>
        <w:rPr>
          <w:color w:val="000000"/>
          <w:highlight w:val="none"/>
        </w:rPr>
        <w:fldChar w:fldCharType="begin"/>
      </w:r>
      <w:r>
        <w:rPr>
          <w:color w:val="000000"/>
          <w:highlight w:val="none"/>
        </w:rPr>
        <w:instrText xml:space="preserve"> PAGEREF _Toc16219 \h </w:instrText>
      </w:r>
      <w:r>
        <w:rPr>
          <w:color w:val="000000"/>
          <w:highlight w:val="none"/>
        </w:rPr>
        <w:fldChar w:fldCharType="separate"/>
      </w:r>
      <w:r>
        <w:rPr>
          <w:color w:val="000000"/>
          <w:highlight w:val="none"/>
        </w:rPr>
        <w:t>19</w:t>
      </w:r>
      <w:r>
        <w:rPr>
          <w:color w:val="000000"/>
          <w:highlight w:val="none"/>
        </w:rPr>
        <w:fldChar w:fldCharType="end"/>
      </w:r>
      <w:r>
        <w:rPr>
          <w:rFonts w:hint="eastAsia" w:ascii="宋体" w:hAnsi="宋体" w:cs="宋体"/>
          <w:color w:val="000000"/>
          <w:szCs w:val="21"/>
          <w:highlight w:val="none"/>
        </w:rPr>
        <w:fldChar w:fldCharType="end"/>
      </w:r>
    </w:p>
    <w:p w14:paraId="664FA681">
      <w:pPr>
        <w:pStyle w:val="212"/>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_Toc23015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38. 监督管理机构</w:t>
      </w:r>
      <w:r>
        <w:rPr>
          <w:color w:val="000000"/>
          <w:highlight w:val="none"/>
        </w:rPr>
        <w:tab/>
      </w:r>
      <w:r>
        <w:rPr>
          <w:color w:val="000000"/>
          <w:highlight w:val="none"/>
        </w:rPr>
        <w:fldChar w:fldCharType="begin"/>
      </w:r>
      <w:r>
        <w:rPr>
          <w:color w:val="000000"/>
          <w:highlight w:val="none"/>
        </w:rPr>
        <w:instrText xml:space="preserve"> PAGEREF _Toc23015 \h </w:instrText>
      </w:r>
      <w:r>
        <w:rPr>
          <w:color w:val="000000"/>
          <w:highlight w:val="none"/>
        </w:rPr>
        <w:fldChar w:fldCharType="separate"/>
      </w:r>
      <w:r>
        <w:rPr>
          <w:color w:val="000000"/>
          <w:highlight w:val="none"/>
        </w:rPr>
        <w:t>19</w:t>
      </w:r>
      <w:r>
        <w:rPr>
          <w:color w:val="000000"/>
          <w:highlight w:val="none"/>
        </w:rPr>
        <w:fldChar w:fldCharType="end"/>
      </w:r>
      <w:r>
        <w:rPr>
          <w:rFonts w:hint="eastAsia" w:ascii="宋体" w:hAnsi="宋体" w:cs="宋体"/>
          <w:color w:val="000000"/>
          <w:szCs w:val="21"/>
          <w:highlight w:val="none"/>
        </w:rPr>
        <w:fldChar w:fldCharType="end"/>
      </w:r>
    </w:p>
    <w:p w14:paraId="162BA8B7">
      <w:pPr>
        <w:pStyle w:val="223"/>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_Toc31229 </w:instrText>
      </w:r>
      <w:r>
        <w:rPr>
          <w:rFonts w:hint="eastAsia" w:ascii="宋体" w:hAnsi="宋体" w:cs="宋体"/>
          <w:color w:val="000000"/>
          <w:szCs w:val="21"/>
          <w:highlight w:val="none"/>
        </w:rPr>
        <w:fldChar w:fldCharType="separate"/>
      </w:r>
      <w:r>
        <w:rPr>
          <w:rFonts w:hint="eastAsia"/>
          <w:color w:val="000000"/>
          <w:szCs w:val="32"/>
          <w:highlight w:val="none"/>
        </w:rPr>
        <w:t>第三章  采购需求</w:t>
      </w:r>
      <w:r>
        <w:rPr>
          <w:color w:val="000000"/>
          <w:highlight w:val="none"/>
        </w:rPr>
        <w:tab/>
      </w:r>
      <w:r>
        <w:rPr>
          <w:color w:val="000000"/>
          <w:highlight w:val="none"/>
        </w:rPr>
        <w:fldChar w:fldCharType="begin"/>
      </w:r>
      <w:r>
        <w:rPr>
          <w:color w:val="000000"/>
          <w:highlight w:val="none"/>
        </w:rPr>
        <w:instrText xml:space="preserve"> PAGEREF _Toc12927 \h </w:instrText>
      </w:r>
      <w:r>
        <w:rPr>
          <w:color w:val="000000"/>
          <w:highlight w:val="none"/>
        </w:rPr>
        <w:fldChar w:fldCharType="separate"/>
      </w:r>
      <w:r>
        <w:rPr>
          <w:color w:val="000000"/>
          <w:highlight w:val="none"/>
        </w:rPr>
        <w:t>20</w:t>
      </w:r>
      <w:r>
        <w:rPr>
          <w:color w:val="000000"/>
          <w:highlight w:val="none"/>
        </w:rPr>
        <w:fldChar w:fldCharType="end"/>
      </w:r>
      <w:r>
        <w:rPr>
          <w:rFonts w:hint="eastAsia" w:ascii="宋体" w:hAnsi="宋体" w:cs="宋体"/>
          <w:color w:val="000000"/>
          <w:szCs w:val="21"/>
          <w:highlight w:val="none"/>
        </w:rPr>
        <w:fldChar w:fldCharType="end"/>
      </w:r>
    </w:p>
    <w:p w14:paraId="4B813D03">
      <w:pPr>
        <w:pStyle w:val="223"/>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_Toc12927 </w:instrText>
      </w:r>
      <w:r>
        <w:rPr>
          <w:rFonts w:hint="eastAsia" w:ascii="宋体" w:hAnsi="宋体" w:cs="宋体"/>
          <w:color w:val="000000"/>
          <w:szCs w:val="21"/>
          <w:highlight w:val="none"/>
        </w:rPr>
        <w:fldChar w:fldCharType="separate"/>
      </w:r>
      <w:r>
        <w:rPr>
          <w:rFonts w:hint="eastAsia" w:ascii="宋体" w:hAnsi="宋体" w:cs="宋体"/>
          <w:color w:val="000000"/>
          <w:szCs w:val="32"/>
          <w:highlight w:val="none"/>
        </w:rPr>
        <w:t>第四章  评标办法</w:t>
      </w:r>
      <w:r>
        <w:rPr>
          <w:color w:val="000000"/>
          <w:highlight w:val="none"/>
        </w:rPr>
        <w:tab/>
      </w:r>
      <w:r>
        <w:rPr>
          <w:color w:val="000000"/>
          <w:highlight w:val="none"/>
        </w:rPr>
        <w:fldChar w:fldCharType="begin"/>
      </w:r>
      <w:r>
        <w:rPr>
          <w:color w:val="000000"/>
          <w:highlight w:val="none"/>
        </w:rPr>
        <w:instrText xml:space="preserve"> PAGEREF _Toc12927 \h </w:instrText>
      </w:r>
      <w:r>
        <w:rPr>
          <w:color w:val="000000"/>
          <w:highlight w:val="none"/>
        </w:rPr>
        <w:fldChar w:fldCharType="separate"/>
      </w:r>
      <w:r>
        <w:rPr>
          <w:color w:val="000000"/>
          <w:highlight w:val="none"/>
        </w:rPr>
        <w:t>20</w:t>
      </w:r>
      <w:r>
        <w:rPr>
          <w:color w:val="000000"/>
          <w:highlight w:val="none"/>
        </w:rPr>
        <w:fldChar w:fldCharType="end"/>
      </w:r>
      <w:r>
        <w:rPr>
          <w:rFonts w:hint="eastAsia" w:ascii="宋体" w:hAnsi="宋体" w:cs="宋体"/>
          <w:color w:val="000000"/>
          <w:szCs w:val="21"/>
          <w:highlight w:val="none"/>
        </w:rPr>
        <w:fldChar w:fldCharType="end"/>
      </w:r>
    </w:p>
    <w:p w14:paraId="1F6687C2">
      <w:pPr>
        <w:pStyle w:val="223"/>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_Toc18139 </w:instrText>
      </w:r>
      <w:r>
        <w:rPr>
          <w:rFonts w:hint="eastAsia" w:ascii="宋体" w:hAnsi="宋体" w:cs="宋体"/>
          <w:color w:val="000000"/>
          <w:szCs w:val="21"/>
          <w:highlight w:val="none"/>
        </w:rPr>
        <w:fldChar w:fldCharType="separate"/>
      </w:r>
      <w:r>
        <w:rPr>
          <w:rFonts w:hint="eastAsia" w:ascii="宋体" w:hAnsi="宋体" w:cs="宋体"/>
          <w:bCs/>
          <w:color w:val="000000"/>
          <w:szCs w:val="32"/>
          <w:highlight w:val="none"/>
        </w:rPr>
        <w:t>第五章  采购合同（合同主要条款及格式）</w:t>
      </w:r>
      <w:r>
        <w:rPr>
          <w:color w:val="000000"/>
          <w:highlight w:val="none"/>
        </w:rPr>
        <w:tab/>
      </w:r>
      <w:r>
        <w:rPr>
          <w:color w:val="000000"/>
          <w:highlight w:val="none"/>
        </w:rPr>
        <w:fldChar w:fldCharType="begin"/>
      </w:r>
      <w:r>
        <w:rPr>
          <w:color w:val="000000"/>
          <w:highlight w:val="none"/>
        </w:rPr>
        <w:instrText xml:space="preserve"> PAGEREF _Toc18139 \h </w:instrText>
      </w:r>
      <w:r>
        <w:rPr>
          <w:color w:val="000000"/>
          <w:highlight w:val="none"/>
        </w:rPr>
        <w:fldChar w:fldCharType="separate"/>
      </w:r>
      <w:r>
        <w:rPr>
          <w:color w:val="000000"/>
          <w:highlight w:val="none"/>
        </w:rPr>
        <w:t>60</w:t>
      </w:r>
      <w:r>
        <w:rPr>
          <w:color w:val="000000"/>
          <w:highlight w:val="none"/>
        </w:rPr>
        <w:fldChar w:fldCharType="end"/>
      </w:r>
      <w:r>
        <w:rPr>
          <w:rFonts w:hint="eastAsia" w:ascii="宋体" w:hAnsi="宋体" w:cs="宋体"/>
          <w:color w:val="000000"/>
          <w:szCs w:val="21"/>
          <w:highlight w:val="none"/>
        </w:rPr>
        <w:fldChar w:fldCharType="end"/>
      </w:r>
    </w:p>
    <w:p w14:paraId="67F8AE97">
      <w:pPr>
        <w:pStyle w:val="225"/>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_Toc30607 </w:instrText>
      </w:r>
      <w:r>
        <w:rPr>
          <w:rFonts w:hint="eastAsia" w:ascii="宋体" w:hAnsi="宋体" w:cs="宋体"/>
          <w:color w:val="000000"/>
          <w:szCs w:val="21"/>
          <w:highlight w:val="none"/>
        </w:rPr>
        <w:fldChar w:fldCharType="separate"/>
      </w:r>
      <w:r>
        <w:rPr>
          <w:rFonts w:hint="eastAsia" w:ascii="宋体" w:hAnsi="宋体" w:eastAsia="宋体" w:cs="宋体"/>
          <w:color w:val="000000"/>
          <w:szCs w:val="21"/>
          <w:highlight w:val="none"/>
        </w:rPr>
        <w:t>第一条 合同标的及合同金额</w:t>
      </w:r>
      <w:r>
        <w:rPr>
          <w:color w:val="000000"/>
          <w:highlight w:val="none"/>
        </w:rPr>
        <w:tab/>
      </w:r>
      <w:r>
        <w:rPr>
          <w:color w:val="000000"/>
          <w:highlight w:val="none"/>
        </w:rPr>
        <w:fldChar w:fldCharType="begin"/>
      </w:r>
      <w:r>
        <w:rPr>
          <w:color w:val="000000"/>
          <w:highlight w:val="none"/>
        </w:rPr>
        <w:instrText xml:space="preserve"> PAGEREF _Toc30607 \h </w:instrText>
      </w:r>
      <w:r>
        <w:rPr>
          <w:color w:val="000000"/>
          <w:highlight w:val="none"/>
        </w:rPr>
        <w:fldChar w:fldCharType="separate"/>
      </w:r>
      <w:r>
        <w:rPr>
          <w:color w:val="000000"/>
          <w:highlight w:val="none"/>
        </w:rPr>
        <w:t>60</w:t>
      </w:r>
      <w:r>
        <w:rPr>
          <w:color w:val="000000"/>
          <w:highlight w:val="none"/>
        </w:rPr>
        <w:fldChar w:fldCharType="end"/>
      </w:r>
      <w:r>
        <w:rPr>
          <w:rFonts w:hint="eastAsia" w:ascii="宋体" w:hAnsi="宋体" w:cs="宋体"/>
          <w:color w:val="000000"/>
          <w:szCs w:val="21"/>
          <w:highlight w:val="none"/>
        </w:rPr>
        <w:fldChar w:fldCharType="end"/>
      </w:r>
    </w:p>
    <w:p w14:paraId="2AB7E451">
      <w:pPr>
        <w:pStyle w:val="225"/>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_Toc26063 </w:instrText>
      </w:r>
      <w:r>
        <w:rPr>
          <w:rFonts w:hint="eastAsia" w:ascii="宋体" w:hAnsi="宋体" w:cs="宋体"/>
          <w:color w:val="000000"/>
          <w:szCs w:val="21"/>
          <w:highlight w:val="none"/>
        </w:rPr>
        <w:fldChar w:fldCharType="separate"/>
      </w:r>
      <w:r>
        <w:rPr>
          <w:rFonts w:hint="eastAsia" w:ascii="宋体" w:hAnsi="宋体" w:eastAsia="宋体" w:cs="宋体"/>
          <w:color w:val="000000"/>
          <w:szCs w:val="21"/>
          <w:highlight w:val="none"/>
        </w:rPr>
        <w:t>第二条  服务保证</w:t>
      </w:r>
      <w:r>
        <w:rPr>
          <w:color w:val="000000"/>
          <w:highlight w:val="none"/>
        </w:rPr>
        <w:tab/>
      </w:r>
      <w:r>
        <w:rPr>
          <w:color w:val="000000"/>
          <w:highlight w:val="none"/>
        </w:rPr>
        <w:fldChar w:fldCharType="begin"/>
      </w:r>
      <w:r>
        <w:rPr>
          <w:color w:val="000000"/>
          <w:highlight w:val="none"/>
        </w:rPr>
        <w:instrText xml:space="preserve"> PAGEREF _Toc26063 \h </w:instrText>
      </w:r>
      <w:r>
        <w:rPr>
          <w:color w:val="000000"/>
          <w:highlight w:val="none"/>
        </w:rPr>
        <w:fldChar w:fldCharType="separate"/>
      </w:r>
      <w:r>
        <w:rPr>
          <w:color w:val="000000"/>
          <w:highlight w:val="none"/>
        </w:rPr>
        <w:t>60</w:t>
      </w:r>
      <w:r>
        <w:rPr>
          <w:color w:val="000000"/>
          <w:highlight w:val="none"/>
        </w:rPr>
        <w:fldChar w:fldCharType="end"/>
      </w:r>
      <w:r>
        <w:rPr>
          <w:rFonts w:hint="eastAsia" w:ascii="宋体" w:hAnsi="宋体" w:cs="宋体"/>
          <w:color w:val="000000"/>
          <w:szCs w:val="21"/>
          <w:highlight w:val="none"/>
        </w:rPr>
        <w:fldChar w:fldCharType="end"/>
      </w:r>
    </w:p>
    <w:p w14:paraId="39BD6EBB">
      <w:pPr>
        <w:pStyle w:val="225"/>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_Toc31979 </w:instrText>
      </w:r>
      <w:r>
        <w:rPr>
          <w:rFonts w:hint="eastAsia" w:ascii="宋体" w:hAnsi="宋体" w:cs="宋体"/>
          <w:color w:val="000000"/>
          <w:szCs w:val="21"/>
          <w:highlight w:val="none"/>
        </w:rPr>
        <w:fldChar w:fldCharType="separate"/>
      </w:r>
      <w:r>
        <w:rPr>
          <w:rFonts w:hint="eastAsia" w:ascii="宋体" w:hAnsi="宋体" w:eastAsia="宋体" w:cs="宋体"/>
          <w:color w:val="000000"/>
          <w:szCs w:val="21"/>
          <w:highlight w:val="none"/>
        </w:rPr>
        <w:t>第三条  服务期限</w:t>
      </w:r>
      <w:r>
        <w:rPr>
          <w:color w:val="000000"/>
          <w:highlight w:val="none"/>
        </w:rPr>
        <w:tab/>
      </w:r>
      <w:r>
        <w:rPr>
          <w:color w:val="000000"/>
          <w:highlight w:val="none"/>
        </w:rPr>
        <w:fldChar w:fldCharType="begin"/>
      </w:r>
      <w:r>
        <w:rPr>
          <w:color w:val="000000"/>
          <w:highlight w:val="none"/>
        </w:rPr>
        <w:instrText xml:space="preserve"> PAGEREF _Toc31979 \h </w:instrText>
      </w:r>
      <w:r>
        <w:rPr>
          <w:color w:val="000000"/>
          <w:highlight w:val="none"/>
        </w:rPr>
        <w:fldChar w:fldCharType="separate"/>
      </w:r>
      <w:r>
        <w:rPr>
          <w:color w:val="000000"/>
          <w:highlight w:val="none"/>
        </w:rPr>
        <w:t>60</w:t>
      </w:r>
      <w:r>
        <w:rPr>
          <w:color w:val="000000"/>
          <w:highlight w:val="none"/>
        </w:rPr>
        <w:fldChar w:fldCharType="end"/>
      </w:r>
      <w:r>
        <w:rPr>
          <w:rFonts w:hint="eastAsia" w:ascii="宋体" w:hAnsi="宋体" w:cs="宋体"/>
          <w:color w:val="000000"/>
          <w:szCs w:val="21"/>
          <w:highlight w:val="none"/>
        </w:rPr>
        <w:fldChar w:fldCharType="end"/>
      </w:r>
    </w:p>
    <w:p w14:paraId="669055FE">
      <w:pPr>
        <w:pStyle w:val="225"/>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_Toc10545 </w:instrText>
      </w:r>
      <w:r>
        <w:rPr>
          <w:rFonts w:hint="eastAsia" w:ascii="宋体" w:hAnsi="宋体" w:cs="宋体"/>
          <w:color w:val="000000"/>
          <w:szCs w:val="21"/>
          <w:highlight w:val="none"/>
        </w:rPr>
        <w:fldChar w:fldCharType="separate"/>
      </w:r>
      <w:r>
        <w:rPr>
          <w:rFonts w:hint="eastAsia" w:ascii="宋体" w:hAnsi="宋体" w:eastAsia="宋体" w:cs="宋体"/>
          <w:color w:val="000000"/>
          <w:szCs w:val="21"/>
          <w:highlight w:val="none"/>
        </w:rPr>
        <w:t>第四条  交付</w:t>
      </w:r>
      <w:r>
        <w:rPr>
          <w:color w:val="000000"/>
          <w:highlight w:val="none"/>
        </w:rPr>
        <w:tab/>
      </w:r>
      <w:r>
        <w:rPr>
          <w:color w:val="000000"/>
          <w:highlight w:val="none"/>
        </w:rPr>
        <w:fldChar w:fldCharType="begin"/>
      </w:r>
      <w:r>
        <w:rPr>
          <w:color w:val="000000"/>
          <w:highlight w:val="none"/>
        </w:rPr>
        <w:instrText xml:space="preserve"> PAGEREF _Toc10545 \h </w:instrText>
      </w:r>
      <w:r>
        <w:rPr>
          <w:color w:val="000000"/>
          <w:highlight w:val="none"/>
        </w:rPr>
        <w:fldChar w:fldCharType="separate"/>
      </w:r>
      <w:r>
        <w:rPr>
          <w:color w:val="000000"/>
          <w:highlight w:val="none"/>
        </w:rPr>
        <w:t>60</w:t>
      </w:r>
      <w:r>
        <w:rPr>
          <w:color w:val="000000"/>
          <w:highlight w:val="none"/>
        </w:rPr>
        <w:fldChar w:fldCharType="end"/>
      </w:r>
      <w:r>
        <w:rPr>
          <w:rFonts w:hint="eastAsia" w:ascii="宋体" w:hAnsi="宋体" w:cs="宋体"/>
          <w:color w:val="000000"/>
          <w:szCs w:val="21"/>
          <w:highlight w:val="none"/>
        </w:rPr>
        <w:fldChar w:fldCharType="end"/>
      </w:r>
    </w:p>
    <w:p w14:paraId="65515AB7">
      <w:pPr>
        <w:pStyle w:val="225"/>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_Toc18940 </w:instrText>
      </w:r>
      <w:r>
        <w:rPr>
          <w:rFonts w:hint="eastAsia" w:ascii="宋体" w:hAnsi="宋体" w:cs="宋体"/>
          <w:color w:val="000000"/>
          <w:szCs w:val="21"/>
          <w:highlight w:val="none"/>
        </w:rPr>
        <w:fldChar w:fldCharType="separate"/>
      </w:r>
      <w:r>
        <w:rPr>
          <w:rFonts w:hint="eastAsia" w:ascii="宋体" w:hAnsi="宋体" w:eastAsia="宋体" w:cs="宋体"/>
          <w:color w:val="000000"/>
          <w:szCs w:val="21"/>
          <w:highlight w:val="none"/>
        </w:rPr>
        <w:t>第五条  税费</w:t>
      </w:r>
      <w:r>
        <w:rPr>
          <w:color w:val="000000"/>
          <w:highlight w:val="none"/>
        </w:rPr>
        <w:tab/>
      </w:r>
      <w:r>
        <w:rPr>
          <w:color w:val="000000"/>
          <w:highlight w:val="none"/>
        </w:rPr>
        <w:fldChar w:fldCharType="begin"/>
      </w:r>
      <w:r>
        <w:rPr>
          <w:color w:val="000000"/>
          <w:highlight w:val="none"/>
        </w:rPr>
        <w:instrText xml:space="preserve"> PAGEREF _Toc18940 \h </w:instrText>
      </w:r>
      <w:r>
        <w:rPr>
          <w:color w:val="000000"/>
          <w:highlight w:val="none"/>
        </w:rPr>
        <w:fldChar w:fldCharType="separate"/>
      </w:r>
      <w:r>
        <w:rPr>
          <w:color w:val="000000"/>
          <w:highlight w:val="none"/>
        </w:rPr>
        <w:t>60</w:t>
      </w:r>
      <w:r>
        <w:rPr>
          <w:color w:val="000000"/>
          <w:highlight w:val="none"/>
        </w:rPr>
        <w:fldChar w:fldCharType="end"/>
      </w:r>
      <w:r>
        <w:rPr>
          <w:rFonts w:hint="eastAsia" w:ascii="宋体" w:hAnsi="宋体" w:cs="宋体"/>
          <w:color w:val="000000"/>
          <w:szCs w:val="21"/>
          <w:highlight w:val="none"/>
        </w:rPr>
        <w:fldChar w:fldCharType="end"/>
      </w:r>
    </w:p>
    <w:p w14:paraId="1AA79427">
      <w:pPr>
        <w:pStyle w:val="225"/>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_Toc18295 </w:instrText>
      </w:r>
      <w:r>
        <w:rPr>
          <w:rFonts w:hint="eastAsia" w:ascii="宋体" w:hAnsi="宋体" w:cs="宋体"/>
          <w:color w:val="000000"/>
          <w:szCs w:val="21"/>
          <w:highlight w:val="none"/>
        </w:rPr>
        <w:fldChar w:fldCharType="separate"/>
      </w:r>
      <w:r>
        <w:rPr>
          <w:rFonts w:hint="eastAsia" w:ascii="宋体" w:hAnsi="宋体" w:eastAsia="宋体" w:cs="宋体"/>
          <w:color w:val="000000"/>
          <w:szCs w:val="21"/>
          <w:highlight w:val="none"/>
        </w:rPr>
        <w:t>第六条  付款方式</w:t>
      </w:r>
      <w:r>
        <w:rPr>
          <w:color w:val="000000"/>
          <w:highlight w:val="none"/>
        </w:rPr>
        <w:tab/>
      </w:r>
      <w:r>
        <w:rPr>
          <w:color w:val="000000"/>
          <w:highlight w:val="none"/>
        </w:rPr>
        <w:fldChar w:fldCharType="begin"/>
      </w:r>
      <w:r>
        <w:rPr>
          <w:color w:val="000000"/>
          <w:highlight w:val="none"/>
        </w:rPr>
        <w:instrText xml:space="preserve"> PAGEREF _Toc18295 \h </w:instrText>
      </w:r>
      <w:r>
        <w:rPr>
          <w:color w:val="000000"/>
          <w:highlight w:val="none"/>
        </w:rPr>
        <w:fldChar w:fldCharType="separate"/>
      </w:r>
      <w:r>
        <w:rPr>
          <w:color w:val="000000"/>
          <w:highlight w:val="none"/>
        </w:rPr>
        <w:t>60</w:t>
      </w:r>
      <w:r>
        <w:rPr>
          <w:color w:val="000000"/>
          <w:highlight w:val="none"/>
        </w:rPr>
        <w:fldChar w:fldCharType="end"/>
      </w:r>
      <w:r>
        <w:rPr>
          <w:rFonts w:hint="eastAsia" w:ascii="宋体" w:hAnsi="宋体" w:cs="宋体"/>
          <w:color w:val="000000"/>
          <w:szCs w:val="21"/>
          <w:highlight w:val="none"/>
        </w:rPr>
        <w:fldChar w:fldCharType="end"/>
      </w:r>
    </w:p>
    <w:p w14:paraId="298E3EF0">
      <w:pPr>
        <w:pStyle w:val="225"/>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_Toc9902 </w:instrText>
      </w:r>
      <w:r>
        <w:rPr>
          <w:rFonts w:hint="eastAsia" w:ascii="宋体" w:hAnsi="宋体" w:cs="宋体"/>
          <w:color w:val="000000"/>
          <w:szCs w:val="21"/>
          <w:highlight w:val="none"/>
        </w:rPr>
        <w:fldChar w:fldCharType="separate"/>
      </w:r>
      <w:r>
        <w:rPr>
          <w:rFonts w:hint="eastAsia" w:ascii="宋体" w:hAnsi="宋体" w:eastAsia="宋体" w:cs="宋体"/>
          <w:color w:val="000000"/>
          <w:szCs w:val="21"/>
          <w:highlight w:val="none"/>
        </w:rPr>
        <w:t>第七条  违约责任</w:t>
      </w:r>
      <w:r>
        <w:rPr>
          <w:color w:val="000000"/>
          <w:highlight w:val="none"/>
        </w:rPr>
        <w:tab/>
      </w:r>
      <w:r>
        <w:rPr>
          <w:color w:val="000000"/>
          <w:highlight w:val="none"/>
        </w:rPr>
        <w:fldChar w:fldCharType="begin"/>
      </w:r>
      <w:r>
        <w:rPr>
          <w:color w:val="000000"/>
          <w:highlight w:val="none"/>
        </w:rPr>
        <w:instrText xml:space="preserve"> PAGEREF _Toc18295 \h </w:instrText>
      </w:r>
      <w:r>
        <w:rPr>
          <w:color w:val="000000"/>
          <w:highlight w:val="none"/>
        </w:rPr>
        <w:fldChar w:fldCharType="separate"/>
      </w:r>
      <w:r>
        <w:rPr>
          <w:color w:val="000000"/>
          <w:highlight w:val="none"/>
        </w:rPr>
        <w:t>60</w:t>
      </w:r>
      <w:r>
        <w:rPr>
          <w:color w:val="000000"/>
          <w:highlight w:val="none"/>
        </w:rPr>
        <w:fldChar w:fldCharType="end"/>
      </w:r>
      <w:r>
        <w:rPr>
          <w:rFonts w:hint="eastAsia" w:ascii="宋体" w:hAnsi="宋体" w:cs="宋体"/>
          <w:color w:val="000000"/>
          <w:szCs w:val="21"/>
          <w:highlight w:val="none"/>
        </w:rPr>
        <w:fldChar w:fldCharType="end"/>
      </w:r>
    </w:p>
    <w:p w14:paraId="70CB19B9">
      <w:pPr>
        <w:pStyle w:val="225"/>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_Toc1807 </w:instrText>
      </w:r>
      <w:r>
        <w:rPr>
          <w:rFonts w:hint="eastAsia" w:ascii="宋体" w:hAnsi="宋体" w:cs="宋体"/>
          <w:color w:val="000000"/>
          <w:szCs w:val="21"/>
          <w:highlight w:val="none"/>
        </w:rPr>
        <w:fldChar w:fldCharType="separate"/>
      </w:r>
      <w:r>
        <w:rPr>
          <w:rFonts w:hint="eastAsia" w:ascii="宋体" w:hAnsi="宋体" w:eastAsia="宋体" w:cs="宋体"/>
          <w:color w:val="000000"/>
          <w:szCs w:val="21"/>
          <w:highlight w:val="none"/>
        </w:rPr>
        <w:t>第八条  不可抗力事件处理</w:t>
      </w:r>
      <w:r>
        <w:rPr>
          <w:color w:val="000000"/>
          <w:highlight w:val="none"/>
        </w:rPr>
        <w:tab/>
      </w:r>
      <w:r>
        <w:rPr>
          <w:color w:val="000000"/>
          <w:highlight w:val="none"/>
        </w:rPr>
        <w:fldChar w:fldCharType="begin"/>
      </w:r>
      <w:r>
        <w:rPr>
          <w:color w:val="000000"/>
          <w:highlight w:val="none"/>
        </w:rPr>
        <w:instrText xml:space="preserve"> PAGEREF _Toc18295 \h </w:instrText>
      </w:r>
      <w:r>
        <w:rPr>
          <w:color w:val="000000"/>
          <w:highlight w:val="none"/>
        </w:rPr>
        <w:fldChar w:fldCharType="separate"/>
      </w:r>
      <w:r>
        <w:rPr>
          <w:color w:val="000000"/>
          <w:highlight w:val="none"/>
        </w:rPr>
        <w:t>60</w:t>
      </w:r>
      <w:r>
        <w:rPr>
          <w:color w:val="000000"/>
          <w:highlight w:val="none"/>
        </w:rPr>
        <w:fldChar w:fldCharType="end"/>
      </w:r>
      <w:r>
        <w:rPr>
          <w:rFonts w:hint="eastAsia" w:ascii="宋体" w:hAnsi="宋体" w:cs="宋体"/>
          <w:color w:val="000000"/>
          <w:szCs w:val="21"/>
          <w:highlight w:val="none"/>
        </w:rPr>
        <w:fldChar w:fldCharType="end"/>
      </w:r>
    </w:p>
    <w:p w14:paraId="41D34D44">
      <w:pPr>
        <w:pStyle w:val="225"/>
        <w:tabs>
          <w:tab w:val="right" w:leader="dot" w:pos="9746"/>
        </w:tabs>
        <w:rPr>
          <w:rFonts w:hint="eastAsia" w:eastAsia="宋体"/>
          <w:color w:val="000000"/>
          <w:highlight w:val="none"/>
          <w:lang w:eastAsia="zh-CN"/>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_Toc22754 </w:instrText>
      </w:r>
      <w:r>
        <w:rPr>
          <w:rFonts w:hint="eastAsia" w:ascii="宋体" w:hAnsi="宋体" w:cs="宋体"/>
          <w:color w:val="000000"/>
          <w:szCs w:val="21"/>
          <w:highlight w:val="none"/>
        </w:rPr>
        <w:fldChar w:fldCharType="separate"/>
      </w:r>
      <w:r>
        <w:rPr>
          <w:rFonts w:hint="eastAsia" w:ascii="宋体" w:hAnsi="宋体" w:eastAsia="宋体" w:cs="宋体"/>
          <w:color w:val="000000"/>
          <w:szCs w:val="21"/>
          <w:highlight w:val="none"/>
        </w:rPr>
        <w:t>第九条  合同争议解决</w:t>
      </w:r>
      <w:r>
        <w:rPr>
          <w:color w:val="000000"/>
          <w:highlight w:val="none"/>
        </w:rPr>
        <w:tab/>
      </w:r>
      <w:r>
        <w:rPr>
          <w:color w:val="000000"/>
          <w:highlight w:val="none"/>
        </w:rPr>
        <w:fldChar w:fldCharType="begin"/>
      </w:r>
      <w:r>
        <w:rPr>
          <w:color w:val="000000"/>
          <w:highlight w:val="none"/>
        </w:rPr>
        <w:instrText xml:space="preserve"> PAGEREF _Toc18295 \h </w:instrText>
      </w:r>
      <w:r>
        <w:rPr>
          <w:color w:val="000000"/>
          <w:highlight w:val="none"/>
        </w:rPr>
        <w:fldChar w:fldCharType="separate"/>
      </w:r>
      <w:r>
        <w:rPr>
          <w:color w:val="000000"/>
          <w:highlight w:val="none"/>
        </w:rPr>
        <w:t>60</w:t>
      </w:r>
      <w:r>
        <w:rPr>
          <w:color w:val="000000"/>
          <w:highlight w:val="none"/>
        </w:rPr>
        <w:fldChar w:fldCharType="end"/>
      </w:r>
      <w:r>
        <w:rPr>
          <w:rFonts w:hint="eastAsia" w:ascii="宋体" w:hAnsi="宋体" w:cs="宋体"/>
          <w:color w:val="000000"/>
          <w:szCs w:val="21"/>
          <w:highlight w:val="none"/>
        </w:rPr>
        <w:fldChar w:fldCharType="end"/>
      </w:r>
    </w:p>
    <w:p w14:paraId="7F9F9384">
      <w:pPr>
        <w:pStyle w:val="225"/>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_Toc13177 </w:instrText>
      </w:r>
      <w:r>
        <w:rPr>
          <w:rFonts w:hint="eastAsia" w:ascii="宋体" w:hAnsi="宋体" w:cs="宋体"/>
          <w:color w:val="000000"/>
          <w:szCs w:val="21"/>
          <w:highlight w:val="none"/>
        </w:rPr>
        <w:fldChar w:fldCharType="separate"/>
      </w:r>
      <w:r>
        <w:rPr>
          <w:rFonts w:hint="eastAsia" w:ascii="宋体" w:hAnsi="宋体" w:eastAsia="宋体" w:cs="宋体"/>
          <w:color w:val="000000"/>
          <w:szCs w:val="21"/>
          <w:highlight w:val="none"/>
        </w:rPr>
        <w:t>第十条  合同生效及其它</w:t>
      </w:r>
      <w:r>
        <w:rPr>
          <w:color w:val="000000"/>
          <w:highlight w:val="none"/>
        </w:rPr>
        <w:tab/>
      </w:r>
      <w:r>
        <w:rPr>
          <w:color w:val="000000"/>
          <w:highlight w:val="none"/>
        </w:rPr>
        <w:fldChar w:fldCharType="begin"/>
      </w:r>
      <w:r>
        <w:rPr>
          <w:color w:val="000000"/>
          <w:highlight w:val="none"/>
        </w:rPr>
        <w:instrText xml:space="preserve"> PAGEREF _Toc18295 \h </w:instrText>
      </w:r>
      <w:r>
        <w:rPr>
          <w:color w:val="000000"/>
          <w:highlight w:val="none"/>
        </w:rPr>
        <w:fldChar w:fldCharType="separate"/>
      </w:r>
      <w:r>
        <w:rPr>
          <w:color w:val="000000"/>
          <w:highlight w:val="none"/>
        </w:rPr>
        <w:t>60</w:t>
      </w:r>
      <w:r>
        <w:rPr>
          <w:color w:val="000000"/>
          <w:highlight w:val="none"/>
        </w:rPr>
        <w:fldChar w:fldCharType="end"/>
      </w:r>
      <w:r>
        <w:rPr>
          <w:rFonts w:hint="eastAsia" w:ascii="宋体" w:hAnsi="宋体" w:cs="宋体"/>
          <w:color w:val="000000"/>
          <w:szCs w:val="21"/>
          <w:highlight w:val="none"/>
        </w:rPr>
        <w:fldChar w:fldCharType="end"/>
      </w:r>
    </w:p>
    <w:p w14:paraId="5EE56D4E">
      <w:pPr>
        <w:pStyle w:val="225"/>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_Toc30900 </w:instrText>
      </w:r>
      <w:r>
        <w:rPr>
          <w:rFonts w:hint="eastAsia" w:ascii="宋体" w:hAnsi="宋体" w:cs="宋体"/>
          <w:color w:val="000000"/>
          <w:szCs w:val="21"/>
          <w:highlight w:val="none"/>
        </w:rPr>
        <w:fldChar w:fldCharType="separate"/>
      </w:r>
      <w:r>
        <w:rPr>
          <w:rFonts w:hint="eastAsia" w:ascii="宋体" w:hAnsi="宋体" w:eastAsia="宋体" w:cs="宋体"/>
          <w:color w:val="000000"/>
          <w:szCs w:val="21"/>
          <w:highlight w:val="none"/>
        </w:rPr>
        <w:t>第十一条  合同的变更、终止与转让</w:t>
      </w:r>
      <w:r>
        <w:rPr>
          <w:color w:val="000000"/>
          <w:highlight w:val="none"/>
        </w:rPr>
        <w:tab/>
      </w:r>
      <w:r>
        <w:rPr>
          <w:color w:val="000000"/>
          <w:highlight w:val="none"/>
        </w:rPr>
        <w:fldChar w:fldCharType="begin"/>
      </w:r>
      <w:r>
        <w:rPr>
          <w:color w:val="000000"/>
          <w:highlight w:val="none"/>
        </w:rPr>
        <w:instrText xml:space="preserve"> PAGEREF _Toc18295 \h </w:instrText>
      </w:r>
      <w:r>
        <w:rPr>
          <w:color w:val="000000"/>
          <w:highlight w:val="none"/>
        </w:rPr>
        <w:fldChar w:fldCharType="separate"/>
      </w:r>
      <w:r>
        <w:rPr>
          <w:color w:val="000000"/>
          <w:highlight w:val="none"/>
        </w:rPr>
        <w:t>60</w:t>
      </w:r>
      <w:r>
        <w:rPr>
          <w:color w:val="000000"/>
          <w:highlight w:val="none"/>
        </w:rPr>
        <w:fldChar w:fldCharType="end"/>
      </w:r>
      <w:r>
        <w:rPr>
          <w:rFonts w:hint="eastAsia" w:ascii="宋体" w:hAnsi="宋体" w:cs="宋体"/>
          <w:color w:val="000000"/>
          <w:szCs w:val="21"/>
          <w:highlight w:val="none"/>
        </w:rPr>
        <w:fldChar w:fldCharType="end"/>
      </w:r>
    </w:p>
    <w:p w14:paraId="3F376B95">
      <w:pPr>
        <w:pStyle w:val="225"/>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_Toc6765 </w:instrText>
      </w:r>
      <w:r>
        <w:rPr>
          <w:rFonts w:hint="eastAsia" w:ascii="宋体" w:hAnsi="宋体" w:cs="宋体"/>
          <w:color w:val="000000"/>
          <w:szCs w:val="21"/>
          <w:highlight w:val="none"/>
        </w:rPr>
        <w:fldChar w:fldCharType="separate"/>
      </w:r>
      <w:r>
        <w:rPr>
          <w:rFonts w:hint="eastAsia" w:ascii="宋体" w:hAnsi="宋体" w:eastAsia="宋体" w:cs="宋体"/>
          <w:color w:val="000000"/>
          <w:szCs w:val="21"/>
          <w:highlight w:val="none"/>
        </w:rPr>
        <w:t>第十二条  签订本合同依据</w:t>
      </w:r>
      <w:r>
        <w:rPr>
          <w:color w:val="000000"/>
          <w:highlight w:val="none"/>
        </w:rPr>
        <w:tab/>
      </w:r>
      <w:r>
        <w:rPr>
          <w:color w:val="000000"/>
          <w:highlight w:val="none"/>
        </w:rPr>
        <w:fldChar w:fldCharType="begin"/>
      </w:r>
      <w:r>
        <w:rPr>
          <w:color w:val="000000"/>
          <w:highlight w:val="none"/>
        </w:rPr>
        <w:instrText xml:space="preserve"> PAGEREF _Toc18295 \h </w:instrText>
      </w:r>
      <w:r>
        <w:rPr>
          <w:color w:val="000000"/>
          <w:highlight w:val="none"/>
        </w:rPr>
        <w:fldChar w:fldCharType="separate"/>
      </w:r>
      <w:r>
        <w:rPr>
          <w:color w:val="000000"/>
          <w:highlight w:val="none"/>
        </w:rPr>
        <w:t>60</w:t>
      </w:r>
      <w:r>
        <w:rPr>
          <w:color w:val="000000"/>
          <w:highlight w:val="none"/>
        </w:rPr>
        <w:fldChar w:fldCharType="end"/>
      </w:r>
      <w:r>
        <w:rPr>
          <w:rFonts w:hint="eastAsia" w:ascii="宋体" w:hAnsi="宋体" w:cs="宋体"/>
          <w:color w:val="000000"/>
          <w:szCs w:val="21"/>
          <w:highlight w:val="none"/>
        </w:rPr>
        <w:fldChar w:fldCharType="end"/>
      </w:r>
    </w:p>
    <w:p w14:paraId="769C4987">
      <w:pPr>
        <w:pStyle w:val="223"/>
        <w:tabs>
          <w:tab w:val="right" w:leader="dot" w:pos="9746"/>
        </w:tabs>
        <w:rPr>
          <w:color w:val="000000"/>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\l _Toc20399 </w:instrText>
      </w:r>
      <w:r>
        <w:rPr>
          <w:rFonts w:hint="eastAsia" w:ascii="宋体" w:hAnsi="宋体" w:cs="宋体"/>
          <w:color w:val="000000"/>
          <w:szCs w:val="21"/>
          <w:highlight w:val="none"/>
        </w:rPr>
        <w:fldChar w:fldCharType="separate"/>
      </w:r>
      <w:r>
        <w:rPr>
          <w:rFonts w:hint="eastAsia" w:ascii="宋体" w:hAnsi="宋体" w:cs="宋体"/>
          <w:bCs/>
          <w:color w:val="000000"/>
          <w:szCs w:val="32"/>
          <w:highlight w:val="none"/>
        </w:rPr>
        <w:t>第六章  投标文件（格式）</w:t>
      </w:r>
      <w:r>
        <w:rPr>
          <w:color w:val="000000"/>
          <w:highlight w:val="none"/>
        </w:rPr>
        <w:tab/>
      </w:r>
      <w:r>
        <w:rPr>
          <w:color w:val="000000"/>
          <w:highlight w:val="none"/>
        </w:rPr>
        <w:fldChar w:fldCharType="begin"/>
      </w:r>
      <w:r>
        <w:rPr>
          <w:color w:val="000000"/>
          <w:highlight w:val="none"/>
        </w:rPr>
        <w:instrText xml:space="preserve"> PAGEREF _Toc18295 \h </w:instrText>
      </w:r>
      <w:r>
        <w:rPr>
          <w:color w:val="000000"/>
          <w:highlight w:val="none"/>
        </w:rPr>
        <w:fldChar w:fldCharType="separate"/>
      </w:r>
      <w:r>
        <w:rPr>
          <w:color w:val="000000"/>
          <w:highlight w:val="none"/>
        </w:rPr>
        <w:t>60</w:t>
      </w:r>
      <w:r>
        <w:rPr>
          <w:color w:val="000000"/>
          <w:highlight w:val="none"/>
        </w:rPr>
        <w:fldChar w:fldCharType="end"/>
      </w:r>
      <w:r>
        <w:rPr>
          <w:rFonts w:hint="eastAsia" w:ascii="宋体" w:hAnsi="宋体" w:cs="宋体"/>
          <w:color w:val="000000"/>
          <w:szCs w:val="21"/>
          <w:highlight w:val="none"/>
        </w:rPr>
        <w:fldChar w:fldCharType="end"/>
      </w:r>
    </w:p>
    <w:p w14:paraId="7CECF205">
      <w:pPr>
        <w:jc w:val="center"/>
        <w:outlineLvl w:val="0"/>
        <w:rPr>
          <w:rFonts w:ascii="宋体" w:hAnsi="宋体" w:cs="宋体"/>
          <w:color w:val="000000"/>
          <w:sz w:val="32"/>
          <w:szCs w:val="32"/>
          <w:highlight w:val="none"/>
        </w:rPr>
        <w:sectPr>
          <w:pgSz w:w="11906" w:h="16838"/>
          <w:pgMar w:top="1440" w:right="1080" w:bottom="1440" w:left="1080" w:header="851" w:footer="992" w:gutter="0"/>
          <w:pgNumType w:start="1"/>
          <w:cols w:space="1701" w:num="1"/>
        </w:sectPr>
      </w:pPr>
      <w:r>
        <w:rPr>
          <w:rFonts w:hint="eastAsia" w:ascii="宋体" w:hAnsi="宋体" w:cs="宋体"/>
          <w:color w:val="000000"/>
          <w:szCs w:val="21"/>
          <w:highlight w:val="none"/>
        </w:rPr>
        <w:fldChar w:fldCharType="end"/>
      </w:r>
    </w:p>
    <w:p w14:paraId="4A10DCBC">
      <w:pPr>
        <w:pStyle w:val="191"/>
        <w:numPr>
          <w:ilvl w:val="0"/>
          <w:numId w:val="1"/>
        </w:numPr>
        <w:tabs>
          <w:tab w:val="left" w:pos="0"/>
          <w:tab w:val="left" w:pos="3165"/>
          <w:tab w:val="center" w:pos="4153"/>
        </w:tabs>
        <w:spacing w:before="0" w:after="0" w:line="440" w:lineRule="exact"/>
        <w:jc w:val="center"/>
        <w:rPr>
          <w:rFonts w:ascii="宋体" w:hAnsi="宋体" w:cs="宋体"/>
          <w:color w:val="000000"/>
          <w:sz w:val="32"/>
          <w:szCs w:val="32"/>
          <w:highlight w:val="none"/>
        </w:rPr>
      </w:pPr>
      <w:bookmarkStart w:id="0" w:name="_Toc28359001"/>
      <w:bookmarkStart w:id="1" w:name="_Toc35393789"/>
      <w:r>
        <w:rPr>
          <w:rFonts w:hint="eastAsia" w:ascii="宋体" w:hAnsi="宋体" w:cs="宋体"/>
          <w:color w:val="000000"/>
          <w:sz w:val="32"/>
          <w:szCs w:val="32"/>
          <w:highlight w:val="none"/>
        </w:rPr>
        <w:t xml:space="preserve">  </w:t>
      </w:r>
      <w:bookmarkStart w:id="2" w:name="_Toc18316"/>
      <w:bookmarkStart w:id="3" w:name="_Toc8183"/>
      <w:r>
        <w:rPr>
          <w:rFonts w:hint="eastAsia" w:ascii="宋体" w:hAnsi="宋体" w:cs="宋体"/>
          <w:color w:val="000000"/>
          <w:sz w:val="32"/>
          <w:szCs w:val="32"/>
          <w:highlight w:val="none"/>
        </w:rPr>
        <w:t>公开招标公告</w:t>
      </w:r>
      <w:bookmarkEnd w:id="0"/>
      <w:bookmarkEnd w:id="1"/>
      <w:bookmarkEnd w:id="2"/>
      <w:bookmarkEnd w:id="3"/>
    </w:p>
    <w:tbl>
      <w:tblPr>
        <w:tblStyle w:val="30"/>
        <w:tblpPr w:leftFromText="180" w:rightFromText="180" w:vertAnchor="text" w:tblpX="38" w:tblpY="134"/>
        <w:tblOverlap w:val="neve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77FC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9962" w:type="dxa"/>
            <w:tcBorders>
              <w:top w:val="single" w:color="auto" w:sz="4" w:space="0"/>
              <w:left w:val="single" w:color="auto" w:sz="4" w:space="0"/>
              <w:bottom w:val="single" w:color="auto" w:sz="4" w:space="0"/>
              <w:right w:val="single" w:color="auto" w:sz="4" w:space="0"/>
            </w:tcBorders>
            <w:noWrap w:val="0"/>
            <w:vAlign w:val="top"/>
          </w:tcPr>
          <w:p w14:paraId="25BA3DE5">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项目概况</w:t>
            </w:r>
          </w:p>
          <w:p w14:paraId="3ACB2D25">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桂林市政府集中采购中心受桂林市机关事务管理局委托，根据《中华人民共和国政府采购法》《中华人民共和国政府采购法实施条例》及《政府采购货物和服务招标投标管理办法》（财政部令第87号）等规定，现就</w:t>
            </w:r>
            <w:r>
              <w:rPr>
                <w:rFonts w:hint="eastAsia" w:ascii="宋体" w:hAnsi="宋体" w:cs="宋体"/>
                <w:color w:val="000000"/>
                <w:sz w:val="24"/>
                <w:highlight w:val="none"/>
                <w:u w:val="single"/>
                <w:lang w:val="en-US" w:eastAsia="zh-CN"/>
              </w:rPr>
              <w:t>桂林市市直机关办公区物业管理服务项目</w:t>
            </w:r>
            <w:r>
              <w:rPr>
                <w:rFonts w:hint="eastAsia" w:ascii="宋体" w:hAnsi="宋体" w:cs="宋体"/>
                <w:color w:val="000000"/>
                <w:sz w:val="24"/>
                <w:highlight w:val="none"/>
              </w:rPr>
              <w:t>进行公开招标，欢迎符合条件的供应商前来投标，并于</w:t>
            </w:r>
            <w:r>
              <w:rPr>
                <w:rFonts w:hint="eastAsia" w:ascii="宋体" w:hAnsi="宋体" w:cs="宋体"/>
                <w:color w:val="000000"/>
                <w:sz w:val="24"/>
                <w:highlight w:val="none"/>
                <w:lang w:eastAsia="zh-CN"/>
              </w:rPr>
              <w:t>2026年</w:t>
            </w:r>
            <w:r>
              <w:rPr>
                <w:rFonts w:hint="eastAsia" w:ascii="宋体" w:hAnsi="宋体" w:cs="宋体"/>
                <w:color w:val="000000"/>
                <w:sz w:val="24"/>
                <w:highlight w:val="none"/>
                <w:lang w:val="en-US" w:eastAsia="zh-CN"/>
              </w:rPr>
              <w:t>06</w:t>
            </w:r>
            <w:r>
              <w:rPr>
                <w:rFonts w:hint="eastAsia" w:ascii="宋体" w:hAnsi="宋体" w:cs="宋体"/>
                <w:color w:val="000000"/>
                <w:sz w:val="24"/>
                <w:highlight w:val="none"/>
                <w:lang w:eastAsia="zh-CN"/>
              </w:rPr>
              <w:t>月</w:t>
            </w:r>
            <w:r>
              <w:rPr>
                <w:rFonts w:hint="eastAsia" w:ascii="宋体" w:hAnsi="宋体" w:cs="宋体"/>
                <w:color w:val="000000"/>
                <w:sz w:val="24"/>
                <w:highlight w:val="none"/>
                <w:lang w:val="en-US" w:eastAsia="zh-CN"/>
              </w:rPr>
              <w:t>05</w:t>
            </w:r>
            <w:r>
              <w:rPr>
                <w:rFonts w:hint="eastAsia" w:ascii="宋体" w:hAnsi="宋体" w:cs="宋体"/>
                <w:color w:val="000000"/>
                <w:sz w:val="24"/>
                <w:highlight w:val="none"/>
                <w:lang w:eastAsia="zh-CN"/>
              </w:rPr>
              <w:t>日上午</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lang w:eastAsia="zh-CN"/>
              </w:rPr>
              <w:t>时</w:t>
            </w:r>
            <w:r>
              <w:rPr>
                <w:rFonts w:hint="eastAsia" w:ascii="宋体" w:hAnsi="宋体" w:cs="宋体"/>
                <w:color w:val="000000"/>
                <w:sz w:val="24"/>
                <w:highlight w:val="none"/>
                <w:lang w:val="en-US" w:eastAsia="zh-CN"/>
              </w:rPr>
              <w:t>30</w:t>
            </w:r>
            <w:r>
              <w:rPr>
                <w:rFonts w:hint="eastAsia" w:ascii="宋体" w:hAnsi="宋体" w:cs="宋体"/>
                <w:color w:val="000000"/>
                <w:sz w:val="24"/>
                <w:highlight w:val="none"/>
                <w:lang w:eastAsia="zh-CN"/>
              </w:rPr>
              <w:t>分</w:t>
            </w:r>
            <w:r>
              <w:rPr>
                <w:rFonts w:hint="eastAsia" w:ascii="宋体" w:hAnsi="宋体" w:cs="宋体"/>
                <w:color w:val="000000"/>
                <w:sz w:val="24"/>
                <w:highlight w:val="none"/>
              </w:rPr>
              <w:t xml:space="preserve">前递交投标文件。现将本次公开招标的有关事项公告如下：  </w:t>
            </w:r>
          </w:p>
        </w:tc>
      </w:tr>
    </w:tbl>
    <w:p w14:paraId="11AD19AD">
      <w:pPr>
        <w:rPr>
          <w:rFonts w:ascii="宋体" w:hAnsi="宋体" w:cs="宋体"/>
          <w:color w:val="000000"/>
          <w:sz w:val="24"/>
          <w:highlight w:val="none"/>
        </w:rPr>
      </w:pPr>
    </w:p>
    <w:p w14:paraId="373433EF">
      <w:pPr>
        <w:rPr>
          <w:rFonts w:ascii="宋体" w:hAnsi="宋体" w:cs="宋体"/>
          <w:color w:val="000000"/>
          <w:sz w:val="24"/>
          <w:highlight w:val="none"/>
        </w:rPr>
      </w:pPr>
      <w:bookmarkStart w:id="4" w:name="_Toc28359079"/>
      <w:bookmarkStart w:id="5" w:name="_Toc35393790"/>
      <w:bookmarkStart w:id="6" w:name="_Toc35393621"/>
      <w:bookmarkStart w:id="7" w:name="_Toc28359002"/>
      <w:bookmarkStart w:id="8" w:name="_Hlk24379207"/>
      <w:r>
        <w:rPr>
          <w:rFonts w:hint="eastAsia" w:ascii="宋体" w:hAnsi="宋体" w:cs="宋体"/>
          <w:color w:val="000000"/>
          <w:sz w:val="24"/>
          <w:highlight w:val="none"/>
        </w:rPr>
        <w:t>一、项目基本情况</w:t>
      </w:r>
      <w:bookmarkEnd w:id="4"/>
      <w:bookmarkEnd w:id="5"/>
      <w:bookmarkEnd w:id="6"/>
      <w:bookmarkEnd w:id="7"/>
    </w:p>
    <w:p w14:paraId="23E417A9">
      <w:pPr>
        <w:spacing w:line="380" w:lineRule="exact"/>
        <w:ind w:firstLine="480"/>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项目编号：</w:t>
      </w:r>
      <w:r>
        <w:rPr>
          <w:rFonts w:hint="eastAsia" w:ascii="宋体" w:hAnsi="宋体" w:cs="宋体"/>
          <w:color w:val="000000"/>
          <w:sz w:val="24"/>
          <w:highlight w:val="none"/>
          <w:lang w:eastAsia="zh-CN"/>
        </w:rPr>
        <w:t>GLZC2026-G3-990149-GLSZ</w:t>
      </w:r>
    </w:p>
    <w:p w14:paraId="346BC714">
      <w:pPr>
        <w:spacing w:line="380" w:lineRule="exact"/>
        <w:ind w:firstLine="480"/>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项目名称：</w:t>
      </w:r>
      <w:r>
        <w:rPr>
          <w:rFonts w:hint="eastAsia" w:ascii="宋体" w:hAnsi="宋体" w:cs="宋体"/>
          <w:color w:val="000000"/>
          <w:sz w:val="24"/>
          <w:highlight w:val="none"/>
          <w:lang w:val="en-US" w:eastAsia="zh-CN"/>
        </w:rPr>
        <w:t xml:space="preserve">桂林市市直机关办公区物业管理服务项目  </w:t>
      </w:r>
      <w:bookmarkEnd w:id="8"/>
    </w:p>
    <w:p w14:paraId="0C4FE3F2">
      <w:pPr>
        <w:spacing w:line="380" w:lineRule="exact"/>
        <w:ind w:firstLine="480"/>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rPr>
        <w:t>预算金额：</w:t>
      </w:r>
      <w:r>
        <w:rPr>
          <w:rFonts w:hint="eastAsia" w:ascii="宋体" w:hAnsi="宋体" w:cs="宋体"/>
          <w:color w:val="000000"/>
          <w:sz w:val="24"/>
          <w:highlight w:val="none"/>
          <w:lang w:eastAsia="zh-CN"/>
        </w:rPr>
        <w:t>本项目预算金额为人民币壹仟贰佰壹拾玖万壹仟元整（¥12191000.00元）。</w:t>
      </w:r>
    </w:p>
    <w:p w14:paraId="3986F1CB">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采购需求：</w:t>
      </w:r>
    </w:p>
    <w:tbl>
      <w:tblPr>
        <w:tblStyle w:val="30"/>
        <w:tblpPr w:leftFromText="180" w:rightFromText="180" w:vertAnchor="text" w:horzAnchor="page" w:tblpX="1192" w:tblpY="172"/>
        <w:tblOverlap w:val="never"/>
        <w:tblW w:w="94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3478"/>
        <w:gridCol w:w="872"/>
        <w:gridCol w:w="748"/>
        <w:gridCol w:w="3457"/>
      </w:tblGrid>
      <w:tr w14:paraId="6904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63ABE59B">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项号</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5A6F9478">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服务名称</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1633C0E4">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C41F021">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3457" w:type="dxa"/>
            <w:tcBorders>
              <w:top w:val="single" w:color="auto" w:sz="4" w:space="0"/>
              <w:left w:val="single" w:color="auto" w:sz="4" w:space="0"/>
              <w:bottom w:val="single" w:color="auto" w:sz="4" w:space="0"/>
              <w:right w:val="single" w:color="auto" w:sz="4" w:space="0"/>
            </w:tcBorders>
            <w:noWrap w:val="0"/>
            <w:vAlign w:val="center"/>
          </w:tcPr>
          <w:p w14:paraId="2824C84B">
            <w:pPr>
              <w:spacing w:line="380" w:lineRule="exact"/>
              <w:ind w:firstLine="7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项目要求及</w:t>
            </w:r>
            <w:r>
              <w:rPr>
                <w:rFonts w:hint="eastAsia" w:ascii="宋体" w:hAnsi="宋体" w:eastAsia="宋体" w:cs="宋体"/>
                <w:color w:val="000000"/>
                <w:sz w:val="24"/>
                <w:szCs w:val="24"/>
                <w:highlight w:val="none"/>
                <w:lang w:eastAsia="zh-CN"/>
              </w:rPr>
              <w:t>服务</w:t>
            </w:r>
            <w:r>
              <w:rPr>
                <w:rFonts w:hint="eastAsia" w:ascii="宋体" w:hAnsi="宋体" w:eastAsia="宋体" w:cs="宋体"/>
                <w:color w:val="000000"/>
                <w:sz w:val="24"/>
                <w:szCs w:val="24"/>
                <w:highlight w:val="none"/>
              </w:rPr>
              <w:t>需求</w:t>
            </w:r>
          </w:p>
        </w:tc>
      </w:tr>
      <w:tr w14:paraId="0CC2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exact"/>
        </w:trPr>
        <w:tc>
          <w:tcPr>
            <w:tcW w:w="880" w:type="dxa"/>
            <w:tcBorders>
              <w:top w:val="single" w:color="auto" w:sz="4" w:space="0"/>
              <w:left w:val="single" w:color="auto" w:sz="4" w:space="0"/>
              <w:bottom w:val="single" w:color="auto" w:sz="4" w:space="0"/>
              <w:right w:val="single" w:color="auto" w:sz="4" w:space="0"/>
            </w:tcBorders>
            <w:noWrap w:val="0"/>
            <w:vAlign w:val="center"/>
          </w:tcPr>
          <w:p w14:paraId="034A130F">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23E6976A">
            <w:pPr>
              <w:spacing w:line="380" w:lineRule="exact"/>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highlight w:val="none"/>
                <w:lang w:val="en-US" w:eastAsia="zh-CN"/>
              </w:rPr>
              <w:t>桂林市市直机关办公区物业管理服务项目</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1262C05A">
            <w:pPr>
              <w:spacing w:line="380" w:lineRule="exact"/>
              <w:jc w:val="center"/>
              <w:rPr>
                <w:rFonts w:hint="eastAsia" w:ascii="宋体" w:hAnsi="宋体" w:eastAsia="宋体" w:cs="宋体"/>
                <w:color w:val="000000"/>
                <w:sz w:val="24"/>
                <w:szCs w:val="24"/>
                <w:highlight w:val="none"/>
              </w:rPr>
            </w:pPr>
            <w:r>
              <w:rPr>
                <w:rFonts w:hint="eastAsia" w:ascii="宋体" w:hAnsi="宋体" w:cs="宋体"/>
                <w:bCs/>
                <w:color w:val="000000"/>
                <w:sz w:val="24"/>
                <w:highlight w:val="none"/>
                <w:lang w:val="en-US" w:eastAsia="zh-CN" w:bidi="ar"/>
              </w:rPr>
              <w:t>1</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4D16322">
            <w:pPr>
              <w:spacing w:line="38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项</w:t>
            </w:r>
          </w:p>
        </w:tc>
        <w:tc>
          <w:tcPr>
            <w:tcW w:w="3457" w:type="dxa"/>
            <w:tcBorders>
              <w:top w:val="single" w:color="auto" w:sz="4" w:space="0"/>
              <w:left w:val="single" w:color="auto" w:sz="4" w:space="0"/>
              <w:bottom w:val="single" w:color="auto" w:sz="4" w:space="0"/>
              <w:right w:val="single" w:color="auto" w:sz="4" w:space="0"/>
            </w:tcBorders>
            <w:noWrap w:val="0"/>
            <w:vAlign w:val="center"/>
          </w:tcPr>
          <w:p w14:paraId="27EB8195">
            <w:pPr>
              <w:spacing w:line="380" w:lineRule="exact"/>
              <w:ind w:firstLine="96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详见招标文件</w:t>
            </w:r>
          </w:p>
        </w:tc>
      </w:tr>
    </w:tbl>
    <w:p w14:paraId="6C6680D5">
      <w:pPr>
        <w:spacing w:line="380" w:lineRule="exact"/>
        <w:ind w:firstLine="480"/>
        <w:rPr>
          <w:rFonts w:hint="eastAsia" w:ascii="宋体" w:hAnsi="宋体" w:cs="宋体"/>
          <w:color w:val="000000"/>
          <w:sz w:val="24"/>
          <w:highlight w:val="none"/>
        </w:rPr>
      </w:pPr>
      <w:bookmarkStart w:id="9" w:name="_Toc35393622"/>
      <w:bookmarkStart w:id="10" w:name="_Toc35393791"/>
      <w:bookmarkStart w:id="11" w:name="_Toc28359080"/>
      <w:bookmarkStart w:id="12" w:name="_Toc28359003"/>
      <w:r>
        <w:rPr>
          <w:rFonts w:hint="eastAsia" w:ascii="宋体" w:hAnsi="宋体" w:cs="宋体"/>
          <w:color w:val="000000"/>
          <w:sz w:val="24"/>
          <w:highlight w:val="none"/>
        </w:rPr>
        <w:t>采购需求的详细内容，详见招标文件。</w:t>
      </w:r>
    </w:p>
    <w:p w14:paraId="5FF89460">
      <w:pPr>
        <w:spacing w:line="380" w:lineRule="exact"/>
        <w:ind w:firstLine="480"/>
        <w:rPr>
          <w:rFonts w:hint="eastAsia" w:ascii="宋体" w:hAnsi="宋体" w:cs="宋体"/>
          <w:color w:val="000000"/>
          <w:sz w:val="24"/>
          <w:highlight w:val="none"/>
          <w:u w:val="single"/>
        </w:rPr>
      </w:pPr>
      <w:r>
        <w:rPr>
          <w:rFonts w:hint="eastAsia" w:ascii="宋体" w:hAnsi="宋体" w:cs="宋体"/>
          <w:color w:val="000000"/>
          <w:sz w:val="24"/>
          <w:highlight w:val="none"/>
        </w:rPr>
        <w:t>合同履行期限：</w:t>
      </w:r>
      <w:r>
        <w:rPr>
          <w:rFonts w:hint="eastAsia" w:ascii="宋体" w:hAnsi="宋体" w:cs="宋体"/>
          <w:sz w:val="24"/>
        </w:rPr>
        <w:t>自合同签订之日起至</w:t>
      </w:r>
      <w:r>
        <w:rPr>
          <w:rFonts w:hint="eastAsia" w:ascii="宋体" w:hAnsi="宋体" w:eastAsia="宋体" w:cs="宋体"/>
          <w:color w:val="000000"/>
          <w:sz w:val="24"/>
        </w:rPr>
        <w:t>中标人承诺</w:t>
      </w:r>
      <w:r>
        <w:rPr>
          <w:rFonts w:hint="eastAsia" w:ascii="宋体" w:hAnsi="宋体" w:eastAsia="宋体" w:cs="宋体"/>
          <w:color w:val="000000"/>
          <w:sz w:val="24"/>
          <w:lang w:val="en-US" w:eastAsia="zh-CN"/>
        </w:rPr>
        <w:t>服务期</w:t>
      </w:r>
      <w:r>
        <w:rPr>
          <w:rFonts w:hint="eastAsia" w:ascii="宋体" w:hAnsi="宋体" w:eastAsia="宋体" w:cs="宋体"/>
          <w:color w:val="000000"/>
          <w:sz w:val="24"/>
        </w:rPr>
        <w:t>满</w:t>
      </w:r>
      <w:r>
        <w:rPr>
          <w:rFonts w:hint="eastAsia" w:ascii="宋体" w:hAnsi="宋体" w:cs="宋体"/>
          <w:sz w:val="24"/>
        </w:rPr>
        <w:t>。</w:t>
      </w:r>
    </w:p>
    <w:p w14:paraId="0E7B475B">
      <w:pPr>
        <w:rPr>
          <w:rFonts w:ascii="宋体" w:hAnsi="宋体" w:cs="宋体"/>
          <w:color w:val="000000"/>
          <w:sz w:val="24"/>
          <w:highlight w:val="none"/>
        </w:rPr>
      </w:pPr>
      <w:r>
        <w:rPr>
          <w:rFonts w:hint="eastAsia" w:ascii="宋体" w:hAnsi="宋体" w:cs="宋体"/>
          <w:color w:val="000000"/>
          <w:sz w:val="24"/>
          <w:highlight w:val="none"/>
        </w:rPr>
        <w:t>二、申请人的资格要求：</w:t>
      </w:r>
      <w:bookmarkEnd w:id="9"/>
      <w:bookmarkEnd w:id="10"/>
      <w:bookmarkEnd w:id="11"/>
      <w:bookmarkEnd w:id="12"/>
    </w:p>
    <w:p w14:paraId="6A99CFF4">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1.满足《中华人民共和国政府采购法》第二十二条规定；</w:t>
      </w:r>
    </w:p>
    <w:p w14:paraId="0016A6A7">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22143DA0">
      <w:pPr>
        <w:spacing w:line="380" w:lineRule="exact"/>
        <w:ind w:firstLine="480"/>
        <w:rPr>
          <w:rFonts w:hint="eastAsia"/>
          <w:color w:val="000000"/>
          <w:highlight w:val="none"/>
        </w:rPr>
      </w:pPr>
      <w:bookmarkStart w:id="13" w:name="_Toc28359004"/>
      <w:bookmarkStart w:id="14" w:name="_Toc28359081"/>
      <w:r>
        <w:rPr>
          <w:rFonts w:hint="eastAsia" w:ascii="宋体" w:hAnsi="宋体" w:cs="宋体"/>
          <w:color w:val="000000"/>
          <w:sz w:val="24"/>
          <w:highlight w:val="none"/>
        </w:rPr>
        <w:t>3.落实政府采购政策需满足的资格要求：</w:t>
      </w:r>
      <w:r>
        <w:rPr>
          <w:rFonts w:hint="eastAsia" w:ascii="宋体" w:hAnsi="宋体" w:eastAsia="宋体" w:cs="宋体"/>
          <w:b/>
          <w:bCs/>
          <w:color w:val="000000"/>
          <w:sz w:val="24"/>
          <w:szCs w:val="24"/>
          <w:highlight w:val="none"/>
          <w:lang w:val="en-US" w:eastAsia="zh-CN"/>
        </w:rPr>
        <w:t>本项目专门面向中小企业，所属行业为物业管理。</w:t>
      </w:r>
    </w:p>
    <w:p w14:paraId="42FA8588">
      <w:pPr>
        <w:spacing w:line="380" w:lineRule="exact"/>
        <w:ind w:firstLine="480"/>
        <w:rPr>
          <w:rFonts w:hint="eastAsia" w:ascii="宋体" w:hAnsi="宋体" w:eastAsia="宋体" w:cs="宋体"/>
          <w:i/>
          <w:iCs/>
          <w:color w:val="000000"/>
          <w:sz w:val="24"/>
          <w:highlight w:val="none"/>
          <w:u w:val="single"/>
          <w:lang w:eastAsia="zh-CN"/>
        </w:rPr>
      </w:pPr>
      <w:r>
        <w:rPr>
          <w:rFonts w:hint="eastAsia" w:ascii="宋体" w:hAnsi="宋体" w:cs="宋体"/>
          <w:color w:val="000000"/>
          <w:sz w:val="24"/>
          <w:highlight w:val="none"/>
        </w:rPr>
        <w:t>4.本项目的特定资格要求：无。</w:t>
      </w:r>
    </w:p>
    <w:p w14:paraId="7E7615B6">
      <w:pPr>
        <w:rPr>
          <w:rFonts w:ascii="宋体" w:hAnsi="宋体" w:cs="宋体"/>
          <w:color w:val="000000"/>
          <w:sz w:val="24"/>
          <w:highlight w:val="none"/>
        </w:rPr>
      </w:pPr>
      <w:bookmarkStart w:id="15" w:name="_Toc35393623"/>
      <w:bookmarkStart w:id="16" w:name="_Toc35393792"/>
      <w:r>
        <w:rPr>
          <w:rFonts w:hint="eastAsia" w:ascii="宋体" w:hAnsi="宋体" w:cs="宋体"/>
          <w:color w:val="000000"/>
          <w:sz w:val="24"/>
          <w:highlight w:val="none"/>
        </w:rPr>
        <w:t>三、获取招标文件</w:t>
      </w:r>
      <w:bookmarkEnd w:id="13"/>
      <w:bookmarkEnd w:id="14"/>
      <w:bookmarkEnd w:id="15"/>
      <w:bookmarkEnd w:id="16"/>
    </w:p>
    <w:p w14:paraId="31D655B3">
      <w:pPr>
        <w:spacing w:line="38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1.招标文件获取时间：</w:t>
      </w:r>
      <w:r>
        <w:rPr>
          <w:rFonts w:hint="eastAsia" w:ascii="宋体" w:hAnsi="宋体" w:eastAsia="宋体" w:cs="宋体"/>
          <w:color w:val="000000"/>
          <w:sz w:val="24"/>
          <w:highlight w:val="none"/>
          <w:lang w:eastAsia="zh-CN"/>
        </w:rPr>
        <w:t>202</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lang w:eastAsia="zh-CN"/>
        </w:rPr>
        <w:t>年</w:t>
      </w: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lang w:eastAsia="zh-CN"/>
        </w:rPr>
        <w:t>月</w:t>
      </w:r>
      <w:r>
        <w:rPr>
          <w:rFonts w:hint="eastAsia" w:ascii="宋体" w:hAnsi="宋体" w:cs="宋体"/>
          <w:color w:val="000000"/>
          <w:sz w:val="24"/>
          <w:highlight w:val="none"/>
          <w:lang w:val="en-US" w:eastAsia="zh-CN"/>
        </w:rPr>
        <w:t>15</w:t>
      </w:r>
      <w:r>
        <w:rPr>
          <w:rFonts w:hint="eastAsia" w:ascii="宋体" w:hAnsi="宋体" w:eastAsia="宋体" w:cs="宋体"/>
          <w:color w:val="000000"/>
          <w:sz w:val="24"/>
          <w:highlight w:val="none"/>
          <w:lang w:eastAsia="zh-CN"/>
        </w:rPr>
        <w:t>日</w:t>
      </w:r>
      <w:r>
        <w:rPr>
          <w:rFonts w:hint="eastAsia" w:ascii="宋体" w:hAnsi="宋体" w:eastAsia="宋体" w:cs="宋体"/>
          <w:color w:val="000000"/>
          <w:sz w:val="24"/>
          <w:highlight w:val="none"/>
        </w:rPr>
        <w:t>至</w:t>
      </w:r>
      <w:r>
        <w:rPr>
          <w:rFonts w:hint="eastAsia" w:ascii="宋体" w:hAnsi="宋体" w:eastAsia="宋体" w:cs="宋体"/>
          <w:color w:val="000000"/>
          <w:sz w:val="24"/>
          <w:highlight w:val="none"/>
          <w:lang w:eastAsia="zh-CN"/>
        </w:rPr>
        <w:t>2026年</w:t>
      </w:r>
      <w:r>
        <w:rPr>
          <w:rFonts w:hint="eastAsia" w:ascii="宋体" w:hAnsi="宋体" w:cs="宋体"/>
          <w:color w:val="000000"/>
          <w:sz w:val="24"/>
          <w:highlight w:val="none"/>
          <w:lang w:val="en-US" w:eastAsia="zh-CN"/>
        </w:rPr>
        <w:t>06</w:t>
      </w:r>
      <w:r>
        <w:rPr>
          <w:rFonts w:hint="eastAsia" w:ascii="宋体" w:hAnsi="宋体" w:eastAsia="宋体" w:cs="宋体"/>
          <w:color w:val="000000"/>
          <w:sz w:val="24"/>
          <w:highlight w:val="none"/>
          <w:lang w:eastAsia="zh-CN"/>
        </w:rPr>
        <w:t>月</w:t>
      </w:r>
      <w:r>
        <w:rPr>
          <w:rFonts w:hint="eastAsia" w:ascii="宋体" w:hAnsi="宋体" w:cs="宋体"/>
          <w:color w:val="000000"/>
          <w:sz w:val="24"/>
          <w:highlight w:val="none"/>
          <w:lang w:val="en-US" w:eastAsia="zh-CN"/>
        </w:rPr>
        <w:t>05</w:t>
      </w:r>
      <w:r>
        <w:rPr>
          <w:rFonts w:hint="eastAsia" w:ascii="宋体" w:hAnsi="宋体" w:eastAsia="宋体" w:cs="宋体"/>
          <w:color w:val="000000"/>
          <w:sz w:val="24"/>
          <w:highlight w:val="none"/>
          <w:lang w:eastAsia="zh-CN"/>
        </w:rPr>
        <w:t>日</w:t>
      </w:r>
      <w:r>
        <w:rPr>
          <w:rFonts w:hint="eastAsia" w:ascii="宋体" w:hAnsi="宋体" w:eastAsia="宋体" w:cs="宋体"/>
          <w:color w:val="000000"/>
          <w:sz w:val="24"/>
          <w:highlight w:val="none"/>
          <w:lang w:val="en-US" w:eastAsia="zh-CN"/>
        </w:rPr>
        <w:t>9</w:t>
      </w:r>
      <w:r>
        <w:rPr>
          <w:rFonts w:hint="eastAsia" w:ascii="宋体" w:hAnsi="宋体" w:eastAsia="宋体" w:cs="宋体"/>
          <w:color w:val="000000"/>
          <w:sz w:val="24"/>
          <w:highlight w:val="none"/>
        </w:rPr>
        <w:t>时</w:t>
      </w:r>
      <w:r>
        <w:rPr>
          <w:rFonts w:hint="eastAsia" w:ascii="宋体" w:hAnsi="宋体" w:eastAsia="宋体" w:cs="宋体"/>
          <w:color w:val="000000"/>
          <w:sz w:val="24"/>
          <w:highlight w:val="none"/>
          <w:lang w:val="en-US" w:eastAsia="zh-CN"/>
        </w:rPr>
        <w:t>30</w:t>
      </w:r>
      <w:r>
        <w:rPr>
          <w:rFonts w:hint="eastAsia" w:ascii="宋体" w:hAnsi="宋体" w:eastAsia="宋体" w:cs="宋体"/>
          <w:color w:val="000000"/>
          <w:sz w:val="24"/>
          <w:highlight w:val="none"/>
        </w:rPr>
        <w:t>分。</w:t>
      </w:r>
    </w:p>
    <w:p w14:paraId="7F94F50B">
      <w:pPr>
        <w:spacing w:line="380" w:lineRule="exact"/>
        <w:ind w:firstLine="480"/>
        <w:rPr>
          <w:rFonts w:ascii="宋体" w:hAnsi="宋体" w:eastAsia="宋体" w:cs="宋体"/>
          <w:color w:val="000000"/>
          <w:sz w:val="24"/>
          <w:highlight w:val="none"/>
          <w:lang w:val="en-US" w:eastAsia="zh-CN"/>
        </w:rPr>
      </w:pPr>
      <w:r>
        <w:rPr>
          <w:rFonts w:hint="eastAsia" w:ascii="宋体" w:hAnsi="宋体" w:eastAsia="宋体" w:cs="宋体"/>
          <w:color w:val="000000"/>
          <w:sz w:val="24"/>
          <w:highlight w:val="none"/>
        </w:rPr>
        <w:t>2.地点及方式：潜在供应商请登录</w:t>
      </w:r>
      <w:r>
        <w:rPr>
          <w:rFonts w:hint="eastAsia" w:ascii="宋体" w:hAnsi="宋体" w:eastAsia="宋体" w:cs="宋体"/>
          <w:color w:val="000000"/>
          <w:sz w:val="24"/>
          <w:highlight w:val="none"/>
          <w:lang w:eastAsia="zh-CN"/>
        </w:rPr>
        <w:t>“广西政府采购云平台”获取该招标文件。</w:t>
      </w:r>
    </w:p>
    <w:p w14:paraId="15D81ACB">
      <w:pPr>
        <w:spacing w:line="38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3.招标文件售价：本项目招标文件不收取费用。</w:t>
      </w:r>
    </w:p>
    <w:p w14:paraId="05AB2E4E">
      <w:pPr>
        <w:rPr>
          <w:rFonts w:ascii="宋体" w:hAnsi="宋体" w:cs="宋体"/>
          <w:color w:val="000000"/>
          <w:sz w:val="24"/>
          <w:highlight w:val="none"/>
        </w:rPr>
      </w:pPr>
      <w:bookmarkStart w:id="17" w:name="_Toc28359005"/>
      <w:bookmarkStart w:id="18" w:name="_Toc28359082"/>
      <w:bookmarkStart w:id="19" w:name="_Toc35393793"/>
      <w:bookmarkStart w:id="20" w:name="_Toc35393624"/>
      <w:r>
        <w:rPr>
          <w:rFonts w:hint="eastAsia" w:ascii="宋体" w:hAnsi="宋体" w:cs="宋体"/>
          <w:color w:val="000000"/>
          <w:sz w:val="24"/>
          <w:highlight w:val="none"/>
        </w:rPr>
        <w:t>四、提交投标文件</w:t>
      </w:r>
      <w:bookmarkEnd w:id="17"/>
      <w:bookmarkEnd w:id="18"/>
      <w:r>
        <w:rPr>
          <w:rFonts w:hint="eastAsia" w:ascii="宋体" w:hAnsi="宋体" w:cs="宋体"/>
          <w:color w:val="000000"/>
          <w:sz w:val="24"/>
          <w:highlight w:val="none"/>
        </w:rPr>
        <w:t>截止时间、开标时间和地点</w:t>
      </w:r>
      <w:bookmarkEnd w:id="19"/>
      <w:bookmarkEnd w:id="20"/>
    </w:p>
    <w:p w14:paraId="2FAF07F8">
      <w:pPr>
        <w:spacing w:line="380" w:lineRule="exact"/>
        <w:ind w:firstLine="480"/>
        <w:rPr>
          <w:rFonts w:ascii="宋体" w:hAnsi="宋体" w:cs="宋体"/>
          <w:bCs/>
          <w:color w:val="000000"/>
          <w:sz w:val="24"/>
          <w:highlight w:val="none"/>
        </w:rPr>
      </w:pPr>
      <w:r>
        <w:rPr>
          <w:rFonts w:hint="eastAsia" w:ascii="宋体" w:hAnsi="宋体" w:cs="宋体"/>
          <w:bCs/>
          <w:color w:val="000000"/>
          <w:sz w:val="24"/>
          <w:highlight w:val="none"/>
        </w:rPr>
        <w:t>截止时间：</w:t>
      </w:r>
      <w:r>
        <w:rPr>
          <w:rFonts w:hint="eastAsia" w:ascii="宋体" w:hAnsi="宋体" w:cs="宋体"/>
          <w:color w:val="000000"/>
          <w:sz w:val="24"/>
          <w:highlight w:val="none"/>
          <w:u w:val="single"/>
          <w:lang w:eastAsia="zh-CN"/>
        </w:rPr>
        <w:t>202</w:t>
      </w:r>
      <w:r>
        <w:rPr>
          <w:rFonts w:hint="eastAsia" w:ascii="宋体" w:hAnsi="宋体" w:cs="宋体"/>
          <w:color w:val="000000"/>
          <w:sz w:val="24"/>
          <w:highlight w:val="none"/>
          <w:u w:val="single"/>
          <w:lang w:val="en-US" w:eastAsia="zh-CN"/>
        </w:rPr>
        <w:t>6</w:t>
      </w:r>
      <w:r>
        <w:rPr>
          <w:rFonts w:hint="eastAsia" w:ascii="宋体" w:hAnsi="宋体" w:cs="宋体"/>
          <w:color w:val="000000"/>
          <w:sz w:val="24"/>
          <w:highlight w:val="none"/>
          <w:u w:val="single"/>
          <w:lang w:eastAsia="zh-CN"/>
        </w:rPr>
        <w:t>年</w:t>
      </w:r>
      <w:r>
        <w:rPr>
          <w:rFonts w:hint="eastAsia" w:ascii="宋体" w:hAnsi="宋体" w:cs="宋体"/>
          <w:color w:val="000000"/>
          <w:sz w:val="24"/>
          <w:highlight w:val="none"/>
          <w:u w:val="single"/>
          <w:lang w:val="en-US" w:eastAsia="zh-CN"/>
        </w:rPr>
        <w:t>06</w:t>
      </w:r>
      <w:r>
        <w:rPr>
          <w:rFonts w:hint="eastAsia" w:ascii="宋体" w:hAnsi="宋体" w:cs="宋体"/>
          <w:color w:val="000000"/>
          <w:sz w:val="24"/>
          <w:highlight w:val="none"/>
          <w:u w:val="single"/>
          <w:lang w:eastAsia="zh-CN"/>
        </w:rPr>
        <w:t>月</w:t>
      </w:r>
      <w:r>
        <w:rPr>
          <w:rFonts w:hint="eastAsia" w:ascii="宋体" w:hAnsi="宋体" w:cs="宋体"/>
          <w:color w:val="000000"/>
          <w:sz w:val="24"/>
          <w:highlight w:val="none"/>
          <w:u w:val="single"/>
          <w:lang w:val="en-US" w:eastAsia="zh-CN"/>
        </w:rPr>
        <w:t>05</w:t>
      </w:r>
      <w:r>
        <w:rPr>
          <w:rFonts w:hint="eastAsia" w:ascii="宋体" w:hAnsi="宋体" w:cs="宋体"/>
          <w:color w:val="000000"/>
          <w:sz w:val="24"/>
          <w:highlight w:val="none"/>
          <w:u w:val="single"/>
          <w:lang w:eastAsia="zh-CN"/>
        </w:rPr>
        <w:t>日</w:t>
      </w:r>
      <w:r>
        <w:rPr>
          <w:rFonts w:hint="eastAsia" w:ascii="宋体" w:hAnsi="宋体" w:cs="宋体"/>
          <w:color w:val="000000"/>
          <w:sz w:val="24"/>
          <w:highlight w:val="none"/>
          <w:u w:val="single"/>
          <w:lang w:val="en-US" w:eastAsia="zh-CN"/>
        </w:rPr>
        <w:t>9</w:t>
      </w:r>
      <w:r>
        <w:rPr>
          <w:rFonts w:hint="eastAsia" w:ascii="宋体" w:hAnsi="宋体" w:cs="宋体"/>
          <w:color w:val="000000"/>
          <w:sz w:val="24"/>
          <w:highlight w:val="none"/>
          <w:u w:val="single"/>
        </w:rPr>
        <w:t>时</w:t>
      </w:r>
      <w:r>
        <w:rPr>
          <w:rFonts w:hint="eastAsia" w:ascii="宋体" w:hAnsi="宋体" w:cs="宋体"/>
          <w:color w:val="000000"/>
          <w:sz w:val="24"/>
          <w:highlight w:val="none"/>
          <w:u w:val="single"/>
          <w:lang w:val="en-US" w:eastAsia="zh-CN"/>
        </w:rPr>
        <w:t>30</w:t>
      </w:r>
      <w:r>
        <w:rPr>
          <w:rFonts w:hint="eastAsia" w:ascii="宋体" w:hAnsi="宋体" w:cs="宋体"/>
          <w:color w:val="000000"/>
          <w:sz w:val="24"/>
          <w:highlight w:val="none"/>
          <w:u w:val="single"/>
        </w:rPr>
        <w:t>分</w:t>
      </w:r>
      <w:r>
        <w:rPr>
          <w:rFonts w:hint="eastAsia" w:ascii="宋体" w:hAnsi="宋体" w:cs="宋体"/>
          <w:bCs/>
          <w:color w:val="000000"/>
          <w:sz w:val="24"/>
          <w:highlight w:val="none"/>
        </w:rPr>
        <w:t>（北京时间）。</w:t>
      </w:r>
    </w:p>
    <w:p w14:paraId="2EC4C56C">
      <w:pPr>
        <w:spacing w:line="380" w:lineRule="exact"/>
        <w:ind w:firstLine="480"/>
        <w:rPr>
          <w:rFonts w:ascii="宋体" w:hAnsi="宋体" w:cs="宋体"/>
          <w:color w:val="000000"/>
          <w:highlight w:val="none"/>
        </w:rPr>
      </w:pPr>
      <w:r>
        <w:rPr>
          <w:rFonts w:hint="eastAsia" w:ascii="宋体" w:hAnsi="宋体" w:cs="宋体"/>
          <w:color w:val="000000"/>
          <w:sz w:val="24"/>
          <w:highlight w:val="none"/>
        </w:rPr>
        <w:t>地    点：通过</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实行在线投标。</w:t>
      </w:r>
    </w:p>
    <w:p w14:paraId="159E4F0B">
      <w:pPr>
        <w:spacing w:line="380" w:lineRule="exact"/>
        <w:ind w:firstLine="480"/>
        <w:rPr>
          <w:rFonts w:ascii="宋体" w:hAnsi="宋体" w:cs="宋体"/>
          <w:bCs/>
          <w:color w:val="000000"/>
          <w:sz w:val="24"/>
          <w:highlight w:val="none"/>
          <w:u w:val="single"/>
        </w:rPr>
      </w:pPr>
      <w:r>
        <w:rPr>
          <w:rFonts w:hint="eastAsia" w:ascii="宋体" w:hAnsi="宋体" w:cs="宋体"/>
          <w:bCs/>
          <w:color w:val="000000"/>
          <w:sz w:val="24"/>
          <w:highlight w:val="none"/>
        </w:rPr>
        <w:t>开标时间：</w:t>
      </w:r>
      <w:r>
        <w:rPr>
          <w:rFonts w:hint="eastAsia" w:ascii="宋体" w:hAnsi="宋体" w:cs="宋体"/>
          <w:color w:val="000000"/>
          <w:sz w:val="24"/>
          <w:highlight w:val="none"/>
          <w:u w:val="single"/>
          <w:lang w:eastAsia="zh-CN"/>
        </w:rPr>
        <w:t>202</w:t>
      </w:r>
      <w:r>
        <w:rPr>
          <w:rFonts w:hint="eastAsia" w:ascii="宋体" w:hAnsi="宋体" w:cs="宋体"/>
          <w:color w:val="000000"/>
          <w:sz w:val="24"/>
          <w:highlight w:val="none"/>
          <w:u w:val="single"/>
          <w:lang w:val="en-US" w:eastAsia="zh-CN"/>
        </w:rPr>
        <w:t>6</w:t>
      </w:r>
      <w:r>
        <w:rPr>
          <w:rFonts w:hint="eastAsia" w:ascii="宋体" w:hAnsi="宋体" w:cs="宋体"/>
          <w:color w:val="000000"/>
          <w:sz w:val="24"/>
          <w:highlight w:val="none"/>
          <w:u w:val="single"/>
          <w:lang w:eastAsia="zh-CN"/>
        </w:rPr>
        <w:t>年</w:t>
      </w:r>
      <w:r>
        <w:rPr>
          <w:rFonts w:hint="eastAsia" w:ascii="宋体" w:hAnsi="宋体" w:cs="宋体"/>
          <w:color w:val="000000"/>
          <w:sz w:val="24"/>
          <w:highlight w:val="none"/>
          <w:u w:val="single"/>
          <w:lang w:val="en-US" w:eastAsia="zh-CN"/>
        </w:rPr>
        <w:t>06</w:t>
      </w:r>
      <w:r>
        <w:rPr>
          <w:rFonts w:hint="eastAsia" w:ascii="宋体" w:hAnsi="宋体" w:cs="宋体"/>
          <w:color w:val="000000"/>
          <w:sz w:val="24"/>
          <w:highlight w:val="none"/>
          <w:u w:val="single"/>
          <w:lang w:eastAsia="zh-CN"/>
        </w:rPr>
        <w:t>月</w:t>
      </w:r>
      <w:r>
        <w:rPr>
          <w:rFonts w:hint="eastAsia" w:ascii="宋体" w:hAnsi="宋体" w:cs="宋体"/>
          <w:color w:val="000000"/>
          <w:sz w:val="24"/>
          <w:highlight w:val="none"/>
          <w:u w:val="single"/>
          <w:lang w:val="en-US" w:eastAsia="zh-CN"/>
        </w:rPr>
        <w:t>05</w:t>
      </w:r>
      <w:r>
        <w:rPr>
          <w:rFonts w:hint="eastAsia" w:ascii="宋体" w:hAnsi="宋体" w:cs="宋体"/>
          <w:color w:val="000000"/>
          <w:sz w:val="24"/>
          <w:highlight w:val="none"/>
          <w:u w:val="single"/>
          <w:lang w:eastAsia="zh-CN"/>
        </w:rPr>
        <w:t>日</w:t>
      </w:r>
      <w:r>
        <w:rPr>
          <w:rFonts w:hint="eastAsia" w:ascii="宋体" w:hAnsi="宋体" w:cs="宋体"/>
          <w:color w:val="000000"/>
          <w:sz w:val="24"/>
          <w:highlight w:val="none"/>
          <w:u w:val="single"/>
          <w:lang w:val="en-US" w:eastAsia="zh-CN"/>
        </w:rPr>
        <w:t>9</w:t>
      </w:r>
      <w:r>
        <w:rPr>
          <w:rFonts w:hint="eastAsia" w:ascii="宋体" w:hAnsi="宋体" w:cs="宋体"/>
          <w:color w:val="000000"/>
          <w:sz w:val="24"/>
          <w:highlight w:val="none"/>
          <w:u w:val="single"/>
        </w:rPr>
        <w:t>时</w:t>
      </w:r>
      <w:r>
        <w:rPr>
          <w:rFonts w:hint="eastAsia" w:ascii="宋体" w:hAnsi="宋体" w:cs="宋体"/>
          <w:color w:val="000000"/>
          <w:sz w:val="24"/>
          <w:highlight w:val="none"/>
          <w:u w:val="single"/>
          <w:lang w:val="en-US" w:eastAsia="zh-CN"/>
        </w:rPr>
        <w:t>30</w:t>
      </w:r>
      <w:r>
        <w:rPr>
          <w:rFonts w:hint="eastAsia" w:ascii="宋体" w:hAnsi="宋体" w:cs="宋体"/>
          <w:color w:val="000000"/>
          <w:sz w:val="24"/>
          <w:highlight w:val="none"/>
          <w:u w:val="single"/>
        </w:rPr>
        <w:t>分</w:t>
      </w:r>
      <w:r>
        <w:rPr>
          <w:rFonts w:hint="eastAsia" w:ascii="宋体" w:hAnsi="宋体" w:cs="宋体"/>
          <w:bCs/>
          <w:color w:val="000000"/>
          <w:sz w:val="24"/>
          <w:highlight w:val="none"/>
        </w:rPr>
        <w:t>（北京时间）</w:t>
      </w:r>
      <w:r>
        <w:rPr>
          <w:rFonts w:hint="eastAsia" w:ascii="宋体" w:hAnsi="宋体" w:cs="宋体"/>
          <w:color w:val="000000"/>
          <w:sz w:val="24"/>
          <w:highlight w:val="none"/>
        </w:rPr>
        <w:t>截标后。</w:t>
      </w:r>
    </w:p>
    <w:p w14:paraId="70CA4F2D">
      <w:pPr>
        <w:spacing w:line="380" w:lineRule="exact"/>
        <w:ind w:firstLine="480"/>
        <w:rPr>
          <w:rFonts w:ascii="宋体" w:hAnsi="宋体" w:cs="宋体"/>
          <w:color w:val="000000"/>
          <w:highlight w:val="none"/>
        </w:rPr>
      </w:pPr>
      <w:r>
        <w:rPr>
          <w:rFonts w:hint="eastAsia" w:ascii="宋体" w:hAnsi="宋体" w:cs="宋体"/>
          <w:color w:val="000000"/>
          <w:sz w:val="24"/>
          <w:highlight w:val="none"/>
        </w:rPr>
        <w:t>地</w:t>
      </w:r>
      <w:r>
        <w:rPr>
          <w:rFonts w:ascii="宋体" w:hAnsi="宋体" w:cs="宋体"/>
          <w:color w:val="000000"/>
          <w:sz w:val="24"/>
          <w:highlight w:val="none"/>
        </w:rPr>
        <w:t xml:space="preserve">    </w:t>
      </w:r>
      <w:r>
        <w:rPr>
          <w:rFonts w:hint="eastAsia" w:ascii="宋体" w:hAnsi="宋体" w:cs="宋体"/>
          <w:color w:val="000000"/>
          <w:sz w:val="24"/>
          <w:highlight w:val="none"/>
        </w:rPr>
        <w:t>点：</w:t>
      </w:r>
      <w:r>
        <w:rPr>
          <w:rFonts w:hint="eastAsia" w:ascii="宋体" w:hAnsi="宋体" w:eastAsia="宋体" w:cs="宋体"/>
          <w:color w:val="000000"/>
          <w:sz w:val="24"/>
          <w:highlight w:val="none"/>
          <w:lang w:eastAsia="zh-CN"/>
        </w:rPr>
        <w:t>桂林市公共资源交易中心</w:t>
      </w:r>
      <w:r>
        <w:rPr>
          <w:rFonts w:hint="eastAsia" w:ascii="宋体" w:hAnsi="宋体" w:cs="宋体"/>
          <w:color w:val="000000"/>
          <w:sz w:val="24"/>
          <w:highlight w:val="none"/>
          <w:u w:val="single"/>
          <w:lang w:val="en-US" w:eastAsia="zh-CN"/>
        </w:rPr>
        <w:t>3号政采开标仓</w:t>
      </w:r>
      <w:r>
        <w:rPr>
          <w:rFonts w:hint="eastAsia" w:ascii="宋体" w:hAnsi="宋体" w:eastAsia="宋体" w:cs="宋体"/>
          <w:color w:val="000000"/>
          <w:sz w:val="24"/>
          <w:highlight w:val="none"/>
        </w:rPr>
        <w:t>通过</w:t>
      </w:r>
      <w:r>
        <w:rPr>
          <w:rFonts w:hint="eastAsia" w:ascii="宋体" w:hAnsi="宋体" w:eastAsia="宋体" w:cs="宋体"/>
          <w:color w:val="000000"/>
          <w:sz w:val="24"/>
          <w:highlight w:val="none"/>
          <w:lang w:eastAsia="zh-CN"/>
        </w:rPr>
        <w:t>广西政府采购云平台</w:t>
      </w:r>
      <w:r>
        <w:rPr>
          <w:rFonts w:hint="eastAsia" w:ascii="宋体" w:hAnsi="宋体" w:eastAsia="宋体" w:cs="宋体"/>
          <w:color w:val="000000"/>
          <w:sz w:val="24"/>
          <w:highlight w:val="none"/>
        </w:rPr>
        <w:t>实行在线解密开启。</w:t>
      </w:r>
    </w:p>
    <w:p w14:paraId="5CFB9CA6">
      <w:pPr>
        <w:rPr>
          <w:rFonts w:ascii="宋体" w:hAnsi="宋体" w:cs="宋体"/>
          <w:color w:val="000000"/>
          <w:sz w:val="24"/>
          <w:highlight w:val="none"/>
        </w:rPr>
      </w:pPr>
      <w:bookmarkStart w:id="21" w:name="_Toc28359084"/>
      <w:bookmarkStart w:id="22" w:name="_Toc35393625"/>
      <w:bookmarkStart w:id="23" w:name="_Toc28359007"/>
      <w:bookmarkStart w:id="24" w:name="_Toc35393794"/>
      <w:r>
        <w:rPr>
          <w:rFonts w:hint="eastAsia" w:ascii="宋体" w:hAnsi="宋体" w:cs="宋体"/>
          <w:color w:val="000000"/>
          <w:sz w:val="24"/>
          <w:highlight w:val="none"/>
        </w:rPr>
        <w:t>五、公告期限</w:t>
      </w:r>
      <w:bookmarkEnd w:id="21"/>
      <w:bookmarkEnd w:id="22"/>
      <w:bookmarkEnd w:id="23"/>
      <w:bookmarkEnd w:id="24"/>
    </w:p>
    <w:p w14:paraId="333236B7">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自本公告发布之日起5个工作日。</w:t>
      </w:r>
    </w:p>
    <w:p w14:paraId="41760753">
      <w:pPr>
        <w:rPr>
          <w:rFonts w:ascii="宋体" w:hAnsi="宋体" w:cs="宋体"/>
          <w:color w:val="000000"/>
          <w:sz w:val="24"/>
          <w:highlight w:val="none"/>
        </w:rPr>
      </w:pPr>
      <w:bookmarkStart w:id="25" w:name="_Toc35393795"/>
      <w:bookmarkStart w:id="26" w:name="_Toc35393626"/>
      <w:r>
        <w:rPr>
          <w:rFonts w:hint="eastAsia" w:ascii="宋体" w:hAnsi="宋体" w:cs="宋体"/>
          <w:color w:val="000000"/>
          <w:sz w:val="24"/>
          <w:highlight w:val="none"/>
        </w:rPr>
        <w:t>六、其他补充事宜</w:t>
      </w:r>
      <w:bookmarkEnd w:id="25"/>
      <w:bookmarkEnd w:id="26"/>
    </w:p>
    <w:p w14:paraId="3B5E8290">
      <w:pPr>
        <w:numPr>
          <w:ilvl w:val="0"/>
          <w:numId w:val="2"/>
        </w:numPr>
        <w:spacing w:line="380" w:lineRule="exact"/>
        <w:ind w:firstLine="482"/>
        <w:rPr>
          <w:rFonts w:ascii="宋体" w:hAnsi="宋体" w:cs="宋体"/>
          <w:color w:val="000000"/>
          <w:sz w:val="24"/>
          <w:highlight w:val="none"/>
        </w:rPr>
      </w:pPr>
      <w:r>
        <w:rPr>
          <w:rFonts w:hint="eastAsia" w:ascii="宋体" w:hAnsi="宋体" w:cs="宋体"/>
          <w:b/>
          <w:bCs/>
          <w:color w:val="000000"/>
          <w:sz w:val="24"/>
          <w:highlight w:val="none"/>
        </w:rPr>
        <w:t>本项目无需缴纳投标保证金。</w:t>
      </w:r>
    </w:p>
    <w:p w14:paraId="0745A909">
      <w:pPr>
        <w:numPr>
          <w:ilvl w:val="0"/>
          <w:numId w:val="2"/>
        </w:num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投标人可视自身情况决定是否出席开标会议；如出席开标会议，可以由法定代表人、负责人、自然人或其委托代理人出席开标会议（出席代表需携带本人身份证原件，未携带身份证所造成一切后果，由其自行承担）。</w:t>
      </w:r>
    </w:p>
    <w:p w14:paraId="3DD60889">
      <w:pPr>
        <w:numPr>
          <w:ilvl w:val="0"/>
          <w:numId w:val="2"/>
        </w:num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本项目信息发布媒体：</w:t>
      </w:r>
    </w:p>
    <w:p w14:paraId="126C3F5C">
      <w:pPr>
        <w:spacing w:line="380" w:lineRule="exact"/>
        <w:ind w:firstLine="480"/>
        <w:rPr>
          <w:rFonts w:ascii="宋体" w:hAnsi="宋体" w:eastAsia="宋体" w:cs="宋体"/>
          <w:color w:val="000000"/>
          <w:sz w:val="24"/>
          <w:highlight w:val="none"/>
          <w:lang w:val="en-US" w:eastAsia="zh-CN"/>
        </w:rPr>
      </w:pPr>
      <w:bookmarkStart w:id="27" w:name="_Toc35393627"/>
      <w:bookmarkStart w:id="28" w:name="_Toc35393796"/>
      <w:bookmarkStart w:id="29" w:name="_Toc28359085"/>
      <w:bookmarkStart w:id="30" w:name="_Toc28359008"/>
      <w:r>
        <w:rPr>
          <w:rFonts w:hint="eastAsia" w:ascii="宋体" w:hAnsi="宋体" w:cs="宋体"/>
          <w:color w:val="000000"/>
          <w:sz w:val="24"/>
          <w:highlight w:val="none"/>
        </w:rPr>
        <w:t>桂林市政府采购网（zfcg.czj.guilin.gov.cn）</w:t>
      </w:r>
    </w:p>
    <w:p w14:paraId="07F2EAAC">
      <w:pPr>
        <w:spacing w:line="380" w:lineRule="exact"/>
        <w:ind w:firstLine="480"/>
        <w:rPr>
          <w:highlight w:val="none"/>
        </w:rPr>
      </w:pPr>
      <w:r>
        <w:rPr>
          <w:rFonts w:hint="eastAsia" w:ascii="宋体" w:hAnsi="宋体" w:cs="宋体"/>
          <w:color w:val="000000"/>
          <w:sz w:val="24"/>
          <w:highlight w:val="none"/>
        </w:rPr>
        <w:t>广西壮族自治区政府采购网（www.ccgp-guangxi.gov.cn）</w:t>
      </w:r>
    </w:p>
    <w:p w14:paraId="4C539F01">
      <w:pPr>
        <w:pStyle w:val="2"/>
        <w:ind w:firstLine="480"/>
        <w:rPr>
          <w:highlight w:val="none"/>
          <w:lang w:val="en-US" w:eastAsia="zh-CN"/>
        </w:rPr>
      </w:pPr>
      <w:r>
        <w:rPr>
          <w:rFonts w:hint="eastAsia" w:ascii="宋体" w:hAnsi="宋体" w:eastAsia="宋体" w:cs="宋体"/>
          <w:color w:val="000000"/>
          <w:sz w:val="24"/>
          <w:highlight w:val="none"/>
          <w:lang w:val="en-US" w:eastAsia="zh-CN"/>
        </w:rPr>
        <w:t>中国政府采购网（www.ccgp.gov.cn/）</w:t>
      </w:r>
    </w:p>
    <w:p w14:paraId="35EA2D46">
      <w:pPr>
        <w:pStyle w:val="251"/>
        <w:numPr>
          <w:ilvl w:val="0"/>
          <w:numId w:val="2"/>
        </w:numPr>
        <w:ind w:firstLine="480"/>
        <w:rPr>
          <w:rFonts w:hint="eastAsia" w:ascii="宋体" w:hAnsi="宋体" w:eastAsia="宋体" w:cs="宋体"/>
          <w:color w:val="000000"/>
          <w:highlight w:val="none"/>
        </w:rPr>
      </w:pPr>
      <w:r>
        <w:rPr>
          <w:rFonts w:hint="eastAsia" w:ascii="宋体" w:hAnsi="宋体" w:eastAsia="宋体" w:cs="宋体"/>
          <w:color w:val="000000"/>
          <w:highlight w:val="none"/>
        </w:rPr>
        <w:t>投标文件解密时间：截标时间后</w:t>
      </w:r>
      <w:r>
        <w:rPr>
          <w:rFonts w:hint="eastAsia" w:ascii="宋体" w:hAnsi="宋体" w:eastAsia="宋体" w:cs="宋体"/>
          <w:color w:val="000000"/>
          <w:highlight w:val="none"/>
          <w:u w:val="single"/>
        </w:rPr>
        <w:t>30</w:t>
      </w:r>
      <w:r>
        <w:rPr>
          <w:rFonts w:hint="eastAsia" w:ascii="宋体" w:hAnsi="宋体" w:eastAsia="宋体" w:cs="宋体"/>
          <w:color w:val="000000"/>
          <w:highlight w:val="none"/>
        </w:rPr>
        <w:t>分钟内（</w:t>
      </w:r>
      <w:r>
        <w:rPr>
          <w:rFonts w:hint="eastAsia" w:ascii="宋体" w:hAnsi="宋体" w:eastAsia="宋体" w:cs="宋体"/>
          <w:color w:val="000000"/>
          <w:highlight w:val="none"/>
          <w:u w:val="single"/>
          <w:lang w:eastAsia="zh-CN"/>
        </w:rPr>
        <w:t>202</w:t>
      </w:r>
      <w:r>
        <w:rPr>
          <w:rFonts w:hint="eastAsia" w:ascii="宋体" w:hAnsi="宋体" w:eastAsia="宋体" w:cs="宋体"/>
          <w:color w:val="000000"/>
          <w:highlight w:val="none"/>
          <w:u w:val="single"/>
          <w:lang w:val="en-US" w:eastAsia="zh-CN"/>
        </w:rPr>
        <w:t>6</w:t>
      </w:r>
      <w:r>
        <w:rPr>
          <w:rFonts w:hint="eastAsia" w:ascii="宋体" w:hAnsi="宋体" w:eastAsia="宋体" w:cs="宋体"/>
          <w:color w:val="000000"/>
          <w:highlight w:val="none"/>
          <w:u w:val="single"/>
          <w:lang w:eastAsia="zh-CN"/>
        </w:rPr>
        <w:t>年</w:t>
      </w:r>
      <w:r>
        <w:rPr>
          <w:rFonts w:hint="eastAsia" w:ascii="宋体" w:hAnsi="宋体" w:eastAsia="宋体" w:cs="宋体"/>
          <w:color w:val="000000"/>
          <w:highlight w:val="none"/>
          <w:u w:val="single"/>
          <w:lang w:val="en-US" w:eastAsia="zh-CN"/>
        </w:rPr>
        <w:t>06</w:t>
      </w:r>
      <w:r>
        <w:rPr>
          <w:rFonts w:hint="eastAsia" w:ascii="宋体" w:hAnsi="宋体" w:eastAsia="宋体" w:cs="宋体"/>
          <w:color w:val="000000"/>
          <w:highlight w:val="none"/>
          <w:u w:val="single"/>
          <w:lang w:eastAsia="zh-CN"/>
        </w:rPr>
        <w:t>月</w:t>
      </w:r>
      <w:r>
        <w:rPr>
          <w:rFonts w:hint="eastAsia" w:ascii="宋体" w:hAnsi="宋体" w:eastAsia="宋体" w:cs="宋体"/>
          <w:color w:val="000000"/>
          <w:highlight w:val="none"/>
          <w:u w:val="single"/>
          <w:lang w:val="en-US" w:eastAsia="zh-CN"/>
        </w:rPr>
        <w:t>05</w:t>
      </w:r>
      <w:r>
        <w:rPr>
          <w:rFonts w:hint="eastAsia" w:ascii="宋体" w:hAnsi="宋体" w:eastAsia="宋体" w:cs="宋体"/>
          <w:color w:val="000000"/>
          <w:highlight w:val="none"/>
          <w:u w:val="single"/>
          <w:lang w:eastAsia="zh-CN"/>
        </w:rPr>
        <w:t>日</w:t>
      </w:r>
      <w:r>
        <w:rPr>
          <w:rFonts w:hint="eastAsia" w:ascii="宋体" w:hAnsi="宋体" w:eastAsia="宋体" w:cs="宋体"/>
          <w:color w:val="000000"/>
          <w:highlight w:val="none"/>
          <w:u w:val="single"/>
        </w:rPr>
        <w:t>上午</w:t>
      </w:r>
      <w:r>
        <w:rPr>
          <w:rFonts w:hint="eastAsia" w:ascii="宋体" w:hAnsi="宋体" w:eastAsia="宋体" w:cs="宋体"/>
          <w:color w:val="000000"/>
          <w:highlight w:val="none"/>
          <w:u w:val="single"/>
          <w:lang w:val="en-US" w:eastAsia="zh-CN"/>
        </w:rPr>
        <w:t>9</w:t>
      </w:r>
      <w:r>
        <w:rPr>
          <w:rFonts w:hint="eastAsia" w:ascii="宋体" w:hAnsi="宋体" w:eastAsia="宋体" w:cs="宋体"/>
          <w:color w:val="000000"/>
          <w:highlight w:val="none"/>
          <w:u w:val="single"/>
        </w:rPr>
        <w:t>时</w:t>
      </w:r>
      <w:r>
        <w:rPr>
          <w:rFonts w:hint="eastAsia" w:ascii="宋体" w:hAnsi="宋体" w:eastAsia="宋体" w:cs="宋体"/>
          <w:color w:val="000000"/>
          <w:highlight w:val="none"/>
          <w:u w:val="single"/>
          <w:lang w:val="en-US" w:eastAsia="zh-CN"/>
        </w:rPr>
        <w:t>30</w:t>
      </w:r>
      <w:r>
        <w:rPr>
          <w:rFonts w:hint="eastAsia" w:ascii="宋体" w:hAnsi="宋体" w:eastAsia="宋体" w:cs="宋体"/>
          <w:color w:val="000000"/>
          <w:highlight w:val="none"/>
          <w:u w:val="single"/>
        </w:rPr>
        <w:t>分至</w:t>
      </w:r>
      <w:r>
        <w:rPr>
          <w:rFonts w:hint="eastAsia" w:ascii="宋体" w:hAnsi="宋体" w:eastAsia="宋体" w:cs="宋体"/>
          <w:color w:val="000000"/>
          <w:highlight w:val="none"/>
          <w:u w:val="single"/>
          <w:lang w:val="en-US" w:eastAsia="zh-CN"/>
        </w:rPr>
        <w:t>10</w:t>
      </w:r>
      <w:r>
        <w:rPr>
          <w:rFonts w:hint="eastAsia" w:ascii="宋体" w:hAnsi="宋体" w:eastAsia="宋体" w:cs="宋体"/>
          <w:color w:val="000000"/>
          <w:highlight w:val="none"/>
          <w:u w:val="single"/>
        </w:rPr>
        <w:t>时</w:t>
      </w:r>
      <w:r>
        <w:rPr>
          <w:rFonts w:hint="eastAsia" w:ascii="宋体" w:hAnsi="宋体" w:eastAsia="宋体" w:cs="宋体"/>
          <w:color w:val="000000"/>
          <w:highlight w:val="none"/>
          <w:u w:val="single"/>
          <w:lang w:val="en-US" w:eastAsia="zh-CN"/>
        </w:rPr>
        <w:t>00</w:t>
      </w:r>
      <w:r>
        <w:rPr>
          <w:rFonts w:hint="eastAsia" w:ascii="宋体" w:hAnsi="宋体" w:eastAsia="宋体" w:cs="宋体"/>
          <w:color w:val="000000"/>
          <w:highlight w:val="none"/>
          <w:u w:val="single"/>
        </w:rPr>
        <w:t>分</w:t>
      </w:r>
      <w:r>
        <w:rPr>
          <w:rFonts w:hint="eastAsia" w:ascii="宋体" w:hAnsi="宋体" w:eastAsia="宋体" w:cs="宋体"/>
          <w:color w:val="000000"/>
          <w:highlight w:val="none"/>
        </w:rPr>
        <w:t>)投标人可以登录</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，用“项目采购-开标评标”功能进行解密投标文件。</w:t>
      </w:r>
    </w:p>
    <w:p w14:paraId="6936BF2B">
      <w:pPr>
        <w:pStyle w:val="251"/>
        <w:numPr>
          <w:ilvl w:val="0"/>
          <w:numId w:val="0"/>
        </w:numPr>
        <w:ind w:firstLine="482"/>
        <w:rPr>
          <w:rFonts w:ascii="宋体" w:hAnsi="宋体" w:eastAsia="宋体" w:cs="宋体"/>
          <w:color w:val="000000"/>
          <w:highlight w:val="none"/>
          <w:lang w:val="en-US"/>
        </w:rPr>
      </w:pPr>
      <w:r>
        <w:rPr>
          <w:rFonts w:hint="eastAsia" w:ascii="宋体" w:hAnsi="宋体" w:eastAsia="宋体" w:cs="宋体"/>
          <w:b/>
          <w:bCs/>
          <w:color w:val="000000"/>
          <w:szCs w:val="21"/>
          <w:highlight w:val="none"/>
          <w:lang w:val="en-US" w:eastAsia="zh-CN"/>
        </w:rPr>
        <w:t>注：投标文件网上递交截止时间后，各投标人须在解密时限内对上传广西政府采购云平台的投标文件进行解密，所有投标人在规定的解密时限内解密完成或解密时限结束后，我中心开启已解密的响应文件。投标人超过解密时限未解密的，系统默认自动放弃，造成投标无效的后果由投标人自行承担。解密响应文件后，30分钟内在线签字确认，超过时间没有在线签字确认的系统将自动视为供应商认可。</w:t>
      </w:r>
    </w:p>
    <w:p w14:paraId="68174748">
      <w:pPr>
        <w:pStyle w:val="251"/>
        <w:rPr>
          <w:rFonts w:hint="eastAsia" w:ascii="宋体" w:hAnsi="宋体" w:eastAsia="宋体" w:cs="宋体"/>
          <w:color w:val="000000"/>
          <w:highlight w:val="none"/>
        </w:rPr>
      </w:pPr>
      <w:r>
        <w:rPr>
          <w:rFonts w:hint="eastAsia" w:ascii="宋体" w:hAnsi="宋体" w:eastAsia="宋体" w:cs="宋体"/>
          <w:color w:val="000000"/>
          <w:highlight w:val="none"/>
        </w:rPr>
        <w:t>七、在线投标（电子投标）说明</w:t>
      </w:r>
    </w:p>
    <w:p w14:paraId="547EDD9E">
      <w:pPr>
        <w:spacing w:line="34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1.本项目通过</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实行在线投标响应（电子投标），投标人需要先安装“</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电子交易客户端”，并按照本招标文件和</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的要求，通过“</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电子交易客户端”编制并加密投标文件。投标人未按规定编制并加密的投标文件，</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将予以拒收。</w:t>
      </w:r>
    </w:p>
    <w:p w14:paraId="623832FA">
      <w:pPr>
        <w:pStyle w:val="251"/>
        <w:ind w:firstLine="480"/>
        <w:rPr>
          <w:rFonts w:hint="eastAsia" w:ascii="宋体" w:hAnsi="宋体" w:eastAsia="宋体" w:cs="宋体"/>
          <w:color w:val="000000"/>
          <w:highlight w:val="none"/>
        </w:rPr>
      </w:pPr>
      <w:r>
        <w:rPr>
          <w:rFonts w:hint="eastAsia" w:ascii="宋体" w:hAnsi="宋体" w:eastAsia="宋体" w:cs="宋体"/>
          <w:color w:val="000000"/>
          <w:highlight w:val="none"/>
        </w:rPr>
        <w:t>“</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电子交易客户端”请自行前往广西政府采购网下载并安装；电子投标具体操作流程参考《政府采购项目电子交易管理操作指南-供应商》；在使用</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投标客户端时，建议使用WIN7及以上操作系统,通过</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参与在线投标时如遇平台技术问题详询</w:t>
      </w:r>
      <w:r>
        <w:rPr>
          <w:rFonts w:hint="eastAsia" w:ascii="宋体" w:hAnsi="宋体" w:eastAsia="宋体" w:cs="宋体"/>
          <w:color w:val="000000"/>
          <w:highlight w:val="none"/>
          <w:lang w:eastAsia="zh-CN"/>
        </w:rPr>
        <w:t>95763</w:t>
      </w:r>
      <w:r>
        <w:rPr>
          <w:rFonts w:hint="eastAsia" w:ascii="宋体" w:hAnsi="宋体" w:eastAsia="宋体" w:cs="宋体"/>
          <w:color w:val="000000"/>
          <w:highlight w:val="none"/>
        </w:rPr>
        <w:t>。</w:t>
      </w:r>
    </w:p>
    <w:p w14:paraId="0DA96968">
      <w:pPr>
        <w:spacing w:line="34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2.为确保网上操作合法、有效和安全，投标人应当在投标截止时间前完成在</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的身份认证，确保在电子投标过程中能够对相关数据电子文件进行加密和使用电子签章。使用“</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电子交易客户端”需要提前申领CA数字证书，申领流程请自行前往</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网站进行查阅；</w:t>
      </w:r>
      <w:r>
        <w:rPr>
          <w:rFonts w:hint="eastAsia" w:ascii="宋体" w:hAnsi="宋体" w:cs="宋体"/>
          <w:b/>
          <w:bCs/>
          <w:color w:val="000000"/>
          <w:sz w:val="24"/>
          <w:highlight w:val="none"/>
        </w:rPr>
        <w:t>（完成CA数字证书办理预计一周左右，建议供应商获取投标文件后立即办理）</w:t>
      </w:r>
    </w:p>
    <w:p w14:paraId="3148FF06">
      <w:pPr>
        <w:spacing w:line="34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3.投标人应当在投标截止时间前，将生成的“投标文件”上传递交至</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。投标文件递交截止时间前可以撤回电子投标文件。补充或者修改电子投标文件的，应当先行撤回原文件，补充、修改后重新传输递交，投标文件递交截止时间前未完成传输的，视为撤回投标文件。</w:t>
      </w:r>
    </w:p>
    <w:p w14:paraId="44DD7EBB">
      <w:pPr>
        <w:pStyle w:val="251"/>
        <w:ind w:firstLine="480"/>
        <w:rPr>
          <w:color w:val="000000"/>
          <w:highlight w:val="none"/>
        </w:rPr>
      </w:pPr>
      <w:r>
        <w:rPr>
          <w:rFonts w:hint="eastAsia" w:ascii="宋体" w:hAnsi="宋体" w:eastAsia="宋体" w:cs="宋体"/>
          <w:color w:val="000000"/>
          <w:highlight w:val="none"/>
        </w:rPr>
        <w:t>4.本采购项目为</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全流程电子化操作，参与投标的供应商需自备计算机和网络设备（设备需可视频通话和读取</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CA数字证书），确保投标过程顺利进行；因供应商自身设备或网络原因造成的一切后果，由供应商自行承担。</w:t>
      </w:r>
    </w:p>
    <w:p w14:paraId="7D081A94">
      <w:pPr>
        <w:rPr>
          <w:rFonts w:ascii="宋体" w:hAnsi="宋体" w:cs="宋体"/>
          <w:color w:val="000000"/>
          <w:sz w:val="24"/>
          <w:highlight w:val="none"/>
        </w:rPr>
      </w:pPr>
      <w:r>
        <w:rPr>
          <w:rFonts w:hint="eastAsia" w:ascii="宋体" w:hAnsi="宋体" w:cs="宋体"/>
          <w:color w:val="000000"/>
          <w:sz w:val="24"/>
          <w:highlight w:val="none"/>
        </w:rPr>
        <w:t>八、对本次招标提出询问，请按以下方式联系。</w:t>
      </w:r>
      <w:bookmarkEnd w:id="27"/>
      <w:bookmarkEnd w:id="28"/>
      <w:bookmarkEnd w:id="29"/>
      <w:bookmarkEnd w:id="30"/>
    </w:p>
    <w:p w14:paraId="3195F9FA">
      <w:pPr>
        <w:widowControl/>
        <w:spacing w:line="380" w:lineRule="exact"/>
        <w:ind w:left="0" w:firstLine="420"/>
        <w:jc w:val="left"/>
        <w:rPr>
          <w:rFonts w:ascii="宋体" w:hAnsi="宋体" w:cs="宋体"/>
          <w:color w:val="000000"/>
          <w:sz w:val="24"/>
          <w:highlight w:val="none"/>
        </w:rPr>
      </w:pPr>
      <w:r>
        <w:rPr>
          <w:rFonts w:hint="eastAsia" w:ascii="宋体" w:hAnsi="宋体" w:cs="宋体"/>
          <w:color w:val="000000"/>
          <w:sz w:val="24"/>
          <w:highlight w:val="none"/>
        </w:rPr>
        <w:t>1.采购人信息</w:t>
      </w:r>
    </w:p>
    <w:p w14:paraId="3A20D366">
      <w:pPr>
        <w:spacing w:line="380" w:lineRule="exact"/>
        <w:ind w:left="0" w:firstLine="420"/>
        <w:jc w:val="left"/>
        <w:rPr>
          <w:rFonts w:ascii="宋体" w:hAnsi="宋体" w:eastAsia="宋体" w:cs="宋体"/>
          <w:color w:val="000000"/>
          <w:sz w:val="24"/>
          <w:highlight w:val="none"/>
          <w:lang w:val="en-US" w:eastAsia="zh-CN"/>
        </w:rPr>
      </w:pPr>
      <w:r>
        <w:rPr>
          <w:rFonts w:hint="eastAsia" w:ascii="宋体" w:hAnsi="宋体" w:cs="宋体"/>
          <w:color w:val="000000"/>
          <w:sz w:val="24"/>
          <w:highlight w:val="none"/>
        </w:rPr>
        <w:t>名 称：</w:t>
      </w:r>
      <w:r>
        <w:rPr>
          <w:rFonts w:hint="eastAsia" w:ascii="宋体" w:hAnsi="宋体" w:cs="宋体"/>
          <w:color w:val="000000"/>
          <w:sz w:val="24"/>
          <w:highlight w:val="none"/>
          <w:u w:val="single"/>
          <w:lang w:val="en-US" w:eastAsia="zh-CN"/>
        </w:rPr>
        <w:t>桂林市机关事务管理局</w:t>
      </w:r>
    </w:p>
    <w:p w14:paraId="3B3B88ED">
      <w:pPr>
        <w:spacing w:line="380" w:lineRule="exact"/>
        <w:ind w:left="0" w:firstLine="480"/>
        <w:jc w:val="left"/>
        <w:rPr>
          <w:rFonts w:ascii="宋体" w:hAnsi="宋体" w:eastAsia="宋体" w:cs="宋体"/>
          <w:color w:val="000000"/>
          <w:sz w:val="24"/>
          <w:highlight w:val="none"/>
          <w:u w:val="single"/>
          <w:lang w:val="en-US" w:eastAsia="zh-CN"/>
        </w:rPr>
      </w:pPr>
      <w:r>
        <w:rPr>
          <w:rFonts w:hint="eastAsia" w:ascii="宋体" w:hAnsi="宋体" w:cs="宋体"/>
          <w:color w:val="000000"/>
          <w:sz w:val="24"/>
          <w:highlight w:val="none"/>
        </w:rPr>
        <w:t>地 址：</w:t>
      </w:r>
      <w:r>
        <w:rPr>
          <w:rFonts w:hint="eastAsia" w:ascii="宋体" w:hAnsi="宋体" w:cs="宋体"/>
          <w:color w:val="000000"/>
          <w:sz w:val="24"/>
          <w:highlight w:val="none"/>
          <w:u w:val="single"/>
          <w:lang w:eastAsia="zh-CN"/>
        </w:rPr>
        <w:t>桂林市临桂区西城中路69号</w:t>
      </w:r>
    </w:p>
    <w:p w14:paraId="44082068">
      <w:pPr>
        <w:spacing w:line="380" w:lineRule="exact"/>
        <w:ind w:left="0" w:firstLine="420"/>
        <w:jc w:val="left"/>
        <w:rPr>
          <w:rFonts w:ascii="宋体" w:hAnsi="宋体" w:eastAsia="宋体" w:cs="宋体"/>
          <w:color w:val="000000"/>
          <w:sz w:val="24"/>
          <w:highlight w:val="none"/>
          <w:u w:val="single"/>
          <w:lang w:val="en-US" w:eastAsia="zh-CN"/>
        </w:rPr>
      </w:pPr>
      <w:bookmarkStart w:id="31" w:name="_Toc28359009"/>
      <w:bookmarkStart w:id="32" w:name="_Toc28359086"/>
      <w:r>
        <w:rPr>
          <w:rFonts w:hint="eastAsia" w:ascii="宋体" w:hAnsi="宋体" w:cs="宋体"/>
          <w:color w:val="000000"/>
          <w:sz w:val="24"/>
          <w:highlight w:val="none"/>
        </w:rPr>
        <w:t>联系方式：</w:t>
      </w:r>
      <w:r>
        <w:rPr>
          <w:rFonts w:hint="eastAsia" w:ascii="宋体" w:hAnsi="宋体" w:cs="宋体"/>
          <w:color w:val="000000"/>
          <w:sz w:val="24"/>
          <w:highlight w:val="none"/>
          <w:u w:val="single"/>
        </w:rPr>
        <w:t>　</w:t>
      </w:r>
      <w:r>
        <w:rPr>
          <w:rFonts w:hint="eastAsia" w:ascii="宋体" w:hAnsi="宋体" w:cs="宋体"/>
          <w:color w:val="000000"/>
          <w:sz w:val="24"/>
          <w:highlight w:val="none"/>
          <w:u w:val="single"/>
          <w:lang w:val="en-US" w:eastAsia="zh-CN"/>
        </w:rPr>
        <w:t>彭</w:t>
      </w:r>
      <w:r>
        <w:rPr>
          <w:rFonts w:hint="eastAsia" w:ascii="宋体" w:hAnsi="宋体" w:cs="宋体"/>
          <w:color w:val="000000"/>
          <w:sz w:val="24"/>
          <w:highlight w:val="none"/>
          <w:u w:val="single"/>
        </w:rPr>
        <w:t>科  0773-2848</w:t>
      </w:r>
      <w:r>
        <w:rPr>
          <w:rFonts w:hint="eastAsia" w:ascii="宋体" w:hAnsi="宋体" w:cs="宋体"/>
          <w:color w:val="000000"/>
          <w:sz w:val="24"/>
          <w:highlight w:val="none"/>
          <w:u w:val="single"/>
          <w:lang w:val="en-US" w:eastAsia="zh-CN"/>
        </w:rPr>
        <w:t>114</w:t>
      </w:r>
    </w:p>
    <w:p w14:paraId="25C59F57">
      <w:pPr>
        <w:spacing w:line="380" w:lineRule="exact"/>
        <w:ind w:left="0" w:firstLine="420"/>
        <w:jc w:val="left"/>
        <w:rPr>
          <w:rFonts w:ascii="宋体" w:hAnsi="宋体" w:cs="宋体"/>
          <w:color w:val="000000"/>
          <w:sz w:val="24"/>
          <w:highlight w:val="none"/>
        </w:rPr>
      </w:pPr>
      <w:r>
        <w:rPr>
          <w:rFonts w:hint="eastAsia" w:ascii="宋体" w:hAnsi="宋体" w:cs="宋体"/>
          <w:color w:val="000000"/>
          <w:sz w:val="24"/>
          <w:highlight w:val="none"/>
        </w:rPr>
        <w:t>2.采购代理机构信息</w:t>
      </w:r>
      <w:bookmarkEnd w:id="31"/>
      <w:bookmarkEnd w:id="32"/>
    </w:p>
    <w:p w14:paraId="63A56A98">
      <w:pPr>
        <w:spacing w:line="380" w:lineRule="exact"/>
        <w:ind w:left="0" w:firstLine="420"/>
        <w:rPr>
          <w:rFonts w:ascii="宋体" w:hAnsi="宋体" w:cs="宋体"/>
          <w:color w:val="000000"/>
          <w:sz w:val="24"/>
          <w:highlight w:val="none"/>
          <w:u w:val="single"/>
        </w:rPr>
      </w:pPr>
      <w:r>
        <w:rPr>
          <w:rFonts w:hint="eastAsia" w:ascii="宋体" w:hAnsi="宋体" w:cs="宋体"/>
          <w:color w:val="000000"/>
          <w:sz w:val="24"/>
          <w:highlight w:val="none"/>
        </w:rPr>
        <w:t>名  称：</w:t>
      </w:r>
      <w:r>
        <w:rPr>
          <w:rFonts w:hint="eastAsia" w:ascii="宋体" w:hAnsi="宋体" w:cs="宋体"/>
          <w:color w:val="000000"/>
          <w:sz w:val="24"/>
          <w:highlight w:val="none"/>
          <w:u w:val="single"/>
        </w:rPr>
        <w:t xml:space="preserve"> 桂林市政府集中采购中心　</w:t>
      </w:r>
    </w:p>
    <w:p w14:paraId="0FB88CDE">
      <w:pPr>
        <w:spacing w:line="380" w:lineRule="exact"/>
        <w:ind w:left="0" w:firstLine="420"/>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桂林市临桂区西城中路69号创业大厦西辅楼5楼</w:t>
      </w:r>
    </w:p>
    <w:p w14:paraId="11ABA896">
      <w:pPr>
        <w:spacing w:line="380" w:lineRule="exact"/>
        <w:ind w:left="0" w:firstLine="420"/>
        <w:rPr>
          <w:rFonts w:ascii="宋体" w:hAnsi="宋体" w:cs="宋体"/>
          <w:color w:val="000000"/>
          <w:sz w:val="24"/>
          <w:highlight w:val="none"/>
        </w:rPr>
      </w:pPr>
      <w:r>
        <w:rPr>
          <w:rFonts w:hint="eastAsia" w:ascii="宋体" w:hAnsi="宋体" w:cs="宋体"/>
          <w:color w:val="000000"/>
          <w:sz w:val="24"/>
          <w:highlight w:val="none"/>
        </w:rPr>
        <w:t>联系方式：</w:t>
      </w:r>
      <w:bookmarkStart w:id="33" w:name="_Toc28359010"/>
      <w:bookmarkStart w:id="34" w:name="_Toc28359087"/>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0773-5625143</w:t>
      </w:r>
      <w:r>
        <w:rPr>
          <w:rFonts w:hint="eastAsia" w:ascii="宋体" w:hAnsi="宋体" w:cs="宋体"/>
          <w:color w:val="000000"/>
          <w:sz w:val="24"/>
          <w:highlight w:val="none"/>
          <w:u w:val="single"/>
        </w:rPr>
        <w:t>　</w:t>
      </w:r>
    </w:p>
    <w:p w14:paraId="4120B968">
      <w:pPr>
        <w:spacing w:line="380" w:lineRule="exact"/>
        <w:ind w:left="0" w:firstLine="420"/>
        <w:rPr>
          <w:rFonts w:ascii="宋体" w:hAnsi="宋体" w:cs="宋体"/>
          <w:color w:val="000000"/>
          <w:sz w:val="24"/>
          <w:highlight w:val="none"/>
          <w:u w:val="single"/>
        </w:rPr>
      </w:pPr>
      <w:r>
        <w:rPr>
          <w:rFonts w:hint="eastAsia" w:ascii="宋体" w:hAnsi="宋体" w:cs="宋体"/>
          <w:color w:val="000000"/>
          <w:sz w:val="24"/>
          <w:highlight w:val="none"/>
        </w:rPr>
        <w:t>3.项目联系方式</w:t>
      </w:r>
      <w:bookmarkEnd w:id="33"/>
      <w:bookmarkEnd w:id="34"/>
    </w:p>
    <w:p w14:paraId="65AF6282">
      <w:pPr>
        <w:pStyle w:val="213"/>
        <w:spacing w:line="380" w:lineRule="exact"/>
        <w:ind w:left="0" w:firstLine="420"/>
        <w:rPr>
          <w:rFonts w:hAnsi="宋体" w:eastAsia="宋体" w:cs="宋体"/>
          <w:color w:val="000000"/>
          <w:sz w:val="24"/>
          <w:szCs w:val="24"/>
          <w:highlight w:val="none"/>
          <w:lang w:val="en-US" w:eastAsia="zh-CN"/>
        </w:rPr>
      </w:pPr>
      <w:r>
        <w:rPr>
          <w:rFonts w:hint="eastAsia" w:hAnsi="宋体" w:cs="宋体"/>
          <w:color w:val="000000"/>
          <w:sz w:val="24"/>
          <w:szCs w:val="24"/>
          <w:highlight w:val="none"/>
        </w:rPr>
        <w:t>项目联系人：</w:t>
      </w:r>
      <w:r>
        <w:rPr>
          <w:rFonts w:hint="eastAsia" w:hAnsi="宋体" w:cs="宋体"/>
          <w:color w:val="000000"/>
          <w:sz w:val="24"/>
          <w:szCs w:val="24"/>
          <w:highlight w:val="none"/>
          <w:u w:val="single"/>
          <w:lang w:val="en-US" w:eastAsia="zh-CN"/>
        </w:rPr>
        <w:t>廖伟杰</w:t>
      </w:r>
    </w:p>
    <w:p w14:paraId="75B4DCA8">
      <w:pPr>
        <w:spacing w:line="380" w:lineRule="exact"/>
        <w:ind w:left="0" w:firstLine="420"/>
        <w:rPr>
          <w:rFonts w:ascii="宋体" w:hAnsi="宋体" w:cs="宋体"/>
          <w:color w:val="000000"/>
          <w:sz w:val="24"/>
          <w:highlight w:val="none"/>
          <w:u w:val="single"/>
          <w:lang w:val="en-US" w:eastAsia="zh-CN"/>
        </w:rPr>
      </w:pPr>
      <w:r>
        <w:rPr>
          <w:rFonts w:hint="eastAsia" w:ascii="宋体" w:hAnsi="宋体" w:cs="宋体"/>
          <w:color w:val="000000"/>
          <w:sz w:val="24"/>
          <w:highlight w:val="none"/>
        </w:rPr>
        <w:t>电　话：</w:t>
      </w:r>
      <w:r>
        <w:rPr>
          <w:rFonts w:hint="eastAsia" w:ascii="宋体" w:hAnsi="宋体" w:cs="宋体"/>
          <w:color w:val="000000"/>
          <w:sz w:val="24"/>
          <w:highlight w:val="none"/>
          <w:u w:val="single"/>
          <w:lang w:val="en-US" w:eastAsia="zh-CN"/>
        </w:rPr>
        <w:t>0773-5625166</w:t>
      </w:r>
    </w:p>
    <w:p w14:paraId="56951690">
      <w:pPr>
        <w:spacing w:line="380" w:lineRule="exact"/>
        <w:ind w:left="0" w:firstLine="420"/>
        <w:rPr>
          <w:rFonts w:ascii="宋体" w:hAnsi="宋体" w:cs="宋体"/>
          <w:color w:val="000000"/>
          <w:sz w:val="24"/>
          <w:highlight w:val="none"/>
        </w:rPr>
      </w:pPr>
      <w:r>
        <w:rPr>
          <w:rFonts w:hint="eastAsia" w:ascii="宋体" w:hAnsi="宋体" w:cs="宋体"/>
          <w:color w:val="000000"/>
          <w:sz w:val="24"/>
          <w:highlight w:val="none"/>
        </w:rPr>
        <w:t>4.政府采购监督管理机构</w:t>
      </w:r>
    </w:p>
    <w:p w14:paraId="64E193E4">
      <w:pPr>
        <w:spacing w:line="380" w:lineRule="exact"/>
        <w:ind w:left="0" w:firstLine="420"/>
        <w:rPr>
          <w:rFonts w:ascii="宋体" w:hAnsi="宋体" w:eastAsia="宋体" w:cs="宋体"/>
          <w:color w:val="000000"/>
          <w:sz w:val="24"/>
          <w:highlight w:val="none"/>
          <w:lang w:val="en-US" w:eastAsia="zh-CN"/>
        </w:rPr>
      </w:pPr>
      <w:r>
        <w:rPr>
          <w:rFonts w:hint="eastAsia" w:ascii="宋体" w:hAnsi="宋体" w:cs="宋体"/>
          <w:color w:val="000000"/>
          <w:sz w:val="24"/>
          <w:highlight w:val="none"/>
        </w:rPr>
        <w:t>名 称：</w:t>
      </w:r>
      <w:r>
        <w:rPr>
          <w:rFonts w:hint="eastAsia" w:ascii="宋体" w:hAnsi="宋体" w:cs="宋体"/>
          <w:color w:val="000000"/>
          <w:sz w:val="24"/>
          <w:highlight w:val="none"/>
          <w:u w:val="single"/>
          <w:lang w:val="en-US" w:eastAsia="zh-CN"/>
        </w:rPr>
        <w:t>桂林市财政局</w:t>
      </w:r>
    </w:p>
    <w:p w14:paraId="3A48210F">
      <w:pPr>
        <w:spacing w:line="380" w:lineRule="exact"/>
        <w:ind w:left="0" w:firstLine="420"/>
        <w:rPr>
          <w:rFonts w:ascii="宋体" w:hAnsi="宋体" w:eastAsia="宋体" w:cs="宋体"/>
          <w:color w:val="000000"/>
          <w:sz w:val="24"/>
          <w:highlight w:val="none"/>
          <w:lang w:val="en-US" w:eastAsia="zh-CN"/>
        </w:rPr>
      </w:pPr>
      <w:r>
        <w:rPr>
          <w:rFonts w:hint="eastAsia" w:ascii="宋体" w:hAnsi="宋体" w:cs="宋体"/>
          <w:color w:val="000000"/>
          <w:sz w:val="24"/>
          <w:highlight w:val="none"/>
        </w:rPr>
        <w:t>联系方式：</w:t>
      </w:r>
      <w:r>
        <w:rPr>
          <w:rFonts w:hint="eastAsia" w:ascii="宋体" w:hAnsi="宋体" w:cs="宋体"/>
          <w:color w:val="000000"/>
          <w:sz w:val="24"/>
          <w:highlight w:val="none"/>
          <w:u w:val="single"/>
          <w:lang w:val="en-US" w:eastAsia="zh-CN"/>
        </w:rPr>
        <w:t>0773-2862142</w:t>
      </w:r>
    </w:p>
    <w:p w14:paraId="7BA622E9">
      <w:pPr>
        <w:spacing w:line="380" w:lineRule="exact"/>
        <w:ind w:firstLine="720"/>
        <w:rPr>
          <w:rFonts w:ascii="宋体" w:hAnsi="宋体" w:eastAsia="宋体" w:cs="宋体"/>
          <w:color w:val="000000"/>
          <w:sz w:val="24"/>
          <w:highlight w:val="none"/>
          <w:lang w:val="en-US" w:eastAsia="zh-CN"/>
        </w:rPr>
      </w:pPr>
    </w:p>
    <w:p w14:paraId="00626623">
      <w:pPr>
        <w:jc w:val="center"/>
        <w:outlineLvl w:val="0"/>
        <w:rPr>
          <w:rFonts w:ascii="宋体" w:hAnsi="宋体" w:cs="宋体"/>
          <w:color w:val="000000"/>
          <w:sz w:val="32"/>
          <w:szCs w:val="32"/>
          <w:highlight w:val="none"/>
        </w:rPr>
      </w:pPr>
      <w:r>
        <w:rPr>
          <w:rFonts w:hint="eastAsia" w:ascii="宋体" w:hAnsi="宋体" w:cs="宋体"/>
          <w:color w:val="000000"/>
          <w:sz w:val="32"/>
          <w:szCs w:val="32"/>
          <w:highlight w:val="none"/>
        </w:rPr>
        <w:br w:type="page" w:clear="all"/>
      </w:r>
      <w:bookmarkStart w:id="35" w:name="_Toc28921"/>
      <w:bookmarkStart w:id="36" w:name="_Toc23983"/>
      <w:bookmarkStart w:id="37" w:name="_Toc12553"/>
      <w:r>
        <w:rPr>
          <w:rFonts w:hint="eastAsia" w:ascii="宋体" w:hAnsi="宋体" w:cs="宋体"/>
          <w:b/>
          <w:bCs/>
          <w:color w:val="000000"/>
          <w:sz w:val="32"/>
          <w:szCs w:val="32"/>
          <w:highlight w:val="none"/>
        </w:rPr>
        <w:t>第二章  投标人须知</w:t>
      </w:r>
      <w:bookmarkEnd w:id="35"/>
      <w:bookmarkEnd w:id="36"/>
      <w:bookmarkEnd w:id="37"/>
    </w:p>
    <w:p w14:paraId="2C1E8BB4">
      <w:pPr>
        <w:tabs>
          <w:tab w:val="left" w:pos="1065"/>
          <w:tab w:val="center" w:pos="4411"/>
        </w:tabs>
        <w:spacing w:line="440" w:lineRule="exact"/>
        <w:jc w:val="center"/>
        <w:outlineLvl w:val="1"/>
        <w:rPr>
          <w:rFonts w:ascii="宋体" w:hAnsi="宋体" w:cs="宋体"/>
          <w:b/>
          <w:color w:val="000000"/>
          <w:sz w:val="24"/>
          <w:highlight w:val="none"/>
        </w:rPr>
      </w:pPr>
      <w:bookmarkStart w:id="38" w:name="_Toc14750"/>
      <w:bookmarkStart w:id="39" w:name="_Toc14222"/>
      <w:bookmarkStart w:id="40" w:name="_Toc3794"/>
      <w:bookmarkStart w:id="41" w:name="_Toc495841753"/>
      <w:r>
        <w:rPr>
          <w:rFonts w:hint="eastAsia" w:ascii="宋体" w:hAnsi="宋体" w:cs="宋体"/>
          <w:b/>
          <w:color w:val="000000"/>
          <w:sz w:val="24"/>
          <w:highlight w:val="none"/>
        </w:rPr>
        <w:t>投标人须知前附表</w:t>
      </w:r>
      <w:bookmarkEnd w:id="38"/>
      <w:bookmarkEnd w:id="39"/>
      <w:bookmarkEnd w:id="40"/>
      <w:bookmarkEnd w:id="41"/>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3"/>
        <w:gridCol w:w="1587"/>
        <w:gridCol w:w="7011"/>
      </w:tblGrid>
      <w:tr w14:paraId="5CCA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trPr>
        <w:tc>
          <w:tcPr>
            <w:tcW w:w="456"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ED08327">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序号</w:t>
            </w:r>
          </w:p>
        </w:tc>
        <w:tc>
          <w:tcPr>
            <w:tcW w:w="8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030F1F8">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条款号</w:t>
            </w:r>
          </w:p>
        </w:tc>
        <w:tc>
          <w:tcPr>
            <w:tcW w:w="158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ED6BB75">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条款名称</w:t>
            </w:r>
          </w:p>
        </w:tc>
        <w:tc>
          <w:tcPr>
            <w:tcW w:w="7011"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27762D3">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内容、要求</w:t>
            </w:r>
          </w:p>
        </w:tc>
      </w:tr>
      <w:tr w14:paraId="27B3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79253F09">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7ADAAF39">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61346142">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项目名称及项目编号</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37167D6A">
            <w:pPr>
              <w:spacing w:line="340" w:lineRule="exact"/>
              <w:rPr>
                <w:rFonts w:hint="eastAsia" w:ascii="宋体" w:hAnsi="宋体" w:cs="宋体"/>
                <w:color w:val="000000"/>
                <w:szCs w:val="21"/>
                <w:highlight w:val="none"/>
              </w:rPr>
            </w:pPr>
            <w:r>
              <w:rPr>
                <w:rFonts w:hint="eastAsia" w:ascii="宋体" w:hAnsi="宋体" w:cs="宋体"/>
                <w:color w:val="000000"/>
                <w:szCs w:val="21"/>
                <w:highlight w:val="none"/>
              </w:rPr>
              <w:t>项目名称：</w:t>
            </w:r>
            <w:r>
              <w:rPr>
                <w:rFonts w:hint="eastAsia" w:ascii="宋体" w:hAnsi="宋体" w:cs="宋体"/>
                <w:color w:val="000000"/>
                <w:szCs w:val="21"/>
                <w:highlight w:val="none"/>
                <w:lang w:val="en-US" w:eastAsia="zh-CN"/>
              </w:rPr>
              <w:t xml:space="preserve">桂林市市直机关办公区物业管理服务项目  </w:t>
            </w:r>
            <w:r>
              <w:rPr>
                <w:rFonts w:hint="eastAsia" w:ascii="宋体" w:hAnsi="宋体" w:cs="宋体"/>
                <w:color w:val="000000"/>
                <w:highlight w:val="none"/>
              </w:rPr>
              <w:t xml:space="preserve">   </w:t>
            </w:r>
          </w:p>
          <w:p w14:paraId="571BE2A0">
            <w:pPr>
              <w:spacing w:line="34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项目编号：</w:t>
            </w:r>
            <w:r>
              <w:rPr>
                <w:rFonts w:hint="eastAsia" w:ascii="宋体" w:hAnsi="宋体" w:cs="宋体"/>
                <w:color w:val="000000"/>
                <w:highlight w:val="none"/>
                <w:lang w:eastAsia="zh-CN"/>
              </w:rPr>
              <w:t xml:space="preserve"> GLZC2026-G3-990149-GLSZ</w:t>
            </w:r>
          </w:p>
        </w:tc>
      </w:tr>
      <w:tr w14:paraId="7738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DE1D196">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2</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4EBA4DBB">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5</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2E11C47D">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投标人资格</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547BE9E0">
            <w:pPr>
              <w:spacing w:line="400" w:lineRule="exact"/>
              <w:rPr>
                <w:rFonts w:hint="eastAsia"/>
                <w:color w:val="000000"/>
                <w:highlight w:val="none"/>
              </w:rPr>
            </w:pPr>
            <w:r>
              <w:rPr>
                <w:rFonts w:hint="eastAsia"/>
                <w:color w:val="000000"/>
                <w:highlight w:val="none"/>
              </w:rPr>
              <w:t>5.1符合《中华人民共和国政府采购法》第二十二条和《政府采购法实施条例》第十八条规定，并且在国内注册或登记、具备合法资格，提供本次采购货物或服务的供应商。</w:t>
            </w:r>
          </w:p>
          <w:p w14:paraId="746E3CFC">
            <w:pPr>
              <w:spacing w:line="400" w:lineRule="exact"/>
              <w:rPr>
                <w:color w:val="000000"/>
                <w:highlight w:val="none"/>
              </w:rPr>
            </w:pPr>
            <w:r>
              <w:rPr>
                <w:rFonts w:hint="eastAsia"/>
                <w:color w:val="000000"/>
                <w:highlight w:val="none"/>
              </w:rPr>
              <w:t>5.2 本项目不接受联合体投标。</w:t>
            </w:r>
          </w:p>
          <w:p w14:paraId="114032EF">
            <w:pPr>
              <w:spacing w:line="400" w:lineRule="exact"/>
              <w:rPr>
                <w:rFonts w:hint="eastAsia"/>
                <w:color w:val="000000"/>
                <w:highlight w:val="none"/>
              </w:rPr>
            </w:pPr>
            <w:r>
              <w:rPr>
                <w:rFonts w:hint="eastAsia"/>
                <w:color w:val="000000"/>
                <w:highlight w:val="none"/>
              </w:rPr>
              <w:t>5.3对在“信用中国”网站</w:t>
            </w:r>
            <w:r>
              <w:rPr>
                <w:rFonts w:hint="eastAsia" w:ascii="宋体" w:hAnsi="宋体" w:eastAsia="宋体" w:cs="宋体"/>
                <w:color w:val="000000"/>
                <w:highlight w:val="none"/>
              </w:rPr>
              <w:t>（www.creditchina.gov.cn）、中国政府采购网（www.ccgp.gov.cn）</w:t>
            </w:r>
            <w:r>
              <w:rPr>
                <w:rFonts w:hint="eastAsia"/>
                <w:color w:val="000000"/>
                <w:highlight w:val="none"/>
              </w:rPr>
              <w:t>等渠道列入失信被执行人、重大税收违法案件当事人名单、政府采购严重违法失信行为记录名单及其他不符合《中华人民共和国政府采购法》第二十二条规定条件的供应商，不得参与政府采购活动。</w:t>
            </w:r>
          </w:p>
          <w:p w14:paraId="3AB955BF">
            <w:pPr>
              <w:pStyle w:val="251"/>
              <w:rPr>
                <w:rFonts w:hint="eastAsia" w:ascii="Calibri" w:eastAsia="Calibri" w:cs="Times New Roman"/>
                <w:b/>
                <w:bCs/>
                <w:color w:val="000000"/>
                <w:sz w:val="21"/>
                <w:highlight w:val="none"/>
              </w:rPr>
            </w:pPr>
            <w:r>
              <w:rPr>
                <w:rFonts w:hint="eastAsia" w:ascii="Calibri" w:eastAsia="Calibri" w:cs="Times New Roman"/>
                <w:b/>
                <w:bCs/>
                <w:color w:val="000000"/>
                <w:sz w:val="21"/>
                <w:highlight w:val="none"/>
              </w:rPr>
              <w:t>5.4 落实政府采购政策需满足的资格要求：</w:t>
            </w:r>
            <w:r>
              <w:rPr>
                <w:rFonts w:hint="eastAsia" w:ascii="Calibri" w:eastAsia="Calibri" w:cs="Times New Roman"/>
                <w:b/>
                <w:bCs/>
                <w:color w:val="000000"/>
                <w:sz w:val="21"/>
                <w:highlight w:val="none"/>
                <w:lang w:val="en-US" w:eastAsia="zh-CN"/>
              </w:rPr>
              <w:t>本项目专门面向中小企业，所属行业为物业管理。</w:t>
            </w:r>
          </w:p>
          <w:p w14:paraId="7E1CD391">
            <w:pPr>
              <w:pStyle w:val="251"/>
              <w:rPr>
                <w:color w:val="000000"/>
                <w:highlight w:val="none"/>
              </w:rPr>
            </w:pPr>
            <w:r>
              <w:rPr>
                <w:rFonts w:hint="eastAsia" w:ascii="Calibri" w:eastAsia="Calibri" w:cs="Times New Roman"/>
                <w:b/>
                <w:bCs/>
                <w:color w:val="000000"/>
                <w:sz w:val="21"/>
                <w:highlight w:val="none"/>
              </w:rPr>
              <w:t>5.5 本项目的特定资格要求：无。</w:t>
            </w:r>
          </w:p>
        </w:tc>
      </w:tr>
      <w:tr w14:paraId="612E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58A5ADBD">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3</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7444F472">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6</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FB77256">
            <w:pPr>
              <w:spacing w:line="400" w:lineRule="exact"/>
              <w:jc w:val="center"/>
              <w:rPr>
                <w:rFonts w:ascii="宋体" w:hAnsi="宋体" w:cs="宋体"/>
                <w:color w:val="000000"/>
                <w:position w:val="-2"/>
                <w:szCs w:val="21"/>
                <w:highlight w:val="none"/>
              </w:rPr>
            </w:pPr>
            <w:r>
              <w:rPr>
                <w:rFonts w:hint="eastAsia" w:ascii="宋体" w:hAnsi="宋体" w:cs="宋体"/>
                <w:color w:val="000000"/>
                <w:szCs w:val="21"/>
                <w:highlight w:val="none"/>
              </w:rPr>
              <w:t>投标费用</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4C4F65BA">
            <w:pPr>
              <w:spacing w:line="400" w:lineRule="exact"/>
              <w:rPr>
                <w:rFonts w:ascii="宋体" w:hAnsi="宋体" w:cs="宋体"/>
                <w:color w:val="000000"/>
                <w:szCs w:val="21"/>
                <w:highlight w:val="none"/>
              </w:rPr>
            </w:pPr>
            <w:r>
              <w:rPr>
                <w:rFonts w:hint="eastAsia" w:ascii="宋体" w:hAnsi="宋体" w:cs="宋体"/>
                <w:color w:val="000000"/>
                <w:szCs w:val="21"/>
                <w:highlight w:val="none"/>
              </w:rPr>
              <w:t>不论投标结果如何，投标人均应自行承担所有与投标有关的全部费用。</w:t>
            </w:r>
          </w:p>
        </w:tc>
      </w:tr>
      <w:tr w14:paraId="52A8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7FDA2DF7">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2D1729E">
            <w:pPr>
              <w:spacing w:line="360" w:lineRule="exact"/>
              <w:jc w:val="center"/>
              <w:rPr>
                <w:rFonts w:ascii="宋体" w:hAnsi="宋体" w:cs="宋体"/>
                <w:color w:val="000000"/>
                <w:position w:val="-2"/>
                <w:szCs w:val="21"/>
                <w:highlight w:val="none"/>
              </w:rPr>
            </w:pPr>
            <w:r>
              <w:rPr>
                <w:rFonts w:hint="eastAsia" w:ascii="宋体" w:hAnsi="宋体" w:cs="宋体"/>
                <w:color w:val="000000"/>
                <w:position w:val="-2"/>
                <w:szCs w:val="21"/>
                <w:highlight w:val="none"/>
              </w:rPr>
              <w:t>15</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76F9BAA">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采购预算金额及投标报价</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40DF6BFD">
            <w:pPr>
              <w:spacing w:line="360" w:lineRule="exact"/>
              <w:rPr>
                <w:rFonts w:ascii="宋体" w:hAnsi="宋体" w:cs="宋体"/>
                <w:color w:val="000000"/>
                <w:szCs w:val="21"/>
                <w:highlight w:val="none"/>
              </w:rPr>
            </w:pPr>
            <w:r>
              <w:rPr>
                <w:rFonts w:hint="eastAsia" w:ascii="宋体" w:hAnsi="宋体" w:cs="宋体"/>
                <w:color w:val="000000"/>
                <w:szCs w:val="21"/>
                <w:highlight w:val="none"/>
              </w:rPr>
              <w:t>15.1投标报价应按招标文件中第六章“投标文件（格式）”填写，本项目采购预算金额：</w:t>
            </w:r>
            <w:r>
              <w:rPr>
                <w:rFonts w:hint="eastAsia" w:ascii="宋体" w:hAnsi="宋体" w:cs="宋体"/>
                <w:color w:val="000000"/>
                <w:szCs w:val="21"/>
                <w:highlight w:val="none"/>
                <w:u w:val="single"/>
                <w:lang w:eastAsia="zh-CN"/>
              </w:rPr>
              <w:t>人民币壹仟贰佰壹拾玖万壹仟元整（¥12191000.00元）。</w:t>
            </w:r>
            <w:r>
              <w:rPr>
                <w:rFonts w:hint="eastAsia" w:ascii="宋体" w:hAnsi="宋体" w:cs="宋体"/>
                <w:color w:val="000000"/>
                <w:szCs w:val="21"/>
                <w:highlight w:val="none"/>
              </w:rPr>
              <w:t>投标报价超过采购预算金额的，投标文件按无效处理。</w:t>
            </w:r>
          </w:p>
          <w:p w14:paraId="637DB717">
            <w:pPr>
              <w:spacing w:line="360" w:lineRule="exact"/>
              <w:rPr>
                <w:rFonts w:ascii="宋体" w:hAnsi="宋体" w:cs="宋体"/>
                <w:color w:val="000000"/>
                <w:szCs w:val="21"/>
                <w:highlight w:val="none"/>
              </w:rPr>
            </w:pPr>
            <w:r>
              <w:rPr>
                <w:rFonts w:hint="eastAsia" w:ascii="宋体" w:hAnsi="宋体" w:cs="宋体"/>
                <w:color w:val="000000"/>
                <w:szCs w:val="21"/>
                <w:highlight w:val="none"/>
              </w:rPr>
              <w:t>15.2投标人必须就“</w:t>
            </w:r>
            <w:r>
              <w:rPr>
                <w:rFonts w:hint="eastAsia" w:ascii="宋体" w:hAnsi="宋体" w:cs="宋体"/>
                <w:color w:val="000000"/>
                <w:szCs w:val="21"/>
                <w:highlight w:val="none"/>
                <w:lang w:eastAsia="zh-CN"/>
              </w:rPr>
              <w:t>采购需求</w:t>
            </w:r>
            <w:r>
              <w:rPr>
                <w:rFonts w:hint="eastAsia" w:ascii="宋体" w:hAnsi="宋体" w:cs="宋体"/>
                <w:color w:val="000000"/>
                <w:szCs w:val="21"/>
                <w:highlight w:val="none"/>
              </w:rPr>
              <w:t>”中所投分标内容作完整唯一报价，否则，其投标将被拒绝；投标文件只允许有一个报价，有选择的或有条件的报价将不予接受。</w:t>
            </w:r>
          </w:p>
        </w:tc>
      </w:tr>
      <w:tr w14:paraId="61BB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0F098E2A">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5</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5883286">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16.1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794F7CB1">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投标有效期</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8DA3CAA">
            <w:pPr>
              <w:spacing w:line="400" w:lineRule="exact"/>
              <w:rPr>
                <w:rFonts w:ascii="宋体" w:hAnsi="宋体" w:cs="宋体"/>
                <w:color w:val="000000"/>
                <w:szCs w:val="21"/>
                <w:highlight w:val="none"/>
              </w:rPr>
            </w:pPr>
            <w:r>
              <w:rPr>
                <w:rFonts w:hint="eastAsia" w:ascii="宋体" w:hAnsi="宋体" w:cs="宋体"/>
                <w:color w:val="000000"/>
                <w:szCs w:val="21"/>
                <w:highlight w:val="none"/>
              </w:rPr>
              <w:t>投标截止时间之日起90天。</w:t>
            </w:r>
          </w:p>
        </w:tc>
      </w:tr>
      <w:tr w14:paraId="5950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38EE6C86">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6</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0A7E2871">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17</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E48A669">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投标保证金</w:t>
            </w:r>
          </w:p>
        </w:tc>
        <w:tc>
          <w:tcPr>
            <w:tcW w:w="7011" w:type="dxa"/>
            <w:tcBorders>
              <w:top w:val="single" w:color="auto" w:sz="4" w:space="0"/>
              <w:left w:val="single" w:color="auto" w:sz="4" w:space="0"/>
              <w:bottom w:val="single" w:color="auto" w:sz="4" w:space="0"/>
              <w:right w:val="single" w:color="auto" w:sz="4" w:space="0"/>
            </w:tcBorders>
            <w:noWrap w:val="0"/>
            <w:vAlign w:val="top"/>
          </w:tcPr>
          <w:p w14:paraId="2CA243BF">
            <w:pPr>
              <w:spacing w:line="400" w:lineRule="exact"/>
              <w:rPr>
                <w:rFonts w:ascii="宋体" w:hAnsi="宋体" w:cs="宋体"/>
                <w:color w:val="000000"/>
                <w:szCs w:val="21"/>
                <w:highlight w:val="none"/>
              </w:rPr>
            </w:pPr>
            <w:r>
              <w:rPr>
                <w:rFonts w:hint="eastAsia" w:ascii="宋体" w:hAnsi="宋体" w:cs="宋体"/>
                <w:b/>
                <w:bCs/>
                <w:color w:val="000000"/>
                <w:szCs w:val="21"/>
                <w:highlight w:val="none"/>
              </w:rPr>
              <w:t>本项目无需缴纳投标保证金</w:t>
            </w:r>
            <w:r>
              <w:rPr>
                <w:rFonts w:hint="eastAsia" w:ascii="宋体" w:hAnsi="宋体" w:cs="宋体"/>
                <w:color w:val="000000"/>
                <w:szCs w:val="21"/>
                <w:highlight w:val="none"/>
              </w:rPr>
              <w:t>。</w:t>
            </w:r>
          </w:p>
        </w:tc>
      </w:tr>
      <w:tr w14:paraId="2EDB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E23B644">
            <w:pPr>
              <w:spacing w:line="4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7</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D044E15">
            <w:pPr>
              <w:spacing w:line="400" w:lineRule="exact"/>
              <w:jc w:val="center"/>
              <w:rPr>
                <w:rFonts w:ascii="宋体" w:hAnsi="宋体" w:cs="宋体"/>
                <w:color w:val="000000"/>
                <w:position w:val="10"/>
                <w:szCs w:val="21"/>
                <w:highlight w:val="none"/>
              </w:rPr>
            </w:pPr>
            <w:r>
              <w:rPr>
                <w:rFonts w:hint="eastAsia" w:ascii="宋体" w:hAnsi="宋体" w:cs="宋体"/>
                <w:color w:val="000000"/>
                <w:szCs w:val="21"/>
                <w:highlight w:val="none"/>
              </w:rPr>
              <w:t>18</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ED18CD3">
            <w:pPr>
              <w:spacing w:line="400" w:lineRule="exact"/>
              <w:jc w:val="center"/>
              <w:rPr>
                <w:rFonts w:ascii="宋体" w:hAnsi="宋体" w:cs="宋体"/>
                <w:color w:val="000000"/>
                <w:position w:val="10"/>
                <w:szCs w:val="21"/>
                <w:highlight w:val="none"/>
              </w:rPr>
            </w:pPr>
            <w:r>
              <w:rPr>
                <w:rFonts w:hint="eastAsia" w:ascii="宋体" w:hAnsi="宋体" w:cs="宋体"/>
                <w:color w:val="000000"/>
                <w:szCs w:val="21"/>
                <w:highlight w:val="none"/>
              </w:rPr>
              <w:t>投标文件的制作</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38F4D5BC">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18.1 电子投标文件中须加盖供应商公章部分均采用CA签章，并根据“政府采购项目电子交易管理操作指南-供应商”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内容不完整、编排混乱导致投标文件被误读、 漏读，或者在按招标文件规定的部位查找不到相关内容的，由供应商自行承担。</w:t>
            </w:r>
          </w:p>
          <w:p w14:paraId="49D8F02B">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18.2 供应商法人（负责人）或授权代表持有</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个人CA签章的，应在投标文件中涉及到签字的位置使用个人CA签章，没有办理</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个人CA签章的可在投标文件中涉及到签字的位置手写签字</w:t>
            </w:r>
            <w:r>
              <w:rPr>
                <w:rFonts w:hint="eastAsia" w:ascii="宋体" w:hAnsi="宋体" w:cs="宋体"/>
                <w:color w:val="000000"/>
                <w:szCs w:val="21"/>
                <w:highlight w:val="none"/>
                <w:lang w:eastAsia="zh-CN"/>
              </w:rPr>
              <w:t>或盖章</w:t>
            </w:r>
            <w:r>
              <w:rPr>
                <w:rFonts w:hint="eastAsia" w:ascii="宋体" w:hAnsi="宋体" w:cs="宋体"/>
                <w:color w:val="000000"/>
                <w:szCs w:val="21"/>
                <w:highlight w:val="none"/>
              </w:rPr>
              <w:t xml:space="preserve">后扫描或者拍照做成 PDF 的格式上传即可。 </w:t>
            </w:r>
          </w:p>
          <w:p w14:paraId="7383747D">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18.3 投标文件不得涂改，若有修改错漏处，须法定代表人（负责人）或授权委托人签字（或个人CA签章）。投标文件因字迹潦草或表达不清所引起的后果由供应商负责。</w:t>
            </w:r>
          </w:p>
          <w:p w14:paraId="2103E602">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18.4评审前准备 </w:t>
            </w:r>
          </w:p>
          <w:p w14:paraId="75568F26">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18.4.1本项目实行网上评审，采用电子投标文件；若供应商参与投标，自行承担投标一切费用。 </w:t>
            </w:r>
          </w:p>
          <w:p w14:paraId="7B15AB0D">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18.4.2各供应商在截标前应确保成为</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 xml:space="preserve">正式注册入库供应商，并完成 CA 数字证书申领。因未注册入库、未办理CA数字证书等原因造成无法投标或投标失败等后果由供应商自行承担。 </w:t>
            </w:r>
          </w:p>
          <w:p w14:paraId="17EC9949">
            <w:pPr>
              <w:spacing w:line="360" w:lineRule="exact"/>
              <w:rPr>
                <w:rFonts w:ascii="宋体" w:hAnsi="宋体" w:cs="宋体"/>
                <w:color w:val="000000"/>
                <w:szCs w:val="21"/>
                <w:highlight w:val="none"/>
              </w:rPr>
            </w:pPr>
            <w:r>
              <w:rPr>
                <w:rFonts w:hint="eastAsia" w:ascii="宋体" w:hAnsi="宋体" w:cs="宋体"/>
                <w:color w:val="000000"/>
                <w:szCs w:val="21"/>
                <w:highlight w:val="none"/>
              </w:rPr>
              <w:t>18.4.3供应商将</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电子交易客户端下载、安装完成后，可通过账号密码或 CA 登录客户端进行投标文件制作。客户端请至网站下载专区查看，如有问题可拨打</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 xml:space="preserve">客户服务热线 </w:t>
            </w:r>
            <w:r>
              <w:rPr>
                <w:rFonts w:hint="eastAsia" w:ascii="宋体" w:hAnsi="宋体" w:cs="宋体"/>
                <w:color w:val="000000"/>
                <w:szCs w:val="21"/>
                <w:highlight w:val="none"/>
                <w:lang w:eastAsia="zh-CN"/>
              </w:rPr>
              <w:t>95763</w:t>
            </w:r>
            <w:r>
              <w:rPr>
                <w:rFonts w:hint="eastAsia" w:ascii="宋体" w:hAnsi="宋体" w:cs="宋体"/>
                <w:color w:val="000000"/>
                <w:szCs w:val="21"/>
                <w:highlight w:val="none"/>
              </w:rPr>
              <w:t>进行咨询。</w:t>
            </w:r>
          </w:p>
        </w:tc>
      </w:tr>
      <w:tr w14:paraId="3015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noWrap w:val="0"/>
            <w:vAlign w:val="center"/>
          </w:tcPr>
          <w:p w14:paraId="7DE4FC5E">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8</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09BEE9C">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19.1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622C18BE">
            <w:pPr>
              <w:spacing w:line="360" w:lineRule="exact"/>
              <w:rPr>
                <w:rFonts w:ascii="宋体" w:hAnsi="宋体" w:cs="宋体"/>
                <w:color w:val="000000"/>
                <w:szCs w:val="21"/>
                <w:highlight w:val="none"/>
              </w:rPr>
            </w:pPr>
            <w:r>
              <w:rPr>
                <w:rFonts w:hint="eastAsia" w:ascii="宋体" w:hAnsi="宋体" w:cs="宋体"/>
                <w:color w:val="000000"/>
                <w:szCs w:val="21"/>
                <w:highlight w:val="none"/>
              </w:rPr>
              <w:t>投标文件的补充、修改和撤回</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5A45D95F">
            <w:pPr>
              <w:spacing w:line="360" w:lineRule="exact"/>
              <w:rPr>
                <w:rFonts w:ascii="宋体" w:hAnsi="宋体" w:cs="宋体"/>
                <w:color w:val="000000"/>
                <w:szCs w:val="21"/>
                <w:highlight w:val="none"/>
              </w:rPr>
            </w:pPr>
            <w:r>
              <w:rPr>
                <w:rFonts w:hint="eastAsia" w:ascii="宋体" w:hAnsi="宋体" w:cs="宋体"/>
                <w:color w:val="000000"/>
                <w:szCs w:val="21"/>
                <w:highlight w:val="none"/>
              </w:rPr>
              <w:t>19.1 投标文件递交截止时间前可以撤回电子投标文件。补充或者修改电子投标文件的，应当先行撤回原文件，补充、修改后重新传输递交，投标文件递交截止时间前未完成传输的，视为撤回投标文件。</w:t>
            </w:r>
          </w:p>
        </w:tc>
      </w:tr>
      <w:tr w14:paraId="6053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73B50532">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9</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3557553E">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20.1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68EDC219">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投标文件递交</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3534318">
            <w:pPr>
              <w:spacing w:line="360" w:lineRule="exact"/>
              <w:rPr>
                <w:rFonts w:ascii="宋体" w:hAnsi="宋体" w:cs="宋体"/>
                <w:color w:val="000000"/>
                <w:szCs w:val="21"/>
                <w:highlight w:val="yellow"/>
              </w:rPr>
            </w:pPr>
            <w:r>
              <w:rPr>
                <w:rFonts w:hint="eastAsia" w:ascii="宋体" w:hAnsi="宋体" w:cs="宋体"/>
                <w:color w:val="000000"/>
                <w:szCs w:val="21"/>
                <w:highlight w:val="none"/>
              </w:rPr>
              <w:t>20.1</w:t>
            </w:r>
            <w:r>
              <w:rPr>
                <w:rFonts w:hint="eastAsia" w:ascii="宋体" w:hAnsi="宋体"/>
                <w:color w:val="000000"/>
                <w:szCs w:val="21"/>
                <w:highlight w:val="none"/>
              </w:rPr>
              <w:t>投标文件递交截止时间：于</w:t>
            </w:r>
            <w:r>
              <w:rPr>
                <w:rFonts w:hint="eastAsia" w:ascii="宋体" w:hAnsi="宋体" w:cs="宋体"/>
                <w:color w:val="000000"/>
                <w:szCs w:val="21"/>
                <w:highlight w:val="none"/>
                <w:u w:val="single"/>
                <w:lang w:eastAsia="zh-CN"/>
              </w:rPr>
              <w:t>2026年</w:t>
            </w:r>
            <w:r>
              <w:rPr>
                <w:rFonts w:hint="eastAsia" w:ascii="宋体" w:hAnsi="宋体" w:cs="宋体"/>
                <w:color w:val="000000"/>
                <w:szCs w:val="21"/>
                <w:highlight w:val="none"/>
                <w:u w:val="single"/>
                <w:lang w:val="en-US" w:eastAsia="zh-CN"/>
              </w:rPr>
              <w:t>06</w:t>
            </w:r>
            <w:r>
              <w:rPr>
                <w:rFonts w:hint="eastAsia" w:ascii="宋体" w:hAnsi="宋体" w:cs="宋体"/>
                <w:color w:val="000000"/>
                <w:szCs w:val="21"/>
                <w:highlight w:val="none"/>
                <w:u w:val="single"/>
                <w:lang w:eastAsia="zh-CN"/>
              </w:rPr>
              <w:t>月</w:t>
            </w:r>
            <w:r>
              <w:rPr>
                <w:rFonts w:hint="eastAsia" w:ascii="宋体" w:hAnsi="宋体" w:cs="宋体"/>
                <w:color w:val="000000"/>
                <w:szCs w:val="21"/>
                <w:highlight w:val="none"/>
                <w:u w:val="single"/>
                <w:lang w:val="en-US" w:eastAsia="zh-CN"/>
              </w:rPr>
              <w:t>05</w:t>
            </w:r>
            <w:r>
              <w:rPr>
                <w:rFonts w:hint="eastAsia" w:ascii="宋体" w:hAnsi="宋体" w:cs="宋体"/>
                <w:color w:val="000000"/>
                <w:szCs w:val="21"/>
                <w:highlight w:val="none"/>
                <w:u w:val="single"/>
                <w:lang w:eastAsia="zh-CN"/>
              </w:rPr>
              <w:t>日</w:t>
            </w:r>
            <w:r>
              <w:rPr>
                <w:rFonts w:hint="eastAsia" w:ascii="宋体" w:hAnsi="宋体" w:cs="宋体"/>
                <w:color w:val="000000"/>
                <w:szCs w:val="21"/>
                <w:highlight w:val="none"/>
                <w:u w:val="single"/>
              </w:rPr>
              <w:t>上午</w:t>
            </w:r>
            <w:r>
              <w:rPr>
                <w:rFonts w:hint="eastAsia" w:ascii="宋体" w:hAnsi="宋体" w:cs="宋体"/>
                <w:color w:val="000000"/>
                <w:szCs w:val="21"/>
                <w:highlight w:val="none"/>
                <w:u w:val="single"/>
                <w:lang w:val="en-US" w:eastAsia="zh-CN"/>
              </w:rPr>
              <w:t>9</w:t>
            </w:r>
            <w:r>
              <w:rPr>
                <w:rFonts w:hint="eastAsia" w:ascii="宋体" w:hAnsi="宋体" w:cs="宋体"/>
                <w:color w:val="000000"/>
                <w:szCs w:val="21"/>
                <w:highlight w:val="none"/>
                <w:u w:val="single"/>
              </w:rPr>
              <w:t>时</w:t>
            </w:r>
            <w:r>
              <w:rPr>
                <w:rFonts w:hint="eastAsia" w:ascii="宋体" w:hAnsi="宋体" w:cs="宋体"/>
                <w:color w:val="000000"/>
                <w:szCs w:val="21"/>
                <w:highlight w:val="none"/>
                <w:u w:val="single"/>
                <w:lang w:val="en-US" w:eastAsia="zh-CN"/>
              </w:rPr>
              <w:t>30</w:t>
            </w:r>
            <w:r>
              <w:rPr>
                <w:rFonts w:hint="eastAsia" w:ascii="宋体" w:hAnsi="宋体" w:cs="宋体"/>
                <w:color w:val="000000"/>
                <w:szCs w:val="21"/>
                <w:highlight w:val="none"/>
                <w:u w:val="single"/>
              </w:rPr>
              <w:t>分</w:t>
            </w:r>
            <w:r>
              <w:rPr>
                <w:rFonts w:hint="eastAsia" w:ascii="宋体" w:hAnsi="宋体" w:cs="宋体"/>
                <w:color w:val="000000"/>
                <w:szCs w:val="21"/>
                <w:highlight w:val="none"/>
              </w:rPr>
              <w:t>之前将电子投标文件上传到</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。应按照本项目招标文件和</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的要求编制、加密传输投标文件。供应商在使用系统进行投标的过程中遇到涉及平台使用的任何问题，可致电</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技术支持热线咨询，联系方式：</w:t>
            </w:r>
            <w:r>
              <w:rPr>
                <w:rFonts w:hint="eastAsia" w:ascii="宋体" w:hAnsi="宋体" w:cs="宋体"/>
                <w:color w:val="000000"/>
                <w:szCs w:val="21"/>
                <w:highlight w:val="none"/>
                <w:lang w:eastAsia="zh-CN"/>
              </w:rPr>
              <w:t>95763</w:t>
            </w:r>
            <w:r>
              <w:rPr>
                <w:rFonts w:hint="eastAsia" w:ascii="宋体" w:hAnsi="宋体" w:cs="宋体"/>
                <w:color w:val="000000"/>
                <w:szCs w:val="21"/>
                <w:highlight w:val="none"/>
              </w:rPr>
              <w:t>。</w:t>
            </w:r>
          </w:p>
        </w:tc>
      </w:tr>
      <w:tr w14:paraId="51C2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76A37260">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10</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751D992D">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20.2</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70289B26">
            <w:pPr>
              <w:spacing w:line="360" w:lineRule="exact"/>
              <w:rPr>
                <w:rFonts w:ascii="宋体" w:hAnsi="宋体" w:cs="宋体"/>
                <w:color w:val="000000"/>
                <w:szCs w:val="21"/>
                <w:highlight w:val="none"/>
              </w:rPr>
            </w:pPr>
            <w:r>
              <w:rPr>
                <w:rFonts w:hint="eastAsia" w:ascii="宋体" w:hAnsi="宋体" w:cs="宋体"/>
                <w:color w:val="000000"/>
                <w:szCs w:val="21"/>
                <w:highlight w:val="none"/>
              </w:rPr>
              <w:t>投标文件解密</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7AE9B756">
            <w:pPr>
              <w:spacing w:line="360" w:lineRule="exact"/>
              <w:rPr>
                <w:rFonts w:hint="eastAsia" w:ascii="宋体" w:hAnsi="宋体" w:cs="宋体"/>
                <w:color w:val="000000"/>
                <w:highlight w:val="none"/>
              </w:rPr>
            </w:pPr>
            <w:r>
              <w:rPr>
                <w:rFonts w:hint="eastAsia" w:ascii="宋体" w:hAnsi="宋体" w:cs="宋体"/>
                <w:color w:val="000000"/>
                <w:szCs w:val="21"/>
                <w:highlight w:val="none"/>
              </w:rPr>
              <w:t>20.2</w:t>
            </w:r>
            <w:r>
              <w:rPr>
                <w:rFonts w:hint="eastAsia" w:ascii="宋体" w:hAnsi="宋体" w:cs="宋体"/>
                <w:color w:val="000000"/>
                <w:highlight w:val="none"/>
              </w:rPr>
              <w:t>投标文件解密时间：截标时间后</w:t>
            </w:r>
            <w:r>
              <w:rPr>
                <w:rFonts w:hint="eastAsia" w:ascii="宋体" w:hAnsi="宋体" w:cs="宋体"/>
                <w:color w:val="000000"/>
                <w:highlight w:val="none"/>
                <w:u w:val="single"/>
              </w:rPr>
              <w:t>30</w:t>
            </w:r>
            <w:r>
              <w:rPr>
                <w:rFonts w:hint="eastAsia" w:ascii="宋体" w:hAnsi="宋体" w:cs="宋体"/>
                <w:color w:val="000000"/>
                <w:highlight w:val="none"/>
              </w:rPr>
              <w:t>分钟内（</w:t>
            </w:r>
            <w:r>
              <w:rPr>
                <w:rFonts w:hint="eastAsia" w:ascii="宋体" w:hAnsi="宋体" w:cs="宋体"/>
                <w:color w:val="000000"/>
                <w:highlight w:val="none"/>
                <w:u w:val="single"/>
                <w:lang w:eastAsia="zh-CN"/>
              </w:rPr>
              <w:t>2026年</w:t>
            </w:r>
            <w:r>
              <w:rPr>
                <w:rFonts w:hint="eastAsia" w:ascii="宋体" w:hAnsi="宋体" w:cs="宋体"/>
                <w:color w:val="000000"/>
                <w:highlight w:val="none"/>
                <w:u w:val="single"/>
                <w:lang w:val="en-US" w:eastAsia="zh-CN"/>
              </w:rPr>
              <w:t>06</w:t>
            </w:r>
            <w:r>
              <w:rPr>
                <w:rFonts w:hint="eastAsia" w:ascii="宋体" w:hAnsi="宋体" w:cs="宋体"/>
                <w:color w:val="000000"/>
                <w:highlight w:val="none"/>
                <w:u w:val="single"/>
                <w:lang w:eastAsia="zh-CN"/>
              </w:rPr>
              <w:t>月</w:t>
            </w:r>
            <w:r>
              <w:rPr>
                <w:rFonts w:hint="eastAsia" w:ascii="宋体" w:hAnsi="宋体" w:cs="宋体"/>
                <w:color w:val="000000"/>
                <w:highlight w:val="none"/>
                <w:u w:val="single"/>
                <w:lang w:val="en-US" w:eastAsia="zh-CN"/>
              </w:rPr>
              <w:t>05</w:t>
            </w:r>
            <w:r>
              <w:rPr>
                <w:rFonts w:hint="eastAsia" w:ascii="宋体" w:hAnsi="宋体" w:cs="宋体"/>
                <w:color w:val="000000"/>
                <w:highlight w:val="none"/>
                <w:u w:val="single"/>
                <w:lang w:eastAsia="zh-CN"/>
              </w:rPr>
              <w:t>日</w:t>
            </w:r>
            <w:r>
              <w:rPr>
                <w:rFonts w:hint="eastAsia" w:ascii="宋体" w:hAnsi="宋体" w:cs="宋体"/>
                <w:color w:val="000000"/>
                <w:highlight w:val="none"/>
                <w:u w:val="single"/>
              </w:rPr>
              <w:t>上午</w:t>
            </w:r>
            <w:r>
              <w:rPr>
                <w:rFonts w:hint="eastAsia" w:ascii="宋体" w:hAnsi="宋体" w:cs="宋体"/>
                <w:color w:val="000000"/>
                <w:highlight w:val="none"/>
                <w:u w:val="single"/>
                <w:lang w:val="en-US" w:eastAsia="zh-CN"/>
              </w:rPr>
              <w:t>9</w:t>
            </w:r>
            <w:r>
              <w:rPr>
                <w:rFonts w:hint="eastAsia" w:ascii="宋体" w:hAnsi="宋体" w:cs="宋体"/>
                <w:color w:val="000000"/>
                <w:highlight w:val="none"/>
                <w:u w:val="single"/>
              </w:rPr>
              <w:t>时</w:t>
            </w:r>
            <w:r>
              <w:rPr>
                <w:rFonts w:hint="eastAsia" w:ascii="宋体" w:hAnsi="宋体" w:cs="宋体"/>
                <w:color w:val="000000"/>
                <w:highlight w:val="none"/>
                <w:u w:val="single"/>
                <w:lang w:val="en-US" w:eastAsia="zh-CN"/>
              </w:rPr>
              <w:t>30</w:t>
            </w:r>
            <w:r>
              <w:rPr>
                <w:rFonts w:hint="eastAsia" w:ascii="宋体" w:hAnsi="宋体" w:cs="宋体"/>
                <w:color w:val="000000"/>
                <w:highlight w:val="none"/>
                <w:u w:val="single"/>
              </w:rPr>
              <w:t>分至</w:t>
            </w:r>
            <w:r>
              <w:rPr>
                <w:rFonts w:hint="eastAsia" w:ascii="宋体" w:hAnsi="宋体" w:cs="宋体"/>
                <w:color w:val="000000"/>
                <w:highlight w:val="none"/>
                <w:u w:val="single"/>
                <w:lang w:val="en-US" w:eastAsia="zh-CN"/>
              </w:rPr>
              <w:t>10</w:t>
            </w:r>
            <w:r>
              <w:rPr>
                <w:rFonts w:hint="eastAsia" w:ascii="宋体" w:hAnsi="宋体" w:cs="宋体"/>
                <w:color w:val="000000"/>
                <w:highlight w:val="none"/>
                <w:u w:val="single"/>
              </w:rPr>
              <w:t>时</w:t>
            </w:r>
            <w:r>
              <w:rPr>
                <w:rFonts w:hint="eastAsia" w:ascii="宋体" w:hAnsi="宋体" w:cs="宋体"/>
                <w:color w:val="000000"/>
                <w:highlight w:val="none"/>
                <w:u w:val="single"/>
                <w:lang w:val="en-US" w:eastAsia="zh-CN"/>
              </w:rPr>
              <w:t>00</w:t>
            </w:r>
            <w:r>
              <w:rPr>
                <w:rFonts w:hint="eastAsia" w:ascii="宋体" w:hAnsi="宋体" w:cs="宋体"/>
                <w:color w:val="000000"/>
                <w:highlight w:val="none"/>
                <w:u w:val="single"/>
              </w:rPr>
              <w:t>分</w:t>
            </w:r>
            <w:r>
              <w:rPr>
                <w:rFonts w:hint="eastAsia" w:ascii="宋体" w:hAnsi="宋体" w:cs="宋体"/>
                <w:color w:val="000000"/>
                <w:highlight w:val="none"/>
              </w:rPr>
              <w:t>)投标人可以登录</w:t>
            </w:r>
            <w:r>
              <w:rPr>
                <w:rFonts w:hint="eastAsia" w:ascii="宋体" w:hAnsi="宋体" w:cs="宋体"/>
                <w:color w:val="000000"/>
                <w:highlight w:val="none"/>
                <w:lang w:eastAsia="zh-CN"/>
              </w:rPr>
              <w:t>广西政府采购云平台</w:t>
            </w:r>
            <w:r>
              <w:rPr>
                <w:rFonts w:hint="eastAsia" w:ascii="宋体" w:hAnsi="宋体" w:cs="宋体"/>
                <w:color w:val="000000"/>
                <w:highlight w:val="none"/>
              </w:rPr>
              <w:t>，用“项目采购-开标评标”功能进行解密投标文件。</w:t>
            </w:r>
          </w:p>
          <w:p w14:paraId="7532BFAA">
            <w:pPr>
              <w:spacing w:line="360" w:lineRule="exact"/>
              <w:rPr>
                <w:rFonts w:ascii="宋体" w:hAnsi="宋体" w:cs="宋体"/>
                <w:color w:val="000000"/>
                <w:szCs w:val="21"/>
                <w:highlight w:val="yellow"/>
              </w:rPr>
            </w:pPr>
            <w:r>
              <w:rPr>
                <w:rFonts w:hint="eastAsia" w:ascii="宋体" w:hAnsi="宋体" w:eastAsia="宋体" w:cs="宋体"/>
                <w:b/>
                <w:bCs/>
                <w:color w:val="000000"/>
                <w:szCs w:val="21"/>
                <w:highlight w:val="none"/>
                <w:lang w:val="en-US" w:eastAsia="zh-CN"/>
              </w:rPr>
              <w:t>注：投标文件网上递交截止时间后，各投标人须在解密时限内对上传广西政府采购云平台的投标文件进行解密，所有投标人在规定的解密时限内解密完成或解密时限结束后，我中心开启已解密的响应文件。投标人超过解密时限未解密的，系统默认自动放弃，造成投标无效的后果由投标人自行承担。解密响应文件后，30分钟内在线签字确认，超过时间没有在线签字确认的系统将自动视为供应商认可。</w:t>
            </w:r>
          </w:p>
        </w:tc>
      </w:tr>
      <w:tr w14:paraId="702F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765F590B">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11</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26AD58E0">
            <w:pPr>
              <w:spacing w:line="360" w:lineRule="exact"/>
              <w:jc w:val="center"/>
              <w:rPr>
                <w:rFonts w:ascii="宋体" w:hAnsi="宋体" w:cs="宋体"/>
                <w:color w:val="000000"/>
                <w:position w:val="-2"/>
                <w:szCs w:val="21"/>
                <w:highlight w:val="none"/>
              </w:rPr>
            </w:pPr>
            <w:r>
              <w:rPr>
                <w:rFonts w:hint="eastAsia" w:ascii="宋体" w:hAnsi="宋体" w:cs="宋体"/>
                <w:color w:val="000000"/>
                <w:szCs w:val="21"/>
                <w:highlight w:val="none"/>
              </w:rPr>
              <w:t>21.1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272A35CD">
            <w:pPr>
              <w:spacing w:line="360" w:lineRule="exact"/>
              <w:jc w:val="center"/>
              <w:rPr>
                <w:rFonts w:ascii="宋体" w:hAnsi="宋体" w:cs="宋体"/>
                <w:color w:val="000000"/>
                <w:position w:val="-2"/>
                <w:szCs w:val="21"/>
                <w:highlight w:val="none"/>
              </w:rPr>
            </w:pPr>
            <w:r>
              <w:rPr>
                <w:rFonts w:hint="eastAsia" w:ascii="宋体" w:hAnsi="宋体" w:cs="宋体"/>
                <w:color w:val="000000"/>
                <w:szCs w:val="21"/>
                <w:highlight w:val="none"/>
              </w:rPr>
              <w:t>开标时间及地点</w:t>
            </w:r>
          </w:p>
        </w:tc>
        <w:tc>
          <w:tcPr>
            <w:tcW w:w="7011" w:type="dxa"/>
            <w:tcBorders>
              <w:top w:val="single" w:color="auto" w:sz="4" w:space="0"/>
              <w:left w:val="single" w:color="auto" w:sz="4" w:space="0"/>
              <w:bottom w:val="single" w:color="auto" w:sz="4" w:space="0"/>
              <w:right w:val="single" w:color="auto" w:sz="4" w:space="0"/>
            </w:tcBorders>
            <w:noWrap w:val="0"/>
            <w:vAlign w:val="top"/>
          </w:tcPr>
          <w:p w14:paraId="61C52F66">
            <w:pPr>
              <w:spacing w:line="400" w:lineRule="exact"/>
              <w:rPr>
                <w:rFonts w:ascii="宋体" w:hAnsi="宋体" w:cs="宋体"/>
                <w:color w:val="000000"/>
                <w:szCs w:val="21"/>
                <w:highlight w:val="none"/>
              </w:rPr>
            </w:pPr>
            <w:r>
              <w:rPr>
                <w:rFonts w:hint="eastAsia" w:ascii="宋体" w:hAnsi="宋体" w:cs="宋体"/>
                <w:color w:val="000000"/>
                <w:szCs w:val="21"/>
                <w:highlight w:val="none"/>
              </w:rPr>
              <w:t>开标时间：</w:t>
            </w:r>
            <w:r>
              <w:rPr>
                <w:rFonts w:hint="eastAsia" w:ascii="宋体" w:hAnsi="宋体" w:cs="宋体"/>
                <w:color w:val="000000"/>
                <w:szCs w:val="21"/>
                <w:highlight w:val="none"/>
                <w:lang w:eastAsia="zh-CN"/>
              </w:rPr>
              <w:t>2026年</w:t>
            </w:r>
            <w:r>
              <w:rPr>
                <w:rFonts w:hint="eastAsia" w:ascii="宋体" w:hAnsi="宋体" w:cs="宋体"/>
                <w:color w:val="000000"/>
                <w:szCs w:val="21"/>
                <w:highlight w:val="none"/>
                <w:lang w:val="en-US" w:eastAsia="zh-CN"/>
              </w:rPr>
              <w:t>06</w:t>
            </w:r>
            <w:r>
              <w:rPr>
                <w:rFonts w:hint="eastAsia" w:ascii="宋体" w:hAnsi="宋体" w:cs="宋体"/>
                <w:color w:val="000000"/>
                <w:szCs w:val="21"/>
                <w:highlight w:val="none"/>
                <w:lang w:eastAsia="zh-CN"/>
              </w:rPr>
              <w:t>月</w:t>
            </w:r>
            <w:r>
              <w:rPr>
                <w:rFonts w:hint="eastAsia" w:ascii="宋体" w:hAnsi="宋体" w:cs="宋体"/>
                <w:color w:val="000000"/>
                <w:szCs w:val="21"/>
                <w:highlight w:val="none"/>
                <w:lang w:val="en-US" w:eastAsia="zh-CN"/>
              </w:rPr>
              <w:t>05</w:t>
            </w:r>
            <w:r>
              <w:rPr>
                <w:rFonts w:hint="eastAsia" w:ascii="宋体" w:hAnsi="宋体" w:cs="宋体"/>
                <w:color w:val="000000"/>
                <w:szCs w:val="21"/>
                <w:highlight w:val="none"/>
                <w:lang w:eastAsia="zh-CN"/>
              </w:rPr>
              <w:t>日</w:t>
            </w:r>
            <w:r>
              <w:rPr>
                <w:rFonts w:hint="eastAsia" w:ascii="宋体" w:hAnsi="宋体" w:cs="宋体"/>
                <w:color w:val="000000"/>
                <w:szCs w:val="21"/>
                <w:highlight w:val="none"/>
                <w:lang w:val="en-US" w:eastAsia="zh-CN"/>
              </w:rPr>
              <w:t>9时30</w:t>
            </w:r>
            <w:r>
              <w:rPr>
                <w:rFonts w:hint="eastAsia" w:ascii="宋体" w:hAnsi="宋体" w:cs="宋体"/>
                <w:color w:val="000000"/>
                <w:szCs w:val="21"/>
                <w:highlight w:val="none"/>
              </w:rPr>
              <w:t>分（北京时间）截标后。地点：</w:t>
            </w:r>
            <w:r>
              <w:rPr>
                <w:rFonts w:hint="eastAsia" w:ascii="宋体" w:hAnsi="宋体" w:eastAsia="宋体" w:cs="宋体"/>
                <w:color w:val="000000"/>
                <w:sz w:val="21"/>
                <w:szCs w:val="21"/>
                <w:highlight w:val="none"/>
                <w:lang w:eastAsia="zh-CN"/>
              </w:rPr>
              <w:t>桂林市公共资源交易中心</w:t>
            </w:r>
            <w:r>
              <w:rPr>
                <w:rFonts w:hint="eastAsia" w:ascii="宋体" w:hAnsi="宋体" w:cs="宋体"/>
                <w:color w:val="000000"/>
                <w:sz w:val="21"/>
                <w:szCs w:val="21"/>
                <w:highlight w:val="none"/>
                <w:u w:val="single"/>
                <w:lang w:val="en-US" w:eastAsia="zh-CN"/>
              </w:rPr>
              <w:t>3号政采开标仓</w:t>
            </w:r>
            <w:r>
              <w:rPr>
                <w:rFonts w:hint="eastAsia" w:ascii="宋体" w:hAnsi="宋体" w:eastAsia="宋体" w:cs="宋体"/>
                <w:color w:val="000000"/>
                <w:sz w:val="21"/>
                <w:szCs w:val="21"/>
                <w:highlight w:val="none"/>
              </w:rPr>
              <w:t>通过</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实行在线解密开启。</w:t>
            </w:r>
          </w:p>
        </w:tc>
      </w:tr>
      <w:tr w14:paraId="0C1A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4E43D868">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12</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4D5F66BD">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24</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18E9130">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评标委员会组成</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4CBB8E9">
            <w:pPr>
              <w:spacing w:line="360" w:lineRule="exact"/>
              <w:rPr>
                <w:rFonts w:ascii="宋体" w:hAnsi="宋体" w:cs="宋体"/>
                <w:color w:val="000000"/>
                <w:szCs w:val="21"/>
                <w:highlight w:val="none"/>
              </w:rPr>
            </w:pPr>
            <w:r>
              <w:rPr>
                <w:rFonts w:hint="eastAsia" w:ascii="宋体" w:hAnsi="宋体" w:cs="宋体"/>
                <w:color w:val="000000"/>
                <w:szCs w:val="21"/>
                <w:highlight w:val="none"/>
              </w:rPr>
              <w:t>评标委员会由采购人代表和有关方面的专家组成，成员人数共</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人，其中采购人代表</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人，</w:t>
            </w:r>
            <w:r>
              <w:rPr>
                <w:rFonts w:hint="eastAsia" w:ascii="宋体" w:hAnsi="宋体" w:cs="宋体"/>
                <w:color w:val="000000"/>
                <w:szCs w:val="21"/>
                <w:highlight w:val="none"/>
                <w:lang w:val="en-US" w:eastAsia="zh-CN"/>
              </w:rPr>
              <w:t>评审</w:t>
            </w:r>
            <w:r>
              <w:rPr>
                <w:rFonts w:hint="eastAsia" w:ascii="宋体" w:hAnsi="宋体" w:cs="宋体"/>
                <w:color w:val="000000"/>
                <w:szCs w:val="21"/>
                <w:highlight w:val="none"/>
              </w:rPr>
              <w:t>专家</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人。</w:t>
            </w:r>
          </w:p>
        </w:tc>
      </w:tr>
      <w:tr w14:paraId="0065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7D280768">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13</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7B9A61DE">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25.1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76A73B9C">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评标办法</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00F659E9">
            <w:pPr>
              <w:spacing w:line="360" w:lineRule="exact"/>
              <w:rPr>
                <w:rFonts w:ascii="宋体" w:hAnsi="宋体" w:cs="宋体"/>
                <w:color w:val="000000"/>
                <w:szCs w:val="21"/>
                <w:highlight w:val="none"/>
              </w:rPr>
            </w:pPr>
            <w:r>
              <w:rPr>
                <w:rFonts w:hint="eastAsia" w:ascii="宋体" w:hAnsi="宋体" w:cs="宋体"/>
                <w:color w:val="000000"/>
                <w:szCs w:val="21"/>
                <w:highlight w:val="none"/>
              </w:rPr>
              <w:t>综合评分法，具体评标内容及标准详见第四章。</w:t>
            </w:r>
          </w:p>
        </w:tc>
      </w:tr>
      <w:tr w14:paraId="7FEB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1CB6BDE">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14</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C197256">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32</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6496260">
            <w:pPr>
              <w:tabs>
                <w:tab w:val="left" w:pos="1140"/>
              </w:tabs>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信用查询</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BF02686">
            <w:pPr>
              <w:spacing w:line="340" w:lineRule="exact"/>
              <w:rPr>
                <w:rFonts w:ascii="宋体" w:hAnsi="宋体" w:cs="宋体"/>
                <w:color w:val="000000"/>
                <w:szCs w:val="21"/>
                <w:highlight w:val="none"/>
              </w:rPr>
            </w:pPr>
            <w:r>
              <w:rPr>
                <w:rFonts w:hint="eastAsia" w:ascii="宋体" w:hAnsi="宋体" w:cs="宋体"/>
                <w:color w:val="000000"/>
                <w:szCs w:val="21"/>
                <w:highlight w:val="none"/>
              </w:rPr>
              <w:t>根据《关于做好政府采购有关信用主体标识码登记及在政府采购活动中查询使用信用记录有关问题的通知》（桂财采〔2016〕37号），由采购代理机构对第一中标候选供应商进行信用查询：</w:t>
            </w:r>
          </w:p>
          <w:p w14:paraId="48E5D152">
            <w:pPr>
              <w:spacing w:line="340" w:lineRule="exact"/>
              <w:rPr>
                <w:rFonts w:ascii="宋体" w:hAnsi="宋体" w:cs="宋体"/>
                <w:color w:val="000000"/>
                <w:szCs w:val="21"/>
                <w:highlight w:val="none"/>
              </w:rPr>
            </w:pPr>
            <w:r>
              <w:rPr>
                <w:rFonts w:hint="eastAsia" w:ascii="宋体" w:hAnsi="宋体" w:cs="宋体"/>
                <w:color w:val="000000"/>
                <w:szCs w:val="21"/>
                <w:highlight w:val="none"/>
              </w:rPr>
              <w:t>⑴查询渠道：“信用中国”网站(www.creditchina.gov.cn)、中国政府采购网(www.ccgp.gov.cn)等；</w:t>
            </w:r>
          </w:p>
          <w:p w14:paraId="39A8845C">
            <w:pPr>
              <w:spacing w:line="340" w:lineRule="exact"/>
              <w:rPr>
                <w:rFonts w:ascii="宋体" w:hAnsi="宋体" w:cs="宋体"/>
                <w:color w:val="000000"/>
                <w:szCs w:val="21"/>
                <w:highlight w:val="none"/>
              </w:rPr>
            </w:pPr>
            <w:r>
              <w:rPr>
                <w:rFonts w:hint="eastAsia" w:ascii="宋体" w:hAnsi="宋体" w:cs="宋体"/>
                <w:color w:val="000000"/>
                <w:szCs w:val="21"/>
                <w:highlight w:val="none"/>
              </w:rPr>
              <w:t>⑵查询时间：中标通知书发出前；</w:t>
            </w:r>
          </w:p>
          <w:p w14:paraId="713B133D">
            <w:pPr>
              <w:spacing w:line="340" w:lineRule="exact"/>
              <w:rPr>
                <w:rFonts w:ascii="宋体" w:hAnsi="宋体" w:cs="宋体"/>
                <w:color w:val="000000"/>
                <w:szCs w:val="21"/>
                <w:highlight w:val="none"/>
              </w:rPr>
            </w:pPr>
            <w:r>
              <w:rPr>
                <w:rFonts w:hint="eastAsia" w:ascii="宋体" w:hAnsi="宋体" w:cs="宋体"/>
                <w:color w:val="000000"/>
                <w:szCs w:val="21"/>
                <w:highlight w:val="none"/>
              </w:rPr>
              <w:t>⑶信用信息查询记录和证据留存方式：在查询网站中直接打印查询记录，打印材料作为采购活动资料保存；</w:t>
            </w:r>
          </w:p>
          <w:p w14:paraId="41638E20">
            <w:pPr>
              <w:spacing w:line="340" w:lineRule="exact"/>
              <w:rPr>
                <w:rFonts w:ascii="宋体" w:hAnsi="宋体" w:cs="宋体"/>
                <w:color w:val="000000"/>
                <w:szCs w:val="21"/>
                <w:highlight w:val="none"/>
              </w:rPr>
            </w:pPr>
            <w:r>
              <w:rPr>
                <w:rFonts w:hint="eastAsia" w:ascii="宋体" w:hAnsi="宋体" w:cs="宋体"/>
                <w:color w:val="000000"/>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中标候选供应商资格。</w:t>
            </w:r>
          </w:p>
          <w:p w14:paraId="6A95FC59">
            <w:pPr>
              <w:spacing w:line="340" w:lineRule="exact"/>
              <w:rPr>
                <w:rFonts w:ascii="宋体" w:hAnsi="宋体" w:cs="宋体"/>
                <w:color w:val="000000"/>
                <w:szCs w:val="21"/>
                <w:highlight w:val="none"/>
              </w:rPr>
            </w:pPr>
            <w:r>
              <w:rPr>
                <w:rFonts w:hint="eastAsia" w:ascii="宋体" w:hAnsi="宋体" w:cs="宋体"/>
                <w:color w:val="000000"/>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54B3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0F37047E">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15</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3C957EF5">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33</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1E504D81">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中标公告及中标通知书</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08010376">
            <w:pPr>
              <w:tabs>
                <w:tab w:val="left" w:pos="455"/>
              </w:tabs>
              <w:spacing w:line="360" w:lineRule="exact"/>
              <w:rPr>
                <w:rFonts w:ascii="宋体" w:hAnsi="宋体" w:cs="宋体"/>
                <w:color w:val="000000"/>
                <w:szCs w:val="21"/>
                <w:highlight w:val="none"/>
              </w:rPr>
            </w:pPr>
            <w:r>
              <w:rPr>
                <w:rFonts w:hint="eastAsia" w:ascii="宋体" w:hAnsi="宋体" w:cs="宋体"/>
                <w:color w:val="000000"/>
                <w:szCs w:val="21"/>
                <w:highlight w:val="none"/>
              </w:rPr>
              <w:t>33.1采购代理机构于评标结束后两个工作日内将评标报告送交采购人，采购人应当自收到评标报告五个工作日内在评标报告推荐的中标候选供应商中按顺序确定</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；采购代理机构在</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确定之日起两个工作日内在指定媒体上公告中标结果，中标公告期限为一个工作日。</w:t>
            </w:r>
          </w:p>
          <w:p w14:paraId="05D3260E">
            <w:pPr>
              <w:spacing w:line="360" w:lineRule="exact"/>
              <w:rPr>
                <w:rFonts w:ascii="宋体" w:hAnsi="宋体" w:cs="宋体"/>
                <w:color w:val="000000"/>
                <w:szCs w:val="21"/>
                <w:highlight w:val="none"/>
              </w:rPr>
            </w:pPr>
            <w:r>
              <w:rPr>
                <w:rFonts w:hint="eastAsia" w:ascii="宋体" w:hAnsi="宋体" w:cs="宋体"/>
                <w:color w:val="000000"/>
                <w:szCs w:val="21"/>
                <w:highlight w:val="none"/>
              </w:rPr>
              <w:t>33.2</w:t>
            </w:r>
            <w:r>
              <w:rPr>
                <w:rFonts w:hint="eastAsia" w:ascii="宋体" w:hAnsi="宋体" w:cs="宋体"/>
                <w:szCs w:val="21"/>
                <w:lang w:eastAsia="zh-CN"/>
              </w:rPr>
              <w:t>中标公告发布的同时，采购代理机构在线向中标供应商发出电子中标通知书</w:t>
            </w:r>
            <w:r>
              <w:rPr>
                <w:rFonts w:hint="eastAsia" w:ascii="宋体" w:hAnsi="宋体" w:cs="宋体"/>
                <w:color w:val="000000"/>
                <w:szCs w:val="21"/>
                <w:highlight w:val="none"/>
              </w:rPr>
              <w:t>。</w:t>
            </w:r>
          </w:p>
        </w:tc>
      </w:tr>
      <w:tr w14:paraId="563F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267EA823">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16</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EAAA444">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34</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06122C92">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履约保证金</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70D9F48C">
            <w:pPr>
              <w:pStyle w:val="213"/>
              <w:spacing w:line="360" w:lineRule="exact"/>
              <w:rPr>
                <w:rFonts w:hint="eastAsia" w:hAnsi="宋体" w:eastAsia="宋体" w:cs="宋体"/>
                <w:color w:val="000000"/>
                <w:szCs w:val="21"/>
                <w:highlight w:val="none"/>
                <w:lang w:val="en-US" w:eastAsia="zh-CN"/>
              </w:rPr>
            </w:pPr>
            <w:r>
              <w:rPr>
                <w:rFonts w:hint="eastAsia" w:hAnsi="宋体" w:cs="宋体"/>
                <w:color w:val="000000"/>
                <w:szCs w:val="21"/>
                <w:highlight w:val="none"/>
              </w:rPr>
              <w:t>本项目无需缴纳履约保证金</w:t>
            </w:r>
            <w:r>
              <w:rPr>
                <w:rFonts w:hint="eastAsia" w:hAnsi="宋体" w:cs="宋体"/>
                <w:color w:val="000000"/>
                <w:szCs w:val="21"/>
                <w:highlight w:val="none"/>
                <w:lang w:eastAsia="zh-CN"/>
              </w:rPr>
              <w:t>。</w:t>
            </w:r>
          </w:p>
        </w:tc>
      </w:tr>
      <w:tr w14:paraId="67E1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26E41EE6">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17</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4857A587">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35.1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79B3D22F">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签订合同时间</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3172635D">
            <w:pPr>
              <w:spacing w:line="360" w:lineRule="exact"/>
              <w:rPr>
                <w:rFonts w:hAnsi="宋体" w:cs="宋体"/>
                <w:color w:val="000000"/>
                <w:szCs w:val="21"/>
                <w:highlight w:val="none"/>
              </w:rPr>
            </w:pPr>
            <w:r>
              <w:rPr>
                <w:rFonts w:hint="eastAsia" w:ascii="宋体" w:hAnsi="宋体" w:cs="宋体"/>
                <w:color w:val="000000"/>
                <w:szCs w:val="21"/>
                <w:highlight w:val="none"/>
                <w:lang w:eastAsia="zh-CN"/>
              </w:rPr>
              <w:t>中标通知书发出之日起八个工作日内</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中标人收到中标通知书后，应按规定与采购人在“广西政府采购云平台”上在线签订电子合同。</w:t>
            </w:r>
          </w:p>
        </w:tc>
      </w:tr>
      <w:tr w14:paraId="27D7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52464769">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18</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508584D">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35.4</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17177298">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合同备案存档</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439C9B0C">
            <w:pPr>
              <w:spacing w:line="360" w:lineRule="exact"/>
              <w:rPr>
                <w:rFonts w:ascii="宋体" w:hAnsi="宋体" w:cs="宋体"/>
                <w:color w:val="000000"/>
                <w:szCs w:val="21"/>
                <w:highlight w:val="none"/>
              </w:rPr>
            </w:pPr>
            <w:r>
              <w:rPr>
                <w:rFonts w:hint="eastAsia" w:ascii="宋体" w:hAnsi="宋体" w:cs="宋体"/>
                <w:color w:val="000000"/>
                <w:szCs w:val="21"/>
                <w:highlight w:val="none"/>
              </w:rPr>
              <w:t>政府采购合同双方自签订之日起</w:t>
            </w:r>
            <w:r>
              <w:rPr>
                <w:rFonts w:hint="eastAsia" w:ascii="宋体" w:hAnsi="宋体" w:cs="宋体"/>
                <w:color w:val="000000"/>
                <w:szCs w:val="21"/>
                <w:highlight w:val="none"/>
                <w:lang w:eastAsia="zh-CN"/>
              </w:rPr>
              <w:t>将自动存档于“广西政府采购云平台”上</w:t>
            </w:r>
            <w:r>
              <w:rPr>
                <w:rFonts w:hint="eastAsia" w:ascii="宋体" w:hAnsi="宋体" w:cs="宋体"/>
                <w:color w:val="000000"/>
                <w:szCs w:val="21"/>
                <w:highlight w:val="none"/>
              </w:rPr>
              <w:t>，采购人于合同签订之日起七个工作日内将一份合同原件送本级财政部门备案。</w:t>
            </w:r>
          </w:p>
        </w:tc>
      </w:tr>
      <w:tr w14:paraId="6FD8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0648A1F8">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19</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341A95F">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36</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7AAE23A">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招标代理服务费</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3354D4A9">
            <w:pPr>
              <w:spacing w:line="360" w:lineRule="exact"/>
              <w:rPr>
                <w:rFonts w:ascii="宋体" w:hAnsi="宋体" w:cs="宋体"/>
                <w:color w:val="000000"/>
                <w:szCs w:val="21"/>
                <w:highlight w:val="none"/>
              </w:rPr>
            </w:pPr>
            <w:r>
              <w:rPr>
                <w:rFonts w:hint="eastAsia" w:ascii="宋体" w:hAnsi="宋体" w:cs="宋体"/>
                <w:color w:val="000000"/>
                <w:szCs w:val="21"/>
                <w:highlight w:val="none"/>
              </w:rPr>
              <w:t>本项目免收代理服务费。</w:t>
            </w:r>
          </w:p>
        </w:tc>
      </w:tr>
      <w:tr w14:paraId="10F1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27005183">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20</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3D5FFE38">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37</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8C04BE6">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lang w:eastAsia="zh-CN"/>
              </w:rPr>
              <w:t>编制依据</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5D0D6F91">
            <w:pPr>
              <w:spacing w:line="360" w:lineRule="exact"/>
              <w:rPr>
                <w:rFonts w:ascii="宋体" w:hAnsi="宋体" w:cs="宋体"/>
                <w:color w:val="000000"/>
                <w:szCs w:val="21"/>
                <w:highlight w:val="none"/>
              </w:rPr>
            </w:pPr>
            <w:r>
              <w:rPr>
                <w:rFonts w:hint="eastAsia" w:ascii="宋体" w:hAnsi="宋体" w:cs="宋体"/>
                <w:color w:val="000000"/>
                <w:szCs w:val="21"/>
                <w:highlight w:val="none"/>
              </w:rPr>
              <w:t>本招标文件是根据《中华人民共和国政府采购法》《中华人民共和国政府采购法实施条例》及《政府采购货物和服务招标投标管理办法》（财政部令第87号）等相关规定编制。</w:t>
            </w:r>
          </w:p>
        </w:tc>
      </w:tr>
      <w:tr w14:paraId="1F3D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409251A0">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21</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47068A34">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38</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19D74341">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监督管理机构</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46B4F57">
            <w:pPr>
              <w:spacing w:line="360" w:lineRule="exact"/>
              <w:rPr>
                <w:rFonts w:ascii="宋体" w:hAnsi="宋体" w:cs="宋体"/>
                <w:color w:val="000000"/>
                <w:szCs w:val="21"/>
                <w:highlight w:val="none"/>
              </w:rPr>
            </w:pPr>
            <w:r>
              <w:rPr>
                <w:rFonts w:hint="eastAsia" w:ascii="宋体" w:hAnsi="宋体" w:cs="宋体"/>
                <w:color w:val="000000"/>
                <w:szCs w:val="21"/>
                <w:highlight w:val="none"/>
                <w:lang w:val="en-US" w:eastAsia="zh-CN"/>
              </w:rPr>
              <w:t>桂林市财政局</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电话：</w:t>
            </w:r>
            <w:r>
              <w:rPr>
                <w:rFonts w:hint="eastAsia" w:ascii="宋体" w:hAnsi="宋体" w:cs="宋体"/>
                <w:color w:val="000000"/>
                <w:szCs w:val="21"/>
                <w:highlight w:val="none"/>
                <w:lang w:val="en-US" w:eastAsia="zh-CN"/>
              </w:rPr>
              <w:t>0773-2862142</w:t>
            </w:r>
          </w:p>
        </w:tc>
      </w:tr>
    </w:tbl>
    <w:p w14:paraId="0115E6AB">
      <w:pPr>
        <w:spacing w:line="360" w:lineRule="auto"/>
        <w:jc w:val="center"/>
        <w:outlineLvl w:val="1"/>
        <w:rPr>
          <w:rFonts w:ascii="宋体" w:hAnsi="宋体" w:cs="宋体"/>
          <w:b/>
          <w:color w:val="000000"/>
          <w:sz w:val="28"/>
          <w:szCs w:val="28"/>
          <w:highlight w:val="none"/>
        </w:rPr>
      </w:pPr>
      <w:bookmarkStart w:id="42" w:name="_Toc495841754"/>
      <w:bookmarkStart w:id="43" w:name="_Toc3679"/>
      <w:r>
        <w:rPr>
          <w:rFonts w:hint="eastAsia" w:ascii="宋体" w:hAnsi="宋体" w:cs="宋体"/>
          <w:b/>
          <w:color w:val="000000"/>
          <w:sz w:val="28"/>
          <w:szCs w:val="28"/>
          <w:highlight w:val="none"/>
        </w:rPr>
        <w:br w:type="page" w:clear="all"/>
      </w:r>
      <w:bookmarkStart w:id="44" w:name="_Toc7996"/>
      <w:bookmarkStart w:id="45" w:name="_Toc10967"/>
      <w:r>
        <w:rPr>
          <w:rFonts w:hint="eastAsia" w:ascii="宋体" w:hAnsi="宋体" w:cs="宋体"/>
          <w:b/>
          <w:color w:val="000000"/>
          <w:sz w:val="28"/>
          <w:szCs w:val="28"/>
          <w:highlight w:val="none"/>
        </w:rPr>
        <w:t>一、总则</w:t>
      </w:r>
      <w:bookmarkEnd w:id="42"/>
      <w:bookmarkEnd w:id="43"/>
      <w:bookmarkEnd w:id="44"/>
      <w:bookmarkEnd w:id="45"/>
    </w:p>
    <w:p w14:paraId="7E17CDEE">
      <w:pPr>
        <w:spacing w:line="400" w:lineRule="exact"/>
        <w:ind w:firstLine="413"/>
        <w:outlineLvl w:val="2"/>
        <w:rPr>
          <w:rFonts w:ascii="宋体" w:hAnsi="宋体" w:cs="宋体"/>
          <w:b/>
          <w:color w:val="000000"/>
          <w:szCs w:val="21"/>
          <w:highlight w:val="none"/>
        </w:rPr>
      </w:pPr>
      <w:bookmarkStart w:id="46" w:name="_Toc27209"/>
      <w:bookmarkStart w:id="47" w:name="_Toc23807"/>
      <w:bookmarkStart w:id="48" w:name="_Toc6156"/>
      <w:r>
        <w:rPr>
          <w:rFonts w:hint="eastAsia" w:ascii="宋体" w:hAnsi="宋体" w:cs="宋体"/>
          <w:b/>
          <w:color w:val="000000"/>
          <w:szCs w:val="21"/>
          <w:highlight w:val="none"/>
        </w:rPr>
        <w:t>1. 项目名称及项目编号</w:t>
      </w:r>
      <w:bookmarkEnd w:id="46"/>
      <w:bookmarkEnd w:id="47"/>
      <w:bookmarkEnd w:id="48"/>
    </w:p>
    <w:p w14:paraId="2568A72B">
      <w:pPr>
        <w:spacing w:line="340" w:lineRule="exact"/>
        <w:ind w:firstLine="420"/>
        <w:rPr>
          <w:rFonts w:hint="eastAsia" w:ascii="宋体" w:hAnsi="宋体" w:cs="宋体"/>
          <w:color w:val="000000"/>
          <w:szCs w:val="21"/>
          <w:highlight w:val="none"/>
        </w:rPr>
      </w:pPr>
      <w:bookmarkStart w:id="49" w:name="_Toc340"/>
      <w:bookmarkStart w:id="50" w:name="_Toc11983"/>
      <w:r>
        <w:rPr>
          <w:rFonts w:hint="eastAsia" w:ascii="宋体" w:hAnsi="宋体" w:cs="宋体"/>
          <w:color w:val="000000"/>
          <w:szCs w:val="21"/>
          <w:highlight w:val="none"/>
        </w:rPr>
        <w:t>项目名称：</w:t>
      </w:r>
      <w:r>
        <w:rPr>
          <w:rFonts w:hint="eastAsia" w:ascii="宋体" w:hAnsi="宋体" w:cs="宋体"/>
          <w:color w:val="000000"/>
          <w:highlight w:val="none"/>
          <w:lang w:val="en-US" w:eastAsia="zh-CN"/>
        </w:rPr>
        <w:t xml:space="preserve">桂林市市直机关办公区物业管理服务项目  </w:t>
      </w:r>
    </w:p>
    <w:p w14:paraId="2F4727D7">
      <w:pPr>
        <w:spacing w:line="400" w:lineRule="exact"/>
        <w:ind w:firstLine="411"/>
        <w:rPr>
          <w:rFonts w:hint="eastAsia" w:ascii="宋体" w:hAnsi="宋体" w:eastAsia="宋体" w:cs="宋体"/>
          <w:color w:val="000000"/>
          <w:szCs w:val="21"/>
          <w:highlight w:val="none"/>
          <w:lang w:eastAsia="zh-CN"/>
        </w:rPr>
      </w:pPr>
      <w:bookmarkStart w:id="51" w:name="_Toc32432"/>
      <w:bookmarkStart w:id="52" w:name="_Toc4756"/>
      <w:bookmarkStart w:id="53" w:name="_Toc8531"/>
      <w:r>
        <w:rPr>
          <w:rFonts w:hint="eastAsia" w:ascii="宋体" w:hAnsi="宋体" w:cs="宋体"/>
          <w:color w:val="000000"/>
          <w:szCs w:val="21"/>
          <w:highlight w:val="none"/>
        </w:rPr>
        <w:t>项目编号：</w:t>
      </w:r>
      <w:bookmarkEnd w:id="49"/>
      <w:bookmarkEnd w:id="50"/>
      <w:bookmarkEnd w:id="51"/>
      <w:r>
        <w:rPr>
          <w:rFonts w:hint="eastAsia" w:ascii="宋体" w:hAnsi="宋体" w:cs="宋体"/>
          <w:color w:val="000000"/>
          <w:highlight w:val="none"/>
          <w:lang w:eastAsia="zh-CN"/>
        </w:rPr>
        <w:t xml:space="preserve"> GLZC2026-G3-990149-GLSZ</w:t>
      </w:r>
    </w:p>
    <w:p w14:paraId="4069EBD7">
      <w:pPr>
        <w:spacing w:line="400" w:lineRule="exact"/>
        <w:ind w:firstLine="413"/>
        <w:outlineLvl w:val="2"/>
        <w:rPr>
          <w:rFonts w:ascii="宋体" w:hAnsi="宋体" w:cs="宋体"/>
          <w:b/>
          <w:color w:val="000000"/>
          <w:szCs w:val="21"/>
          <w:highlight w:val="none"/>
        </w:rPr>
      </w:pPr>
      <w:bookmarkStart w:id="54" w:name="_Toc21725"/>
      <w:r>
        <w:rPr>
          <w:rFonts w:hint="eastAsia" w:ascii="宋体" w:hAnsi="宋体" w:cs="宋体"/>
          <w:b/>
          <w:color w:val="000000"/>
          <w:szCs w:val="21"/>
          <w:highlight w:val="none"/>
        </w:rPr>
        <w:t>2. 适应范围</w:t>
      </w:r>
      <w:bookmarkEnd w:id="52"/>
      <w:bookmarkEnd w:id="53"/>
      <w:bookmarkEnd w:id="54"/>
    </w:p>
    <w:p w14:paraId="000C4B0A">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本招标文件适用本招标采购项目的招标、投标、评标、合同履约、验收、付款等行为（法律、法规另有规定的，从其规定）。</w:t>
      </w:r>
    </w:p>
    <w:p w14:paraId="2D67110B">
      <w:pPr>
        <w:spacing w:line="400" w:lineRule="exact"/>
        <w:ind w:firstLine="413"/>
        <w:outlineLvl w:val="2"/>
        <w:rPr>
          <w:rFonts w:ascii="宋体" w:hAnsi="宋体" w:cs="宋体"/>
          <w:b/>
          <w:color w:val="000000"/>
          <w:szCs w:val="21"/>
          <w:highlight w:val="none"/>
        </w:rPr>
      </w:pPr>
      <w:bookmarkStart w:id="55" w:name="_Toc11360"/>
      <w:bookmarkStart w:id="56" w:name="_Toc1895"/>
      <w:bookmarkStart w:id="57" w:name="_Toc12309"/>
      <w:r>
        <w:rPr>
          <w:rFonts w:hint="eastAsia" w:ascii="宋体" w:hAnsi="宋体" w:cs="宋体"/>
          <w:b/>
          <w:color w:val="000000"/>
          <w:szCs w:val="21"/>
          <w:highlight w:val="none"/>
        </w:rPr>
        <w:t>3. 定义</w:t>
      </w:r>
      <w:bookmarkEnd w:id="55"/>
      <w:bookmarkEnd w:id="56"/>
      <w:bookmarkEnd w:id="57"/>
    </w:p>
    <w:p w14:paraId="0572BDBB">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3.1“投标人”系指响应招标、参加投标竞争的法人、其他组织或者自然人。</w:t>
      </w:r>
    </w:p>
    <w:p w14:paraId="7F7014EF">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3.2“货物”系指按招标文件规定，投标人须向采购人提供的一切设备、保险、税金、备品备件、工具、手册及其它有关技术资料和材料。</w:t>
      </w:r>
    </w:p>
    <w:p w14:paraId="31E2CB2C">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3.3“服务”系指按招标文件规定，投标人须承担的安装、调试、技术协助、校准、培训、技术指导以及其他类似的义务。</w:t>
      </w:r>
    </w:p>
    <w:p w14:paraId="17DD9B9D">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3.4“项目”系指投标人按招标文件规定向采购人提供的货物和服务。</w:t>
      </w:r>
    </w:p>
    <w:p w14:paraId="36FA9B91">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3.5“书面形式”包括信函、传真、电报等。</w:t>
      </w:r>
    </w:p>
    <w:p w14:paraId="62E8A3D3">
      <w:pPr>
        <w:pStyle w:val="14"/>
        <w:ind w:firstLine="422"/>
        <w:rPr>
          <w:rFonts w:ascii="宋体" w:hAnsi="宋体" w:cs="宋体"/>
          <w:b/>
          <w:color w:val="000000"/>
          <w:szCs w:val="21"/>
          <w:highlight w:val="none"/>
        </w:rPr>
      </w:pPr>
      <w:r>
        <w:rPr>
          <w:rFonts w:hint="eastAsia" w:ascii="宋体" w:hAnsi="宋体" w:cs="宋体"/>
          <w:b/>
          <w:color w:val="000000"/>
          <w:szCs w:val="21"/>
          <w:highlight w:val="none"/>
        </w:rPr>
        <w:t>3.6实质性要求：</w:t>
      </w:r>
      <w:r>
        <w:rPr>
          <w:rFonts w:hint="eastAsia" w:eastAsia="宋体" w:asciiTheme="minorEastAsia" w:hAnsiTheme="minorEastAsia" w:cstheme="minorEastAsia"/>
          <w:b/>
          <w:bCs/>
          <w:color w:val="auto"/>
          <w:szCs w:val="21"/>
          <w:highlight w:val="none"/>
          <w:lang w:eastAsia="zh-CN"/>
        </w:rPr>
        <w:t>本项目“</w:t>
      </w:r>
      <w:r>
        <w:rPr>
          <w:rFonts w:hint="eastAsia" w:asciiTheme="minorEastAsia" w:hAnsiTheme="minorEastAsia" w:eastAsiaTheme="minorEastAsia" w:cstheme="minorEastAsia"/>
          <w:b/>
          <w:bCs/>
          <w:color w:val="auto"/>
          <w:szCs w:val="21"/>
          <w:highlight w:val="none"/>
        </w:rPr>
        <w:t>采购需求</w:t>
      </w:r>
      <w:r>
        <w:rPr>
          <w:rFonts w:hint="eastAsia" w:eastAsia="宋体" w:asciiTheme="minorEastAsia" w:hAnsi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中除现场勘察相关要求外</w:t>
      </w:r>
      <w:r>
        <w:rPr>
          <w:rFonts w:hint="eastAsia" w:asciiTheme="minorEastAsia" w:hAnsiTheme="minorEastAsia" w:eastAsiaTheme="minorEastAsia" w:cstheme="minorEastAsia"/>
          <w:b/>
          <w:bCs/>
          <w:color w:val="auto"/>
          <w:szCs w:val="21"/>
          <w:highlight w:val="none"/>
          <w:lang w:eastAsia="zh-CN"/>
        </w:rPr>
        <w:t>，其他</w:t>
      </w:r>
      <w:r>
        <w:rPr>
          <w:rFonts w:hint="eastAsia" w:asciiTheme="minorEastAsia" w:hAnsiTheme="minorEastAsia" w:eastAsiaTheme="minorEastAsia" w:cstheme="minorEastAsia"/>
          <w:b/>
          <w:bCs/>
          <w:color w:val="auto"/>
          <w:szCs w:val="21"/>
          <w:highlight w:val="none"/>
        </w:rPr>
        <w:t>均为实质性要求</w:t>
      </w:r>
      <w:r>
        <w:rPr>
          <w:rFonts w:hint="eastAsia" w:ascii="宋体" w:hAnsi="宋体" w:cs="宋体"/>
          <w:b/>
          <w:color w:val="000000"/>
          <w:szCs w:val="21"/>
          <w:highlight w:val="none"/>
        </w:rPr>
        <w:t>，不允许负偏离，否则投标无效。</w:t>
      </w:r>
    </w:p>
    <w:p w14:paraId="3178B9F6">
      <w:pPr>
        <w:spacing w:line="400" w:lineRule="exact"/>
        <w:ind w:firstLine="413"/>
        <w:outlineLvl w:val="2"/>
        <w:rPr>
          <w:rFonts w:ascii="宋体" w:hAnsi="宋体" w:cs="宋体"/>
          <w:b/>
          <w:color w:val="000000"/>
          <w:szCs w:val="21"/>
          <w:highlight w:val="none"/>
        </w:rPr>
      </w:pPr>
      <w:bookmarkStart w:id="58" w:name="_Toc19589"/>
      <w:bookmarkStart w:id="59" w:name="_Toc24020"/>
      <w:bookmarkStart w:id="60" w:name="_Toc28906"/>
      <w:r>
        <w:rPr>
          <w:rFonts w:hint="eastAsia" w:ascii="宋体" w:hAnsi="宋体" w:cs="宋体"/>
          <w:b/>
          <w:color w:val="000000"/>
          <w:szCs w:val="21"/>
          <w:highlight w:val="none"/>
        </w:rPr>
        <w:t>4. 招标方式、评分办法</w:t>
      </w:r>
      <w:bookmarkEnd w:id="58"/>
      <w:bookmarkEnd w:id="59"/>
      <w:bookmarkEnd w:id="60"/>
    </w:p>
    <w:p w14:paraId="6CE3430E">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公开招标、综合评分法</w:t>
      </w:r>
    </w:p>
    <w:p w14:paraId="04B6653C">
      <w:pPr>
        <w:spacing w:line="400" w:lineRule="exact"/>
        <w:ind w:firstLine="413"/>
        <w:outlineLvl w:val="2"/>
        <w:rPr>
          <w:rFonts w:ascii="宋体" w:hAnsi="宋体" w:cs="宋体"/>
          <w:b/>
          <w:color w:val="000000"/>
          <w:szCs w:val="21"/>
          <w:highlight w:val="none"/>
        </w:rPr>
      </w:pPr>
      <w:bookmarkStart w:id="61" w:name="_Toc12319"/>
      <w:bookmarkStart w:id="62" w:name="_Toc598"/>
      <w:bookmarkStart w:id="63" w:name="_Toc15345"/>
      <w:r>
        <w:rPr>
          <w:rFonts w:hint="eastAsia" w:ascii="宋体" w:hAnsi="宋体" w:cs="宋体"/>
          <w:b/>
          <w:color w:val="000000"/>
          <w:szCs w:val="21"/>
          <w:highlight w:val="none"/>
        </w:rPr>
        <w:t>5. 投标人资格</w:t>
      </w:r>
      <w:bookmarkEnd w:id="61"/>
      <w:bookmarkEnd w:id="62"/>
      <w:bookmarkEnd w:id="63"/>
    </w:p>
    <w:p w14:paraId="29AD99AC">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5.1符合《中华人民共和国政府采购法》第二十二条和《政府采购法实施条例》第十八条规定，并且在国内注册或登记、具备合法资格，提供本次采购货物或服务的供应商。</w:t>
      </w:r>
    </w:p>
    <w:p w14:paraId="1B81E1BD">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5.2 本项目不接受联合体投标。</w:t>
      </w:r>
    </w:p>
    <w:p w14:paraId="0FA5D5B6">
      <w:pPr>
        <w:spacing w:line="400" w:lineRule="exact"/>
        <w:ind w:firstLine="435"/>
        <w:rPr>
          <w:rFonts w:hint="eastAsia" w:ascii="宋体" w:hAnsi="宋体" w:cs="宋体"/>
          <w:color w:val="000000"/>
          <w:szCs w:val="21"/>
          <w:highlight w:val="none"/>
        </w:rPr>
      </w:pPr>
      <w:r>
        <w:rPr>
          <w:rFonts w:hint="eastAsia" w:ascii="宋体" w:hAnsi="宋体" w:cs="宋体"/>
          <w:color w:val="000000"/>
          <w:szCs w:val="21"/>
          <w:highlight w:val="none"/>
        </w:rPr>
        <w:t>5.3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0729C30E">
      <w:pPr>
        <w:spacing w:line="400" w:lineRule="exact"/>
        <w:ind w:firstLine="435"/>
        <w:rPr>
          <w:rFonts w:hint="eastAsia"/>
          <w:b/>
          <w:bCs/>
          <w:color w:val="000000"/>
          <w:highlight w:val="none"/>
        </w:rPr>
      </w:pPr>
      <w:r>
        <w:rPr>
          <w:rFonts w:hint="eastAsia" w:ascii="宋体" w:hAnsi="宋体" w:cs="宋体"/>
          <w:b/>
          <w:bCs/>
          <w:color w:val="000000"/>
          <w:highlight w:val="none"/>
        </w:rPr>
        <w:t xml:space="preserve">5.4 </w:t>
      </w:r>
      <w:r>
        <w:rPr>
          <w:rFonts w:hint="eastAsia"/>
          <w:b/>
          <w:bCs/>
          <w:color w:val="000000"/>
          <w:highlight w:val="none"/>
        </w:rPr>
        <w:t>落实政府采购政策需满足的资格要求：</w:t>
      </w:r>
      <w:r>
        <w:rPr>
          <w:rFonts w:hint="eastAsia" w:ascii="宋体" w:hAnsi="宋体" w:cs="宋体"/>
          <w:b/>
          <w:bCs/>
          <w:color w:val="000000"/>
          <w:szCs w:val="21"/>
          <w:highlight w:val="none"/>
          <w:lang w:val="en-US" w:eastAsia="zh-CN"/>
        </w:rPr>
        <w:t>本项目专门面向中小企业，所属行业为物业管理。</w:t>
      </w:r>
    </w:p>
    <w:p w14:paraId="0D79167F">
      <w:pPr>
        <w:spacing w:line="400" w:lineRule="exact"/>
        <w:ind w:firstLine="435"/>
        <w:rPr>
          <w:color w:val="000000"/>
          <w:highlight w:val="none"/>
        </w:rPr>
      </w:pPr>
      <w:r>
        <w:rPr>
          <w:rFonts w:hint="eastAsia" w:ascii="宋体" w:hAnsi="宋体" w:cs="宋体"/>
          <w:b/>
          <w:bCs/>
          <w:color w:val="000000"/>
          <w:szCs w:val="21"/>
          <w:highlight w:val="none"/>
        </w:rPr>
        <w:t>5.5本项目的特定资格要求：</w:t>
      </w:r>
      <w:r>
        <w:rPr>
          <w:rFonts w:hint="eastAsia"/>
          <w:b/>
          <w:bCs/>
          <w:color w:val="000000"/>
          <w:highlight w:val="none"/>
        </w:rPr>
        <w:t>无。</w:t>
      </w:r>
    </w:p>
    <w:p w14:paraId="4229B5E1">
      <w:pPr>
        <w:spacing w:line="400" w:lineRule="exact"/>
        <w:ind w:firstLine="413"/>
        <w:outlineLvl w:val="2"/>
        <w:rPr>
          <w:rFonts w:ascii="宋体" w:hAnsi="宋体" w:cs="宋体"/>
          <w:b/>
          <w:color w:val="000000"/>
          <w:szCs w:val="21"/>
          <w:highlight w:val="none"/>
        </w:rPr>
      </w:pPr>
      <w:bookmarkStart w:id="64" w:name="_Toc24742"/>
      <w:bookmarkStart w:id="65" w:name="_Toc20735"/>
      <w:bookmarkStart w:id="66" w:name="_Toc14174"/>
      <w:r>
        <w:rPr>
          <w:rFonts w:hint="eastAsia" w:ascii="宋体" w:hAnsi="宋体" w:cs="宋体"/>
          <w:b/>
          <w:color w:val="000000"/>
          <w:szCs w:val="21"/>
          <w:highlight w:val="none"/>
        </w:rPr>
        <w:t>6. 投标费用</w:t>
      </w:r>
      <w:bookmarkEnd w:id="64"/>
      <w:bookmarkEnd w:id="65"/>
      <w:bookmarkEnd w:id="66"/>
    </w:p>
    <w:p w14:paraId="5D3471A3">
      <w:pPr>
        <w:spacing w:line="400" w:lineRule="exact"/>
        <w:ind w:firstLine="435"/>
        <w:rPr>
          <w:rFonts w:ascii="宋体" w:hAnsi="宋体" w:cs="宋体"/>
          <w:b/>
          <w:color w:val="000000"/>
          <w:szCs w:val="21"/>
          <w:highlight w:val="none"/>
        </w:rPr>
      </w:pPr>
      <w:r>
        <w:rPr>
          <w:rFonts w:hint="eastAsia" w:ascii="宋体" w:hAnsi="宋体" w:cs="宋体"/>
          <w:color w:val="000000"/>
          <w:szCs w:val="21"/>
          <w:highlight w:val="none"/>
        </w:rPr>
        <w:t>不论投标结果如何，投标人均应自行承担所有与投标有关的全部费用。</w:t>
      </w:r>
    </w:p>
    <w:p w14:paraId="5AA5E92B">
      <w:pPr>
        <w:spacing w:line="400" w:lineRule="exact"/>
        <w:ind w:firstLine="413"/>
        <w:outlineLvl w:val="2"/>
        <w:rPr>
          <w:rFonts w:ascii="宋体" w:hAnsi="宋体" w:cs="宋体"/>
          <w:b/>
          <w:color w:val="000000"/>
          <w:szCs w:val="21"/>
          <w:highlight w:val="none"/>
        </w:rPr>
      </w:pPr>
      <w:bookmarkStart w:id="67" w:name="_Toc26625"/>
      <w:bookmarkStart w:id="68" w:name="_Toc22702"/>
      <w:bookmarkStart w:id="69" w:name="_Toc31803"/>
      <w:r>
        <w:rPr>
          <w:rFonts w:hint="eastAsia" w:ascii="宋体" w:hAnsi="宋体" w:cs="宋体"/>
          <w:b/>
          <w:color w:val="000000"/>
          <w:szCs w:val="21"/>
          <w:highlight w:val="none"/>
        </w:rPr>
        <w:t>7. 联合体投标要求</w:t>
      </w:r>
      <w:bookmarkEnd w:id="67"/>
      <w:bookmarkEnd w:id="68"/>
      <w:bookmarkEnd w:id="69"/>
    </w:p>
    <w:p w14:paraId="0D6A9D1A">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本项目不接受联合体投标。</w:t>
      </w:r>
    </w:p>
    <w:p w14:paraId="627DD642">
      <w:pPr>
        <w:spacing w:line="400" w:lineRule="exact"/>
        <w:ind w:firstLine="413"/>
        <w:outlineLvl w:val="2"/>
        <w:rPr>
          <w:rFonts w:ascii="宋体" w:hAnsi="宋体" w:cs="宋体"/>
          <w:b/>
          <w:color w:val="000000"/>
          <w:szCs w:val="21"/>
          <w:highlight w:val="none"/>
        </w:rPr>
      </w:pPr>
      <w:bookmarkStart w:id="70" w:name="_Toc6046"/>
      <w:bookmarkStart w:id="71" w:name="_Toc24292"/>
      <w:bookmarkStart w:id="72" w:name="_Toc24584"/>
      <w:r>
        <w:rPr>
          <w:rFonts w:hint="eastAsia" w:ascii="宋体" w:hAnsi="宋体" w:cs="宋体"/>
          <w:b/>
          <w:color w:val="000000"/>
          <w:szCs w:val="21"/>
          <w:highlight w:val="none"/>
        </w:rPr>
        <w:t>8. 转包与分包</w:t>
      </w:r>
      <w:bookmarkEnd w:id="70"/>
      <w:bookmarkEnd w:id="71"/>
      <w:bookmarkEnd w:id="72"/>
    </w:p>
    <w:p w14:paraId="283C86AB">
      <w:pPr>
        <w:tabs>
          <w:tab w:val="left" w:pos="1635"/>
        </w:tabs>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8.1本项目不允许转包。</w:t>
      </w:r>
    </w:p>
    <w:p w14:paraId="63C542AA">
      <w:pPr>
        <w:tabs>
          <w:tab w:val="left" w:pos="1635"/>
        </w:tabs>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8.2</w:t>
      </w:r>
      <w:r>
        <w:rPr>
          <w:rFonts w:hint="eastAsia" w:ascii="宋体" w:hAnsi="宋体" w:cs="宋体"/>
          <w:color w:val="000000" w:themeColor="text1"/>
          <w:szCs w:val="21"/>
          <w:highlight w:val="none"/>
          <w:lang w:eastAsia="zh-CN"/>
          <w14:textFill>
            <w14:solidFill>
              <w14:schemeClr w14:val="tx1"/>
            </w14:solidFill>
          </w14:textFill>
        </w:rPr>
        <w:t>按照《</w:t>
      </w:r>
      <w:r>
        <w:rPr>
          <w:rFonts w:hint="eastAsia" w:ascii="宋体" w:hAnsi="宋体" w:cs="宋体"/>
          <w:color w:val="000000" w:themeColor="text1"/>
          <w:szCs w:val="21"/>
          <w:highlight w:val="none"/>
          <w14:textFill>
            <w14:solidFill>
              <w14:schemeClr w14:val="tx1"/>
            </w14:solidFill>
          </w14:textFill>
        </w:rPr>
        <w:t>《中华人民共和国政府采购法》第四十八条规定</w:t>
      </w:r>
      <w:r>
        <w:rPr>
          <w:rFonts w:hint="eastAsia" w:ascii="宋体" w:hAnsi="宋体" w:cs="宋体"/>
          <w:color w:val="000000" w:themeColor="text1"/>
          <w:szCs w:val="21"/>
          <w:highlight w:val="none"/>
          <w:lang w:eastAsia="zh-CN"/>
          <w14:textFill>
            <w14:solidFill>
              <w14:schemeClr w14:val="tx1"/>
            </w14:solidFill>
          </w14:textFill>
        </w:rPr>
        <w:t>，本项目</w:t>
      </w:r>
      <w:r>
        <w:rPr>
          <w:rFonts w:hint="eastAsia" w:ascii="宋体" w:hAnsi="宋体" w:cs="宋体"/>
          <w:color w:val="000000" w:themeColor="text1"/>
          <w:szCs w:val="21"/>
          <w:highlight w:val="none"/>
          <w14:textFill>
            <w14:solidFill>
              <w14:schemeClr w14:val="tx1"/>
            </w14:solidFill>
          </w14:textFill>
        </w:rPr>
        <w:t>经采购人同意，中标供应商可以依法采取分包方式履行合同。政府采购合同分包履行的，中标供应商就采购项目和分包项目向采购人负责，分包供应商就分包项目承担责任。</w:t>
      </w:r>
    </w:p>
    <w:p w14:paraId="526F049D">
      <w:pPr>
        <w:spacing w:line="400" w:lineRule="exact"/>
        <w:ind w:firstLine="413"/>
        <w:outlineLvl w:val="2"/>
        <w:rPr>
          <w:rFonts w:ascii="宋体" w:hAnsi="宋体" w:cs="宋体"/>
          <w:b/>
          <w:color w:val="000000"/>
          <w:szCs w:val="21"/>
          <w:highlight w:val="none"/>
        </w:rPr>
      </w:pPr>
      <w:bookmarkStart w:id="73" w:name="_Toc771"/>
      <w:bookmarkStart w:id="74" w:name="_Toc24350"/>
      <w:bookmarkStart w:id="75" w:name="_Toc1504"/>
      <w:r>
        <w:rPr>
          <w:rFonts w:hint="eastAsia" w:ascii="宋体" w:hAnsi="宋体" w:cs="宋体"/>
          <w:b/>
          <w:color w:val="000000"/>
          <w:szCs w:val="21"/>
          <w:highlight w:val="none"/>
        </w:rPr>
        <w:t>9. 特别说明</w:t>
      </w:r>
      <w:bookmarkEnd w:id="73"/>
      <w:bookmarkEnd w:id="74"/>
      <w:bookmarkEnd w:id="75"/>
    </w:p>
    <w:p w14:paraId="626A6396">
      <w:pPr>
        <w:tabs>
          <w:tab w:val="left" w:pos="163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9.1提供相同品牌产品且通过资格审查、符合性审查的不同投标人参加同一合同项下投标的，按一家投标人计算，评审后得分最高的同品牌投标人获得</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推荐资格；评审得分相同的，评标价最低的同品牌投标人获得</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推荐资格；评标价也相同的，由评标委员会以抽签方式确定中标候选供应商。其他同品牌投标人不作为中标候选供应商。</w:t>
      </w:r>
    </w:p>
    <w:p w14:paraId="1DCC25B3">
      <w:pPr>
        <w:tabs>
          <w:tab w:val="left" w:pos="1635"/>
        </w:tabs>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多家投标人提供的核心产品品牌相同的，按前款规定处理。</w:t>
      </w:r>
    </w:p>
    <w:p w14:paraId="68AB9AED">
      <w:pPr>
        <w:tabs>
          <w:tab w:val="left" w:pos="1635"/>
        </w:tabs>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9.2关联供应商不得参加同一合同项下政府采购活动，否则投标文件将被视为无效：</w:t>
      </w:r>
    </w:p>
    <w:p w14:paraId="281B7128">
      <w:pPr>
        <w:tabs>
          <w:tab w:val="left" w:pos="163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（1）单位负责人为同一人或者存在直接控股、管理关系的不同供应商，不得参加同一合同项下的政府采购活动。</w:t>
      </w:r>
    </w:p>
    <w:p w14:paraId="7D7B804A">
      <w:pPr>
        <w:tabs>
          <w:tab w:val="left" w:pos="1635"/>
        </w:tabs>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（2）为本采购项目提供整体设计、规范编制或者项目管理、监理、检测等服务的供应商，不得再参加本次采购活动。</w:t>
      </w:r>
    </w:p>
    <w:p w14:paraId="35A53206">
      <w:pPr>
        <w:tabs>
          <w:tab w:val="left" w:pos="1635"/>
        </w:tabs>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9.3投标人应仔细阅读招标文件的所有内容，按照招标文件的要求提交投标文件，并对所提供的全部资料的真实性承担法律责任。</w:t>
      </w:r>
    </w:p>
    <w:p w14:paraId="74822C7E">
      <w:pPr>
        <w:tabs>
          <w:tab w:val="left" w:pos="1635"/>
        </w:tabs>
        <w:spacing w:line="400" w:lineRule="exact"/>
        <w:ind w:firstLine="435"/>
        <w:rPr>
          <w:rFonts w:ascii="宋体" w:hAnsi="宋体" w:cs="宋体"/>
          <w:b/>
          <w:color w:val="000000"/>
          <w:szCs w:val="21"/>
          <w:highlight w:val="none"/>
        </w:rPr>
      </w:pPr>
      <w:r>
        <w:rPr>
          <w:rFonts w:hint="eastAsia" w:ascii="宋体" w:hAnsi="宋体" w:cs="宋体"/>
          <w:color w:val="000000"/>
          <w:szCs w:val="21"/>
          <w:highlight w:val="none"/>
        </w:rPr>
        <w:t>9.4投标人在投标活动中提供任何虚假材料，其投标无效，并报监管部门查处；中标后发现的，</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须依照《中华人民共和国消费者权益保护法》赔偿采购人，且民事赔偿并不免除违法投标人的行政与刑事责任。</w:t>
      </w:r>
    </w:p>
    <w:p w14:paraId="1CFC1BC0">
      <w:pPr>
        <w:spacing w:line="400" w:lineRule="exact"/>
        <w:ind w:firstLine="413"/>
        <w:outlineLvl w:val="2"/>
        <w:rPr>
          <w:rFonts w:ascii="宋体" w:hAnsi="宋体" w:cs="宋体"/>
          <w:b/>
          <w:color w:val="000000"/>
          <w:szCs w:val="21"/>
          <w:highlight w:val="none"/>
        </w:rPr>
      </w:pPr>
      <w:bookmarkStart w:id="76" w:name="_Toc29267"/>
      <w:bookmarkStart w:id="77" w:name="_Toc6489"/>
      <w:bookmarkStart w:id="78" w:name="_Toc29184"/>
      <w:r>
        <w:rPr>
          <w:rFonts w:hint="eastAsia" w:ascii="宋体" w:hAnsi="宋体" w:cs="宋体"/>
          <w:b/>
          <w:color w:val="000000"/>
          <w:szCs w:val="21"/>
          <w:highlight w:val="none"/>
        </w:rPr>
        <w:t>10. 质疑和投诉</w:t>
      </w:r>
      <w:bookmarkEnd w:id="76"/>
      <w:bookmarkEnd w:id="77"/>
      <w:bookmarkEnd w:id="78"/>
    </w:p>
    <w:p w14:paraId="045B74EC">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10.1供应商认为招标文件使自己的合法权益受到损害的，应当在本项目招标公告期限届满之日起七个工作日内以书面形式向采购人或桂林市政府集中采购中心提出质疑。供应商认为招标过程或中标结果使自己的合法权益受到损害的，应当在采购程序环节结束之日或中标公告期限届满之日起七个工作日内，以书面形式向采购人或桂林市政府集中采购中心提出质疑。</w:t>
      </w:r>
    </w:p>
    <w:p w14:paraId="3A5EEBC0">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接收质疑函方式：以书面形式（原件）提交。</w:t>
      </w:r>
    </w:p>
    <w:p w14:paraId="48254084">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质疑联系人：桂林市政府集中采购中心，联系电话：0773-5625162</w:t>
      </w:r>
    </w:p>
    <w:p w14:paraId="6F9BF3B4">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通讯地址：桂林市临桂区西城中路69号创业大厦西辅楼5楼574室</w:t>
      </w:r>
    </w:p>
    <w:p w14:paraId="1500F3A5">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10.2收到供应商书面质疑函后，采购人应当在七个工作日内对质疑事项作出答复（答复内容不得涉及商业秘密），并委托采购代理机构以书面形式通知质疑供应商，在财政部门指定的媒体发布质疑答复公告。</w:t>
      </w:r>
    </w:p>
    <w:p w14:paraId="07B0057B">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10.3供应商对采购人或采购代理机构的答复不满意，或者采购人或采购代理机构未在规定的时间内作出答复的，可以在答复期满后十五个工作日内向本级财政部门投诉。</w:t>
      </w:r>
    </w:p>
    <w:p w14:paraId="162D0054">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10.4质疑、投诉应当采用书面形式，质疑书、投诉书实行实名制，均应明确阐述招标文件、招标过程或中标结果中使自己合法权益受到损害的实质性内容，并提供必要的证明材料。</w:t>
      </w:r>
    </w:p>
    <w:p w14:paraId="3CDFE4C2">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10.5供应商在法定质疑期内应当一次性提出针对同一采购程序环节的质疑。</w:t>
      </w:r>
    </w:p>
    <w:p w14:paraId="3436FC4F">
      <w:pPr>
        <w:tabs>
          <w:tab w:val="left" w:pos="1635"/>
        </w:tabs>
        <w:spacing w:line="400" w:lineRule="exact"/>
        <w:ind w:firstLine="435"/>
        <w:rPr>
          <w:rFonts w:hint="eastAsia" w:ascii="宋体" w:hAnsi="宋体" w:eastAsia="宋体" w:cs="宋体"/>
          <w:b/>
          <w:color w:val="000000"/>
          <w:sz w:val="28"/>
          <w:szCs w:val="28"/>
          <w:highlight w:val="none"/>
        </w:rPr>
      </w:pPr>
      <w:r>
        <w:rPr>
          <w:rFonts w:hint="eastAsia" w:ascii="宋体" w:hAnsi="宋体" w:cs="宋体"/>
          <w:b w:val="0"/>
          <w:bCs/>
          <w:szCs w:val="21"/>
        </w:rPr>
        <w:t>10.6 不在法定质疑期内提出的质疑函可以拒收。不符合要求的质疑函在法定质疑期内及时补充完整，否则作质疑不成立处理</w:t>
      </w:r>
      <w:r>
        <w:rPr>
          <w:rFonts w:hint="eastAsia" w:ascii="宋体" w:hAnsi="宋体" w:cs="宋体"/>
          <w:szCs w:val="21"/>
        </w:rPr>
        <w:t>。</w:t>
      </w:r>
    </w:p>
    <w:p w14:paraId="3CCEF398">
      <w:pPr>
        <w:tabs>
          <w:tab w:val="left" w:pos="2190"/>
        </w:tabs>
        <w:spacing w:line="400" w:lineRule="exact"/>
        <w:ind w:firstLine="435"/>
        <w:rPr>
          <w:rFonts w:ascii="宋体" w:hAnsi="宋体" w:cs="宋体"/>
          <w:b/>
          <w:color w:val="000000"/>
          <w:sz w:val="28"/>
          <w:szCs w:val="28"/>
          <w:highlight w:val="none"/>
        </w:rPr>
      </w:pPr>
    </w:p>
    <w:p w14:paraId="6EA23700">
      <w:pPr>
        <w:spacing w:line="360" w:lineRule="auto"/>
        <w:jc w:val="center"/>
        <w:outlineLvl w:val="1"/>
        <w:rPr>
          <w:rFonts w:ascii="宋体" w:hAnsi="宋体" w:cs="宋体"/>
          <w:b/>
          <w:color w:val="000000"/>
          <w:sz w:val="28"/>
          <w:szCs w:val="28"/>
          <w:highlight w:val="none"/>
        </w:rPr>
      </w:pPr>
      <w:bookmarkStart w:id="79" w:name="_Toc495841755"/>
      <w:bookmarkStart w:id="80" w:name="_Toc26849"/>
      <w:bookmarkStart w:id="81" w:name="_Toc28494"/>
      <w:bookmarkStart w:id="82" w:name="_Toc6682"/>
      <w:r>
        <w:rPr>
          <w:rFonts w:hint="eastAsia" w:ascii="宋体" w:hAnsi="宋体" w:cs="宋体"/>
          <w:b/>
          <w:color w:val="000000"/>
          <w:sz w:val="28"/>
          <w:szCs w:val="28"/>
          <w:highlight w:val="none"/>
        </w:rPr>
        <w:t>二、招标文件</w:t>
      </w:r>
      <w:bookmarkEnd w:id="79"/>
      <w:bookmarkEnd w:id="80"/>
      <w:bookmarkEnd w:id="81"/>
      <w:bookmarkEnd w:id="82"/>
    </w:p>
    <w:p w14:paraId="7962910B">
      <w:pPr>
        <w:spacing w:line="400" w:lineRule="exact"/>
        <w:ind w:firstLine="413"/>
        <w:outlineLvl w:val="2"/>
        <w:rPr>
          <w:rFonts w:ascii="宋体" w:hAnsi="宋体" w:cs="宋体"/>
          <w:b/>
          <w:color w:val="000000"/>
          <w:szCs w:val="21"/>
          <w:highlight w:val="none"/>
        </w:rPr>
      </w:pPr>
      <w:bookmarkStart w:id="83" w:name="_Toc3397"/>
      <w:bookmarkStart w:id="84" w:name="_Toc23687"/>
      <w:bookmarkStart w:id="85" w:name="_Toc27965"/>
      <w:r>
        <w:rPr>
          <w:rFonts w:hint="eastAsia" w:ascii="宋体" w:hAnsi="宋体" w:cs="宋体"/>
          <w:b/>
          <w:color w:val="000000"/>
          <w:szCs w:val="21"/>
          <w:highlight w:val="none"/>
        </w:rPr>
        <w:t>11. 招标文件的构成</w:t>
      </w:r>
      <w:bookmarkEnd w:id="83"/>
      <w:bookmarkEnd w:id="84"/>
      <w:bookmarkEnd w:id="85"/>
    </w:p>
    <w:p w14:paraId="0E012A68">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（1）招标公告；</w:t>
      </w:r>
    </w:p>
    <w:p w14:paraId="378986A4">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（2）投标人须知；</w:t>
      </w:r>
    </w:p>
    <w:p w14:paraId="0EEDB633">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color w:val="000000"/>
          <w:szCs w:val="21"/>
          <w:highlight w:val="none"/>
          <w:lang w:eastAsia="zh-CN"/>
        </w:rPr>
        <w:t>采购需求</w:t>
      </w:r>
      <w:r>
        <w:rPr>
          <w:rFonts w:hint="eastAsia" w:ascii="宋体" w:hAnsi="宋体" w:cs="宋体"/>
          <w:color w:val="000000"/>
          <w:szCs w:val="21"/>
          <w:highlight w:val="none"/>
        </w:rPr>
        <w:t>；</w:t>
      </w:r>
    </w:p>
    <w:p w14:paraId="482EC141">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（4）评标办法；</w:t>
      </w:r>
    </w:p>
    <w:p w14:paraId="6C65ED16">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（5）采购合同（合同主要条款及格式）；</w:t>
      </w:r>
    </w:p>
    <w:p w14:paraId="041EB6A5">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（6）投标文件（格式）。</w:t>
      </w:r>
    </w:p>
    <w:p w14:paraId="548F0C0E">
      <w:pPr>
        <w:spacing w:line="400" w:lineRule="exact"/>
        <w:ind w:firstLine="413"/>
        <w:outlineLvl w:val="2"/>
        <w:rPr>
          <w:rFonts w:ascii="宋体" w:hAnsi="宋体" w:cs="宋体"/>
          <w:b/>
          <w:color w:val="000000"/>
          <w:szCs w:val="21"/>
          <w:highlight w:val="none"/>
        </w:rPr>
      </w:pPr>
      <w:bookmarkStart w:id="86" w:name="_Toc2160"/>
      <w:bookmarkStart w:id="87" w:name="_Toc22924"/>
      <w:bookmarkStart w:id="88" w:name="_Toc24191"/>
      <w:r>
        <w:rPr>
          <w:rFonts w:hint="eastAsia" w:ascii="宋体" w:hAnsi="宋体" w:cs="宋体"/>
          <w:b/>
          <w:color w:val="000000"/>
          <w:szCs w:val="21"/>
          <w:highlight w:val="none"/>
        </w:rPr>
        <w:t>12. 招标文件的澄清与修改</w:t>
      </w:r>
      <w:bookmarkEnd w:id="86"/>
      <w:bookmarkEnd w:id="87"/>
      <w:bookmarkEnd w:id="88"/>
    </w:p>
    <w:p w14:paraId="48DE55B9">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12.1投标人应认真阅读招标文件，发现其中有误或有不合理要求的，投标人必须在招标公告期限届满之日起七个工作日内以书面形式要求采购代理机构澄清。</w:t>
      </w:r>
    </w:p>
    <w:p w14:paraId="7055D67C">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招标项目招标公告发布的同一媒体上发布更正公告；不足15日的，采购代理机构应当顺延提交投标文件的截止时间。</w:t>
      </w:r>
    </w:p>
    <w:p w14:paraId="78DFE8F8">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12.3</w:t>
      </w:r>
      <w:r>
        <w:rPr>
          <w:rFonts w:hint="eastAsia" w:ascii="宋体" w:hAnsi="宋体" w:cs="宋体"/>
          <w:b/>
          <w:color w:val="000000"/>
          <w:szCs w:val="21"/>
          <w:highlight w:val="none"/>
        </w:rPr>
        <w:t>投标人下载招标文件后应实时关注相关网站了解澄清、修改等与项目有关的内容，如因投标人未及时登录相关网站了解澄清、修改等与项目有关的内容，从而导致投标无效的，由投标人自行承担责任。</w:t>
      </w:r>
    </w:p>
    <w:p w14:paraId="3D79F198">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12.4必要的澄清、修改的内容为招标文件的组成部分。当澄清、修改通知就同一内容的表述不一致时，以最后发出的书面文件为准。</w:t>
      </w:r>
    </w:p>
    <w:p w14:paraId="278E6101">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12.5招标文件的澄清、修改都应该通过采购代理机构以法定形式发布，采购人非通过本机构，不得擅自澄清、修改招标文件。</w:t>
      </w:r>
    </w:p>
    <w:p w14:paraId="7B69155A">
      <w:pPr>
        <w:tabs>
          <w:tab w:val="left" w:pos="2190"/>
        </w:tabs>
        <w:spacing w:line="400" w:lineRule="exact"/>
        <w:ind w:firstLine="435"/>
        <w:rPr>
          <w:rFonts w:ascii="宋体" w:hAnsi="宋体" w:cs="宋体"/>
          <w:color w:val="000000"/>
          <w:szCs w:val="21"/>
          <w:highlight w:val="none"/>
        </w:rPr>
      </w:pPr>
    </w:p>
    <w:p w14:paraId="7DCBD9D7">
      <w:pPr>
        <w:spacing w:line="360" w:lineRule="auto"/>
        <w:jc w:val="center"/>
        <w:outlineLvl w:val="1"/>
        <w:rPr>
          <w:rFonts w:ascii="宋体" w:hAnsi="宋体" w:cs="宋体"/>
          <w:b/>
          <w:color w:val="000000"/>
          <w:sz w:val="28"/>
          <w:szCs w:val="28"/>
          <w:highlight w:val="none"/>
        </w:rPr>
      </w:pPr>
      <w:bookmarkStart w:id="89" w:name="_Toc7631"/>
      <w:bookmarkStart w:id="90" w:name="_Toc222"/>
      <w:bookmarkStart w:id="91" w:name="_Toc495841756"/>
      <w:bookmarkStart w:id="92" w:name="_Toc21553"/>
      <w:r>
        <w:rPr>
          <w:rFonts w:hint="eastAsia" w:ascii="宋体" w:hAnsi="宋体" w:cs="宋体"/>
          <w:b/>
          <w:color w:val="000000"/>
          <w:sz w:val="28"/>
          <w:szCs w:val="28"/>
          <w:highlight w:val="none"/>
        </w:rPr>
        <w:t>三、投标文件的编制</w:t>
      </w:r>
      <w:bookmarkEnd w:id="89"/>
      <w:bookmarkEnd w:id="90"/>
      <w:bookmarkEnd w:id="91"/>
      <w:bookmarkEnd w:id="92"/>
    </w:p>
    <w:p w14:paraId="522E4CAD">
      <w:pPr>
        <w:spacing w:line="400" w:lineRule="exact"/>
        <w:ind w:firstLine="413"/>
        <w:outlineLvl w:val="2"/>
        <w:rPr>
          <w:rFonts w:hint="eastAsia" w:ascii="宋体" w:hAnsi="宋体" w:cs="宋体"/>
          <w:b/>
          <w:color w:val="000000"/>
          <w:szCs w:val="21"/>
          <w:highlight w:val="none"/>
        </w:rPr>
      </w:pPr>
      <w:bookmarkStart w:id="93" w:name="_Toc18258"/>
      <w:bookmarkStart w:id="94" w:name="_Toc15443"/>
      <w:bookmarkStart w:id="95" w:name="_Toc10875"/>
      <w:r>
        <w:rPr>
          <w:rFonts w:hint="eastAsia" w:ascii="宋体" w:hAnsi="宋体" w:cs="宋体"/>
          <w:b/>
          <w:color w:val="000000"/>
          <w:szCs w:val="21"/>
          <w:highlight w:val="none"/>
        </w:rPr>
        <w:t>13. 投标文件的组成及要求</w:t>
      </w:r>
      <w:bookmarkEnd w:id="93"/>
      <w:bookmarkEnd w:id="94"/>
      <w:bookmarkEnd w:id="95"/>
    </w:p>
    <w:p w14:paraId="36B400EA">
      <w:pPr>
        <w:spacing w:line="360" w:lineRule="auto"/>
        <w:ind w:firstLine="422"/>
        <w:rPr>
          <w:rFonts w:ascii="宋体" w:hAnsi="宋体" w:cs="宋体"/>
          <w:b/>
          <w:bCs/>
          <w:color w:val="000000"/>
          <w:szCs w:val="21"/>
          <w:highlight w:val="none"/>
        </w:rPr>
      </w:pPr>
      <w:r>
        <w:rPr>
          <w:rFonts w:hint="eastAsia" w:ascii="宋体" w:hAnsi="宋体" w:cs="宋体"/>
          <w:b/>
          <w:bCs/>
          <w:color w:val="000000"/>
          <w:szCs w:val="21"/>
          <w:highlight w:val="none"/>
        </w:rPr>
        <w:t>13</w:t>
      </w:r>
      <w:r>
        <w:rPr>
          <w:rFonts w:ascii="宋体" w:hAnsi="宋体" w:cs="宋体"/>
          <w:b/>
          <w:bCs/>
          <w:color w:val="000000"/>
          <w:szCs w:val="21"/>
          <w:highlight w:val="none"/>
        </w:rPr>
        <w:t>.1 本项目实行电子投标，供应商应准备电子</w:t>
      </w:r>
      <w:r>
        <w:rPr>
          <w:rFonts w:hint="eastAsia" w:ascii="宋体" w:hAnsi="宋体" w:cs="宋体"/>
          <w:b/>
          <w:bCs/>
          <w:color w:val="000000"/>
          <w:szCs w:val="21"/>
          <w:highlight w:val="none"/>
        </w:rPr>
        <w:t>投标</w:t>
      </w:r>
      <w:r>
        <w:rPr>
          <w:rFonts w:ascii="宋体" w:hAnsi="宋体" w:cs="宋体"/>
          <w:b/>
          <w:bCs/>
          <w:color w:val="000000"/>
          <w:szCs w:val="21"/>
          <w:highlight w:val="none"/>
        </w:rPr>
        <w:t>文件</w:t>
      </w:r>
      <w:r>
        <w:rPr>
          <w:rFonts w:hint="eastAsia" w:ascii="宋体" w:hAnsi="宋体" w:cs="宋体"/>
          <w:b/>
          <w:bCs/>
          <w:color w:val="000000"/>
          <w:szCs w:val="21"/>
          <w:highlight w:val="none"/>
        </w:rPr>
        <w:t>：</w:t>
      </w:r>
    </w:p>
    <w:p w14:paraId="388D76FD">
      <w:pPr>
        <w:spacing w:line="360" w:lineRule="auto"/>
        <w:ind w:firstLine="422"/>
        <w:rPr>
          <w:color w:val="000000"/>
          <w:highlight w:val="none"/>
        </w:rPr>
      </w:pPr>
      <w:r>
        <w:rPr>
          <w:rFonts w:hint="eastAsia" w:ascii="宋体" w:hAnsi="宋体" w:cs="宋体"/>
          <w:b/>
          <w:bCs/>
          <w:color w:val="000000"/>
          <w:szCs w:val="21"/>
          <w:highlight w:val="none"/>
        </w:rPr>
        <w:t>13</w:t>
      </w:r>
      <w:r>
        <w:rPr>
          <w:rFonts w:ascii="宋体" w:hAnsi="宋体" w:cs="宋体"/>
          <w:b/>
          <w:bCs/>
          <w:color w:val="000000"/>
          <w:szCs w:val="21"/>
          <w:highlight w:val="none"/>
        </w:rPr>
        <w:t>.1.1 电子</w:t>
      </w:r>
      <w:r>
        <w:rPr>
          <w:rFonts w:hint="eastAsia" w:ascii="宋体" w:hAnsi="宋体" w:cs="宋体"/>
          <w:b/>
          <w:bCs/>
          <w:color w:val="000000"/>
          <w:szCs w:val="21"/>
          <w:highlight w:val="none"/>
        </w:rPr>
        <w:t>投标</w:t>
      </w:r>
      <w:r>
        <w:rPr>
          <w:rFonts w:ascii="宋体" w:hAnsi="宋体" w:cs="宋体"/>
          <w:b/>
          <w:bCs/>
          <w:color w:val="000000"/>
          <w:szCs w:val="21"/>
          <w:highlight w:val="none"/>
        </w:rPr>
        <w:t>文件按</w:t>
      </w:r>
      <w:r>
        <w:rPr>
          <w:rFonts w:hint="eastAsia" w:ascii="宋体" w:hAnsi="宋体" w:cs="宋体"/>
          <w:b/>
          <w:bCs/>
          <w:color w:val="000000"/>
          <w:szCs w:val="21"/>
          <w:highlight w:val="none"/>
          <w:lang w:eastAsia="zh-CN"/>
        </w:rPr>
        <w:t>广西政府采购云平台</w:t>
      </w:r>
      <w:r>
        <w:rPr>
          <w:rFonts w:ascii="宋体" w:hAnsi="宋体" w:cs="宋体"/>
          <w:b/>
          <w:bCs/>
          <w:color w:val="000000"/>
          <w:szCs w:val="21"/>
          <w:highlight w:val="none"/>
        </w:rPr>
        <w:t>要求及本</w:t>
      </w:r>
      <w:r>
        <w:rPr>
          <w:rFonts w:hint="eastAsia" w:ascii="宋体" w:hAnsi="宋体" w:cs="宋体"/>
          <w:b/>
          <w:bCs/>
          <w:color w:val="000000"/>
          <w:szCs w:val="21"/>
          <w:highlight w:val="none"/>
        </w:rPr>
        <w:t>招标</w:t>
      </w:r>
      <w:r>
        <w:rPr>
          <w:rFonts w:ascii="宋体" w:hAnsi="宋体" w:cs="宋体"/>
          <w:b/>
          <w:bCs/>
          <w:color w:val="000000"/>
          <w:szCs w:val="21"/>
          <w:highlight w:val="none"/>
        </w:rPr>
        <w:t>文件要求制作、加密并递交。具体操作流程可参考《政府采购项目电子交易管理操作指南-供应商》</w:t>
      </w:r>
      <w:r>
        <w:rPr>
          <w:rFonts w:hint="eastAsia" w:ascii="宋体" w:hAnsi="宋体" w:cs="宋体"/>
          <w:b/>
          <w:bCs/>
          <w:color w:val="000000"/>
          <w:szCs w:val="21"/>
          <w:highlight w:val="none"/>
        </w:rPr>
        <w:t>，</w:t>
      </w:r>
      <w:r>
        <w:rPr>
          <w:rFonts w:ascii="宋体" w:hAnsi="宋体" w:cs="宋体"/>
          <w:b/>
          <w:bCs/>
          <w:color w:val="000000"/>
          <w:szCs w:val="21"/>
          <w:highlight w:val="none"/>
        </w:rPr>
        <w:t>指南可在 “</w:t>
      </w:r>
      <w:r>
        <w:rPr>
          <w:rFonts w:hint="eastAsia" w:ascii="宋体" w:hAnsi="宋体" w:cs="宋体"/>
          <w:b/>
          <w:bCs/>
          <w:color w:val="000000"/>
          <w:szCs w:val="21"/>
          <w:highlight w:val="none"/>
          <w:lang w:eastAsia="zh-CN"/>
        </w:rPr>
        <w:t>广西政府采购云平台</w:t>
      </w:r>
      <w:r>
        <w:rPr>
          <w:rFonts w:ascii="宋体" w:hAnsi="宋体" w:cs="宋体"/>
          <w:b/>
          <w:bCs/>
          <w:color w:val="000000"/>
          <w:szCs w:val="21"/>
          <w:highlight w:val="none"/>
        </w:rPr>
        <w:t xml:space="preserve">”下载。 </w:t>
      </w:r>
    </w:p>
    <w:p w14:paraId="1B8321B2">
      <w:pPr>
        <w:tabs>
          <w:tab w:val="left" w:pos="2190"/>
        </w:tabs>
        <w:spacing w:line="400" w:lineRule="exact"/>
        <w:ind w:firstLine="435"/>
        <w:rPr>
          <w:rFonts w:ascii="宋体" w:hAnsi="宋体" w:cs="宋体"/>
          <w:b/>
          <w:color w:val="000000"/>
          <w:szCs w:val="21"/>
          <w:highlight w:val="none"/>
        </w:rPr>
      </w:pPr>
      <w:r>
        <w:rPr>
          <w:rFonts w:hint="eastAsia" w:ascii="宋体" w:hAnsi="宋体" w:cs="宋体"/>
          <w:b/>
          <w:bCs/>
          <w:color w:val="000000"/>
          <w:szCs w:val="21"/>
          <w:highlight w:val="none"/>
        </w:rPr>
        <w:t>13.2</w:t>
      </w:r>
      <w:r>
        <w:rPr>
          <w:rFonts w:hint="eastAsia" w:ascii="宋体" w:hAnsi="宋体" w:cs="宋体"/>
          <w:b/>
          <w:color w:val="000000"/>
          <w:szCs w:val="21"/>
          <w:highlight w:val="none"/>
        </w:rPr>
        <w:t>投标文件组成【格式见第六章“投标文件（格式）”】</w:t>
      </w:r>
    </w:p>
    <w:p w14:paraId="380CA01E">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13.2.1资格性响应证明材料：</w:t>
      </w:r>
    </w:p>
    <w:p w14:paraId="59ED0ED3">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（1）投标人相应的法定代表人、负责人、自然人身份证正反面</w:t>
      </w:r>
      <w:r>
        <w:rPr>
          <w:rFonts w:hint="eastAsia" w:ascii="宋体" w:hAnsi="宋体" w:cs="宋体"/>
          <w:color w:val="000000"/>
          <w:szCs w:val="21"/>
          <w:highlight w:val="none"/>
          <w:lang w:eastAsia="zh-CN"/>
        </w:rPr>
        <w:t>扫描件</w:t>
      </w:r>
      <w:r>
        <w:rPr>
          <w:rFonts w:hint="eastAsia" w:ascii="宋体" w:hAnsi="宋体" w:cs="宋体"/>
          <w:b/>
          <w:bCs/>
          <w:color w:val="000000"/>
          <w:szCs w:val="21"/>
          <w:highlight w:val="none"/>
        </w:rPr>
        <w:t>（必须提供）</w:t>
      </w:r>
      <w:r>
        <w:rPr>
          <w:rFonts w:hint="eastAsia" w:ascii="宋体" w:hAnsi="宋体" w:cs="宋体"/>
          <w:color w:val="000000"/>
          <w:szCs w:val="21"/>
          <w:highlight w:val="none"/>
        </w:rPr>
        <w:t>；</w:t>
      </w:r>
    </w:p>
    <w:p w14:paraId="1FCE5B82">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（2）投标人的授权委托书原件、委托代理人身份证正反面</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以及由县级以上（含县级）社会养老保险经办机构出具的投标人为委托代理人交纳的开标截止时间前</w:t>
      </w:r>
      <w:r>
        <w:rPr>
          <w:rFonts w:hint="eastAsia" w:ascii="宋体" w:hAnsi="宋体" w:cs="宋体"/>
          <w:color w:val="000000"/>
          <w:szCs w:val="21"/>
          <w:highlight w:val="none"/>
          <w:lang w:eastAsia="zh-CN"/>
        </w:rPr>
        <w:t>三个月内任意一个月</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，除投标人为以下</w:t>
      </w:r>
      <w:r>
        <w:rPr>
          <w:rFonts w:hint="eastAsia" w:ascii="宋体" w:hAnsi="宋体" w:cs="宋体"/>
          <w:color w:val="000000"/>
          <w:szCs w:val="21"/>
          <w:highlight w:val="none"/>
          <w:lang w:val="en-US" w:eastAsia="zh-CN"/>
        </w:rPr>
        <w:t>四</w:t>
      </w:r>
      <w:r>
        <w:rPr>
          <w:rFonts w:hint="eastAsia" w:ascii="宋体" w:hAnsi="宋体" w:cs="宋体"/>
          <w:color w:val="000000"/>
          <w:szCs w:val="21"/>
          <w:highlight w:val="none"/>
        </w:rPr>
        <w:t>种情形的：</w:t>
      </w:r>
    </w:p>
    <w:p w14:paraId="1A926A32">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①如投标人为截标时间前60日以内成立的公司，可以提供投标人与委托代理人签订的劳动合同</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0E8A80C9">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②如投标人为事业单位，可以提供事业单位机构编制管理证</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或事业单位机构为其发放工资的工资条</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5B291ADB">
      <w:pPr>
        <w:spacing w:line="400" w:lineRule="exact"/>
        <w:ind w:firstLine="411"/>
        <w:rPr>
          <w:rFonts w:hint="eastAsia" w:ascii="宋体" w:hAnsi="宋体" w:cs="宋体"/>
          <w:color w:val="000000"/>
          <w:szCs w:val="21"/>
          <w:highlight w:val="none"/>
        </w:rPr>
      </w:pPr>
      <w:r>
        <w:rPr>
          <w:rFonts w:hint="eastAsia" w:ascii="宋体" w:hAnsi="宋体" w:cs="宋体"/>
          <w:color w:val="000000"/>
          <w:szCs w:val="21"/>
          <w:highlight w:val="none"/>
        </w:rPr>
        <w:t>③如委托代理人为免缴纳</w:t>
      </w:r>
      <w:r>
        <w:rPr>
          <w:rFonts w:hint="eastAsia" w:ascii="宋体" w:hAnsi="宋体" w:cs="宋体"/>
          <w:color w:val="000000"/>
          <w:szCs w:val="21"/>
          <w:highlight w:val="none"/>
          <w:lang w:eastAsia="zh-CN"/>
        </w:rPr>
        <w:t>养老保险</w:t>
      </w:r>
      <w:r>
        <w:rPr>
          <w:rFonts w:hint="eastAsia" w:ascii="宋体" w:hAnsi="宋体" w:cs="宋体"/>
          <w:color w:val="000000"/>
          <w:szCs w:val="21"/>
          <w:highlight w:val="none"/>
        </w:rPr>
        <w:t>人员，提供免缴纳</w:t>
      </w:r>
      <w:r>
        <w:rPr>
          <w:rFonts w:hint="eastAsia" w:ascii="宋体" w:hAnsi="宋体" w:cs="宋体"/>
          <w:color w:val="000000"/>
          <w:szCs w:val="21"/>
          <w:highlight w:val="none"/>
          <w:lang w:eastAsia="zh-CN"/>
        </w:rPr>
        <w:t>养老保险</w:t>
      </w:r>
      <w:r>
        <w:rPr>
          <w:rFonts w:hint="eastAsia" w:ascii="宋体" w:hAnsi="宋体" w:cs="宋体"/>
          <w:color w:val="000000"/>
          <w:szCs w:val="21"/>
          <w:highlight w:val="none"/>
        </w:rPr>
        <w:t>的证明材料</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及投标人与委托代理人签订的劳动合同</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3CE7BC57">
      <w:pPr>
        <w:pStyle w:val="2"/>
        <w:ind w:firstLine="420"/>
      </w:pPr>
      <w:r>
        <w:rPr>
          <w:rFonts w:hint="eastAsia" w:ascii="宋体" w:hAnsi="宋体" w:eastAsia="宋体" w:cs="宋体"/>
          <w:sz w:val="21"/>
          <w:szCs w:val="21"/>
          <w:lang w:val="en-US" w:eastAsia="zh-CN" w:bidi="ar-SA"/>
        </w:rPr>
        <w:t>④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p>
    <w:p w14:paraId="1CCBF070">
      <w:pPr>
        <w:spacing w:line="400" w:lineRule="exact"/>
        <w:ind w:firstLine="413"/>
        <w:rPr>
          <w:rFonts w:ascii="宋体" w:hAnsi="宋体" w:cs="宋体"/>
          <w:color w:val="000000"/>
          <w:szCs w:val="21"/>
          <w:highlight w:val="none"/>
        </w:rPr>
      </w:pPr>
      <w:r>
        <w:rPr>
          <w:rFonts w:hint="eastAsia" w:ascii="宋体" w:hAnsi="宋体" w:cs="宋体"/>
          <w:b/>
          <w:bCs/>
          <w:color w:val="000000"/>
          <w:szCs w:val="21"/>
          <w:highlight w:val="none"/>
        </w:rPr>
        <w:t>【属自然人的应提供由县级以上（含县级）社会养老保险经办机构出具的自然人本人及委托代理人所交纳的开标截止时间前</w:t>
      </w:r>
      <w:r>
        <w:rPr>
          <w:rFonts w:hint="eastAsia" w:ascii="宋体" w:hAnsi="宋体" w:cs="宋体"/>
          <w:b/>
          <w:bCs/>
          <w:color w:val="000000"/>
          <w:szCs w:val="21"/>
          <w:highlight w:val="none"/>
          <w:lang w:eastAsia="zh-CN"/>
        </w:rPr>
        <w:t>三个月内任意一个月</w:t>
      </w:r>
      <w:r>
        <w:rPr>
          <w:rFonts w:hint="eastAsia" w:ascii="宋体" w:hAnsi="宋体" w:cs="宋体"/>
          <w:b/>
          <w:bCs/>
          <w:color w:val="000000"/>
          <w:szCs w:val="21"/>
          <w:highlight w:val="none"/>
          <w:lang w:val="en-US" w:eastAsia="zh-CN"/>
        </w:rPr>
        <w:t>养老保险</w:t>
      </w:r>
      <w:r>
        <w:rPr>
          <w:rFonts w:hint="eastAsia" w:ascii="宋体" w:hAnsi="宋体" w:cs="宋体"/>
          <w:b/>
          <w:bCs/>
          <w:color w:val="000000"/>
          <w:szCs w:val="21"/>
          <w:highlight w:val="none"/>
        </w:rPr>
        <w:t>证明</w:t>
      </w:r>
      <w:r>
        <w:rPr>
          <w:rFonts w:hint="eastAsia" w:ascii="宋体" w:hAnsi="宋体" w:cs="宋体"/>
          <w:b/>
          <w:bCs/>
          <w:color w:val="000000"/>
          <w:szCs w:val="21"/>
          <w:highlight w:val="none"/>
          <w:lang w:eastAsia="zh-CN"/>
        </w:rPr>
        <w:t>扫描件</w:t>
      </w:r>
      <w:r>
        <w:rPr>
          <w:rFonts w:hint="eastAsia" w:ascii="宋体" w:hAnsi="宋体" w:cs="宋体"/>
          <w:b/>
          <w:bCs/>
          <w:szCs w:val="21"/>
          <w:lang w:eastAsia="zh-CN"/>
        </w:rPr>
        <w:t>。</w:t>
      </w:r>
      <w:r>
        <w:rPr>
          <w:rFonts w:hint="eastAsia" w:ascii="宋体" w:hAnsi="宋体" w:cs="宋体"/>
          <w:b/>
          <w:bCs/>
          <w:szCs w:val="21"/>
          <w:lang w:val="en-US" w:eastAsia="zh-CN"/>
        </w:rPr>
        <w:t>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r>
        <w:rPr>
          <w:rFonts w:hint="eastAsia" w:ascii="宋体" w:hAnsi="宋体" w:cs="宋体"/>
          <w:b/>
          <w:bCs/>
          <w:color w:val="000000"/>
          <w:szCs w:val="21"/>
          <w:highlight w:val="none"/>
        </w:rPr>
        <w:t>】</w:t>
      </w:r>
      <w:r>
        <w:rPr>
          <w:rFonts w:hint="eastAsia" w:ascii="宋体" w:hAnsi="宋体" w:cs="宋体"/>
          <w:b/>
          <w:color w:val="000000"/>
          <w:szCs w:val="21"/>
          <w:highlight w:val="none"/>
        </w:rPr>
        <w:t>（委托代理时必须提供；</w:t>
      </w:r>
      <w:r>
        <w:rPr>
          <w:rFonts w:hint="eastAsia" w:ascii="宋体" w:hAnsi="宋体" w:cs="宋体"/>
          <w:b/>
          <w:bCs/>
          <w:color w:val="000000"/>
          <w:szCs w:val="21"/>
          <w:highlight w:val="none"/>
        </w:rPr>
        <w:t>如为联合体的，授权委托书原件须由牵头人出具</w:t>
      </w:r>
      <w:r>
        <w:rPr>
          <w:rFonts w:hint="eastAsia" w:ascii="宋体" w:hAnsi="宋体" w:cs="宋体"/>
          <w:b/>
          <w:color w:val="000000"/>
          <w:szCs w:val="21"/>
          <w:highlight w:val="none"/>
        </w:rPr>
        <w:t>）；</w:t>
      </w:r>
    </w:p>
    <w:p w14:paraId="216FC627">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（3）投标人的法人或者其他组织营业执照等证明文件</w:t>
      </w:r>
      <w:r>
        <w:rPr>
          <w:rFonts w:hint="eastAsia" w:ascii="宋体" w:hAnsi="宋体" w:cs="宋体"/>
          <w:color w:val="000000"/>
          <w:szCs w:val="21"/>
          <w:highlight w:val="none"/>
          <w:lang w:eastAsia="zh-CN"/>
        </w:rPr>
        <w:t>扫描件</w:t>
      </w:r>
      <w:r>
        <w:rPr>
          <w:rFonts w:hint="eastAsia" w:ascii="宋体" w:hAnsi="宋体" w:cs="宋体"/>
          <w:b/>
          <w:color w:val="000000"/>
          <w:szCs w:val="21"/>
          <w:highlight w:val="none"/>
        </w:rPr>
        <w:t>（必须提供，自然人除外）</w:t>
      </w:r>
      <w:r>
        <w:rPr>
          <w:rFonts w:hint="eastAsia" w:ascii="宋体" w:hAnsi="宋体" w:cs="宋体"/>
          <w:color w:val="000000"/>
          <w:szCs w:val="21"/>
          <w:highlight w:val="none"/>
        </w:rPr>
        <w:t>；</w:t>
      </w:r>
    </w:p>
    <w:p w14:paraId="72523C21">
      <w:pPr>
        <w:tabs>
          <w:tab w:val="left" w:pos="1305"/>
        </w:tabs>
        <w:spacing w:line="400" w:lineRule="exact"/>
        <w:ind w:firstLine="422"/>
        <w:rPr>
          <w:rFonts w:ascii="宋体" w:hAnsi="宋体" w:cs="宋体"/>
          <w:color w:val="000000"/>
          <w:szCs w:val="21"/>
          <w:highlight w:val="none"/>
          <w:u w:val="single"/>
        </w:rPr>
      </w:pPr>
      <w:r>
        <w:rPr>
          <w:rFonts w:hint="eastAsia" w:ascii="宋体" w:hAnsi="宋体" w:cs="宋体"/>
          <w:b/>
          <w:color w:val="000000"/>
          <w:szCs w:val="21"/>
          <w:highlight w:val="none"/>
          <w:u w:val="single"/>
        </w:rPr>
        <w:t>注：供应商为企业（包括合伙企业），应提供</w:t>
      </w:r>
      <w:r>
        <w:rPr>
          <w:rFonts w:hint="eastAsia" w:ascii="宋体" w:hAnsi="宋体" w:cs="宋体"/>
          <w:b/>
          <w:color w:val="000000"/>
          <w:szCs w:val="21"/>
          <w:highlight w:val="none"/>
          <w:u w:val="single"/>
          <w:lang w:eastAsia="zh-CN"/>
        </w:rPr>
        <w:t>市场监管部门（登记机关）</w:t>
      </w:r>
      <w:r>
        <w:rPr>
          <w:rFonts w:hint="eastAsia" w:ascii="宋体" w:hAnsi="宋体" w:cs="宋体"/>
          <w:b/>
          <w:color w:val="000000"/>
          <w:szCs w:val="21"/>
          <w:highlight w:val="none"/>
          <w:u w:val="singl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w:t>
      </w:r>
      <w:r>
        <w:rPr>
          <w:rFonts w:hint="eastAsia" w:ascii="宋体" w:hAnsi="宋体" w:cs="宋体"/>
          <w:b/>
          <w:color w:val="000000"/>
          <w:szCs w:val="21"/>
          <w:highlight w:val="none"/>
          <w:u w:val="single"/>
          <w:lang w:eastAsia="zh-CN"/>
        </w:rPr>
        <w:t>扫描件</w:t>
      </w:r>
      <w:r>
        <w:rPr>
          <w:rFonts w:hint="eastAsia" w:ascii="宋体" w:hAnsi="宋体" w:cs="宋体"/>
          <w:b/>
          <w:color w:val="000000"/>
          <w:szCs w:val="21"/>
          <w:highlight w:val="none"/>
          <w:u w:val="single"/>
        </w:rPr>
        <w:t>）</w:t>
      </w:r>
    </w:p>
    <w:p w14:paraId="5CC90A90">
      <w:pPr>
        <w:numPr>
          <w:ilvl w:val="0"/>
          <w:numId w:val="0"/>
        </w:numPr>
        <w:spacing w:line="400" w:lineRule="exact"/>
        <w:ind w:left="9" w:firstLine="411"/>
        <w:rPr>
          <w:rFonts w:ascii="宋体" w:hAnsi="宋体" w:cs="宋体"/>
          <w:color w:val="000000"/>
          <w:szCs w:val="21"/>
          <w:highlight w:val="none"/>
        </w:rPr>
      </w:pPr>
      <w:r>
        <w:rPr>
          <w:rFonts w:ascii="宋体" w:hAnsi="宋体" w:cs="宋体"/>
          <w:color w:val="000000"/>
          <w:sz w:val="21"/>
          <w:szCs w:val="21"/>
          <w:lang w:val="en-US" w:eastAsia="zh-CN" w:bidi="ar-SA"/>
        </w:rPr>
        <w:t>（4）</w:t>
      </w:r>
      <w:r>
        <w:rPr>
          <w:rFonts w:hint="eastAsia" w:ascii="宋体" w:hAnsi="宋体" w:cs="宋体"/>
          <w:color w:val="000000"/>
          <w:szCs w:val="21"/>
          <w:highlight w:val="none"/>
        </w:rPr>
        <w:t>财务状况报告</w:t>
      </w:r>
      <w:r>
        <w:rPr>
          <w:rFonts w:hint="eastAsia" w:ascii="宋体" w:hAnsi="宋体" w:cs="宋体"/>
          <w:b/>
          <w:bCs/>
          <w:szCs w:val="21"/>
          <w:lang w:eastAsia="zh-CN"/>
        </w:rPr>
        <w:t>（格式自拟，必须提供）</w:t>
      </w:r>
      <w:r>
        <w:rPr>
          <w:rFonts w:hint="eastAsia" w:ascii="宋体" w:hAnsi="宋体" w:cs="宋体"/>
          <w:b/>
          <w:bCs/>
          <w:color w:val="000000"/>
          <w:szCs w:val="21"/>
          <w:highlight w:val="none"/>
        </w:rPr>
        <w:t>；</w:t>
      </w:r>
    </w:p>
    <w:p w14:paraId="5E45606D">
      <w:pPr>
        <w:numPr>
          <w:ilvl w:val="0"/>
          <w:numId w:val="0"/>
        </w:numPr>
        <w:spacing w:line="400" w:lineRule="exact"/>
        <w:ind w:left="9" w:firstLine="411"/>
        <w:rPr>
          <w:rFonts w:hint="eastAsia" w:ascii="宋体" w:hAnsi="宋体" w:cs="宋体"/>
          <w:color w:val="000000"/>
          <w:szCs w:val="21"/>
          <w:highlight w:val="none"/>
        </w:rPr>
      </w:pPr>
      <w:r>
        <w:rPr>
          <w:rFonts w:ascii="宋体" w:hAnsi="宋体" w:cs="宋体"/>
          <w:color w:val="000000"/>
          <w:sz w:val="21"/>
          <w:szCs w:val="21"/>
          <w:lang w:val="en-US" w:eastAsia="zh-CN" w:bidi="ar-SA"/>
        </w:rPr>
        <w:t>（5）</w:t>
      </w:r>
      <w:r>
        <w:rPr>
          <w:rFonts w:hint="eastAsia" w:ascii="宋体" w:hAnsi="宋体" w:cs="宋体"/>
          <w:color w:val="000000"/>
          <w:szCs w:val="21"/>
          <w:highlight w:val="none"/>
          <w:lang w:eastAsia="zh-CN"/>
        </w:rPr>
        <w:t>投标人参加政府采购活动前3年内在经营活动中没有重大违法记录及有关信用信息的书面声明或专项信用报告</w:t>
      </w:r>
      <w:r>
        <w:rPr>
          <w:rFonts w:hint="eastAsia" w:ascii="宋体" w:hAnsi="宋体" w:cs="宋体"/>
          <w:b/>
          <w:color w:val="000000"/>
          <w:szCs w:val="21"/>
          <w:highlight w:val="none"/>
        </w:rPr>
        <w:t>（必须提供）</w:t>
      </w:r>
      <w:r>
        <w:rPr>
          <w:rFonts w:hint="eastAsia" w:ascii="宋体" w:hAnsi="宋体" w:cs="宋体"/>
          <w:color w:val="000000"/>
          <w:szCs w:val="21"/>
          <w:highlight w:val="none"/>
        </w:rPr>
        <w:t>；</w:t>
      </w:r>
    </w:p>
    <w:p w14:paraId="6570E864">
      <w:pPr>
        <w:numPr>
          <w:ilvl w:val="0"/>
          <w:numId w:val="0"/>
        </w:numPr>
        <w:spacing w:line="400" w:lineRule="exact"/>
        <w:ind w:left="9" w:firstLine="411"/>
        <w:rPr>
          <w:rFonts w:hint="eastAsia" w:ascii="宋体" w:hAnsi="宋体" w:eastAsia="宋体" w:cs="宋体"/>
          <w:b/>
          <w:bCs/>
          <w:color w:val="000000"/>
          <w:szCs w:val="21"/>
          <w:highlight w:val="none"/>
          <w:u w:val="single"/>
          <w:lang w:eastAsia="zh-CN"/>
        </w:rPr>
      </w:pPr>
      <w:r>
        <w:rPr>
          <w:rFonts w:hint="eastAsia" w:ascii="宋体" w:hAnsi="宋体" w:cs="宋体"/>
          <w:b/>
          <w:bCs/>
          <w:color w:val="000000"/>
          <w:szCs w:val="21"/>
          <w:highlight w:val="none"/>
          <w:u w:val="single"/>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投标人根据注册地信用中国网站的要求获取</w:t>
      </w:r>
      <w:r>
        <w:rPr>
          <w:rFonts w:hint="eastAsia" w:ascii="宋体" w:hAnsi="宋体" w:cs="宋体"/>
          <w:b/>
          <w:bCs/>
          <w:color w:val="000000"/>
          <w:szCs w:val="21"/>
          <w:highlight w:val="none"/>
          <w:u w:val="single"/>
          <w:lang w:eastAsia="zh-CN"/>
        </w:rPr>
        <w:t>；</w:t>
      </w:r>
    </w:p>
    <w:p w14:paraId="48377A15">
      <w:pPr>
        <w:numPr>
          <w:ilvl w:val="0"/>
          <w:numId w:val="0"/>
        </w:numPr>
        <w:spacing w:line="400" w:lineRule="exact"/>
        <w:ind w:left="9" w:firstLine="411"/>
        <w:rPr>
          <w:color w:val="000000"/>
          <w:highlight w:val="none"/>
        </w:rPr>
      </w:pPr>
      <w:r>
        <w:rPr>
          <w:color w:val="000000"/>
          <w:sz w:val="21"/>
          <w:szCs w:val="21"/>
          <w:lang w:val="en-US" w:eastAsia="zh-CN" w:bidi="ar-SA"/>
        </w:rPr>
        <w:t>（6）</w:t>
      </w:r>
      <w:r>
        <w:rPr>
          <w:rFonts w:hint="eastAsia" w:ascii="宋体" w:hAnsi="宋体" w:cs="宋体"/>
          <w:color w:val="000000"/>
          <w:szCs w:val="21"/>
          <w:highlight w:val="none"/>
        </w:rPr>
        <w:t>投标人</w:t>
      </w:r>
      <w:r>
        <w:rPr>
          <w:rFonts w:hint="eastAsia" w:ascii="宋体" w:cs="宋体"/>
          <w:szCs w:val="21"/>
          <w:lang w:eastAsia="zh-CN" w:bidi="ar-SA"/>
        </w:rPr>
        <w:t>截止开标时间前</w:t>
      </w:r>
      <w:r>
        <w:rPr>
          <w:rFonts w:hint="eastAsia" w:ascii="宋体" w:hAnsi="宋体" w:cs="宋体"/>
          <w:color w:val="000000"/>
          <w:szCs w:val="21"/>
          <w:highlight w:val="none"/>
        </w:rPr>
        <w:t>近半年内任意一个月或任一季度依法缴纳税收的证明材料【增值税发票(税收完税证明)或企业所得税完税证明或税务部门出具的免税证明</w:t>
      </w:r>
      <w:r>
        <w:rPr>
          <w:rFonts w:hint="eastAsia" w:ascii="宋体" w:hAnsi="宋体" w:cs="宋体"/>
          <w:szCs w:val="21"/>
          <w:lang w:eastAsia="zh-CN"/>
        </w:rPr>
        <w:t>或税务部门出具的无欠税证明</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扫描件</w:t>
      </w:r>
      <w:r>
        <w:rPr>
          <w:rFonts w:hint="eastAsia" w:ascii="宋体" w:hAnsi="宋体" w:cs="宋体"/>
          <w:b/>
          <w:bCs/>
          <w:color w:val="000000"/>
          <w:szCs w:val="21"/>
          <w:highlight w:val="none"/>
        </w:rPr>
        <w:t>（必须提供）</w:t>
      </w:r>
      <w:r>
        <w:rPr>
          <w:rFonts w:hint="eastAsia" w:ascii="宋体" w:hAnsi="宋体" w:cs="宋体"/>
          <w:color w:val="000000"/>
          <w:sz w:val="21"/>
          <w:szCs w:val="21"/>
          <w:highlight w:val="none"/>
          <w:lang w:eastAsia="zh-CN"/>
        </w:rPr>
        <w:t>；</w:t>
      </w:r>
    </w:p>
    <w:p w14:paraId="77DFC0F1">
      <w:pPr>
        <w:numPr>
          <w:ilvl w:val="0"/>
          <w:numId w:val="0"/>
        </w:numPr>
        <w:spacing w:line="400" w:lineRule="exact"/>
        <w:ind w:left="9" w:firstLine="411"/>
        <w:rPr>
          <w:rFonts w:hint="eastAsia" w:ascii="宋体" w:hAnsi="宋体" w:eastAsia="宋体" w:cs="宋体"/>
          <w:color w:val="000000"/>
          <w:szCs w:val="21"/>
          <w:highlight w:val="none"/>
          <w:lang w:val="en-US" w:eastAsia="zh-CN"/>
        </w:rPr>
      </w:pPr>
      <w:r>
        <w:rPr>
          <w:rFonts w:ascii="宋体" w:hAnsi="宋体" w:eastAsia="宋体" w:cs="宋体"/>
          <w:color w:val="000000"/>
          <w:sz w:val="21"/>
          <w:szCs w:val="21"/>
          <w:lang w:val="en-US" w:eastAsia="zh-CN" w:bidi="ar-SA"/>
        </w:rPr>
        <w:t>（7）</w:t>
      </w:r>
      <w:r>
        <w:rPr>
          <w:rFonts w:hint="eastAsia" w:ascii="宋体" w:hAnsi="宋体" w:eastAsia="宋体" w:cs="宋体"/>
          <w:color w:val="000000"/>
          <w:szCs w:val="21"/>
          <w:highlight w:val="none"/>
          <w:lang w:val="en-US" w:eastAsia="zh-CN"/>
        </w:rPr>
        <w:t>《中小企业声明函》（见附件）</w:t>
      </w:r>
      <w:r>
        <w:rPr>
          <w:rFonts w:hint="eastAsia" w:ascii="宋体" w:hAnsi="宋体" w:eastAsia="宋体" w:cs="宋体"/>
          <w:b/>
          <w:bCs/>
          <w:color w:val="000000"/>
          <w:szCs w:val="21"/>
          <w:highlight w:val="none"/>
          <w:lang w:val="en-US" w:eastAsia="zh-CN"/>
        </w:rPr>
        <w:t>（除监狱企业及残疾人福利性单位外，必须提供）；</w:t>
      </w:r>
    </w:p>
    <w:p w14:paraId="363EDA06">
      <w:pPr>
        <w:numPr>
          <w:ilvl w:val="0"/>
          <w:numId w:val="0"/>
        </w:numPr>
        <w:spacing w:line="400" w:lineRule="exact"/>
        <w:ind w:left="9" w:firstLine="411"/>
        <w:rPr>
          <w:rFonts w:hint="eastAsia" w:ascii="宋体" w:hAnsi="宋体" w:eastAsia="宋体" w:cs="宋体"/>
          <w:color w:val="000000"/>
          <w:szCs w:val="21"/>
          <w:highlight w:val="none"/>
          <w:lang w:val="en-US" w:eastAsia="zh-CN"/>
        </w:rPr>
      </w:pPr>
      <w:r>
        <w:rPr>
          <w:rFonts w:ascii="宋体" w:hAnsi="宋体" w:eastAsia="宋体" w:cs="宋体"/>
          <w:color w:val="000000"/>
          <w:sz w:val="21"/>
          <w:szCs w:val="21"/>
          <w:lang w:val="en-US" w:eastAsia="zh-CN" w:bidi="ar-SA"/>
        </w:rPr>
        <w:t>（8）</w:t>
      </w:r>
      <w:r>
        <w:rPr>
          <w:rFonts w:hint="eastAsia" w:ascii="宋体" w:hAnsi="宋体" w:eastAsia="宋体" w:cs="宋体"/>
          <w:color w:val="000000"/>
          <w:szCs w:val="21"/>
          <w:highlight w:val="none"/>
          <w:lang w:val="en-US" w:eastAsia="zh-CN"/>
        </w:rPr>
        <w:t>如提供服务的供应商属于监狱企业的，应当提供由省级以上监狱管理局、戒毒管理局等（含新疆生产建设兵团）出具的属于监狱企业的证明文件, 否则不予享受优惠政策</w:t>
      </w:r>
      <w:r>
        <w:rPr>
          <w:rFonts w:hint="eastAsia" w:ascii="宋体" w:hAnsi="宋体" w:eastAsia="宋体" w:cs="宋体"/>
          <w:b/>
          <w:bCs/>
          <w:color w:val="000000"/>
          <w:szCs w:val="21"/>
          <w:highlight w:val="none"/>
          <w:lang w:val="en-US" w:eastAsia="zh-CN"/>
        </w:rPr>
        <w:t>（如供应商属于监狱企业的，则必须提供）；</w:t>
      </w:r>
    </w:p>
    <w:p w14:paraId="63B7F862">
      <w:pPr>
        <w:numPr>
          <w:ilvl w:val="0"/>
          <w:numId w:val="0"/>
        </w:numPr>
        <w:spacing w:line="400" w:lineRule="exact"/>
        <w:ind w:left="9" w:firstLine="411"/>
        <w:rPr>
          <w:rFonts w:hint="eastAsia" w:ascii="宋体" w:hAnsi="宋体" w:eastAsia="宋体" w:cs="宋体"/>
          <w:color w:val="000000"/>
          <w:szCs w:val="21"/>
          <w:highlight w:val="none"/>
        </w:rPr>
      </w:pPr>
      <w:r>
        <w:rPr>
          <w:rFonts w:ascii="宋体" w:hAnsi="宋体" w:eastAsia="宋体" w:cs="宋体"/>
          <w:color w:val="000000"/>
          <w:sz w:val="21"/>
          <w:szCs w:val="21"/>
          <w:lang w:val="en-US" w:eastAsia="zh-CN" w:bidi="ar-SA"/>
        </w:rPr>
        <w:t>（9）</w:t>
      </w:r>
      <w:r>
        <w:rPr>
          <w:rFonts w:hint="eastAsia" w:ascii="宋体" w:hAnsi="宋体" w:eastAsia="宋体" w:cs="宋体"/>
          <w:color w:val="000000"/>
          <w:szCs w:val="21"/>
          <w:highlight w:val="none"/>
          <w:lang w:val="en-US" w:eastAsia="zh-CN"/>
        </w:rPr>
        <w:t>符合条件的残疾人福利性单位在参加政府采购活动时，应当提供《残疾人福利性单位声明函》（见附件），并对声明的真实性负责；</w:t>
      </w:r>
      <w:r>
        <w:rPr>
          <w:rFonts w:hint="eastAsia" w:ascii="宋体" w:hAnsi="宋体" w:eastAsia="宋体" w:cs="宋体"/>
          <w:b/>
          <w:bCs/>
          <w:color w:val="000000"/>
          <w:szCs w:val="21"/>
          <w:highlight w:val="none"/>
          <w:lang w:val="en-US" w:eastAsia="zh-CN"/>
        </w:rPr>
        <w:t>（如供应商属于残疾人福利性单位的，则必须提供）。</w:t>
      </w:r>
    </w:p>
    <w:p w14:paraId="0463D650">
      <w:pPr>
        <w:tabs>
          <w:tab w:val="left" w:pos="1305"/>
        </w:tabs>
        <w:spacing w:line="360" w:lineRule="auto"/>
        <w:ind w:firstLine="422"/>
        <w:rPr>
          <w:rFonts w:hint="eastAsia" w:ascii="宋体" w:hAnsi="宋体" w:cs="宋体"/>
          <w:b/>
          <w:color w:val="000000"/>
          <w:szCs w:val="21"/>
          <w:highlight w:val="none"/>
        </w:rPr>
      </w:pPr>
      <w:r>
        <w:rPr>
          <w:rFonts w:hint="eastAsia" w:ascii="宋体" w:hAnsi="宋体" w:cs="宋体"/>
          <w:b/>
          <w:bCs/>
          <w:color w:val="000000"/>
          <w:szCs w:val="21"/>
          <w:highlight w:val="none"/>
        </w:rPr>
        <w:t>13.2.2</w:t>
      </w:r>
      <w:r>
        <w:rPr>
          <w:rFonts w:hint="eastAsia" w:ascii="宋体" w:hAnsi="宋体" w:cs="宋体"/>
          <w:b/>
          <w:color w:val="000000"/>
          <w:szCs w:val="21"/>
          <w:highlight w:val="none"/>
        </w:rPr>
        <w:t>商务、技术性响应及其他证明材料：</w:t>
      </w:r>
    </w:p>
    <w:p w14:paraId="47841B76">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ascii="宋体" w:hAnsi="宋体" w:eastAsia="宋体" w:cs="宋体"/>
          <w:b w:val="0"/>
          <w:bCs w:val="0"/>
          <w:color w:val="000000"/>
          <w:sz w:val="21"/>
          <w:szCs w:val="21"/>
          <w:lang w:val="en-US" w:eastAsia="zh-CN" w:bidi="ar-SA"/>
        </w:rPr>
        <w:t>（1）</w:t>
      </w:r>
      <w:r>
        <w:rPr>
          <w:rFonts w:hint="eastAsia" w:ascii="宋体" w:hAnsi="宋体" w:eastAsia="宋体" w:cs="宋体"/>
          <w:color w:val="000000"/>
          <w:szCs w:val="21"/>
          <w:highlight w:val="none"/>
          <w:lang w:val="en-US" w:eastAsia="zh-CN"/>
        </w:rPr>
        <w:t>投标报价表</w:t>
      </w:r>
      <w:r>
        <w:rPr>
          <w:rFonts w:hint="eastAsia" w:ascii="宋体" w:hAnsi="宋体" w:eastAsia="宋体" w:cs="宋体"/>
          <w:color w:val="000000"/>
          <w:szCs w:val="21"/>
          <w:highlight w:val="none"/>
        </w:rPr>
        <w:t>（格式见附件）</w:t>
      </w:r>
      <w:r>
        <w:rPr>
          <w:rFonts w:hint="eastAsia" w:ascii="宋体" w:hAnsi="宋体" w:eastAsia="宋体" w:cs="宋体"/>
          <w:b/>
          <w:bCs/>
          <w:color w:val="000000"/>
          <w:szCs w:val="21"/>
          <w:highlight w:val="none"/>
        </w:rPr>
        <w:t>（必须提供）</w:t>
      </w:r>
      <w:r>
        <w:rPr>
          <w:rFonts w:hint="eastAsia" w:ascii="宋体" w:hAnsi="宋体" w:eastAsia="宋体" w:cs="宋体"/>
          <w:b/>
          <w:bCs/>
          <w:color w:val="000000"/>
          <w:szCs w:val="21"/>
          <w:highlight w:val="none"/>
          <w:lang w:eastAsia="zh-CN"/>
        </w:rPr>
        <w:t>；</w:t>
      </w:r>
    </w:p>
    <w:p w14:paraId="16D301BD">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ascii="宋体" w:hAnsi="宋体" w:eastAsia="宋体" w:cs="宋体"/>
          <w:b w:val="0"/>
          <w:bCs w:val="0"/>
          <w:color w:val="000000"/>
          <w:sz w:val="21"/>
          <w:szCs w:val="21"/>
          <w:lang w:val="en-US" w:eastAsia="zh-CN" w:bidi="ar-SA"/>
        </w:rPr>
        <w:t>（2）</w:t>
      </w:r>
      <w:r>
        <w:rPr>
          <w:rFonts w:hint="eastAsia" w:ascii="宋体" w:hAnsi="宋体" w:eastAsia="宋体" w:cs="宋体"/>
          <w:color w:val="000000"/>
          <w:szCs w:val="21"/>
          <w:highlight w:val="none"/>
          <w:lang w:eastAsia="zh-CN"/>
        </w:rPr>
        <w:t>服务响应表</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color w:val="000000"/>
          <w:szCs w:val="21"/>
          <w:highlight w:val="none"/>
        </w:rPr>
        <w:t>；</w:t>
      </w:r>
    </w:p>
    <w:p w14:paraId="4D82216C">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ascii="宋体" w:hAnsi="宋体" w:eastAsia="宋体" w:cs="宋体"/>
          <w:b w:val="0"/>
          <w:bCs w:val="0"/>
          <w:color w:val="000000"/>
          <w:sz w:val="21"/>
          <w:szCs w:val="21"/>
          <w:lang w:val="en-US" w:eastAsia="zh-CN" w:bidi="ar-SA"/>
        </w:rPr>
        <w:t>（3）</w:t>
      </w:r>
      <w:r>
        <w:rPr>
          <w:rFonts w:hint="eastAsia" w:ascii="宋体" w:hAnsi="宋体" w:eastAsia="宋体" w:cs="宋体"/>
          <w:color w:val="000000"/>
          <w:szCs w:val="21"/>
          <w:highlight w:val="none"/>
        </w:rPr>
        <w:t>商务响应表</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bCs/>
          <w:color w:val="000000"/>
          <w:szCs w:val="21"/>
          <w:highlight w:val="none"/>
        </w:rPr>
        <w:t>；</w:t>
      </w:r>
    </w:p>
    <w:p w14:paraId="5E9167DF">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ascii="宋体" w:hAnsi="宋体" w:eastAsia="宋体" w:cs="宋体"/>
          <w:b w:val="0"/>
          <w:bCs w:val="0"/>
          <w:color w:val="000000"/>
          <w:sz w:val="21"/>
          <w:szCs w:val="21"/>
          <w:lang w:val="en-US" w:eastAsia="zh-CN" w:bidi="ar-SA"/>
        </w:rPr>
        <w:t>（4）</w:t>
      </w:r>
      <w:r>
        <w:rPr>
          <w:rFonts w:hint="eastAsia" w:ascii="宋体" w:hAnsi="宋体" w:eastAsia="宋体" w:cs="宋体"/>
          <w:color w:val="000000"/>
          <w:szCs w:val="21"/>
          <w:highlight w:val="none"/>
        </w:rPr>
        <w:t>“采购需求”需提供的有效证明文件</w:t>
      </w:r>
      <w:r>
        <w:rPr>
          <w:rFonts w:hint="eastAsia" w:ascii="宋体" w:hAnsi="宋体" w:eastAsia="宋体" w:cs="宋体"/>
          <w:b/>
          <w:color w:val="000000"/>
          <w:szCs w:val="21"/>
          <w:highlight w:val="none"/>
        </w:rPr>
        <w:t>（按其要求提供）</w:t>
      </w:r>
      <w:r>
        <w:rPr>
          <w:rFonts w:hint="eastAsia" w:ascii="宋体" w:hAnsi="宋体" w:eastAsia="宋体" w:cs="宋体"/>
          <w:color w:val="000000"/>
          <w:szCs w:val="21"/>
          <w:highlight w:val="none"/>
        </w:rPr>
        <w:t>；</w:t>
      </w:r>
    </w:p>
    <w:p w14:paraId="470F1602">
      <w:pPr>
        <w:numPr>
          <w:ilvl w:val="0"/>
          <w:numId w:val="0"/>
        </w:numPr>
        <w:tabs>
          <w:tab w:val="left" w:pos="1305"/>
        </w:tabs>
        <w:spacing w:line="400" w:lineRule="exact"/>
        <w:ind w:firstLine="420"/>
        <w:rPr>
          <w:rFonts w:hint="eastAsia" w:ascii="宋体" w:hAnsi="宋体" w:eastAsia="宋体" w:cs="宋体"/>
          <w:color w:val="000000"/>
          <w:highlight w:val="none"/>
        </w:rPr>
      </w:pPr>
      <w:r>
        <w:rPr>
          <w:rFonts w:ascii="宋体" w:hAnsi="宋体" w:eastAsia="宋体" w:cs="宋体"/>
          <w:b w:val="0"/>
          <w:bCs w:val="0"/>
          <w:color w:val="000000"/>
          <w:sz w:val="21"/>
          <w:szCs w:val="24"/>
          <w:lang w:val="en-US" w:eastAsia="zh-CN" w:bidi="ar-SA"/>
        </w:rPr>
        <w:t>（5）</w:t>
      </w:r>
      <w:r>
        <w:rPr>
          <w:rFonts w:hint="eastAsia" w:ascii="宋体" w:hAnsi="宋体" w:eastAsia="宋体" w:cs="宋体"/>
          <w:color w:val="000000"/>
          <w:szCs w:val="21"/>
          <w:highlight w:val="none"/>
          <w:lang w:eastAsia="zh-CN"/>
        </w:rPr>
        <w:t>服务承诺书（由供应商根据本项目采购需求、特点及供应商自身的处理能力自行编写）</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color w:val="000000"/>
          <w:szCs w:val="21"/>
          <w:highlight w:val="none"/>
        </w:rPr>
        <w:t>；</w:t>
      </w:r>
    </w:p>
    <w:p w14:paraId="449FD29B">
      <w:pPr>
        <w:tabs>
          <w:tab w:val="left" w:pos="1305"/>
        </w:tabs>
        <w:spacing w:line="400" w:lineRule="exact"/>
        <w:ind w:firstLine="42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eastAsia="zh-CN"/>
        </w:rPr>
        <w:t>针对本项目的服务方案</w:t>
      </w:r>
      <w:r>
        <w:rPr>
          <w:rFonts w:hint="eastAsia" w:ascii="宋体" w:hAnsi="宋体" w:eastAsia="宋体" w:cs="宋体"/>
          <w:b/>
          <w:bCs/>
          <w:color w:val="000000"/>
          <w:szCs w:val="21"/>
          <w:highlight w:val="none"/>
        </w:rPr>
        <w:t>（</w:t>
      </w:r>
      <w:r>
        <w:rPr>
          <w:rFonts w:hint="eastAsia" w:ascii="宋体" w:hAnsi="宋体" w:eastAsia="宋体" w:cs="宋体"/>
          <w:b/>
          <w:color w:val="000000"/>
          <w:szCs w:val="21"/>
          <w:highlight w:val="none"/>
        </w:rPr>
        <w:t>必须提供</w:t>
      </w:r>
      <w:r>
        <w:rPr>
          <w:rFonts w:hint="eastAsia" w:ascii="宋体" w:hAnsi="宋体" w:eastAsia="宋体" w:cs="宋体"/>
          <w:b/>
          <w:bCs/>
          <w:color w:val="000000"/>
          <w:szCs w:val="21"/>
          <w:highlight w:val="none"/>
        </w:rPr>
        <w:t>）</w:t>
      </w:r>
      <w:r>
        <w:rPr>
          <w:rFonts w:hint="eastAsia" w:ascii="宋体" w:hAnsi="宋体" w:eastAsia="宋体" w:cs="宋体"/>
          <w:b/>
          <w:bCs/>
          <w:color w:val="000000"/>
          <w:szCs w:val="21"/>
          <w:highlight w:val="none"/>
          <w:lang w:eastAsia="zh-CN"/>
        </w:rPr>
        <w:t>；</w:t>
      </w:r>
    </w:p>
    <w:p w14:paraId="32BB2A95">
      <w:pPr>
        <w:numPr>
          <w:ilvl w:val="0"/>
          <w:numId w:val="0"/>
        </w:numPr>
        <w:tabs>
          <w:tab w:val="left" w:pos="1305"/>
        </w:tabs>
        <w:spacing w:line="400" w:lineRule="exact"/>
        <w:ind w:firstLine="42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lang w:eastAsia="zh-CN"/>
        </w:rPr>
        <w:t>）投标人</w:t>
      </w:r>
      <w:r>
        <w:rPr>
          <w:rFonts w:hint="eastAsia" w:ascii="宋体" w:hAnsi="宋体" w:eastAsia="宋体" w:cs="宋体"/>
          <w:color w:val="000000"/>
          <w:szCs w:val="21"/>
          <w:highlight w:val="none"/>
        </w:rPr>
        <w:t>自</w:t>
      </w:r>
      <w:r>
        <w:rPr>
          <w:rFonts w:hint="eastAsia" w:ascii="宋体" w:hAnsi="宋体" w:eastAsia="宋体" w:cs="宋体"/>
          <w:color w:val="000000"/>
          <w:szCs w:val="21"/>
          <w:highlight w:val="none"/>
          <w:lang w:val="en-US" w:eastAsia="zh-CN"/>
        </w:rPr>
        <w:t>2024年1月1日以来</w:t>
      </w:r>
      <w:r>
        <w:rPr>
          <w:rFonts w:hint="eastAsia" w:ascii="宋体" w:hAnsi="宋体" w:eastAsia="宋体" w:cs="宋体"/>
          <w:color w:val="000000"/>
          <w:highlight w:val="none"/>
          <w:lang w:eastAsia="zh-CN"/>
        </w:rPr>
        <w:t>同类业绩</w:t>
      </w:r>
      <w:r>
        <w:rPr>
          <w:rFonts w:hint="eastAsia" w:ascii="宋体" w:hAnsi="宋体" w:eastAsia="宋体" w:cs="宋体"/>
          <w:color w:val="000000"/>
          <w:highlight w:val="none"/>
        </w:rPr>
        <w:t>的相关证明材料</w:t>
      </w:r>
      <w:r>
        <w:rPr>
          <w:rFonts w:hint="eastAsia" w:ascii="宋体" w:hAnsi="宋体" w:eastAsia="宋体" w:cs="宋体"/>
          <w:color w:val="000000"/>
          <w:szCs w:val="21"/>
          <w:highlight w:val="none"/>
        </w:rPr>
        <w:t>（以中标、成交通知书或签订的采购合同</w:t>
      </w:r>
      <w:r>
        <w:rPr>
          <w:rFonts w:hint="eastAsia" w:ascii="宋体" w:hAnsi="宋体" w:eastAsia="宋体" w:cs="宋体"/>
          <w:color w:val="000000"/>
          <w:szCs w:val="21"/>
          <w:highlight w:val="none"/>
          <w:lang w:eastAsia="zh-CN"/>
        </w:rPr>
        <w:t>扫描件</w:t>
      </w:r>
      <w:r>
        <w:rPr>
          <w:rFonts w:hint="eastAsia" w:ascii="宋体" w:hAnsi="宋体" w:eastAsia="宋体" w:cs="宋体"/>
          <w:color w:val="000000"/>
          <w:szCs w:val="21"/>
          <w:highlight w:val="none"/>
        </w:rPr>
        <w:t>为准，并能清晰反映所</w:t>
      </w:r>
      <w:r>
        <w:rPr>
          <w:rFonts w:hint="eastAsia" w:ascii="宋体" w:hAnsi="宋体" w:eastAsia="宋体" w:cs="宋体"/>
          <w:color w:val="000000"/>
          <w:szCs w:val="21"/>
          <w:highlight w:val="none"/>
          <w:lang w:val="en-US" w:eastAsia="zh-CN"/>
        </w:rPr>
        <w:t>提供</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lang w:val="en-US" w:eastAsia="zh-CN"/>
        </w:rPr>
        <w:t>服务类型</w:t>
      </w:r>
      <w:r>
        <w:rPr>
          <w:rFonts w:hint="eastAsia" w:ascii="宋体" w:hAnsi="宋体" w:eastAsia="宋体" w:cs="宋体"/>
          <w:color w:val="000000"/>
          <w:szCs w:val="21"/>
          <w:highlight w:val="none"/>
        </w:rPr>
        <w:t>、种类、金额</w:t>
      </w:r>
      <w:r>
        <w:rPr>
          <w:rFonts w:hint="eastAsia" w:ascii="宋体" w:hAnsi="宋体" w:eastAsia="宋体" w:cs="宋体"/>
          <w:color w:val="000000"/>
          <w:highlight w:val="none"/>
        </w:rPr>
        <w:t>）</w:t>
      </w:r>
      <w:r>
        <w:rPr>
          <w:rFonts w:hint="eastAsia" w:ascii="宋体" w:hAnsi="宋体" w:eastAsia="宋体" w:cs="宋体"/>
          <w:b/>
          <w:color w:val="000000"/>
          <w:highlight w:val="none"/>
        </w:rPr>
        <w:t>（如有，请提供）</w:t>
      </w:r>
      <w:r>
        <w:rPr>
          <w:rFonts w:hint="eastAsia" w:ascii="宋体" w:hAnsi="宋体" w:eastAsia="宋体" w:cs="宋体"/>
          <w:b/>
          <w:bCs/>
          <w:color w:val="000000"/>
          <w:szCs w:val="21"/>
          <w:highlight w:val="none"/>
          <w:lang w:val="en-US" w:eastAsia="zh-CN"/>
        </w:rPr>
        <w:t>；</w:t>
      </w:r>
    </w:p>
    <w:p w14:paraId="4075F6B2">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）项目</w:t>
      </w:r>
      <w:r>
        <w:rPr>
          <w:rFonts w:hint="eastAsia" w:ascii="宋体" w:hAnsi="宋体" w:eastAsia="宋体" w:cs="宋体"/>
          <w:color w:val="000000"/>
          <w:szCs w:val="21"/>
          <w:highlight w:val="none"/>
          <w:lang w:eastAsia="zh-CN"/>
        </w:rPr>
        <w:t>实施</w:t>
      </w:r>
      <w:r>
        <w:rPr>
          <w:rFonts w:hint="eastAsia" w:ascii="宋体" w:hAnsi="宋体" w:eastAsia="宋体" w:cs="宋体"/>
          <w:color w:val="000000"/>
          <w:szCs w:val="21"/>
          <w:highlight w:val="none"/>
        </w:rPr>
        <w:t>人员一览表</w:t>
      </w:r>
      <w:r>
        <w:rPr>
          <w:rFonts w:hint="eastAsia" w:ascii="宋体" w:hAnsi="宋体" w:eastAsia="宋体" w:cs="宋体"/>
          <w:b/>
          <w:color w:val="000000"/>
          <w:highlight w:val="none"/>
        </w:rPr>
        <w:t>（如有，请提供）</w:t>
      </w:r>
      <w:r>
        <w:rPr>
          <w:rFonts w:hint="eastAsia" w:ascii="宋体" w:hAnsi="宋体" w:eastAsia="宋体" w:cs="宋体"/>
          <w:b/>
          <w:bCs/>
          <w:color w:val="000000"/>
          <w:szCs w:val="21"/>
          <w:highlight w:val="none"/>
        </w:rPr>
        <w:t>；</w:t>
      </w:r>
    </w:p>
    <w:p w14:paraId="1A914CB8">
      <w:p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（9）</w:t>
      </w:r>
      <w:r>
        <w:rPr>
          <w:rFonts w:hint="eastAsia" w:ascii="宋体" w:hAnsi="宋体" w:eastAsia="宋体" w:cs="宋体"/>
          <w:color w:val="000000"/>
          <w:szCs w:val="21"/>
          <w:highlight w:val="none"/>
        </w:rPr>
        <w:t>投标人相关获奖证书、认证证书等</w:t>
      </w:r>
      <w:r>
        <w:rPr>
          <w:rFonts w:hint="eastAsia" w:ascii="宋体" w:hAnsi="宋体" w:eastAsia="宋体" w:cs="宋体"/>
          <w:color w:val="000000"/>
          <w:szCs w:val="21"/>
          <w:highlight w:val="none"/>
          <w:lang w:eastAsia="zh-CN"/>
        </w:rPr>
        <w:t>扫描件</w:t>
      </w:r>
      <w:r>
        <w:rPr>
          <w:rFonts w:hint="eastAsia" w:ascii="宋体" w:hAnsi="宋体" w:eastAsia="宋体" w:cs="宋体"/>
          <w:b/>
          <w:color w:val="000000"/>
          <w:szCs w:val="21"/>
          <w:highlight w:val="none"/>
        </w:rPr>
        <w:t>（如有，请提供）</w:t>
      </w:r>
      <w:r>
        <w:rPr>
          <w:rFonts w:hint="eastAsia" w:ascii="宋体" w:hAnsi="宋体" w:eastAsia="宋体" w:cs="宋体"/>
          <w:color w:val="000000"/>
          <w:szCs w:val="21"/>
          <w:highlight w:val="none"/>
        </w:rPr>
        <w:t>；</w:t>
      </w:r>
    </w:p>
    <w:p w14:paraId="38C65839">
      <w:p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 w:val="21"/>
          <w:szCs w:val="24"/>
          <w:highlight w:val="none"/>
          <w:lang w:val="en-US" w:eastAsia="zh-CN" w:bidi="ar-SA"/>
        </w:rPr>
        <w:t>（10）</w:t>
      </w:r>
      <w:r>
        <w:rPr>
          <w:rFonts w:hint="eastAsia" w:ascii="宋体" w:hAnsi="宋体" w:eastAsia="宋体" w:cs="宋体"/>
          <w:color w:val="000000"/>
          <w:szCs w:val="21"/>
          <w:highlight w:val="none"/>
        </w:rPr>
        <w:t>投标人可结合本项目的评标办法视自身情况自行提交相关证明材料</w:t>
      </w:r>
      <w:r>
        <w:rPr>
          <w:rFonts w:hint="eastAsia" w:ascii="宋体" w:hAnsi="宋体" w:eastAsia="宋体" w:cs="宋体"/>
          <w:b/>
          <w:color w:val="000000"/>
          <w:szCs w:val="21"/>
          <w:highlight w:val="none"/>
        </w:rPr>
        <w:t>（如有，请提供）</w:t>
      </w:r>
      <w:r>
        <w:rPr>
          <w:rFonts w:hint="eastAsia" w:ascii="宋体" w:hAnsi="宋体" w:eastAsia="宋体" w:cs="宋体"/>
          <w:color w:val="000000"/>
          <w:szCs w:val="21"/>
          <w:highlight w:val="none"/>
        </w:rPr>
        <w:t>。</w:t>
      </w:r>
    </w:p>
    <w:p w14:paraId="26350D05">
      <w:pPr>
        <w:spacing w:line="400" w:lineRule="exact"/>
        <w:ind w:firstLine="420"/>
        <w:rPr>
          <w:rFonts w:hint="eastAsia" w:ascii="宋体" w:hAnsi="宋体" w:cs="宋体"/>
          <w:b/>
          <w:bCs/>
          <w:color w:val="000000"/>
          <w:highlight w:val="none"/>
        </w:rPr>
      </w:pPr>
      <w:r>
        <w:rPr>
          <w:rFonts w:hint="eastAsia" w:ascii="宋体" w:hAnsi="宋体" w:cs="宋体"/>
          <w:b/>
          <w:bCs/>
          <w:color w:val="000000"/>
          <w:highlight w:val="none"/>
        </w:rPr>
        <w:t>投标人提供的以上相关证明材料属于“必须提供”的文件应加盖投标人公章（CA签章）/自然人签字或加盖个人CA签章，否则投标无效。</w:t>
      </w:r>
    </w:p>
    <w:p w14:paraId="07073934">
      <w:pPr>
        <w:spacing w:line="400" w:lineRule="exact"/>
        <w:ind w:firstLine="420"/>
        <w:rPr>
          <w:rFonts w:ascii="宋体" w:hAnsi="宋体" w:cs="宋体"/>
          <w:color w:val="000000"/>
          <w:highlight w:val="none"/>
        </w:rPr>
      </w:pPr>
      <w:r>
        <w:rPr>
          <w:rFonts w:hint="eastAsia" w:ascii="宋体" w:hAnsi="宋体" w:cs="宋体"/>
          <w:color w:val="000000"/>
          <w:szCs w:val="21"/>
          <w:highlight w:val="none"/>
        </w:rPr>
        <w:t>13.3</w:t>
      </w:r>
      <w:r>
        <w:rPr>
          <w:rFonts w:hint="eastAsia" w:ascii="宋体" w:hAnsi="宋体" w:cs="宋体"/>
          <w:color w:val="000000"/>
          <w:highlight w:val="none"/>
        </w:rPr>
        <w:t>投标人应按招标文件第六章“投标文件（格式）”编制投标文件。</w:t>
      </w:r>
    </w:p>
    <w:p w14:paraId="66DE5172">
      <w:pPr>
        <w:spacing w:line="400" w:lineRule="exact"/>
        <w:ind w:firstLine="420"/>
        <w:rPr>
          <w:rFonts w:hint="eastAsia" w:ascii="宋体" w:hAnsi="宋体" w:cs="宋体"/>
          <w:color w:val="000000"/>
          <w:highlight w:val="none"/>
        </w:rPr>
      </w:pPr>
      <w:r>
        <w:rPr>
          <w:rFonts w:hint="eastAsia" w:ascii="宋体" w:hAnsi="宋体" w:cs="宋体"/>
          <w:color w:val="000000"/>
          <w:highlight w:val="none"/>
        </w:rPr>
        <w:t>13.4投标文件应当对招标文件提出的要求和条件作出明确响应。</w:t>
      </w:r>
    </w:p>
    <w:p w14:paraId="39C98DD3">
      <w:pPr>
        <w:spacing w:line="400" w:lineRule="exact"/>
        <w:ind w:firstLine="420"/>
        <w:rPr>
          <w:rFonts w:hint="eastAsia" w:ascii="宋体" w:hAnsi="宋体" w:cs="宋体"/>
          <w:b/>
          <w:bCs/>
          <w:color w:val="000000"/>
          <w:highlight w:val="none"/>
        </w:rPr>
      </w:pPr>
      <w:r>
        <w:rPr>
          <w:rFonts w:hint="eastAsia" w:ascii="宋体" w:hAnsi="宋体" w:cs="宋体"/>
          <w:b/>
          <w:bCs/>
          <w:color w:val="000000"/>
          <w:highlight w:val="none"/>
        </w:rPr>
        <w:t>特别说明：</w:t>
      </w:r>
    </w:p>
    <w:p w14:paraId="0AF3803B">
      <w:pPr>
        <w:tabs>
          <w:tab w:val="left" w:pos="1305"/>
        </w:tabs>
        <w:spacing w:line="400" w:lineRule="exact"/>
        <w:ind w:firstLine="422"/>
        <w:rPr>
          <w:rFonts w:hint="eastAsia" w:ascii="宋体" w:hAnsi="宋体" w:cs="宋体"/>
          <w:b/>
          <w:bCs/>
          <w:color w:val="000000"/>
          <w:szCs w:val="21"/>
          <w:highlight w:val="none"/>
        </w:rPr>
      </w:pPr>
      <w:bookmarkStart w:id="96" w:name="_Toc11037"/>
      <w:r>
        <w:rPr>
          <w:rFonts w:hint="eastAsia" w:ascii="宋体" w:hAnsi="宋体" w:cs="宋体"/>
          <w:b/>
          <w:bCs/>
          <w:color w:val="000000"/>
          <w:szCs w:val="21"/>
          <w:highlight w:val="none"/>
        </w:rPr>
        <w:t>（1）投标文件（电子投标文件），其中电子投标文件中所须加盖公章部分均采用CA签章。若投标文件中有专门标注的某关联点，并要求供应商在电子投标系统中作出投标响应的，如供应商未对关联点进行响应或者在投标文件其它内容中进行描述，造成电子评审不能查询的责任由供应商自行承担。</w:t>
      </w:r>
    </w:p>
    <w:p w14:paraId="04A2A42B">
      <w:pPr>
        <w:spacing w:line="400" w:lineRule="exact"/>
        <w:ind w:firstLine="413"/>
        <w:rPr>
          <w:rFonts w:hint="eastAsia" w:ascii="宋体" w:hAnsi="宋体" w:cs="宋体"/>
          <w:b/>
          <w:bCs/>
          <w:color w:val="000000"/>
          <w:szCs w:val="21"/>
          <w:highlight w:val="none"/>
        </w:rPr>
      </w:pPr>
      <w:bookmarkStart w:id="97" w:name="_Toc2599"/>
      <w:r>
        <w:rPr>
          <w:rFonts w:hint="eastAsia" w:ascii="宋体" w:hAnsi="宋体" w:cs="宋体"/>
          <w:b/>
          <w:bCs/>
          <w:color w:val="000000"/>
          <w:szCs w:val="21"/>
          <w:highlight w:val="none"/>
        </w:rPr>
        <w:t>（2）招标文件要求法定代表人（负责人）或委托代理人签字的部分必须签字然后扫描或者拍照做成 pdf 格式上传（或加盖个人CA签章），无签字的视为投标无效。</w:t>
      </w:r>
      <w:bookmarkEnd w:id="96"/>
    </w:p>
    <w:p w14:paraId="305487AB">
      <w:pPr>
        <w:spacing w:line="400" w:lineRule="exact"/>
        <w:ind w:firstLine="413"/>
        <w:outlineLvl w:val="2"/>
        <w:rPr>
          <w:rFonts w:ascii="宋体" w:hAnsi="宋体" w:cs="宋体"/>
          <w:b/>
          <w:color w:val="000000"/>
          <w:szCs w:val="21"/>
          <w:highlight w:val="none"/>
        </w:rPr>
      </w:pPr>
      <w:bookmarkStart w:id="98" w:name="_Toc7897"/>
      <w:bookmarkStart w:id="99" w:name="_Toc8048"/>
      <w:r>
        <w:rPr>
          <w:rFonts w:hint="eastAsia" w:ascii="宋体" w:hAnsi="宋体" w:cs="宋体"/>
          <w:b/>
          <w:color w:val="000000"/>
          <w:szCs w:val="21"/>
          <w:highlight w:val="none"/>
        </w:rPr>
        <w:t>14. 投标文件的语言及计量</w:t>
      </w:r>
      <w:bookmarkEnd w:id="97"/>
      <w:bookmarkEnd w:id="98"/>
      <w:bookmarkEnd w:id="99"/>
    </w:p>
    <w:p w14:paraId="076E68A2">
      <w:pPr>
        <w:tabs>
          <w:tab w:val="left" w:pos="130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14.1投标文件以及投标人与采购人或者采购代理机构就有关投标事宜的所有来往函电，均应以中文汉语书写。投标人提交的支持文件和印刷的文献可以使用别的语言，但其相应内容必须附有中文翻译文本，在解释投标文件时以中文翻译文本为主。</w:t>
      </w:r>
    </w:p>
    <w:p w14:paraId="0BFF7CAE">
      <w:pPr>
        <w:tabs>
          <w:tab w:val="left" w:pos="130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14.2投标计量单位，招标文件已有明确规定的，使用招标文件规定的计量单位；招标文件没有规定的，应采用中华人民共和国法定计量单位（货币单位：人民币元），否则视同未响应。</w:t>
      </w:r>
    </w:p>
    <w:p w14:paraId="3C961FD7">
      <w:pPr>
        <w:numPr>
          <w:ilvl w:val="0"/>
          <w:numId w:val="3"/>
        </w:numPr>
        <w:spacing w:line="400" w:lineRule="exact"/>
        <w:ind w:firstLine="413"/>
        <w:outlineLvl w:val="2"/>
        <w:rPr>
          <w:rFonts w:ascii="宋体" w:hAnsi="宋体" w:cs="宋体"/>
          <w:b/>
          <w:color w:val="000000"/>
          <w:szCs w:val="21"/>
          <w:highlight w:val="none"/>
        </w:rPr>
      </w:pPr>
      <w:bookmarkStart w:id="100" w:name="_Toc8372"/>
      <w:bookmarkStart w:id="101" w:name="_Toc9350"/>
      <w:bookmarkStart w:id="102" w:name="_Toc15948"/>
      <w:r>
        <w:rPr>
          <w:rFonts w:hint="eastAsia" w:ascii="宋体" w:hAnsi="宋体" w:cs="宋体"/>
          <w:b/>
          <w:color w:val="000000"/>
          <w:szCs w:val="21"/>
          <w:highlight w:val="none"/>
        </w:rPr>
        <w:t>投标报价</w:t>
      </w:r>
      <w:bookmarkEnd w:id="100"/>
      <w:bookmarkEnd w:id="101"/>
      <w:bookmarkEnd w:id="102"/>
    </w:p>
    <w:p w14:paraId="04459371">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15.1投标报价应按招标文件中第六章“投标文件（格式）”填写，本项目采购预算金额：</w:t>
      </w:r>
      <w:r>
        <w:rPr>
          <w:rFonts w:hint="eastAsia" w:ascii="宋体" w:hAnsi="宋体" w:cs="宋体"/>
          <w:color w:val="000000"/>
          <w:szCs w:val="21"/>
          <w:highlight w:val="none"/>
          <w:lang w:eastAsia="zh-CN"/>
        </w:rPr>
        <w:t>人民币壹仟贰佰壹拾玖万壹仟元整（¥12191000.00元）。</w:t>
      </w:r>
      <w:r>
        <w:rPr>
          <w:rFonts w:hint="eastAsia" w:ascii="宋体" w:hAnsi="宋体" w:cs="宋体"/>
          <w:color w:val="000000"/>
          <w:szCs w:val="21"/>
          <w:highlight w:val="none"/>
        </w:rPr>
        <w:t>投标报价超过采购预算金额的，投标文件按无效处理。</w:t>
      </w:r>
    </w:p>
    <w:p w14:paraId="577E72E6">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15.2投标人必须就“</w:t>
      </w:r>
      <w:r>
        <w:rPr>
          <w:rFonts w:hint="eastAsia" w:ascii="宋体" w:hAnsi="宋体" w:cs="宋体"/>
          <w:color w:val="000000"/>
          <w:szCs w:val="21"/>
          <w:highlight w:val="none"/>
          <w:lang w:eastAsia="zh-CN"/>
        </w:rPr>
        <w:t>采购需求</w:t>
      </w:r>
      <w:r>
        <w:rPr>
          <w:rFonts w:hint="eastAsia" w:ascii="宋体" w:hAnsi="宋体" w:cs="宋体"/>
          <w:color w:val="000000"/>
          <w:szCs w:val="21"/>
          <w:highlight w:val="none"/>
        </w:rPr>
        <w:t>”中所投分标内容作完整唯一报价，否则，其投标将被拒绝；投标文件只允许有一个报价，有选择的或有条件的报价将不予接受。</w:t>
      </w:r>
    </w:p>
    <w:p w14:paraId="18F7780D">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15.3投标报价应包括本次招标采购范围内</w:t>
      </w:r>
      <w:r>
        <w:rPr>
          <w:rFonts w:hint="eastAsia" w:ascii="宋体" w:hAnsi="宋体" w:eastAsia="宋体" w:cs="宋体"/>
        </w:rPr>
        <w:t>所需服务的人员工资及社保、服装、工具、管理、培训、加班费、节假日奖金、税费及其他成本等所有费用</w:t>
      </w:r>
      <w:r>
        <w:rPr>
          <w:rFonts w:hint="eastAsia" w:ascii="宋体" w:hAnsi="宋体" w:eastAsia="宋体" w:cs="宋体"/>
          <w:lang w:eastAsia="zh-CN"/>
        </w:rPr>
        <w:t>，供应商</w:t>
      </w:r>
      <w:r>
        <w:rPr>
          <w:rFonts w:hint="eastAsia" w:ascii="宋体" w:hAnsi="宋体" w:eastAsia="宋体" w:cs="宋体"/>
        </w:rPr>
        <w:t>综合考虑在报价中</w:t>
      </w:r>
      <w:r>
        <w:rPr>
          <w:rFonts w:hint="eastAsia" w:ascii="宋体" w:hAnsi="宋体" w:cs="宋体"/>
          <w:color w:val="000000"/>
          <w:highlight w:val="none"/>
        </w:rPr>
        <w:t>。</w:t>
      </w:r>
    </w:p>
    <w:p w14:paraId="47592782">
      <w:pPr>
        <w:spacing w:line="400" w:lineRule="exact"/>
        <w:ind w:firstLine="413"/>
        <w:outlineLvl w:val="2"/>
        <w:rPr>
          <w:rFonts w:ascii="宋体" w:hAnsi="宋体" w:cs="宋体"/>
          <w:b/>
          <w:color w:val="000000"/>
          <w:szCs w:val="21"/>
          <w:highlight w:val="none"/>
        </w:rPr>
      </w:pPr>
      <w:bookmarkStart w:id="103" w:name="_Toc14781"/>
      <w:bookmarkStart w:id="104" w:name="_Toc22333"/>
      <w:bookmarkStart w:id="105" w:name="_Toc18209"/>
      <w:r>
        <w:rPr>
          <w:rFonts w:hint="eastAsia" w:ascii="宋体" w:hAnsi="宋体" w:cs="宋体"/>
          <w:b/>
          <w:color w:val="000000"/>
          <w:szCs w:val="21"/>
          <w:highlight w:val="none"/>
        </w:rPr>
        <w:t>16. 投标有效期</w:t>
      </w:r>
      <w:bookmarkEnd w:id="103"/>
      <w:bookmarkEnd w:id="104"/>
      <w:bookmarkEnd w:id="105"/>
    </w:p>
    <w:p w14:paraId="34B55D23">
      <w:pPr>
        <w:tabs>
          <w:tab w:val="left" w:pos="130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16.1投标有效期：</w:t>
      </w:r>
      <w:r>
        <w:rPr>
          <w:rFonts w:hint="eastAsia" w:ascii="宋体" w:hAnsi="宋体" w:cs="宋体"/>
          <w:color w:val="000000"/>
          <w:highlight w:val="none"/>
        </w:rPr>
        <w:t>投标截止时间之日起90天</w:t>
      </w:r>
      <w:r>
        <w:rPr>
          <w:rFonts w:hint="eastAsia" w:ascii="宋体" w:hAnsi="宋体" w:cs="宋体"/>
          <w:color w:val="000000"/>
          <w:sz w:val="22"/>
          <w:szCs w:val="22"/>
          <w:highlight w:val="none"/>
        </w:rPr>
        <w:t>。</w:t>
      </w:r>
    </w:p>
    <w:p w14:paraId="56B7AC61">
      <w:pPr>
        <w:tabs>
          <w:tab w:val="left" w:pos="130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16.2出现特殊情况下，需要延长投标有效期的，采购代理机构以书面形式通知投标人延长投标有效期。投标人同意延长的，原投标文件继续有效。投标人拒绝延长的，其投标无效。</w:t>
      </w:r>
    </w:p>
    <w:p w14:paraId="0FFF2FD8">
      <w:pPr>
        <w:spacing w:line="400" w:lineRule="exact"/>
        <w:ind w:firstLine="413"/>
        <w:outlineLvl w:val="2"/>
        <w:rPr>
          <w:rFonts w:ascii="宋体" w:hAnsi="宋体" w:cs="宋体"/>
          <w:b/>
          <w:color w:val="000000"/>
          <w:szCs w:val="21"/>
          <w:highlight w:val="none"/>
        </w:rPr>
      </w:pPr>
      <w:bookmarkStart w:id="106" w:name="_Toc31528"/>
      <w:bookmarkStart w:id="107" w:name="_Toc3008"/>
      <w:bookmarkStart w:id="108" w:name="_Toc5668"/>
      <w:r>
        <w:rPr>
          <w:rFonts w:hint="eastAsia" w:ascii="宋体" w:hAnsi="宋体" w:cs="宋体"/>
          <w:b/>
          <w:color w:val="000000"/>
          <w:szCs w:val="21"/>
          <w:highlight w:val="none"/>
        </w:rPr>
        <w:t>17. 投标保证金</w:t>
      </w:r>
      <w:bookmarkEnd w:id="106"/>
      <w:bookmarkEnd w:id="107"/>
      <w:bookmarkEnd w:id="108"/>
    </w:p>
    <w:p w14:paraId="3CCFEC66">
      <w:pPr>
        <w:tabs>
          <w:tab w:val="left" w:pos="130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本项目无需缴纳投标保证金。</w:t>
      </w:r>
    </w:p>
    <w:p w14:paraId="25318A39">
      <w:pPr>
        <w:spacing w:line="400" w:lineRule="exact"/>
        <w:ind w:firstLine="413"/>
        <w:outlineLvl w:val="2"/>
        <w:rPr>
          <w:rFonts w:ascii="宋体" w:hAnsi="宋体" w:cs="宋体"/>
          <w:b/>
          <w:color w:val="000000"/>
          <w:szCs w:val="21"/>
          <w:highlight w:val="none"/>
        </w:rPr>
      </w:pPr>
      <w:bookmarkStart w:id="109" w:name="_Toc30873"/>
      <w:bookmarkStart w:id="110" w:name="_Toc6809"/>
      <w:bookmarkStart w:id="111" w:name="_Toc17461"/>
      <w:bookmarkStart w:id="112" w:name="_Toc14142"/>
      <w:bookmarkStart w:id="113" w:name="_Toc5027"/>
      <w:bookmarkStart w:id="114" w:name="_Toc24490"/>
      <w:r>
        <w:rPr>
          <w:rFonts w:hint="eastAsia" w:ascii="宋体" w:hAnsi="宋体" w:cs="宋体"/>
          <w:b/>
          <w:color w:val="000000"/>
          <w:szCs w:val="21"/>
          <w:highlight w:val="none"/>
        </w:rPr>
        <w:t>18. 投标文件的</w:t>
      </w:r>
      <w:bookmarkEnd w:id="109"/>
      <w:bookmarkEnd w:id="110"/>
      <w:bookmarkEnd w:id="111"/>
      <w:r>
        <w:rPr>
          <w:rFonts w:hint="eastAsia" w:ascii="宋体" w:hAnsi="宋体" w:cs="宋体"/>
          <w:b/>
          <w:color w:val="000000"/>
          <w:szCs w:val="21"/>
          <w:highlight w:val="none"/>
        </w:rPr>
        <w:t>制作</w:t>
      </w:r>
      <w:bookmarkEnd w:id="112"/>
      <w:bookmarkEnd w:id="113"/>
    </w:p>
    <w:p w14:paraId="6D87C574">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18.1 电子投标文件中须加盖供应商公章部分均采用CA签章，并根据“政府采购项目电子交易管理操作指南-供应商” 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内容不完整、编排混乱导致投标文件被误读、 漏读，或者在按招标文件规定的部位查找不到相关内容的，由供应商自行承担。</w:t>
      </w:r>
    </w:p>
    <w:p w14:paraId="7DBD36F0">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18.2 供应商法人（负责人）或授权代表持有</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个人CA签章的，应在投标文件中涉及到签字的位置使用个人CA签章，没有办理</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个人CA签章的可在投标文件中涉及到签字的位置手写签字</w:t>
      </w:r>
      <w:r>
        <w:rPr>
          <w:rFonts w:hint="eastAsia" w:ascii="宋体" w:hAnsi="宋体" w:cs="宋体"/>
          <w:color w:val="000000"/>
          <w:szCs w:val="21"/>
          <w:highlight w:val="none"/>
          <w:lang w:eastAsia="zh-CN"/>
        </w:rPr>
        <w:t>或盖章</w:t>
      </w:r>
      <w:r>
        <w:rPr>
          <w:rFonts w:hint="eastAsia" w:ascii="宋体" w:hAnsi="宋体" w:cs="宋体"/>
          <w:color w:val="000000"/>
          <w:szCs w:val="21"/>
          <w:highlight w:val="none"/>
        </w:rPr>
        <w:t xml:space="preserve">后扫描或者拍照做成PDF的格式上传即可。 </w:t>
      </w:r>
    </w:p>
    <w:p w14:paraId="4809554C">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18.3 投标文件不得涂改，若有修改错漏处，须法定代表人（负责人）或授权委托人签字（或个人CA签章）。投标文件因字迹潦草或表达不清所引起的后果由供应商负责。</w:t>
      </w:r>
    </w:p>
    <w:p w14:paraId="48850555">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 xml:space="preserve">18.4评审前准备 </w:t>
      </w:r>
    </w:p>
    <w:p w14:paraId="16E4D7D7">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 xml:space="preserve">18.4.1本项目实行网上评审，采用电子投标文件；若供应商参与投标，自行承担投标一切费用。 </w:t>
      </w:r>
    </w:p>
    <w:p w14:paraId="457A5391">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18.4.2各供应商在截标前应确保成为</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 xml:space="preserve">正式注册入库供应商，并完成CA数字证书申领。因未注册入库、未办理 CA 数字证书等原因造成无法投标或投标失败等后果由供应商自行承担。 </w:t>
      </w:r>
    </w:p>
    <w:p w14:paraId="558E20A9">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18.4.3供应商将</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电子交易客户端下载、安装完成后，可通过账号密码或CA登录客户端进行投标文件制作。客户端请至网站下载专区查看，如有问题可拨打</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客户服务热线</w:t>
      </w:r>
      <w:r>
        <w:rPr>
          <w:rFonts w:hint="eastAsia" w:ascii="宋体" w:hAnsi="宋体" w:cs="宋体"/>
          <w:color w:val="000000"/>
          <w:szCs w:val="21"/>
          <w:highlight w:val="none"/>
          <w:lang w:eastAsia="zh-CN"/>
        </w:rPr>
        <w:t>95763</w:t>
      </w:r>
      <w:r>
        <w:rPr>
          <w:rFonts w:hint="eastAsia" w:ascii="宋体" w:hAnsi="宋体" w:cs="宋体"/>
          <w:color w:val="000000"/>
          <w:szCs w:val="21"/>
          <w:highlight w:val="none"/>
        </w:rPr>
        <w:t>进行咨询。</w:t>
      </w:r>
      <w:bookmarkEnd w:id="114"/>
    </w:p>
    <w:p w14:paraId="6AC0A18F">
      <w:pPr>
        <w:spacing w:line="400" w:lineRule="exact"/>
        <w:ind w:firstLine="413"/>
        <w:outlineLvl w:val="2"/>
        <w:rPr>
          <w:rFonts w:ascii="宋体" w:hAnsi="宋体" w:cs="宋体"/>
          <w:b/>
          <w:color w:val="000000"/>
          <w:szCs w:val="21"/>
          <w:highlight w:val="none"/>
        </w:rPr>
      </w:pPr>
      <w:bookmarkStart w:id="115" w:name="_Toc24928"/>
      <w:bookmarkStart w:id="116" w:name="_Toc15098"/>
      <w:bookmarkStart w:id="117" w:name="_Toc12348"/>
      <w:bookmarkStart w:id="118" w:name="_Toc14188"/>
      <w:bookmarkStart w:id="119" w:name="_Toc31572"/>
      <w:r>
        <w:rPr>
          <w:rFonts w:hint="eastAsia" w:ascii="宋体" w:hAnsi="宋体" w:cs="宋体"/>
          <w:b/>
          <w:color w:val="000000"/>
          <w:szCs w:val="21"/>
          <w:highlight w:val="none"/>
        </w:rPr>
        <w:t>19. 投标文件的补充、修改和撤回</w:t>
      </w:r>
      <w:bookmarkEnd w:id="115"/>
      <w:bookmarkEnd w:id="116"/>
      <w:bookmarkEnd w:id="117"/>
      <w:bookmarkEnd w:id="118"/>
    </w:p>
    <w:p w14:paraId="54AB33E4">
      <w:pPr>
        <w:spacing w:line="360" w:lineRule="auto"/>
        <w:ind w:firstLine="420"/>
        <w:rPr>
          <w:rFonts w:hint="eastAsia" w:ascii="宋体" w:hAnsi="宋体" w:cs="宋体"/>
          <w:color w:val="000000"/>
          <w:szCs w:val="21"/>
          <w:highlight w:val="none"/>
        </w:rPr>
      </w:pPr>
      <w:r>
        <w:rPr>
          <w:rFonts w:ascii="宋体" w:hAnsi="宋体" w:cs="宋体"/>
          <w:color w:val="000000"/>
          <w:szCs w:val="21"/>
          <w:highlight w:val="none"/>
        </w:rPr>
        <w:t>1</w:t>
      </w:r>
      <w:r>
        <w:rPr>
          <w:rFonts w:hint="eastAsia" w:ascii="宋体" w:hAnsi="宋体" w:cs="宋体"/>
          <w:color w:val="000000"/>
          <w:szCs w:val="21"/>
          <w:highlight w:val="none"/>
        </w:rPr>
        <w:t>9</w:t>
      </w:r>
      <w:r>
        <w:rPr>
          <w:rFonts w:ascii="宋体" w:hAnsi="宋体" w:cs="宋体"/>
          <w:color w:val="000000"/>
          <w:szCs w:val="21"/>
          <w:highlight w:val="none"/>
        </w:rPr>
        <w:t xml:space="preserve">.1 </w:t>
      </w:r>
      <w:r>
        <w:rPr>
          <w:rFonts w:hint="eastAsia" w:ascii="宋体" w:hAnsi="宋体" w:cs="宋体"/>
          <w:color w:val="000000"/>
          <w:szCs w:val="21"/>
          <w:highlight w:val="none"/>
        </w:rPr>
        <w:t>投标文件递交截止时间前可以撤回电子投标文件。补充或者修改电子投标文件的，应当先行撤回原文件，补充、修改后重新传输递交，投标文件递交截止时间前未完成传输的，视为撤回投标文件。</w:t>
      </w:r>
    </w:p>
    <w:p w14:paraId="27E9CED5">
      <w:pPr>
        <w:spacing w:line="360" w:lineRule="auto"/>
        <w:ind w:firstLine="420"/>
        <w:rPr>
          <w:rFonts w:ascii="宋体" w:cs="宋体"/>
          <w:color w:val="000000"/>
          <w:szCs w:val="21"/>
          <w:highlight w:val="none"/>
        </w:rPr>
      </w:pPr>
      <w:r>
        <w:rPr>
          <w:rFonts w:ascii="宋体" w:hAnsi="宋体" w:cs="宋体"/>
          <w:color w:val="000000"/>
          <w:szCs w:val="21"/>
          <w:highlight w:val="none"/>
        </w:rPr>
        <w:t>1</w:t>
      </w:r>
      <w:r>
        <w:rPr>
          <w:rFonts w:hint="eastAsia" w:ascii="宋体" w:hAnsi="宋体" w:cs="宋体"/>
          <w:color w:val="000000"/>
          <w:szCs w:val="21"/>
          <w:highlight w:val="none"/>
        </w:rPr>
        <w:t>9</w:t>
      </w:r>
      <w:r>
        <w:rPr>
          <w:rFonts w:ascii="宋体" w:hAnsi="宋体" w:cs="宋体"/>
          <w:color w:val="000000"/>
          <w:szCs w:val="21"/>
          <w:highlight w:val="none"/>
        </w:rPr>
        <w:t xml:space="preserve">.2 </w:t>
      </w:r>
      <w:r>
        <w:rPr>
          <w:rFonts w:hint="eastAsia" w:ascii="宋体" w:hAnsi="宋体" w:cs="宋体"/>
          <w:color w:val="000000"/>
          <w:szCs w:val="21"/>
          <w:highlight w:val="none"/>
        </w:rPr>
        <w:t>在投标文件递交截止时间后的投标文件有效期内，供应商不得撤回其投标文件。</w:t>
      </w:r>
      <w:bookmarkEnd w:id="119"/>
    </w:p>
    <w:p w14:paraId="568B12D1">
      <w:pPr>
        <w:spacing w:line="400" w:lineRule="exact"/>
        <w:ind w:firstLine="413"/>
        <w:outlineLvl w:val="2"/>
        <w:rPr>
          <w:rFonts w:ascii="宋体" w:hAnsi="宋体" w:cs="宋体"/>
          <w:b/>
          <w:color w:val="000000"/>
          <w:szCs w:val="21"/>
          <w:highlight w:val="none"/>
        </w:rPr>
      </w:pPr>
      <w:bookmarkStart w:id="120" w:name="_Toc13713"/>
      <w:bookmarkStart w:id="121" w:name="_Toc27240"/>
      <w:bookmarkStart w:id="122" w:name="_Toc16777"/>
      <w:bookmarkStart w:id="123" w:name="_Toc8898"/>
      <w:r>
        <w:rPr>
          <w:rFonts w:hint="eastAsia" w:ascii="宋体" w:hAnsi="宋体" w:cs="宋体"/>
          <w:b/>
          <w:color w:val="000000"/>
          <w:szCs w:val="21"/>
          <w:highlight w:val="none"/>
        </w:rPr>
        <w:t>20. 投标文件的递交</w:t>
      </w:r>
      <w:bookmarkEnd w:id="120"/>
      <w:r>
        <w:rPr>
          <w:rFonts w:hint="eastAsia" w:ascii="宋体" w:hAnsi="宋体" w:cs="宋体"/>
          <w:b/>
          <w:color w:val="000000"/>
          <w:szCs w:val="21"/>
          <w:highlight w:val="none"/>
        </w:rPr>
        <w:t>和解密</w:t>
      </w:r>
      <w:bookmarkEnd w:id="121"/>
      <w:bookmarkEnd w:id="122"/>
      <w:bookmarkEnd w:id="123"/>
    </w:p>
    <w:p w14:paraId="530738FD">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20.1</w:t>
      </w:r>
      <w:r>
        <w:rPr>
          <w:rFonts w:hint="eastAsia" w:ascii="宋体" w:hAnsi="宋体"/>
          <w:color w:val="000000"/>
          <w:szCs w:val="21"/>
          <w:highlight w:val="none"/>
        </w:rPr>
        <w:t>投标文件递交截止时间：于</w:t>
      </w:r>
      <w:r>
        <w:rPr>
          <w:rFonts w:hint="eastAsia" w:ascii="宋体" w:hAnsi="宋体" w:cs="宋体"/>
          <w:color w:val="000000"/>
          <w:szCs w:val="21"/>
          <w:highlight w:val="none"/>
          <w:u w:val="single"/>
          <w:lang w:eastAsia="zh-CN"/>
        </w:rPr>
        <w:t>2026年</w:t>
      </w:r>
      <w:r>
        <w:rPr>
          <w:rFonts w:hint="eastAsia" w:ascii="宋体" w:hAnsi="宋体" w:cs="宋体"/>
          <w:color w:val="000000"/>
          <w:szCs w:val="21"/>
          <w:highlight w:val="none"/>
          <w:u w:val="single"/>
          <w:lang w:val="en-US" w:eastAsia="zh-CN"/>
        </w:rPr>
        <w:t>06</w:t>
      </w:r>
      <w:r>
        <w:rPr>
          <w:rFonts w:hint="eastAsia" w:ascii="宋体" w:hAnsi="宋体" w:cs="宋体"/>
          <w:color w:val="000000"/>
          <w:szCs w:val="21"/>
          <w:highlight w:val="none"/>
          <w:u w:val="single"/>
          <w:lang w:eastAsia="zh-CN"/>
        </w:rPr>
        <w:t>月</w:t>
      </w:r>
      <w:r>
        <w:rPr>
          <w:rFonts w:hint="eastAsia" w:ascii="宋体" w:hAnsi="宋体" w:cs="宋体"/>
          <w:color w:val="000000"/>
          <w:szCs w:val="21"/>
          <w:highlight w:val="none"/>
          <w:u w:val="single"/>
          <w:lang w:val="en-US" w:eastAsia="zh-CN"/>
        </w:rPr>
        <w:t>05</w:t>
      </w:r>
      <w:r>
        <w:rPr>
          <w:rFonts w:hint="eastAsia" w:ascii="宋体" w:hAnsi="宋体" w:cs="宋体"/>
          <w:color w:val="000000"/>
          <w:szCs w:val="21"/>
          <w:highlight w:val="none"/>
          <w:u w:val="single"/>
          <w:lang w:eastAsia="zh-CN"/>
        </w:rPr>
        <w:t>日</w:t>
      </w:r>
      <w:r>
        <w:rPr>
          <w:rFonts w:hint="eastAsia" w:ascii="宋体" w:hAnsi="宋体" w:cs="宋体"/>
          <w:color w:val="000000"/>
          <w:szCs w:val="21"/>
          <w:highlight w:val="none"/>
          <w:u w:val="single"/>
        </w:rPr>
        <w:t>上午</w:t>
      </w:r>
      <w:r>
        <w:rPr>
          <w:rFonts w:hint="eastAsia" w:ascii="宋体" w:hAnsi="宋体" w:cs="宋体"/>
          <w:color w:val="000000"/>
          <w:szCs w:val="21"/>
          <w:highlight w:val="none"/>
          <w:u w:val="single"/>
          <w:lang w:val="en-US" w:eastAsia="zh-CN"/>
        </w:rPr>
        <w:t>9</w:t>
      </w:r>
      <w:r>
        <w:rPr>
          <w:rFonts w:hint="eastAsia" w:ascii="宋体" w:hAnsi="宋体" w:cs="宋体"/>
          <w:color w:val="000000"/>
          <w:szCs w:val="21"/>
          <w:highlight w:val="none"/>
          <w:u w:val="single"/>
        </w:rPr>
        <w:t>时</w:t>
      </w:r>
      <w:r>
        <w:rPr>
          <w:rFonts w:hint="eastAsia" w:ascii="宋体" w:hAnsi="宋体" w:cs="宋体"/>
          <w:color w:val="000000"/>
          <w:szCs w:val="21"/>
          <w:highlight w:val="none"/>
          <w:u w:val="single"/>
          <w:lang w:val="en-US" w:eastAsia="zh-CN"/>
        </w:rPr>
        <w:t>30</w:t>
      </w:r>
      <w:r>
        <w:rPr>
          <w:rFonts w:hint="eastAsia" w:ascii="宋体" w:hAnsi="宋体" w:cs="宋体"/>
          <w:color w:val="000000"/>
          <w:szCs w:val="21"/>
          <w:highlight w:val="none"/>
          <w:u w:val="single"/>
        </w:rPr>
        <w:t>分</w:t>
      </w:r>
      <w:r>
        <w:rPr>
          <w:rFonts w:hint="eastAsia" w:ascii="宋体" w:hAnsi="宋体" w:cs="宋体"/>
          <w:color w:val="000000"/>
          <w:szCs w:val="21"/>
          <w:highlight w:val="none"/>
        </w:rPr>
        <w:t>之前将电子投标文件上传到</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。应按照本项目招标文件和</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的要求编制、加密传输投标文件。供应商在使用系统进行投标的过程中遇到涉及平台使用的任何问题，可致电</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技术支持热线咨询，联系方式：</w:t>
      </w:r>
      <w:r>
        <w:rPr>
          <w:rFonts w:hint="eastAsia" w:ascii="宋体" w:hAnsi="宋体" w:cs="宋体"/>
          <w:color w:val="000000"/>
          <w:szCs w:val="21"/>
          <w:highlight w:val="none"/>
          <w:lang w:eastAsia="zh-CN"/>
        </w:rPr>
        <w:t>95763</w:t>
      </w:r>
      <w:r>
        <w:rPr>
          <w:rFonts w:hint="eastAsia" w:ascii="宋体" w:hAnsi="宋体" w:cs="宋体"/>
          <w:color w:val="000000"/>
          <w:szCs w:val="21"/>
          <w:highlight w:val="none"/>
        </w:rPr>
        <w:t>。</w:t>
      </w:r>
    </w:p>
    <w:p w14:paraId="4186049C">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20.2投标文件解密时间：截标时间后</w:t>
      </w:r>
      <w:r>
        <w:rPr>
          <w:rFonts w:hint="eastAsia" w:ascii="宋体" w:hAnsi="宋体" w:cs="宋体"/>
          <w:color w:val="000000"/>
          <w:szCs w:val="21"/>
          <w:highlight w:val="none"/>
          <w:u w:val="single"/>
        </w:rPr>
        <w:t>30</w:t>
      </w:r>
      <w:r>
        <w:rPr>
          <w:rFonts w:hint="eastAsia" w:ascii="宋体" w:hAnsi="宋体" w:cs="宋体"/>
          <w:color w:val="000000"/>
          <w:szCs w:val="21"/>
          <w:highlight w:val="none"/>
        </w:rPr>
        <w:t>分钟内（</w:t>
      </w:r>
      <w:r>
        <w:rPr>
          <w:rFonts w:hint="eastAsia" w:ascii="宋体" w:hAnsi="宋体" w:cs="宋体"/>
          <w:color w:val="000000"/>
          <w:szCs w:val="21"/>
          <w:highlight w:val="none"/>
          <w:u w:val="single"/>
          <w:lang w:eastAsia="zh-CN"/>
        </w:rPr>
        <w:t>2026年</w:t>
      </w:r>
      <w:r>
        <w:rPr>
          <w:rFonts w:hint="eastAsia" w:ascii="宋体" w:hAnsi="宋体" w:cs="宋体"/>
          <w:color w:val="000000"/>
          <w:szCs w:val="21"/>
          <w:highlight w:val="none"/>
          <w:u w:val="single"/>
          <w:lang w:val="en-US" w:eastAsia="zh-CN"/>
        </w:rPr>
        <w:t>06</w:t>
      </w:r>
      <w:r>
        <w:rPr>
          <w:rFonts w:hint="eastAsia" w:ascii="宋体" w:hAnsi="宋体" w:cs="宋体"/>
          <w:color w:val="000000"/>
          <w:szCs w:val="21"/>
          <w:highlight w:val="none"/>
          <w:u w:val="single"/>
          <w:lang w:eastAsia="zh-CN"/>
        </w:rPr>
        <w:t>月</w:t>
      </w:r>
      <w:r>
        <w:rPr>
          <w:rFonts w:hint="eastAsia" w:ascii="宋体" w:hAnsi="宋体" w:cs="宋体"/>
          <w:color w:val="000000"/>
          <w:szCs w:val="21"/>
          <w:highlight w:val="none"/>
          <w:u w:val="single"/>
          <w:lang w:val="en-US" w:eastAsia="zh-CN"/>
        </w:rPr>
        <w:t>05</w:t>
      </w:r>
      <w:r>
        <w:rPr>
          <w:rFonts w:hint="eastAsia" w:ascii="宋体" w:hAnsi="宋体" w:cs="宋体"/>
          <w:color w:val="000000"/>
          <w:szCs w:val="21"/>
          <w:highlight w:val="none"/>
          <w:u w:val="single"/>
          <w:lang w:eastAsia="zh-CN"/>
        </w:rPr>
        <w:t>日</w:t>
      </w:r>
      <w:r>
        <w:rPr>
          <w:rFonts w:hint="eastAsia" w:ascii="宋体" w:hAnsi="宋体" w:cs="宋体"/>
          <w:color w:val="000000"/>
          <w:szCs w:val="21"/>
          <w:highlight w:val="none"/>
          <w:u w:val="single"/>
        </w:rPr>
        <w:t>上午</w:t>
      </w:r>
      <w:r>
        <w:rPr>
          <w:rFonts w:hint="eastAsia" w:ascii="宋体" w:hAnsi="宋体" w:cs="宋体"/>
          <w:color w:val="000000"/>
          <w:szCs w:val="21"/>
          <w:highlight w:val="none"/>
          <w:u w:val="single"/>
          <w:lang w:val="en-US" w:eastAsia="zh-CN"/>
        </w:rPr>
        <w:t>9</w:t>
      </w:r>
      <w:r>
        <w:rPr>
          <w:rFonts w:hint="eastAsia" w:ascii="宋体" w:hAnsi="宋体" w:cs="宋体"/>
          <w:color w:val="000000"/>
          <w:szCs w:val="21"/>
          <w:highlight w:val="none"/>
          <w:u w:val="single"/>
        </w:rPr>
        <w:t>时</w:t>
      </w:r>
      <w:r>
        <w:rPr>
          <w:rFonts w:hint="eastAsia" w:ascii="宋体" w:hAnsi="宋体" w:cs="宋体"/>
          <w:color w:val="000000"/>
          <w:szCs w:val="21"/>
          <w:highlight w:val="none"/>
          <w:u w:val="single"/>
          <w:lang w:val="en-US" w:eastAsia="zh-CN"/>
        </w:rPr>
        <w:t>30</w:t>
      </w:r>
      <w:r>
        <w:rPr>
          <w:rFonts w:hint="eastAsia" w:ascii="宋体" w:hAnsi="宋体" w:cs="宋体"/>
          <w:color w:val="000000"/>
          <w:szCs w:val="21"/>
          <w:highlight w:val="none"/>
          <w:u w:val="single"/>
        </w:rPr>
        <w:t>分至</w:t>
      </w:r>
      <w:r>
        <w:rPr>
          <w:rFonts w:hint="eastAsia" w:ascii="宋体" w:hAnsi="宋体" w:cs="宋体"/>
          <w:color w:val="000000"/>
          <w:szCs w:val="21"/>
          <w:highlight w:val="none"/>
          <w:u w:val="single"/>
          <w:lang w:val="en-US" w:eastAsia="zh-CN"/>
        </w:rPr>
        <w:t>10</w:t>
      </w:r>
      <w:r>
        <w:rPr>
          <w:rFonts w:hint="eastAsia" w:ascii="宋体" w:hAnsi="宋体" w:cs="宋体"/>
          <w:color w:val="000000"/>
          <w:szCs w:val="21"/>
          <w:highlight w:val="none"/>
          <w:u w:val="single"/>
        </w:rPr>
        <w:t>时</w:t>
      </w:r>
      <w:r>
        <w:rPr>
          <w:rFonts w:hint="eastAsia" w:ascii="宋体" w:hAnsi="宋体" w:cs="宋体"/>
          <w:color w:val="000000"/>
          <w:szCs w:val="21"/>
          <w:highlight w:val="none"/>
          <w:u w:val="single"/>
          <w:lang w:val="en-US" w:eastAsia="zh-CN"/>
        </w:rPr>
        <w:t>00</w:t>
      </w:r>
      <w:r>
        <w:rPr>
          <w:rFonts w:hint="eastAsia" w:ascii="宋体" w:hAnsi="宋体" w:cs="宋体"/>
          <w:color w:val="000000"/>
          <w:szCs w:val="21"/>
          <w:highlight w:val="none"/>
          <w:u w:val="single"/>
        </w:rPr>
        <w:t>分</w:t>
      </w:r>
      <w:r>
        <w:rPr>
          <w:rFonts w:hint="eastAsia" w:ascii="宋体" w:hAnsi="宋体" w:cs="宋体"/>
          <w:color w:val="000000"/>
          <w:szCs w:val="21"/>
          <w:highlight w:val="none"/>
        </w:rPr>
        <w:t>)投标人可以登录</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，用“项目采购-开标评标”功能进行解密投标文件。</w:t>
      </w:r>
    </w:p>
    <w:p w14:paraId="6E21A6EC">
      <w:pPr>
        <w:spacing w:line="360" w:lineRule="auto"/>
        <w:ind w:firstLine="422"/>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注：投标文件网上递交截止时间后，各投标人须在解密时限内对上传广西政府采购云平台的投标文件进行解密，所有投标人在规定的解密时限内解密完成或解密时限结束后，我中心开启已解密的响应文件。投标人超过解密时限未解密的，系统默认自动放弃，造成投标无效的后果由投标人自行承担。解密响应文件后，30分钟内在线签字确认，超过时间没有在线签字确认的系统将自动视为供应商认可。</w:t>
      </w:r>
    </w:p>
    <w:p w14:paraId="7669F191">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20.3 除招标文件另有规定外，供应商所递交的投标文件不予退还。</w:t>
      </w:r>
    </w:p>
    <w:p w14:paraId="126EFC1A">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20.4 电子投标文件的相关说明</w:t>
      </w:r>
    </w:p>
    <w:p w14:paraId="6F2C8F81">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（1）供应商进行电子投标应安装客户端软件，并按照采购文件和</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的要求编制并加密投标文件。供应商未按规定加密的投标文件，</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 xml:space="preserve">将拒收。 </w:t>
      </w:r>
    </w:p>
    <w:p w14:paraId="5B06A3D0">
      <w:pPr>
        <w:spacing w:line="360" w:lineRule="auto"/>
        <w:ind w:firstLine="420"/>
        <w:rPr>
          <w:color w:val="000000"/>
          <w:highlight w:val="none"/>
        </w:rPr>
      </w:pPr>
      <w:r>
        <w:rPr>
          <w:rFonts w:hint="eastAsia" w:ascii="宋体" w:hAnsi="宋体" w:cs="宋体"/>
          <w:color w:val="000000"/>
          <w:szCs w:val="21"/>
          <w:highlight w:val="none"/>
        </w:rPr>
        <w:t>（2）如有特殊情况，采购代理机构延长截止时间和开标时间，采购代理机构和供应商的权利和义务将受到新的截止时间和开标时间的约束。</w:t>
      </w:r>
    </w:p>
    <w:p w14:paraId="783F2928">
      <w:pPr>
        <w:pStyle w:val="251"/>
        <w:rPr>
          <w:color w:val="000000"/>
          <w:highlight w:val="none"/>
        </w:rPr>
      </w:pPr>
    </w:p>
    <w:p w14:paraId="036D2817">
      <w:pPr>
        <w:spacing w:line="360" w:lineRule="auto"/>
        <w:jc w:val="center"/>
        <w:outlineLvl w:val="1"/>
        <w:rPr>
          <w:rFonts w:ascii="宋体" w:hAnsi="宋体" w:cs="宋体"/>
          <w:b/>
          <w:color w:val="000000"/>
          <w:sz w:val="28"/>
          <w:szCs w:val="28"/>
          <w:highlight w:val="none"/>
        </w:rPr>
      </w:pPr>
      <w:bookmarkStart w:id="124" w:name="_Toc20805"/>
      <w:bookmarkStart w:id="125" w:name="_Toc16788"/>
      <w:bookmarkStart w:id="126" w:name="_Toc307"/>
      <w:bookmarkStart w:id="127" w:name="_Toc495841757"/>
      <w:r>
        <w:rPr>
          <w:rFonts w:hint="eastAsia" w:ascii="宋体" w:hAnsi="宋体" w:cs="宋体"/>
          <w:b/>
          <w:color w:val="000000"/>
          <w:sz w:val="28"/>
          <w:szCs w:val="28"/>
          <w:highlight w:val="none"/>
        </w:rPr>
        <w:t>四、开标</w:t>
      </w:r>
      <w:bookmarkEnd w:id="124"/>
      <w:bookmarkEnd w:id="125"/>
      <w:bookmarkEnd w:id="126"/>
      <w:bookmarkEnd w:id="127"/>
    </w:p>
    <w:p w14:paraId="01FDFC43">
      <w:pPr>
        <w:spacing w:line="400" w:lineRule="exact"/>
        <w:ind w:firstLine="413"/>
        <w:outlineLvl w:val="2"/>
        <w:rPr>
          <w:rFonts w:ascii="宋体" w:hAnsi="宋体" w:cs="宋体"/>
          <w:b/>
          <w:color w:val="000000"/>
          <w:szCs w:val="21"/>
          <w:highlight w:val="none"/>
        </w:rPr>
      </w:pPr>
      <w:bookmarkStart w:id="128" w:name="_Toc19649"/>
      <w:bookmarkStart w:id="129" w:name="_Toc17073"/>
      <w:bookmarkStart w:id="130" w:name="_Toc25198"/>
      <w:bookmarkStart w:id="131" w:name="_Toc19384"/>
      <w:bookmarkStart w:id="132" w:name="_Toc5456"/>
      <w:bookmarkStart w:id="133" w:name="_Toc13013"/>
      <w:bookmarkStart w:id="134" w:name="_Toc495841758"/>
      <w:r>
        <w:rPr>
          <w:rFonts w:hint="eastAsia" w:ascii="宋体" w:hAnsi="宋体" w:cs="宋体"/>
          <w:b/>
          <w:color w:val="000000"/>
          <w:szCs w:val="21"/>
          <w:highlight w:val="none"/>
        </w:rPr>
        <w:t>21. 开标时间及地点</w:t>
      </w:r>
      <w:bookmarkEnd w:id="128"/>
      <w:bookmarkEnd w:id="129"/>
      <w:bookmarkEnd w:id="130"/>
      <w:bookmarkEnd w:id="131"/>
      <w:bookmarkEnd w:id="132"/>
    </w:p>
    <w:p w14:paraId="4604A6F2">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21.1开标时间及地点：</w:t>
      </w:r>
    </w:p>
    <w:p w14:paraId="0408C69C">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开标时间：</w:t>
      </w:r>
      <w:r>
        <w:rPr>
          <w:rFonts w:hint="eastAsia" w:ascii="宋体" w:hAnsi="宋体" w:cs="宋体"/>
          <w:color w:val="000000"/>
          <w:szCs w:val="21"/>
          <w:highlight w:val="none"/>
          <w:lang w:eastAsia="zh-CN"/>
        </w:rPr>
        <w:t>2026年</w:t>
      </w:r>
      <w:r>
        <w:rPr>
          <w:rFonts w:hint="eastAsia" w:ascii="宋体" w:hAnsi="宋体" w:cs="宋体"/>
          <w:color w:val="000000"/>
          <w:szCs w:val="21"/>
          <w:highlight w:val="none"/>
          <w:lang w:val="en-US" w:eastAsia="zh-CN"/>
        </w:rPr>
        <w:t>06</w:t>
      </w:r>
      <w:r>
        <w:rPr>
          <w:rFonts w:hint="eastAsia" w:ascii="宋体" w:hAnsi="宋体" w:cs="宋体"/>
          <w:color w:val="000000"/>
          <w:szCs w:val="21"/>
          <w:highlight w:val="none"/>
          <w:lang w:eastAsia="zh-CN"/>
        </w:rPr>
        <w:t>月</w:t>
      </w:r>
      <w:r>
        <w:rPr>
          <w:rFonts w:hint="eastAsia" w:ascii="宋体" w:hAnsi="宋体" w:cs="宋体"/>
          <w:color w:val="000000"/>
          <w:szCs w:val="21"/>
          <w:highlight w:val="none"/>
          <w:lang w:val="en-US" w:eastAsia="zh-CN"/>
        </w:rPr>
        <w:t>05</w:t>
      </w:r>
      <w:r>
        <w:rPr>
          <w:rFonts w:hint="eastAsia" w:ascii="宋体" w:hAnsi="宋体" w:cs="宋体"/>
          <w:color w:val="000000"/>
          <w:szCs w:val="21"/>
          <w:highlight w:val="none"/>
          <w:lang w:eastAsia="zh-CN"/>
        </w:rPr>
        <w:t>日</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时</w:t>
      </w:r>
      <w:r>
        <w:rPr>
          <w:rFonts w:hint="eastAsia" w:ascii="宋体" w:hAnsi="宋体" w:cs="宋体"/>
          <w:color w:val="000000"/>
          <w:szCs w:val="21"/>
          <w:highlight w:val="none"/>
          <w:lang w:val="en-US" w:eastAsia="zh-CN"/>
        </w:rPr>
        <w:t>30</w:t>
      </w:r>
      <w:r>
        <w:rPr>
          <w:rFonts w:hint="eastAsia" w:ascii="宋体" w:hAnsi="宋体" w:cs="宋体"/>
          <w:color w:val="000000"/>
          <w:szCs w:val="21"/>
          <w:highlight w:val="none"/>
        </w:rPr>
        <w:t>分（北京时间）截标后。</w:t>
      </w:r>
    </w:p>
    <w:p w14:paraId="53B659EA">
      <w:pPr>
        <w:spacing w:line="360" w:lineRule="auto"/>
        <w:ind w:firstLine="420"/>
        <w:rPr>
          <w:rFonts w:hint="eastAsia" w:ascii="宋体" w:hAnsi="宋体" w:cs="宋体"/>
          <w:color w:val="000000"/>
          <w:sz w:val="21"/>
          <w:szCs w:val="21"/>
          <w:highlight w:val="none"/>
        </w:rPr>
      </w:pPr>
      <w:r>
        <w:rPr>
          <w:rFonts w:hint="eastAsia" w:ascii="宋体" w:hAnsi="宋体" w:cs="宋体"/>
          <w:color w:val="000000"/>
          <w:szCs w:val="21"/>
          <w:highlight w:val="none"/>
        </w:rPr>
        <w:t>地    点：</w:t>
      </w:r>
      <w:r>
        <w:rPr>
          <w:rFonts w:hint="eastAsia" w:ascii="宋体" w:hAnsi="宋体" w:eastAsia="宋体" w:cs="宋体"/>
          <w:color w:val="000000"/>
          <w:sz w:val="21"/>
          <w:szCs w:val="21"/>
          <w:highlight w:val="none"/>
          <w:lang w:eastAsia="zh-CN"/>
        </w:rPr>
        <w:t>桂林市公共资源交易中心</w:t>
      </w:r>
      <w:r>
        <w:rPr>
          <w:rFonts w:hint="eastAsia" w:ascii="宋体" w:hAnsi="宋体" w:cs="宋体"/>
          <w:color w:val="000000"/>
          <w:sz w:val="21"/>
          <w:szCs w:val="21"/>
          <w:highlight w:val="none"/>
          <w:u w:val="single"/>
          <w:lang w:val="en-US" w:eastAsia="zh-CN"/>
        </w:rPr>
        <w:t>3号政采开标仓</w:t>
      </w:r>
      <w:r>
        <w:rPr>
          <w:rFonts w:hint="eastAsia" w:ascii="宋体" w:hAnsi="宋体" w:eastAsia="宋体" w:cs="宋体"/>
          <w:color w:val="000000"/>
          <w:sz w:val="21"/>
          <w:szCs w:val="21"/>
          <w:highlight w:val="none"/>
        </w:rPr>
        <w:t>通过</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实行在线解密开启。</w:t>
      </w:r>
    </w:p>
    <w:p w14:paraId="4C9990B4">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21.2投标人不足3家的，不得开标，采购人或者采购代理机构应当重新组织采购。</w:t>
      </w:r>
    </w:p>
    <w:p w14:paraId="036657F0">
      <w:pPr>
        <w:spacing w:line="400" w:lineRule="exact"/>
        <w:ind w:firstLine="413"/>
        <w:outlineLvl w:val="2"/>
        <w:rPr>
          <w:rFonts w:hint="eastAsia" w:ascii="宋体" w:hAnsi="宋体" w:cs="宋体"/>
          <w:b/>
          <w:bCs/>
          <w:color w:val="000000"/>
          <w:szCs w:val="21"/>
          <w:highlight w:val="none"/>
        </w:rPr>
      </w:pPr>
      <w:bookmarkStart w:id="135" w:name="_Toc20854"/>
      <w:bookmarkStart w:id="136" w:name="_Toc11217"/>
      <w:bookmarkStart w:id="137" w:name="_Toc15515"/>
      <w:bookmarkStart w:id="138" w:name="_Toc8462"/>
      <w:bookmarkStart w:id="139" w:name="_Toc26694"/>
      <w:r>
        <w:rPr>
          <w:rFonts w:hint="eastAsia" w:ascii="宋体" w:hAnsi="宋体" w:cs="宋体"/>
          <w:b/>
          <w:bCs/>
          <w:color w:val="000000"/>
          <w:szCs w:val="21"/>
          <w:highlight w:val="none"/>
        </w:rPr>
        <w:t>22. 开标程序</w:t>
      </w:r>
      <w:bookmarkEnd w:id="133"/>
      <w:bookmarkEnd w:id="134"/>
      <w:bookmarkEnd w:id="135"/>
      <w:bookmarkEnd w:id="136"/>
      <w:bookmarkEnd w:id="137"/>
    </w:p>
    <w:p w14:paraId="585E0984">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22.1开标准备</w:t>
      </w:r>
    </w:p>
    <w:p w14:paraId="352750F3">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22.1.1.开标的准备工作由本中心负责落实；</w:t>
      </w:r>
    </w:p>
    <w:p w14:paraId="1679C7EF">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22.1.2.本中心将按照招标文件规定的时间通过</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组织开标、开启投标文件，所有供应商均应当准时在线参加。投标供应商如不参加开标会的，视同认可开标结果，事后不得对采购相关人员、开标过程和开标结果提出异议，同时投标供应商因未在线参加开标而导致投标文件无法按时解密等一切后果由供应商自己承担。</w:t>
      </w:r>
    </w:p>
    <w:p w14:paraId="22F675AC">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22.2开标程序</w:t>
      </w:r>
    </w:p>
    <w:p w14:paraId="081EE42C">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22.2.1.向各投标供应商发出电子加密投标文件【开始解密】通知，由供应商按招标文件规定的时间内自行进行投标文件解密。投标供应商</w:t>
      </w:r>
      <w:r>
        <w:rPr>
          <w:rFonts w:hint="eastAsia" w:ascii="宋体" w:hAnsi="宋体" w:cs="宋体"/>
          <w:b/>
          <w:bCs/>
          <w:color w:val="000000"/>
          <w:szCs w:val="21"/>
          <w:highlight w:val="none"/>
          <w:lang w:eastAsia="zh-CN"/>
        </w:rPr>
        <w:t>未</w:t>
      </w:r>
      <w:r>
        <w:rPr>
          <w:rFonts w:hint="eastAsia" w:ascii="宋体" w:hAnsi="宋体" w:cs="宋体"/>
          <w:b/>
          <w:bCs/>
          <w:color w:val="000000"/>
          <w:szCs w:val="21"/>
          <w:highlight w:val="none"/>
        </w:rPr>
        <w:t>在规定的时间内</w:t>
      </w:r>
      <w:r>
        <w:rPr>
          <w:rFonts w:hint="eastAsia" w:ascii="宋体" w:hAnsi="宋体" w:cs="宋体"/>
          <w:b/>
          <w:bCs/>
          <w:color w:val="000000"/>
          <w:szCs w:val="21"/>
          <w:highlight w:val="none"/>
          <w:lang w:eastAsia="zh-CN"/>
        </w:rPr>
        <w:t>完成</w:t>
      </w:r>
      <w:r>
        <w:rPr>
          <w:rFonts w:hint="eastAsia" w:ascii="宋体" w:hAnsi="宋体" w:cs="宋体"/>
          <w:b/>
          <w:bCs/>
          <w:color w:val="000000"/>
          <w:szCs w:val="21"/>
          <w:highlight w:val="none"/>
        </w:rPr>
        <w:t>在线解密视为投标人放弃投标</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在线解密时间为 30 分钟。</w:t>
      </w:r>
    </w:p>
    <w:p w14:paraId="420A03C5">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22.2.2.投标文件解密结束后，开标活动组织人员在线开启投标文件。</w:t>
      </w:r>
    </w:p>
    <w:p w14:paraId="7FF44D23">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22.2.3.开启投标人报价文件，</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广西政府采购云平台</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在线向投标人公开</w:t>
      </w:r>
      <w:r>
        <w:rPr>
          <w:rFonts w:hint="eastAsia" w:ascii="宋体" w:hAnsi="宋体" w:cs="宋体"/>
          <w:b/>
          <w:bCs/>
          <w:color w:val="000000"/>
          <w:szCs w:val="21"/>
          <w:highlight w:val="none"/>
        </w:rPr>
        <w:t>开标（报价）一览表有关内容，投标人代表如果认为</w:t>
      </w:r>
      <w:r>
        <w:rPr>
          <w:rFonts w:hint="eastAsia" w:ascii="宋体" w:hAnsi="宋体" w:cs="宋体"/>
          <w:b/>
          <w:bCs/>
          <w:color w:val="000000"/>
          <w:szCs w:val="21"/>
          <w:highlight w:val="none"/>
          <w:lang w:val="en-US" w:eastAsia="zh-CN"/>
        </w:rPr>
        <w:t>开标信息</w:t>
      </w:r>
      <w:r>
        <w:rPr>
          <w:rFonts w:hint="eastAsia" w:ascii="宋体" w:hAnsi="宋体" w:cs="宋体"/>
          <w:b/>
          <w:bCs/>
          <w:color w:val="000000"/>
          <w:szCs w:val="21"/>
          <w:highlight w:val="none"/>
        </w:rPr>
        <w:t>有误，可以当场</w:t>
      </w:r>
      <w:r>
        <w:rPr>
          <w:rFonts w:hint="eastAsia" w:ascii="宋体" w:hAnsi="宋体" w:cs="宋体"/>
          <w:b/>
          <w:bCs/>
          <w:color w:val="000000"/>
          <w:szCs w:val="21"/>
          <w:highlight w:val="none"/>
          <w:lang w:val="en-US" w:eastAsia="zh-CN"/>
        </w:rPr>
        <w:t>或在线</w:t>
      </w:r>
      <w:r>
        <w:rPr>
          <w:rFonts w:hint="eastAsia" w:ascii="宋体" w:hAnsi="宋体" w:cs="宋体"/>
          <w:b/>
          <w:bCs/>
          <w:color w:val="000000"/>
          <w:szCs w:val="21"/>
          <w:highlight w:val="none"/>
        </w:rPr>
        <w:t>提出异议。</w:t>
      </w:r>
    </w:p>
    <w:p w14:paraId="005A72A3">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开标结束后，如发现开标结果与报价文件不一致者，由评标委员会根据报价文件内容进行修正。</w:t>
      </w:r>
    </w:p>
    <w:p w14:paraId="37C8F658">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特别说明：如遇“</w:t>
      </w:r>
      <w:r>
        <w:rPr>
          <w:rFonts w:hint="eastAsia" w:ascii="宋体" w:hAnsi="宋体" w:cs="宋体"/>
          <w:b/>
          <w:bCs/>
          <w:color w:val="000000"/>
          <w:szCs w:val="21"/>
          <w:highlight w:val="none"/>
          <w:lang w:eastAsia="zh-CN"/>
        </w:rPr>
        <w:t>广西政府采购云平台</w:t>
      </w:r>
      <w:r>
        <w:rPr>
          <w:rFonts w:hint="eastAsia" w:ascii="宋体" w:hAnsi="宋体" w:cs="宋体"/>
          <w:b/>
          <w:bCs/>
          <w:color w:val="000000"/>
          <w:szCs w:val="21"/>
          <w:highlight w:val="none"/>
        </w:rPr>
        <w:t>”电子化开标或评审程序调整的，按调整后程序执行。</w:t>
      </w:r>
    </w:p>
    <w:p w14:paraId="14F4B86A">
      <w:pPr>
        <w:pStyle w:val="251"/>
        <w:rPr>
          <w:rFonts w:hint="eastAsia"/>
          <w:color w:val="000000"/>
          <w:highlight w:val="none"/>
        </w:rPr>
      </w:pPr>
    </w:p>
    <w:p w14:paraId="59261D1B">
      <w:pPr>
        <w:spacing w:line="360" w:lineRule="auto"/>
        <w:jc w:val="center"/>
        <w:outlineLvl w:val="1"/>
        <w:rPr>
          <w:rFonts w:ascii="宋体" w:hAnsi="宋体" w:cs="宋体"/>
          <w:b/>
          <w:color w:val="000000"/>
          <w:sz w:val="28"/>
          <w:szCs w:val="28"/>
          <w:highlight w:val="none"/>
        </w:rPr>
      </w:pPr>
      <w:bookmarkStart w:id="140" w:name="_Toc20792"/>
      <w:bookmarkStart w:id="141" w:name="_Toc24351"/>
      <w:r>
        <w:rPr>
          <w:rFonts w:hint="eastAsia" w:ascii="宋体" w:hAnsi="宋体" w:cs="宋体"/>
          <w:b/>
          <w:color w:val="000000"/>
          <w:sz w:val="28"/>
          <w:szCs w:val="28"/>
          <w:highlight w:val="none"/>
        </w:rPr>
        <w:t>五、资格性审查</w:t>
      </w:r>
      <w:bookmarkEnd w:id="138"/>
      <w:bookmarkEnd w:id="139"/>
      <w:bookmarkEnd w:id="140"/>
      <w:bookmarkEnd w:id="141"/>
    </w:p>
    <w:p w14:paraId="37AC648B">
      <w:pPr>
        <w:spacing w:line="400" w:lineRule="exact"/>
        <w:ind w:firstLine="413"/>
        <w:outlineLvl w:val="2"/>
        <w:rPr>
          <w:rFonts w:ascii="宋体" w:hAnsi="宋体" w:cs="宋体"/>
          <w:b/>
          <w:color w:val="000000"/>
          <w:szCs w:val="21"/>
          <w:highlight w:val="none"/>
        </w:rPr>
      </w:pPr>
      <w:bookmarkStart w:id="142" w:name="_Toc13578"/>
      <w:bookmarkStart w:id="143" w:name="_Toc29585"/>
      <w:bookmarkStart w:id="144" w:name="_Toc30532"/>
      <w:r>
        <w:rPr>
          <w:rFonts w:hint="eastAsia" w:ascii="宋体" w:hAnsi="宋体" w:cs="宋体"/>
          <w:b/>
          <w:color w:val="000000"/>
          <w:szCs w:val="21"/>
          <w:highlight w:val="none"/>
        </w:rPr>
        <w:t>23. 资格性审查</w:t>
      </w:r>
      <w:bookmarkEnd w:id="142"/>
      <w:bookmarkEnd w:id="143"/>
      <w:bookmarkEnd w:id="144"/>
    </w:p>
    <w:p w14:paraId="0F388B8E">
      <w:pPr>
        <w:tabs>
          <w:tab w:val="left" w:pos="130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23.1公开招标采购项目开标结束后，采购人应当依法对投标人的资格进行审查。合格投标人不足3家的，不得评标。</w:t>
      </w:r>
    </w:p>
    <w:p w14:paraId="7D3644EA">
      <w:pPr>
        <w:spacing w:line="400" w:lineRule="exact"/>
        <w:ind w:firstLine="420"/>
        <w:rPr>
          <w:rFonts w:ascii="宋体" w:hAnsi="宋体" w:cs="宋体"/>
          <w:b/>
          <w:color w:val="000000"/>
          <w:szCs w:val="21"/>
          <w:highlight w:val="none"/>
        </w:rPr>
      </w:pPr>
      <w:r>
        <w:rPr>
          <w:rFonts w:hint="eastAsia" w:ascii="宋体" w:hAnsi="宋体" w:cs="宋体"/>
          <w:color w:val="000000"/>
          <w:szCs w:val="21"/>
          <w:highlight w:val="none"/>
        </w:rPr>
        <w:t>23.2</w:t>
      </w:r>
      <w:r>
        <w:rPr>
          <w:rFonts w:hint="eastAsia" w:ascii="宋体" w:hAnsi="宋体" w:cs="宋体"/>
          <w:b/>
          <w:bCs/>
          <w:color w:val="000000"/>
          <w:szCs w:val="21"/>
          <w:highlight w:val="none"/>
        </w:rPr>
        <w:t>采购人或者采购代理机构</w:t>
      </w:r>
      <w:r>
        <w:rPr>
          <w:rFonts w:hint="eastAsia" w:ascii="宋体" w:hAnsi="宋体" w:cs="宋体"/>
          <w:b/>
          <w:color w:val="000000"/>
          <w:szCs w:val="21"/>
          <w:highlight w:val="none"/>
        </w:rPr>
        <w:t>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投标无效处理。</w:t>
      </w:r>
    </w:p>
    <w:p w14:paraId="4585B7B5">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查询渠道：《国家企业信用信息公示系统》（网址：www.gsxt.gov.cn/index.html）</w:t>
      </w:r>
    </w:p>
    <w:p w14:paraId="4E1AB3E6">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审查流程：</w:t>
      </w:r>
    </w:p>
    <w:p w14:paraId="2091D617">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（1）进入《国家企业信用信息公示系统》（网址：www.gsxt.gov.cn/index.html），输入企业名称，进入企业信息主页面；</w:t>
      </w:r>
    </w:p>
    <w:p w14:paraId="1FCA7BA2">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（2）查看主页“股东及出资信息”栏，或年报中的“股东及出资信息”栏信息；</w:t>
      </w:r>
    </w:p>
    <w:p w14:paraId="35636998">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（3）将各投标人的股东及出资信息进行比对，得出审查结论；</w:t>
      </w:r>
    </w:p>
    <w:p w14:paraId="2FCAE577">
      <w:pPr>
        <w:spacing w:line="400" w:lineRule="exact"/>
        <w:ind w:firstLine="420"/>
        <w:rPr>
          <w:rFonts w:ascii="宋体" w:hAnsi="宋体" w:cs="宋体"/>
          <w:b/>
          <w:color w:val="000000"/>
          <w:sz w:val="28"/>
          <w:szCs w:val="28"/>
          <w:highlight w:val="none"/>
        </w:rPr>
      </w:pPr>
      <w:r>
        <w:rPr>
          <w:rFonts w:hint="eastAsia" w:ascii="宋体" w:hAnsi="宋体" w:cs="宋体"/>
          <w:color w:val="000000"/>
          <w:szCs w:val="21"/>
          <w:highlight w:val="none"/>
        </w:rPr>
        <w:t>（4）将相关资料作为评审资料打印存档。</w:t>
      </w:r>
      <w:bookmarkStart w:id="145" w:name="_Toc495841759"/>
      <w:bookmarkStart w:id="146" w:name="_Toc3415"/>
    </w:p>
    <w:p w14:paraId="71057DC5">
      <w:pPr>
        <w:spacing w:line="360" w:lineRule="auto"/>
        <w:jc w:val="center"/>
        <w:outlineLvl w:val="1"/>
        <w:rPr>
          <w:rFonts w:ascii="宋体" w:hAnsi="宋体" w:cs="宋体"/>
          <w:b/>
          <w:color w:val="000000"/>
          <w:sz w:val="28"/>
          <w:szCs w:val="28"/>
          <w:highlight w:val="none"/>
        </w:rPr>
      </w:pPr>
      <w:bookmarkStart w:id="147" w:name="_Toc5417"/>
      <w:bookmarkStart w:id="148" w:name="_Toc1512"/>
      <w:r>
        <w:rPr>
          <w:rFonts w:hint="eastAsia" w:ascii="宋体" w:hAnsi="宋体" w:cs="宋体"/>
          <w:b/>
          <w:color w:val="000000"/>
          <w:sz w:val="28"/>
          <w:szCs w:val="28"/>
          <w:highlight w:val="none"/>
        </w:rPr>
        <w:t>六、评标</w:t>
      </w:r>
      <w:bookmarkEnd w:id="145"/>
      <w:bookmarkEnd w:id="146"/>
      <w:bookmarkEnd w:id="147"/>
      <w:bookmarkEnd w:id="148"/>
    </w:p>
    <w:p w14:paraId="582B4036">
      <w:pPr>
        <w:spacing w:line="360" w:lineRule="exact"/>
        <w:ind w:firstLine="413"/>
        <w:outlineLvl w:val="2"/>
        <w:rPr>
          <w:rFonts w:ascii="宋体" w:hAnsi="宋体" w:cs="宋体"/>
          <w:b/>
          <w:color w:val="000000"/>
          <w:szCs w:val="21"/>
          <w:highlight w:val="none"/>
        </w:rPr>
      </w:pPr>
      <w:bookmarkStart w:id="149" w:name="_Toc19311"/>
      <w:bookmarkStart w:id="150" w:name="_Toc26407"/>
      <w:bookmarkStart w:id="151" w:name="_Toc14749"/>
      <w:r>
        <w:rPr>
          <w:rFonts w:hint="eastAsia" w:ascii="宋体" w:hAnsi="宋体" w:cs="宋体"/>
          <w:b/>
          <w:color w:val="000000"/>
          <w:szCs w:val="21"/>
          <w:highlight w:val="none"/>
        </w:rPr>
        <w:t>24. 评标委员会组成</w:t>
      </w:r>
      <w:bookmarkEnd w:id="149"/>
      <w:bookmarkEnd w:id="150"/>
      <w:bookmarkEnd w:id="151"/>
    </w:p>
    <w:p w14:paraId="749A64BE">
      <w:pPr>
        <w:spacing w:line="360" w:lineRule="exact"/>
        <w:ind w:firstLine="420"/>
        <w:rPr>
          <w:rFonts w:ascii="宋体" w:hAnsi="宋体" w:cs="宋体"/>
          <w:color w:val="000000"/>
          <w:szCs w:val="21"/>
          <w:highlight w:val="yellow"/>
        </w:rPr>
      </w:pPr>
      <w:bookmarkStart w:id="152" w:name="_Toc24437"/>
      <w:bookmarkStart w:id="153" w:name="_Toc28655"/>
      <w:r>
        <w:rPr>
          <w:rFonts w:hint="eastAsia" w:ascii="宋体" w:hAnsi="宋体" w:cs="宋体"/>
          <w:color w:val="000000"/>
          <w:szCs w:val="21"/>
          <w:highlight w:val="none"/>
        </w:rPr>
        <w:t>评标委员会由采购人代表和有关方面的专家组成，成员人数共</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人，其中采购人代表</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人，</w:t>
      </w:r>
      <w:r>
        <w:rPr>
          <w:rFonts w:hint="eastAsia" w:ascii="宋体" w:hAnsi="宋体" w:cs="宋体"/>
          <w:color w:val="000000"/>
          <w:szCs w:val="21"/>
          <w:highlight w:val="none"/>
          <w:lang w:val="en-US" w:eastAsia="zh-CN"/>
        </w:rPr>
        <w:t>评审</w:t>
      </w:r>
      <w:r>
        <w:rPr>
          <w:rFonts w:hint="eastAsia" w:ascii="宋体" w:hAnsi="宋体" w:cs="宋体"/>
          <w:color w:val="000000"/>
          <w:szCs w:val="21"/>
          <w:highlight w:val="none"/>
        </w:rPr>
        <w:t>专家</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人。</w:t>
      </w:r>
    </w:p>
    <w:p w14:paraId="5B5514AA">
      <w:pPr>
        <w:spacing w:line="360" w:lineRule="exact"/>
        <w:ind w:firstLine="413"/>
        <w:outlineLvl w:val="2"/>
        <w:rPr>
          <w:rFonts w:hint="eastAsia" w:ascii="宋体" w:hAnsi="宋体" w:cs="宋体"/>
          <w:b/>
          <w:color w:val="000000"/>
          <w:szCs w:val="21"/>
          <w:highlight w:val="none"/>
        </w:rPr>
      </w:pPr>
      <w:bookmarkStart w:id="154" w:name="_Toc22597"/>
      <w:r>
        <w:rPr>
          <w:rFonts w:hint="eastAsia" w:ascii="宋体" w:hAnsi="宋体" w:cs="宋体"/>
          <w:b/>
          <w:color w:val="000000"/>
          <w:szCs w:val="21"/>
          <w:highlight w:val="none"/>
        </w:rPr>
        <w:t>25. 评标</w:t>
      </w:r>
      <w:bookmarkEnd w:id="152"/>
      <w:r>
        <w:rPr>
          <w:rFonts w:hint="eastAsia" w:ascii="宋体" w:hAnsi="宋体" w:cs="宋体"/>
          <w:b/>
          <w:color w:val="000000"/>
          <w:szCs w:val="21"/>
          <w:highlight w:val="none"/>
        </w:rPr>
        <w:t>原则</w:t>
      </w:r>
      <w:bookmarkEnd w:id="153"/>
      <w:bookmarkEnd w:id="154"/>
    </w:p>
    <w:p w14:paraId="224D781A">
      <w:pPr>
        <w:tabs>
          <w:tab w:val="left" w:pos="1140"/>
        </w:tabs>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25.1评标办法：综合评分法，具体评标内容及标准详见第四章。</w:t>
      </w:r>
    </w:p>
    <w:p w14:paraId="46893560">
      <w:pPr>
        <w:tabs>
          <w:tab w:val="left" w:pos="1140"/>
        </w:tabs>
        <w:spacing w:line="360" w:lineRule="exact"/>
        <w:ind w:firstLine="420"/>
        <w:rPr>
          <w:rFonts w:ascii="宋体" w:hAnsi="宋体" w:cs="宋体"/>
          <w:color w:val="000000"/>
          <w:highlight w:val="none"/>
        </w:rPr>
      </w:pPr>
      <w:r>
        <w:rPr>
          <w:rFonts w:hint="eastAsia" w:ascii="宋体" w:hAnsi="宋体" w:cs="宋体"/>
          <w:color w:val="000000"/>
          <w:szCs w:val="21"/>
          <w:highlight w:val="none"/>
        </w:rPr>
        <w:t>25.2评标委员会应按招标文件进行评标，不得擅自更改评标办法。</w:t>
      </w:r>
    </w:p>
    <w:p w14:paraId="2190EAD1">
      <w:pPr>
        <w:spacing w:line="360" w:lineRule="exact"/>
        <w:ind w:firstLine="413"/>
        <w:outlineLvl w:val="2"/>
        <w:rPr>
          <w:rFonts w:ascii="宋体" w:hAnsi="宋体" w:cs="宋体"/>
          <w:b/>
          <w:color w:val="000000"/>
          <w:szCs w:val="21"/>
          <w:highlight w:val="none"/>
        </w:rPr>
      </w:pPr>
      <w:bookmarkStart w:id="155" w:name="_Toc1764"/>
      <w:bookmarkStart w:id="156" w:name="_Toc23689"/>
      <w:bookmarkStart w:id="157" w:name="_Toc20321"/>
      <w:r>
        <w:rPr>
          <w:rFonts w:hint="eastAsia" w:ascii="宋体" w:hAnsi="宋体" w:cs="宋体"/>
          <w:b/>
          <w:color w:val="000000"/>
          <w:szCs w:val="21"/>
          <w:highlight w:val="none"/>
        </w:rPr>
        <w:t>26. 评标</w:t>
      </w:r>
      <w:bookmarkEnd w:id="155"/>
      <w:bookmarkEnd w:id="156"/>
      <w:bookmarkEnd w:id="157"/>
    </w:p>
    <w:p w14:paraId="562CA8A2">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26.1采购代理机构负责评标组织工作，宣布评标工作纪律，公布投标人名单，告知评标专家应当回避的情形，组织评标委员会推选评标组长，采购人代表不得担任组长；在评标期间采取必要的通讯管理措施，保证评标活动不受外界干扰；根据评标委员会的要求介绍政府采购相关政策法规、招标文件；维护评标秩序，监督评标委员会依照招标文件规定的评标程序、方法和标准进行独立评审，及时制止和纠正采购人代表、评标专家的倾向性言论或者违法违规行为；核对评标结果，有投标无效情形的，要求评标委员会复核或者书面说明理由，评标委员会拒绝的，应予记录并向本级财政部门报告；评标工作完成后，按照规定向评标专家支付劳务报酬和异地评审差旅费，不得向评标专家以外的其他人员支付评审劳务报酬。</w:t>
      </w:r>
    </w:p>
    <w:p w14:paraId="00F3DBEB">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26.2评标委员会负责具体评标事务；审查、评价投标文件是否符合招标文件的商务、技术等实质性要求；要求投标人对投标文件有关事项作出澄清或者说明；对投标文件进行比较和评价；确定中标候选供应商名单，以及根据采购人委托直接确定</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；向采购人、采购代理机构或者有关部门报告评标中发现的违法行为。</w:t>
      </w:r>
    </w:p>
    <w:p w14:paraId="390C4D05">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26.3在评标过程中，评标委员会任何人不得对某个投标人发表任何倾向性意见，不得向其他专家评委明示或者暗示自己的评审意见。</w:t>
      </w:r>
    </w:p>
    <w:p w14:paraId="3CF328C2">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26.4评标委员会应当对符合资格的投标人的投标文件进行符合性审查，以确定其是否满足招标文件的实质性要求。</w:t>
      </w:r>
    </w:p>
    <w:p w14:paraId="28531DB4">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26.5对于投标文件中含义不明确、同类问题表述不一致、有明显文字和计算错误或属于投标人疏忽、笔误所造成差错的内容，评标委员会应当以书面形式要求投标人作出必要的澄清、说明或者补正。</w:t>
      </w:r>
    </w:p>
    <w:p w14:paraId="4D4F584E">
      <w:pPr>
        <w:tabs>
          <w:tab w:val="left" w:pos="1140"/>
        </w:tabs>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投标人的澄清、说明或者补正应当采用书面形式，并加盖公章（CA签章），或者由法定代表人或其授权的代表签字（或个人CA签章）。投标人的澄清、说明或者补正不得超出投标文件的范围或者改变投标文件的实质性内容。</w:t>
      </w:r>
    </w:p>
    <w:p w14:paraId="02B29683">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26.6评标委员会应当按照招标文件中规定的评标方法和标准，对符合性审查合格的投标文件进行商务和技术评估，综合比较与评价。</w:t>
      </w:r>
    </w:p>
    <w:p w14:paraId="26D415C4">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26.7投标文件报价出现前后不一致的，除招标文件另有规定外，按照下列规定修正：</w:t>
      </w:r>
    </w:p>
    <w:p w14:paraId="35D91D71">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（1）投标文件中投标报价表内容与投标文件中相应内容不一致的，以投标报价表为准；</w:t>
      </w:r>
    </w:p>
    <w:p w14:paraId="22E4C3AF">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（2）大写金额和小写金额不一致的，以大写金额为准；</w:t>
      </w:r>
    </w:p>
    <w:p w14:paraId="5F7D38BF">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（3）单价金额小数点或者百分比有明显错位的，以报价表的总价为准，并修改单价；</w:t>
      </w:r>
    </w:p>
    <w:p w14:paraId="59F170A4">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（4）总价金额与按单价汇总金额不一致的，以单价金额计算结果为准。</w:t>
      </w:r>
    </w:p>
    <w:p w14:paraId="5958272D">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同时出现两种以上不一致的，按照前款规定的顺序修正。修正后的报价（不得超出投标文件的范围或者改变投标文件的实质性内容）经投标人确认后产生约束力，投标人不确认的，其投标无效。</w:t>
      </w:r>
    </w:p>
    <w:p w14:paraId="06E004A4">
      <w:pPr>
        <w:pStyle w:val="229"/>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80"/>
        <w:jc w:val="both"/>
        <w:rPr>
          <w:rFonts w:hint="eastAsia" w:ascii="宋体" w:hAnsi="宋体" w:eastAsia="宋体" w:cs="宋体"/>
          <w:b/>
          <w:bCs w:val="0"/>
          <w:i w:val="0"/>
          <w:iCs w:val="0"/>
          <w:caps w:val="0"/>
          <w:color w:val="333333"/>
          <w:spacing w:val="0"/>
          <w:sz w:val="21"/>
          <w:szCs w:val="21"/>
        </w:rPr>
      </w:pPr>
      <w:r>
        <w:rPr>
          <w:rFonts w:hint="eastAsia" w:ascii="宋体" w:hAnsi="宋体" w:cs="宋体"/>
          <w:color w:val="000000"/>
          <w:szCs w:val="21"/>
          <w:highlight w:val="none"/>
        </w:rPr>
        <w:t>26.8</w:t>
      </w:r>
      <w:r>
        <w:rPr>
          <w:rFonts w:hint="eastAsia" w:ascii="宋体" w:hAnsi="宋体" w:cs="宋体"/>
          <w:b/>
          <w:color w:val="000000"/>
          <w:sz w:val="21"/>
          <w:szCs w:val="21"/>
          <w:highlight w:val="none"/>
          <w:shd w:val="clear" w:color="auto" w:fill="FFFFFF"/>
        </w:rPr>
        <w:t>根据</w:t>
      </w:r>
      <w:r>
        <w:rPr>
          <w:rFonts w:ascii="宋体" w:hAnsi="宋体"/>
          <w:b/>
          <w:bCs/>
          <w:color w:val="000000"/>
          <w:sz w:val="21"/>
          <w:szCs w:val="21"/>
          <w:highlight w:val="none"/>
          <w:shd w:val="clear" w:color="auto" w:fill="FFFFFF"/>
        </w:rPr>
        <w:t>《</w:t>
      </w:r>
      <w:r>
        <w:rPr>
          <w:rFonts w:hint="eastAsia" w:ascii="宋体" w:hAnsi="宋体" w:cs="宋体"/>
          <w:b/>
          <w:color w:val="000000"/>
          <w:sz w:val="21"/>
          <w:szCs w:val="21"/>
          <w:highlight w:val="none"/>
          <w:shd w:val="clear" w:color="auto" w:fill="FFFFFF"/>
        </w:rPr>
        <w:t>关于推动解决政府采购异常低价问题的通知</w:t>
      </w:r>
      <w:r>
        <w:rPr>
          <w:rFonts w:ascii="宋体" w:hAnsi="宋体"/>
          <w:b/>
          <w:bCs/>
          <w:color w:val="000000"/>
          <w:sz w:val="21"/>
          <w:szCs w:val="21"/>
          <w:highlight w:val="none"/>
          <w:shd w:val="clear" w:color="auto" w:fill="FFFFFF"/>
        </w:rPr>
        <w:t>》</w:t>
      </w:r>
      <w:r>
        <w:rPr>
          <w:rFonts w:hint="eastAsia" w:ascii="宋体" w:hAnsi="宋体"/>
          <w:b/>
          <w:bCs/>
          <w:color w:val="000000"/>
          <w:sz w:val="21"/>
          <w:szCs w:val="21"/>
          <w:highlight w:val="none"/>
          <w:shd w:val="clear" w:color="auto" w:fill="FFFFFF"/>
          <w:lang w:eastAsia="zh-CN"/>
        </w:rPr>
        <w:t>（</w:t>
      </w:r>
      <w:r>
        <w:rPr>
          <w:rFonts w:ascii="宋体" w:hAnsi="宋体"/>
          <w:b/>
          <w:bCs/>
          <w:color w:val="000000"/>
          <w:sz w:val="21"/>
          <w:szCs w:val="21"/>
          <w:highlight w:val="none"/>
          <w:shd w:val="clear" w:color="auto" w:fill="FFFFFF"/>
        </w:rPr>
        <w:t>财库〔2026〕2号</w:t>
      </w:r>
      <w:r>
        <w:rPr>
          <w:rFonts w:hint="eastAsia" w:ascii="宋体" w:hAnsi="宋体"/>
          <w:b/>
          <w:bCs/>
          <w:color w:val="000000"/>
          <w:sz w:val="21"/>
          <w:szCs w:val="21"/>
          <w:highlight w:val="none"/>
          <w:shd w:val="clear" w:color="auto" w:fill="FFFFFF"/>
          <w:lang w:eastAsia="zh-CN"/>
        </w:rPr>
        <w:t>）规定</w:t>
      </w:r>
      <w:r>
        <w:rPr>
          <w:rFonts w:hint="eastAsia" w:ascii="宋体" w:hAnsi="宋体" w:cs="Calibri"/>
          <w:b/>
          <w:bCs w:val="0"/>
          <w:color w:val="000000"/>
          <w:sz w:val="21"/>
          <w:szCs w:val="21"/>
          <w:highlight w:val="none"/>
        </w:rPr>
        <w:t>，</w:t>
      </w:r>
      <w:r>
        <w:rPr>
          <w:rFonts w:hint="eastAsia" w:ascii="宋体" w:hAnsi="宋体" w:eastAsia="宋体" w:cs="宋体"/>
          <w:b/>
          <w:bCs w:val="0"/>
          <w:i w:val="0"/>
          <w:iCs w:val="0"/>
          <w:caps w:val="0"/>
          <w:color w:val="333333"/>
          <w:spacing w:val="0"/>
          <w:sz w:val="21"/>
          <w:szCs w:val="21"/>
          <w:shd w:val="clear" w:color="auto" w:fill="FFFFFF"/>
        </w:rPr>
        <w:t>政府采购评审中出现下列情形之一的，评审委员会应当启动异常低价投标（响应）审查程序： </w:t>
      </w:r>
    </w:p>
    <w:p w14:paraId="7661BF90">
      <w:pPr>
        <w:pStyle w:val="229"/>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333333"/>
          <w:spacing w:val="0"/>
          <w:sz w:val="21"/>
          <w:szCs w:val="21"/>
        </w:rPr>
      </w:pPr>
      <w:r>
        <w:rPr>
          <w:rFonts w:hint="eastAsia" w:eastAsia="宋体" w:cs="宋体"/>
          <w:i w:val="0"/>
          <w:iCs w:val="0"/>
          <w:caps w:val="0"/>
          <w:color w:val="333333"/>
          <w:spacing w:val="0"/>
          <w:sz w:val="21"/>
          <w:szCs w:val="21"/>
          <w:shd w:val="clear" w:color="auto" w:fill="FFFFFF"/>
          <w:lang w:eastAsia="zh-CN"/>
        </w:rPr>
        <w:t>（</w:t>
      </w:r>
      <w:r>
        <w:rPr>
          <w:rFonts w:hint="eastAsia" w:eastAsia="宋体" w:cs="宋体"/>
          <w:i w:val="0"/>
          <w:iCs w:val="0"/>
          <w:caps w:val="0"/>
          <w:color w:val="333333"/>
          <w:spacing w:val="0"/>
          <w:sz w:val="21"/>
          <w:szCs w:val="21"/>
          <w:shd w:val="clear" w:color="auto" w:fill="FFFFFF"/>
          <w:lang w:val="en-US" w:eastAsia="zh-CN"/>
        </w:rPr>
        <w:t>1</w:t>
      </w:r>
      <w:r>
        <w:rPr>
          <w:rFonts w:hint="eastAsia"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投标（响应）报价低于全部通过符合性审查供应商投标（响应）报价平均值50%的，即投标（响应）报价&lt;全部通过符合性审查供应商投标（响应）报价平均值×50%； </w:t>
      </w:r>
    </w:p>
    <w:p w14:paraId="33C1CFBF">
      <w:pPr>
        <w:pStyle w:val="229"/>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333333"/>
          <w:spacing w:val="0"/>
          <w:sz w:val="21"/>
          <w:szCs w:val="21"/>
        </w:rPr>
      </w:pPr>
      <w:r>
        <w:rPr>
          <w:rFonts w:hint="eastAsia" w:eastAsia="宋体" w:cs="宋体"/>
          <w:i w:val="0"/>
          <w:iCs w:val="0"/>
          <w:caps w:val="0"/>
          <w:color w:val="333333"/>
          <w:spacing w:val="0"/>
          <w:sz w:val="21"/>
          <w:szCs w:val="21"/>
          <w:shd w:val="clear" w:color="auto" w:fill="FFFFFF"/>
          <w:lang w:eastAsia="zh-CN"/>
        </w:rPr>
        <w:t>（</w:t>
      </w:r>
      <w:r>
        <w:rPr>
          <w:rFonts w:hint="eastAsia" w:eastAsia="宋体" w:cs="宋体"/>
          <w:i w:val="0"/>
          <w:iCs w:val="0"/>
          <w:caps w:val="0"/>
          <w:color w:val="333333"/>
          <w:spacing w:val="0"/>
          <w:sz w:val="21"/>
          <w:szCs w:val="21"/>
          <w:shd w:val="clear" w:color="auto" w:fill="FFFFFF"/>
          <w:lang w:val="en-US" w:eastAsia="zh-CN"/>
        </w:rPr>
        <w:t>2</w:t>
      </w:r>
      <w:r>
        <w:rPr>
          <w:rFonts w:hint="eastAsia"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投标（响应）报价低于通过符合性审查的次低报价供应商投标（响应）报价50%的，即投标（响应）报价&lt;通过符合性审查的次低报价供应商投标（响应）报价×50%； </w:t>
      </w:r>
    </w:p>
    <w:p w14:paraId="0BCA152C">
      <w:pPr>
        <w:pStyle w:val="229"/>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333333"/>
          <w:spacing w:val="0"/>
          <w:sz w:val="21"/>
          <w:szCs w:val="21"/>
        </w:rPr>
      </w:pPr>
      <w:r>
        <w:rPr>
          <w:rFonts w:hint="eastAsia" w:eastAsia="宋体" w:cs="宋体"/>
          <w:i w:val="0"/>
          <w:iCs w:val="0"/>
          <w:caps w:val="0"/>
          <w:color w:val="333333"/>
          <w:spacing w:val="0"/>
          <w:sz w:val="21"/>
          <w:szCs w:val="21"/>
          <w:shd w:val="clear" w:color="auto" w:fill="FFFFFF"/>
          <w:lang w:eastAsia="zh-CN"/>
        </w:rPr>
        <w:t>（</w:t>
      </w:r>
      <w:r>
        <w:rPr>
          <w:rFonts w:hint="eastAsia" w:eastAsia="宋体" w:cs="宋体"/>
          <w:i w:val="0"/>
          <w:iCs w:val="0"/>
          <w:caps w:val="0"/>
          <w:color w:val="333333"/>
          <w:spacing w:val="0"/>
          <w:sz w:val="21"/>
          <w:szCs w:val="21"/>
          <w:shd w:val="clear" w:color="auto" w:fill="FFFFFF"/>
          <w:lang w:val="en-US" w:eastAsia="zh-CN"/>
        </w:rPr>
        <w:t>3</w:t>
      </w:r>
      <w:r>
        <w:rPr>
          <w:rFonts w:hint="eastAsia"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投标（响应）报价低于采购项目最高限价45%的，即投标（响应）报价&lt;采购项目最高限价×45%； </w:t>
      </w:r>
    </w:p>
    <w:p w14:paraId="520149BD">
      <w:pPr>
        <w:pStyle w:val="229"/>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333333"/>
          <w:spacing w:val="0"/>
          <w:sz w:val="21"/>
          <w:szCs w:val="21"/>
        </w:rPr>
      </w:pPr>
      <w:r>
        <w:rPr>
          <w:rFonts w:hint="eastAsia" w:eastAsia="宋体" w:cs="宋体"/>
          <w:i w:val="0"/>
          <w:iCs w:val="0"/>
          <w:caps w:val="0"/>
          <w:color w:val="333333"/>
          <w:spacing w:val="0"/>
          <w:sz w:val="21"/>
          <w:szCs w:val="21"/>
          <w:shd w:val="clear" w:color="auto" w:fill="FFFFFF"/>
          <w:lang w:eastAsia="zh-CN"/>
        </w:rPr>
        <w:t>（</w:t>
      </w:r>
      <w:r>
        <w:rPr>
          <w:rFonts w:hint="eastAsia" w:eastAsia="宋体" w:cs="宋体"/>
          <w:i w:val="0"/>
          <w:iCs w:val="0"/>
          <w:caps w:val="0"/>
          <w:color w:val="333333"/>
          <w:spacing w:val="0"/>
          <w:sz w:val="21"/>
          <w:szCs w:val="21"/>
          <w:shd w:val="clear" w:color="auto" w:fill="FFFFFF"/>
          <w:lang w:val="en-US" w:eastAsia="zh-CN"/>
        </w:rPr>
        <w:t>4</w:t>
      </w:r>
      <w:r>
        <w:rPr>
          <w:rFonts w:hint="eastAsia"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评审委员会基于专业判断，认为供应商报价过低，有可能影响产品质量或者不能诚信履约的其他情形。 </w:t>
      </w:r>
    </w:p>
    <w:p w14:paraId="1D99E78D">
      <w:pPr>
        <w:spacing w:line="360" w:lineRule="exact"/>
        <w:ind w:firstLine="420"/>
        <w:rPr>
          <w:rFonts w:ascii="宋体" w:hAnsi="宋体" w:cs="宋体"/>
          <w:szCs w:val="21"/>
        </w:rPr>
      </w:pPr>
      <w:r>
        <w:rPr>
          <w:rFonts w:hint="eastAsia" w:ascii="宋体" w:hAnsi="宋体" w:eastAsia="宋体" w:cs="宋体"/>
          <w:i w:val="0"/>
          <w:iCs w:val="0"/>
          <w:caps w:val="0"/>
          <w:color w:val="333333"/>
          <w:spacing w:val="0"/>
          <w:sz w:val="21"/>
          <w:szCs w:val="21"/>
          <w:shd w:val="clear" w:color="auto" w:fill="FFFFFF"/>
        </w:rPr>
        <w:t>评审委员会启动异常低价投标（响应）审查后，属于前述第1项至第4项情形的，应当要求相关供应商</w:t>
      </w:r>
      <w:r>
        <w:rPr>
          <w:rFonts w:hint="eastAsia"/>
          <w:color w:val="000000"/>
          <w:szCs w:val="21"/>
          <w:highlight w:val="none"/>
        </w:rPr>
        <w:t>在评审委员会要求的时间内</w:t>
      </w:r>
      <w:r>
        <w:rPr>
          <w:rFonts w:hint="eastAsia" w:ascii="宋体" w:hAnsi="宋体" w:eastAsia="宋体" w:cs="宋体"/>
          <w:i w:val="0"/>
          <w:iCs w:val="0"/>
          <w:caps w:val="0"/>
          <w:color w:val="333333"/>
          <w:spacing w:val="0"/>
          <w:sz w:val="21"/>
          <w:szCs w:val="21"/>
          <w:shd w:val="clear" w:color="auto" w:fill="FFFFFF"/>
        </w:rPr>
        <w:t>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投标（响应）供应商不能提供书面说明、证明材料，或者提供的书面说明、证明材料不能证明其报价合理性的，评审委员会应当将其作为无效投标（响应）处理。</w:t>
      </w:r>
      <w:r>
        <w:rPr>
          <w:rFonts w:hint="eastAsia"/>
          <w:color w:val="000000"/>
          <w:szCs w:val="21"/>
          <w:highlight w:val="none"/>
        </w:rPr>
        <w:t> 异常低价投标（响应）审查的启动原因、审查意见和审查结果应当在评审报告中记录</w:t>
      </w:r>
      <w:r>
        <w:rPr>
          <w:rFonts w:hint="eastAsia"/>
          <w:color w:val="000000"/>
          <w:szCs w:val="21"/>
          <w:highlight w:val="none"/>
          <w:lang w:eastAsia="zh-CN"/>
        </w:rPr>
        <w:t>。</w:t>
      </w:r>
    </w:p>
    <w:p w14:paraId="3EA286C3">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26.9评标委员会成员对需要共同认定的事项存在争议的，应当按照少数服从多数的原则作出结论。持不同意见的评标委员会成员应当在评标报告上签署不同意见及理由，否则视为同意评标报告。</w:t>
      </w:r>
    </w:p>
    <w:p w14:paraId="2D950CF9">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26.10评标结果汇总完成后，除下列情形外，任何人不得修改评标结果：</w:t>
      </w:r>
    </w:p>
    <w:p w14:paraId="61BE91E3">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（一）分值汇总计算错误的；</w:t>
      </w:r>
    </w:p>
    <w:p w14:paraId="1373FF75">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（二）分项评分超出评分标准范围的；</w:t>
      </w:r>
    </w:p>
    <w:p w14:paraId="2F456A1F">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（三）评标委员会成员对客观评审因素评分不一致的；</w:t>
      </w:r>
    </w:p>
    <w:p w14:paraId="59D44F17">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（四）经评标委员会认定评分畸高、畸低的。</w:t>
      </w:r>
    </w:p>
    <w:p w14:paraId="39729875">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922AD3A">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投标人对本条第一款情形提出质疑的，采购人或者采购代理机构可以组织原评标委员会进行重新评审，重新评审改变评标结果的，应当书面报告本级财政部门。</w:t>
      </w:r>
    </w:p>
    <w:p w14:paraId="30C5C60A">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26.11采购代理机构发现评标委员会有明显的违规倾向或歧视现象，或不按评标办法进行，或其他不正常行为的，应当及时制止。如制止无效，应及时向本级财政部门报告。</w:t>
      </w:r>
    </w:p>
    <w:p w14:paraId="236D7FDB">
      <w:pPr>
        <w:spacing w:line="360" w:lineRule="exact"/>
        <w:ind w:firstLine="413"/>
        <w:outlineLvl w:val="2"/>
        <w:rPr>
          <w:rFonts w:ascii="宋体" w:hAnsi="宋体" w:cs="宋体"/>
          <w:b/>
          <w:color w:val="000000"/>
          <w:szCs w:val="21"/>
          <w:highlight w:val="none"/>
        </w:rPr>
      </w:pPr>
      <w:bookmarkStart w:id="158" w:name="_Toc29973"/>
      <w:bookmarkStart w:id="159" w:name="_Toc25944"/>
      <w:bookmarkStart w:id="160" w:name="_Toc30450"/>
      <w:r>
        <w:rPr>
          <w:rFonts w:hint="eastAsia" w:ascii="宋体" w:hAnsi="宋体" w:cs="宋体"/>
          <w:b/>
          <w:color w:val="000000"/>
          <w:szCs w:val="21"/>
          <w:highlight w:val="none"/>
        </w:rPr>
        <w:t>27. 推荐及确定中标候选供应商原则</w:t>
      </w:r>
      <w:bookmarkEnd w:id="158"/>
      <w:bookmarkEnd w:id="159"/>
      <w:bookmarkEnd w:id="160"/>
    </w:p>
    <w:p w14:paraId="6C3D6BE3">
      <w:pPr>
        <w:tabs>
          <w:tab w:val="left" w:pos="4214"/>
        </w:tabs>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（1）评标委员会根据综合得分由高到低排列次序，若得分相同时，按评标价由低到高顺序排列；得分相同且评标价也相同的由评标委员会按照抽签的方式决定排次次序</w:t>
      </w:r>
      <w:r>
        <w:rPr>
          <w:rFonts w:hint="eastAsia" w:ascii="宋体" w:hAnsi="宋体" w:cs="宋体"/>
          <w:color w:val="000000"/>
          <w:sz w:val="22"/>
          <w:szCs w:val="22"/>
          <w:highlight w:val="none"/>
        </w:rPr>
        <w:t>。</w:t>
      </w:r>
    </w:p>
    <w:p w14:paraId="45713198">
      <w:pPr>
        <w:tabs>
          <w:tab w:val="left" w:pos="4214"/>
        </w:tabs>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（2）评标委员会可推荐前三名为中标候选供应商，采购人应当确定评标委员会推荐排名第一的中标候选供应商为</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w:t>
      </w:r>
    </w:p>
    <w:p w14:paraId="72294E36">
      <w:pPr>
        <w:spacing w:line="360" w:lineRule="exact"/>
        <w:ind w:firstLine="447"/>
        <w:rPr>
          <w:rFonts w:ascii="宋体" w:hAnsi="宋体" w:cs="宋体"/>
          <w:color w:val="000000"/>
          <w:szCs w:val="21"/>
          <w:highlight w:val="none"/>
        </w:rPr>
      </w:pPr>
      <w:r>
        <w:rPr>
          <w:rFonts w:hint="eastAsia" w:ascii="宋体" w:hAnsi="宋体" w:cs="宋体"/>
          <w:color w:val="000000"/>
          <w:szCs w:val="21"/>
          <w:highlight w:val="none"/>
        </w:rPr>
        <w:t>（3）排名第一的中标候选供应商放弃中标、因不可抗力提出不能履行合同，或者招标文件规定应当提交履约保证金而在规定的期限内未能提交的，或因失信行为被取消中标候选供应商资格的，采购人可以确定排名第二的中标候选供应商为</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，并依此类推。</w:t>
      </w:r>
    </w:p>
    <w:p w14:paraId="7789D2EF">
      <w:pPr>
        <w:spacing w:line="360" w:lineRule="exact"/>
        <w:ind w:firstLine="413"/>
        <w:outlineLvl w:val="2"/>
        <w:rPr>
          <w:rFonts w:ascii="宋体" w:hAnsi="宋体" w:cs="宋体"/>
          <w:b/>
          <w:color w:val="000000"/>
          <w:szCs w:val="21"/>
          <w:highlight w:val="none"/>
        </w:rPr>
      </w:pPr>
      <w:bookmarkStart w:id="161" w:name="_Toc30424"/>
      <w:bookmarkStart w:id="162" w:name="_Toc1836"/>
      <w:bookmarkStart w:id="163" w:name="_Toc3571"/>
      <w:r>
        <w:rPr>
          <w:rFonts w:hint="eastAsia" w:ascii="宋体" w:hAnsi="宋体" w:cs="宋体"/>
          <w:b/>
          <w:color w:val="000000"/>
          <w:szCs w:val="21"/>
          <w:highlight w:val="none"/>
        </w:rPr>
        <w:t>28. 属于下列情况之一者，投标无效</w:t>
      </w:r>
      <w:bookmarkEnd w:id="161"/>
      <w:bookmarkEnd w:id="162"/>
      <w:bookmarkEnd w:id="163"/>
    </w:p>
    <w:p w14:paraId="47A45449">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（1）未按照招标文件规定要求签字、盖章的；</w:t>
      </w:r>
    </w:p>
    <w:p w14:paraId="6F3FC796">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（2）报价超过招标文件中规定的预算金额的；</w:t>
      </w:r>
    </w:p>
    <w:p w14:paraId="5168690F">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（3）不具备招标文件中规定的资格要求的</w:t>
      </w:r>
      <w:r>
        <w:rPr>
          <w:rFonts w:hint="eastAsia" w:ascii="宋体" w:hAnsi="宋体" w:cs="宋体"/>
          <w:color w:val="000000"/>
          <w:highlight w:val="none"/>
        </w:rPr>
        <w:t>；</w:t>
      </w:r>
    </w:p>
    <w:p w14:paraId="1E11DAE8">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（4）投标文件含有采购人不能接受的附加条件的；</w:t>
      </w:r>
    </w:p>
    <w:p w14:paraId="4C3F08FB">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（5）投标文件未按招标文件的内容和要求编制，或提供虚假材料的；</w:t>
      </w:r>
    </w:p>
    <w:p w14:paraId="65218786">
      <w:pPr>
        <w:spacing w:line="360" w:lineRule="exact"/>
        <w:ind w:firstLine="411"/>
        <w:rPr>
          <w:rFonts w:ascii="宋体" w:hAnsi="宋体" w:cs="宋体"/>
          <w:color w:val="000000"/>
          <w:highlight w:val="none"/>
        </w:rPr>
      </w:pPr>
      <w:r>
        <w:rPr>
          <w:rFonts w:hint="eastAsia" w:ascii="宋体" w:hAnsi="宋体" w:cs="宋体"/>
          <w:color w:val="000000"/>
          <w:szCs w:val="21"/>
          <w:highlight w:val="none"/>
        </w:rPr>
        <w:t>（6）</w:t>
      </w:r>
      <w:r>
        <w:rPr>
          <w:rFonts w:hint="eastAsia" w:ascii="宋体" w:hAnsi="宋体" w:cs="宋体"/>
          <w:color w:val="000000"/>
          <w:highlight w:val="none"/>
        </w:rPr>
        <w:t>投标</w:t>
      </w:r>
      <w:r>
        <w:rPr>
          <w:rFonts w:hint="eastAsia" w:ascii="宋体" w:hAnsi="宋体" w:cs="宋体"/>
          <w:color w:val="000000"/>
          <w:szCs w:val="21"/>
          <w:highlight w:val="none"/>
        </w:rPr>
        <w:t>人未就“</w:t>
      </w:r>
      <w:r>
        <w:rPr>
          <w:rFonts w:hint="eastAsia" w:ascii="宋体" w:hAnsi="宋体" w:cs="宋体"/>
          <w:color w:val="000000"/>
          <w:szCs w:val="21"/>
          <w:highlight w:val="none"/>
          <w:lang w:eastAsia="zh-CN"/>
        </w:rPr>
        <w:t>采购需求</w:t>
      </w:r>
      <w:r>
        <w:rPr>
          <w:rFonts w:hint="eastAsia" w:ascii="宋体" w:hAnsi="宋体" w:cs="宋体"/>
          <w:color w:val="000000"/>
          <w:szCs w:val="21"/>
          <w:highlight w:val="none"/>
        </w:rPr>
        <w:t>”中的所有内容作完整唯一报价的</w:t>
      </w:r>
      <w:r>
        <w:rPr>
          <w:rFonts w:hint="eastAsia" w:ascii="宋体" w:hAnsi="宋体" w:cs="宋体"/>
          <w:color w:val="000000"/>
          <w:highlight w:val="none"/>
        </w:rPr>
        <w:t>；</w:t>
      </w:r>
    </w:p>
    <w:p w14:paraId="15AE5B91">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（7）未完全响应招标文件实质性要求的；</w:t>
      </w:r>
    </w:p>
    <w:p w14:paraId="398A02BC">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（8）法律、法规和招标文件规定的其他无效情形。</w:t>
      </w:r>
    </w:p>
    <w:p w14:paraId="7C7FF5D8">
      <w:pPr>
        <w:spacing w:line="360" w:lineRule="exact"/>
        <w:ind w:firstLine="413"/>
        <w:outlineLvl w:val="2"/>
        <w:rPr>
          <w:rFonts w:ascii="宋体" w:hAnsi="宋体" w:cs="宋体"/>
          <w:b/>
          <w:color w:val="000000"/>
          <w:szCs w:val="21"/>
          <w:highlight w:val="none"/>
        </w:rPr>
      </w:pPr>
      <w:bookmarkStart w:id="164" w:name="_Toc32362"/>
      <w:bookmarkStart w:id="165" w:name="_Toc7434"/>
      <w:bookmarkStart w:id="166" w:name="_Toc15081"/>
      <w:r>
        <w:rPr>
          <w:rFonts w:hint="eastAsia" w:ascii="宋体" w:hAnsi="宋体" w:cs="宋体"/>
          <w:b/>
          <w:color w:val="000000"/>
          <w:szCs w:val="21"/>
          <w:highlight w:val="none"/>
        </w:rPr>
        <w:t>29. 投标人有下列情形之一的，视为串通投标，投标文件将被视为无效</w:t>
      </w:r>
      <w:bookmarkEnd w:id="164"/>
      <w:bookmarkEnd w:id="165"/>
      <w:bookmarkEnd w:id="166"/>
    </w:p>
    <w:p w14:paraId="09C8EBDC">
      <w:pPr>
        <w:spacing w:line="360" w:lineRule="exact"/>
        <w:ind w:left="355" w:firstLine="102"/>
        <w:rPr>
          <w:rFonts w:ascii="宋体" w:hAnsi="宋体" w:cs="宋体"/>
          <w:color w:val="000000"/>
          <w:highlight w:val="none"/>
        </w:rPr>
      </w:pPr>
      <w:r>
        <w:rPr>
          <w:rFonts w:hint="eastAsia" w:ascii="宋体" w:hAnsi="宋体" w:cs="宋体"/>
          <w:color w:val="000000"/>
          <w:highlight w:val="none"/>
        </w:rPr>
        <w:t>（1）不同投标人的投标文件由同一单位或者个人编制；</w:t>
      </w:r>
    </w:p>
    <w:p w14:paraId="0C1271F0">
      <w:pPr>
        <w:spacing w:line="360" w:lineRule="exact"/>
        <w:ind w:left="355" w:firstLine="102"/>
        <w:rPr>
          <w:rFonts w:ascii="宋体" w:hAnsi="宋体" w:cs="宋体"/>
          <w:color w:val="000000"/>
          <w:highlight w:val="none"/>
        </w:rPr>
      </w:pPr>
      <w:r>
        <w:rPr>
          <w:rFonts w:hint="eastAsia" w:ascii="宋体" w:hAnsi="宋体" w:cs="宋体"/>
          <w:color w:val="000000"/>
          <w:highlight w:val="none"/>
        </w:rPr>
        <w:t>（2）不同投标人委托同一单位或者个人办理投标事宜；</w:t>
      </w:r>
    </w:p>
    <w:p w14:paraId="1C73E04C">
      <w:pPr>
        <w:spacing w:line="360" w:lineRule="exact"/>
        <w:ind w:left="355" w:firstLine="102"/>
        <w:rPr>
          <w:rFonts w:ascii="宋体" w:hAnsi="宋体" w:cs="宋体"/>
          <w:color w:val="000000"/>
          <w:highlight w:val="none"/>
        </w:rPr>
      </w:pPr>
      <w:r>
        <w:rPr>
          <w:rFonts w:hint="eastAsia" w:ascii="宋体" w:hAnsi="宋体" w:cs="宋体"/>
          <w:color w:val="000000"/>
          <w:highlight w:val="none"/>
        </w:rPr>
        <w:t>（3）不同的投标人的投标文件载明的项目管理员或者联系人员为同一个人；</w:t>
      </w:r>
    </w:p>
    <w:p w14:paraId="11C03534">
      <w:pPr>
        <w:spacing w:line="360" w:lineRule="exact"/>
        <w:ind w:left="355" w:firstLine="102"/>
        <w:rPr>
          <w:rFonts w:ascii="宋体" w:hAnsi="宋体" w:cs="宋体"/>
          <w:color w:val="000000"/>
          <w:highlight w:val="none"/>
        </w:rPr>
      </w:pPr>
      <w:r>
        <w:rPr>
          <w:rFonts w:hint="eastAsia" w:ascii="宋体" w:hAnsi="宋体" w:cs="宋体"/>
          <w:color w:val="000000"/>
          <w:highlight w:val="none"/>
        </w:rPr>
        <w:t xml:space="preserve">（4）不同投标人的投标文件异常一致或投标报价呈规律性差异； </w:t>
      </w:r>
    </w:p>
    <w:p w14:paraId="1704CEE3">
      <w:pPr>
        <w:spacing w:line="360" w:lineRule="exact"/>
        <w:ind w:left="355" w:firstLine="102"/>
        <w:rPr>
          <w:rFonts w:ascii="宋体" w:hAnsi="宋体" w:cs="宋体"/>
          <w:color w:val="000000"/>
          <w:highlight w:val="none"/>
        </w:rPr>
      </w:pPr>
      <w:r>
        <w:rPr>
          <w:rFonts w:hint="eastAsia" w:ascii="宋体" w:hAnsi="宋体" w:cs="宋体"/>
          <w:color w:val="000000"/>
          <w:highlight w:val="none"/>
        </w:rPr>
        <w:t>（5）不同投标人的投标文件相互混</w:t>
      </w:r>
      <w:r>
        <w:rPr>
          <w:rFonts w:hint="eastAsia" w:ascii="宋体" w:hAnsi="宋体" w:cs="宋体"/>
          <w:color w:val="000000"/>
          <w:highlight w:val="none"/>
          <w:lang w:eastAsia="zh-CN"/>
        </w:rPr>
        <w:t>编</w:t>
      </w:r>
      <w:r>
        <w:rPr>
          <w:rFonts w:hint="eastAsia" w:ascii="宋体" w:hAnsi="宋体" w:cs="宋体"/>
          <w:color w:val="000000"/>
          <w:highlight w:val="none"/>
        </w:rPr>
        <w:t>；</w:t>
      </w:r>
    </w:p>
    <w:p w14:paraId="6C1DF2FB">
      <w:pPr>
        <w:spacing w:line="360" w:lineRule="exact"/>
        <w:ind w:left="355" w:firstLine="102"/>
        <w:rPr>
          <w:rFonts w:ascii="宋体" w:hAnsi="宋体" w:cs="宋体"/>
          <w:color w:val="000000"/>
          <w:highlight w:val="none"/>
        </w:rPr>
      </w:pPr>
      <w:r>
        <w:rPr>
          <w:rFonts w:hint="eastAsia" w:ascii="宋体" w:hAnsi="宋体" w:cs="宋体"/>
          <w:color w:val="000000"/>
          <w:highlight w:val="none"/>
        </w:rPr>
        <w:t>（6）不同投标人的投标保证金从同一单位或者个人账户转出。</w:t>
      </w:r>
    </w:p>
    <w:p w14:paraId="5042CC0E">
      <w:pPr>
        <w:spacing w:line="360" w:lineRule="exact"/>
        <w:ind w:firstLine="413"/>
        <w:outlineLvl w:val="2"/>
        <w:rPr>
          <w:rFonts w:ascii="宋体" w:hAnsi="宋体" w:cs="宋体"/>
          <w:b/>
          <w:color w:val="000000"/>
          <w:szCs w:val="21"/>
          <w:highlight w:val="none"/>
        </w:rPr>
      </w:pPr>
      <w:bookmarkStart w:id="167" w:name="_Toc2973"/>
      <w:bookmarkStart w:id="168" w:name="_Toc18148"/>
      <w:bookmarkStart w:id="169" w:name="_Toc16120"/>
      <w:r>
        <w:rPr>
          <w:rFonts w:hint="eastAsia" w:ascii="宋体" w:hAnsi="宋体" w:cs="宋体"/>
          <w:b/>
          <w:color w:val="000000"/>
          <w:szCs w:val="21"/>
          <w:highlight w:val="none"/>
        </w:rPr>
        <w:t>30. 属于下列情形之一的，应予废标</w:t>
      </w:r>
      <w:bookmarkEnd w:id="167"/>
      <w:bookmarkEnd w:id="168"/>
      <w:bookmarkEnd w:id="169"/>
    </w:p>
    <w:p w14:paraId="4F288B79">
      <w:pPr>
        <w:tabs>
          <w:tab w:val="left" w:pos="840"/>
        </w:tabs>
        <w:spacing w:line="360" w:lineRule="exact"/>
        <w:ind w:left="330" w:firstLine="102"/>
        <w:rPr>
          <w:rFonts w:ascii="宋体" w:hAnsi="宋体" w:cs="宋体"/>
          <w:color w:val="000000"/>
          <w:szCs w:val="21"/>
          <w:highlight w:val="none"/>
        </w:rPr>
      </w:pPr>
      <w:r>
        <w:rPr>
          <w:rFonts w:hint="eastAsia" w:ascii="宋体" w:hAnsi="宋体" w:cs="宋体"/>
          <w:color w:val="000000"/>
          <w:szCs w:val="21"/>
          <w:highlight w:val="none"/>
        </w:rPr>
        <w:t>（1）符合专业条件的供应商或者对招标文件作实质响应的供应商不足3家的；</w:t>
      </w:r>
    </w:p>
    <w:p w14:paraId="54D8A2EB">
      <w:pPr>
        <w:tabs>
          <w:tab w:val="left" w:pos="840"/>
        </w:tabs>
        <w:spacing w:line="360" w:lineRule="exact"/>
        <w:ind w:left="330" w:firstLine="105"/>
        <w:rPr>
          <w:rFonts w:ascii="宋体" w:hAnsi="宋体" w:cs="宋体"/>
          <w:color w:val="000000"/>
          <w:szCs w:val="21"/>
          <w:highlight w:val="none"/>
        </w:rPr>
      </w:pPr>
      <w:r>
        <w:rPr>
          <w:rFonts w:hint="eastAsia" w:ascii="宋体" w:hAnsi="宋体" w:cs="宋体"/>
          <w:color w:val="000000"/>
          <w:szCs w:val="21"/>
          <w:highlight w:val="none"/>
        </w:rPr>
        <w:t>（2）出现影响采购公正的违法、违规行为的；</w:t>
      </w:r>
    </w:p>
    <w:p w14:paraId="7729A7E7">
      <w:pPr>
        <w:tabs>
          <w:tab w:val="left" w:pos="840"/>
        </w:tabs>
        <w:spacing w:line="360" w:lineRule="exact"/>
        <w:ind w:left="330" w:firstLine="105"/>
        <w:rPr>
          <w:rFonts w:ascii="宋体" w:hAnsi="宋体" w:cs="宋体"/>
          <w:color w:val="000000"/>
          <w:highlight w:val="none"/>
        </w:rPr>
      </w:pPr>
      <w:r>
        <w:rPr>
          <w:rFonts w:hint="eastAsia" w:ascii="宋体" w:hAnsi="宋体" w:cs="宋体"/>
          <w:color w:val="000000"/>
          <w:highlight w:val="none"/>
        </w:rPr>
        <w:t>（3）采购文件内容违反国家有关强制性规定的；</w:t>
      </w:r>
    </w:p>
    <w:p w14:paraId="2CE6FB9E">
      <w:pPr>
        <w:tabs>
          <w:tab w:val="left" w:pos="840"/>
        </w:tabs>
        <w:spacing w:line="360" w:lineRule="exact"/>
        <w:ind w:left="330" w:firstLine="105"/>
        <w:rPr>
          <w:rFonts w:ascii="宋体" w:hAnsi="宋体" w:cs="宋体"/>
          <w:color w:val="000000"/>
          <w:highlight w:val="none"/>
        </w:rPr>
      </w:pPr>
      <w:r>
        <w:rPr>
          <w:rFonts w:hint="eastAsia" w:ascii="宋体" w:hAnsi="宋体" w:cs="宋体"/>
          <w:color w:val="000000"/>
          <w:highlight w:val="none"/>
        </w:rPr>
        <w:t>（4）因重大变故，采购任务取消的。</w:t>
      </w:r>
    </w:p>
    <w:p w14:paraId="5A3AF36F">
      <w:pPr>
        <w:spacing w:line="360" w:lineRule="exact"/>
        <w:ind w:firstLine="413"/>
        <w:outlineLvl w:val="2"/>
        <w:rPr>
          <w:rFonts w:ascii="宋体" w:hAnsi="宋体" w:cs="宋体"/>
          <w:b/>
          <w:color w:val="000000"/>
          <w:szCs w:val="21"/>
          <w:highlight w:val="none"/>
        </w:rPr>
      </w:pPr>
      <w:bookmarkStart w:id="170" w:name="_Toc12274"/>
      <w:bookmarkStart w:id="171" w:name="_Toc28686"/>
      <w:bookmarkStart w:id="172" w:name="_Toc5839"/>
      <w:r>
        <w:rPr>
          <w:rFonts w:hint="eastAsia" w:ascii="宋体" w:hAnsi="宋体" w:cs="宋体"/>
          <w:b/>
          <w:color w:val="000000"/>
          <w:szCs w:val="21"/>
          <w:highlight w:val="none"/>
        </w:rPr>
        <w:t>31. 开标、评标过程的监控</w:t>
      </w:r>
      <w:bookmarkEnd w:id="170"/>
      <w:bookmarkEnd w:id="171"/>
      <w:bookmarkEnd w:id="172"/>
    </w:p>
    <w:p w14:paraId="7504F5DF">
      <w:pPr>
        <w:spacing w:line="360" w:lineRule="exact"/>
        <w:ind w:firstLine="411"/>
        <w:rPr>
          <w:rFonts w:ascii="宋体" w:hAnsi="宋体" w:cs="宋体"/>
          <w:color w:val="000000"/>
          <w:highlight w:val="none"/>
        </w:rPr>
      </w:pPr>
      <w:r>
        <w:rPr>
          <w:rFonts w:hint="eastAsia" w:ascii="宋体" w:hAnsi="宋体" w:cs="宋体"/>
          <w:color w:val="000000"/>
          <w:highlight w:val="none"/>
        </w:rPr>
        <w:t>本项目开标、评标过程实行全程录音、录像监控，投标人在评标过程中所进行的试图影响评标结果的不公正活动，可能导致其投标被拒绝。</w:t>
      </w:r>
    </w:p>
    <w:p w14:paraId="07AAA235">
      <w:pPr>
        <w:spacing w:line="360" w:lineRule="exact"/>
        <w:ind w:firstLine="413"/>
        <w:outlineLvl w:val="2"/>
        <w:rPr>
          <w:rFonts w:ascii="宋体" w:hAnsi="宋体" w:cs="宋体"/>
          <w:b/>
          <w:color w:val="000000"/>
          <w:szCs w:val="21"/>
          <w:highlight w:val="none"/>
        </w:rPr>
      </w:pPr>
      <w:bookmarkStart w:id="173" w:name="_Toc1321"/>
      <w:bookmarkStart w:id="174" w:name="_Toc9431"/>
      <w:bookmarkStart w:id="175" w:name="_Toc26650"/>
      <w:r>
        <w:rPr>
          <w:rFonts w:hint="eastAsia" w:ascii="宋体" w:hAnsi="宋体" w:cs="宋体"/>
          <w:b/>
          <w:color w:val="000000"/>
          <w:szCs w:val="21"/>
          <w:highlight w:val="none"/>
        </w:rPr>
        <w:t>32. 信用查询</w:t>
      </w:r>
      <w:bookmarkEnd w:id="173"/>
      <w:bookmarkEnd w:id="174"/>
      <w:bookmarkEnd w:id="175"/>
    </w:p>
    <w:p w14:paraId="0E7DABBD">
      <w:pPr>
        <w:spacing w:line="360" w:lineRule="exact"/>
        <w:ind w:firstLine="411"/>
        <w:rPr>
          <w:rFonts w:ascii="宋体" w:hAnsi="宋体" w:cs="宋体"/>
          <w:color w:val="000000"/>
          <w:highlight w:val="none"/>
        </w:rPr>
      </w:pPr>
      <w:r>
        <w:rPr>
          <w:rFonts w:hint="eastAsia" w:ascii="宋体" w:hAnsi="宋体" w:cs="宋体"/>
          <w:color w:val="000000"/>
          <w:highlight w:val="none"/>
        </w:rPr>
        <w:t>根据《关于做好政府采购有关信用主体标识码登记及在政府采购活动中查询使用信用记录有关问题的通知》（桂财采〔2016〕37号），中标通知书发出前，由采购代理机构对第一中标候选供应商进行信用查询：</w:t>
      </w:r>
    </w:p>
    <w:p w14:paraId="2ABA6492">
      <w:pPr>
        <w:spacing w:line="360" w:lineRule="exact"/>
        <w:ind w:firstLine="411"/>
        <w:rPr>
          <w:rFonts w:ascii="宋体" w:hAnsi="宋体" w:cs="宋体"/>
          <w:color w:val="000000"/>
          <w:highlight w:val="none"/>
        </w:rPr>
      </w:pPr>
      <w:r>
        <w:rPr>
          <w:rFonts w:hint="eastAsia" w:ascii="宋体" w:hAnsi="宋体" w:cs="宋体"/>
          <w:color w:val="000000"/>
          <w:highlight w:val="none"/>
        </w:rPr>
        <w:t>⑴查询渠道：“信用中国”网站(www.creditchina.gov.cn)、中国政府采购网(www.ccgp.gov.cn)等；</w:t>
      </w:r>
    </w:p>
    <w:p w14:paraId="132E18AA">
      <w:pPr>
        <w:spacing w:line="360" w:lineRule="exact"/>
        <w:ind w:firstLine="411"/>
        <w:rPr>
          <w:rFonts w:ascii="宋体" w:hAnsi="宋体" w:cs="宋体"/>
          <w:color w:val="000000"/>
          <w:highlight w:val="none"/>
        </w:rPr>
      </w:pPr>
      <w:r>
        <w:rPr>
          <w:rFonts w:hint="eastAsia" w:ascii="宋体" w:hAnsi="宋体" w:cs="宋体"/>
          <w:color w:val="000000"/>
          <w:highlight w:val="none"/>
        </w:rPr>
        <w:t>⑵查询时间：中标通知书发出前；</w:t>
      </w:r>
    </w:p>
    <w:p w14:paraId="12672D3D">
      <w:pPr>
        <w:spacing w:line="360" w:lineRule="exact"/>
        <w:ind w:firstLine="411"/>
        <w:rPr>
          <w:rFonts w:ascii="宋体" w:hAnsi="宋体" w:cs="宋体"/>
          <w:color w:val="000000"/>
          <w:highlight w:val="none"/>
        </w:rPr>
      </w:pPr>
      <w:r>
        <w:rPr>
          <w:rFonts w:hint="eastAsia" w:ascii="宋体" w:hAnsi="宋体" w:cs="宋体"/>
          <w:color w:val="000000"/>
          <w:highlight w:val="none"/>
        </w:rPr>
        <w:t>⑶信用信息查询记录和证据留存方式：在查询网站中直接打印查询记录，打印材料作为采购活动资料保存；</w:t>
      </w:r>
    </w:p>
    <w:p w14:paraId="03B9ED97">
      <w:pPr>
        <w:spacing w:line="360" w:lineRule="exact"/>
        <w:ind w:firstLine="411"/>
        <w:rPr>
          <w:rFonts w:ascii="宋体" w:hAnsi="宋体" w:cs="宋体"/>
          <w:color w:val="000000"/>
          <w:highlight w:val="none"/>
        </w:rPr>
      </w:pPr>
      <w:r>
        <w:rPr>
          <w:rFonts w:hint="eastAsia" w:ascii="宋体" w:hAnsi="宋体" w:cs="宋体"/>
          <w:color w:val="000000"/>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中标候选供应商资格。</w:t>
      </w:r>
    </w:p>
    <w:p w14:paraId="680800B2">
      <w:pPr>
        <w:spacing w:line="360" w:lineRule="exact"/>
        <w:ind w:firstLine="411"/>
        <w:rPr>
          <w:rFonts w:ascii="宋体" w:hAnsi="宋体" w:cs="宋体"/>
          <w:color w:val="000000"/>
          <w:highlight w:val="none"/>
        </w:rPr>
      </w:pPr>
      <w:r>
        <w:rPr>
          <w:rFonts w:hint="eastAsia" w:ascii="宋体" w:hAnsi="宋体" w:cs="宋体"/>
          <w:color w:val="000000"/>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p w14:paraId="1211E506">
      <w:pPr>
        <w:spacing w:line="360" w:lineRule="exact"/>
        <w:ind w:firstLine="413"/>
        <w:outlineLvl w:val="2"/>
        <w:rPr>
          <w:rFonts w:ascii="宋体" w:hAnsi="宋体" w:cs="宋体"/>
          <w:b/>
          <w:color w:val="000000"/>
          <w:szCs w:val="21"/>
          <w:highlight w:val="none"/>
        </w:rPr>
      </w:pPr>
      <w:bookmarkStart w:id="176" w:name="_Toc3784"/>
      <w:bookmarkStart w:id="177" w:name="_Toc30043"/>
      <w:bookmarkStart w:id="178" w:name="_Toc27712"/>
      <w:r>
        <w:rPr>
          <w:rFonts w:hint="eastAsia" w:ascii="宋体" w:hAnsi="宋体" w:cs="宋体"/>
          <w:b/>
          <w:color w:val="000000"/>
          <w:szCs w:val="21"/>
          <w:highlight w:val="none"/>
        </w:rPr>
        <w:t>33. 中标公告及中标通知书</w:t>
      </w:r>
      <w:bookmarkEnd w:id="176"/>
      <w:bookmarkEnd w:id="177"/>
      <w:bookmarkEnd w:id="178"/>
    </w:p>
    <w:p w14:paraId="662C27EB">
      <w:pPr>
        <w:tabs>
          <w:tab w:val="left" w:pos="455"/>
        </w:tabs>
        <w:spacing w:line="360" w:lineRule="exact"/>
        <w:ind w:firstLine="420"/>
        <w:rPr>
          <w:rFonts w:ascii="宋体" w:hAnsi="宋体" w:cs="宋体"/>
          <w:color w:val="000000"/>
          <w:highlight w:val="none"/>
        </w:rPr>
      </w:pPr>
      <w:r>
        <w:rPr>
          <w:rFonts w:hint="eastAsia" w:ascii="宋体" w:hAnsi="宋体" w:cs="宋体"/>
          <w:color w:val="000000"/>
          <w:szCs w:val="21"/>
          <w:highlight w:val="none"/>
        </w:rPr>
        <w:t>33.1采购代理机构于评标结束后两个工作日内将评标报告送交采购人，采购人应当自收到评标报告五个工作日内在评标报告推荐的中标候选供应商中按顺序确定</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；采购代理机构在</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确定之日起两个工作日内在指定媒体上公告中标结果，中标公告期限为一个工作日。</w:t>
      </w:r>
    </w:p>
    <w:p w14:paraId="7432971C">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33.2中标公告发布的同时，</w:t>
      </w:r>
      <w:r>
        <w:rPr>
          <w:rFonts w:hint="eastAsia" w:ascii="宋体" w:hAnsi="宋体" w:cs="宋体"/>
          <w:szCs w:val="21"/>
          <w:lang w:eastAsia="zh-CN"/>
        </w:rPr>
        <w:t>采购代理机构在线向中标供应商发出电子中标通知书</w:t>
      </w:r>
      <w:r>
        <w:rPr>
          <w:rFonts w:hint="eastAsia" w:ascii="宋体" w:hAnsi="宋体" w:cs="宋体"/>
          <w:color w:val="000000"/>
          <w:szCs w:val="21"/>
          <w:highlight w:val="none"/>
        </w:rPr>
        <w:t>。</w:t>
      </w:r>
      <w:bookmarkStart w:id="179" w:name="_Toc31543"/>
      <w:bookmarkStart w:id="180" w:name="_Toc495841760"/>
    </w:p>
    <w:p w14:paraId="6E7144AE">
      <w:pPr>
        <w:pStyle w:val="251"/>
        <w:rPr>
          <w:color w:val="000000"/>
          <w:highlight w:val="none"/>
        </w:rPr>
      </w:pPr>
    </w:p>
    <w:p w14:paraId="0B0D1670">
      <w:pPr>
        <w:spacing w:line="360" w:lineRule="auto"/>
        <w:jc w:val="center"/>
        <w:outlineLvl w:val="1"/>
        <w:rPr>
          <w:rFonts w:ascii="宋体" w:hAnsi="宋体" w:cs="宋体"/>
          <w:b/>
          <w:color w:val="000000"/>
          <w:sz w:val="28"/>
          <w:szCs w:val="28"/>
          <w:highlight w:val="none"/>
        </w:rPr>
      </w:pPr>
      <w:bookmarkStart w:id="181" w:name="_Toc31963"/>
      <w:bookmarkStart w:id="182" w:name="_Toc22221"/>
      <w:r>
        <w:rPr>
          <w:rFonts w:hint="eastAsia" w:ascii="宋体" w:hAnsi="宋体" w:cs="宋体"/>
          <w:b/>
          <w:color w:val="000000"/>
          <w:sz w:val="28"/>
          <w:szCs w:val="28"/>
          <w:highlight w:val="none"/>
        </w:rPr>
        <w:t>七、履约保证金及签订合同</w:t>
      </w:r>
      <w:bookmarkEnd w:id="179"/>
      <w:bookmarkEnd w:id="180"/>
      <w:bookmarkEnd w:id="181"/>
      <w:bookmarkEnd w:id="182"/>
    </w:p>
    <w:p w14:paraId="652E7767">
      <w:pPr>
        <w:spacing w:line="360" w:lineRule="exact"/>
        <w:ind w:firstLine="413"/>
        <w:outlineLvl w:val="2"/>
        <w:rPr>
          <w:rFonts w:ascii="宋体" w:hAnsi="宋体" w:cs="宋体"/>
          <w:b/>
          <w:color w:val="000000"/>
          <w:szCs w:val="21"/>
          <w:highlight w:val="none"/>
        </w:rPr>
      </w:pPr>
      <w:bookmarkStart w:id="183" w:name="_Toc6994"/>
      <w:bookmarkStart w:id="184" w:name="_Toc26467"/>
      <w:bookmarkStart w:id="185" w:name="_Toc10047"/>
      <w:r>
        <w:rPr>
          <w:rFonts w:hint="eastAsia" w:ascii="宋体" w:hAnsi="宋体" w:cs="宋体"/>
          <w:b/>
          <w:color w:val="000000"/>
          <w:szCs w:val="21"/>
          <w:highlight w:val="none"/>
        </w:rPr>
        <w:t>34. 履约保证金</w:t>
      </w:r>
      <w:bookmarkEnd w:id="183"/>
      <w:bookmarkEnd w:id="184"/>
      <w:bookmarkEnd w:id="185"/>
    </w:p>
    <w:p w14:paraId="2C2AC21D">
      <w:pPr>
        <w:ind w:firstLine="420"/>
        <w:rPr>
          <w:rFonts w:hint="eastAsia" w:eastAsia="宋体"/>
          <w:color w:val="000000"/>
          <w:highlight w:val="none"/>
          <w:lang w:eastAsia="zh-CN"/>
        </w:rPr>
      </w:pPr>
      <w:bookmarkStart w:id="186" w:name="_Toc18160"/>
      <w:r>
        <w:rPr>
          <w:rFonts w:hint="eastAsia"/>
          <w:color w:val="000000"/>
          <w:highlight w:val="none"/>
        </w:rPr>
        <w:t>本项目无需缴纳履约保证金</w:t>
      </w:r>
      <w:r>
        <w:rPr>
          <w:rFonts w:hint="eastAsia"/>
          <w:color w:val="000000"/>
          <w:highlight w:val="none"/>
          <w:lang w:eastAsia="zh-CN"/>
        </w:rPr>
        <w:t>。</w:t>
      </w:r>
    </w:p>
    <w:p w14:paraId="4BE6C1E7">
      <w:pPr>
        <w:spacing w:line="360" w:lineRule="exact"/>
        <w:ind w:firstLine="413"/>
        <w:outlineLvl w:val="2"/>
        <w:rPr>
          <w:rFonts w:ascii="宋体" w:hAnsi="宋体" w:cs="宋体"/>
          <w:b/>
          <w:color w:val="000000"/>
          <w:szCs w:val="21"/>
          <w:highlight w:val="none"/>
        </w:rPr>
      </w:pPr>
      <w:bookmarkStart w:id="187" w:name="_Toc14679"/>
      <w:bookmarkStart w:id="188" w:name="_Toc19745"/>
      <w:r>
        <w:rPr>
          <w:rFonts w:hint="eastAsia" w:ascii="宋体" w:hAnsi="宋体" w:cs="宋体"/>
          <w:b/>
          <w:color w:val="000000"/>
          <w:szCs w:val="21"/>
          <w:highlight w:val="none"/>
        </w:rPr>
        <w:t>35. 签订合同</w:t>
      </w:r>
      <w:bookmarkEnd w:id="186"/>
      <w:bookmarkEnd w:id="187"/>
      <w:bookmarkEnd w:id="188"/>
    </w:p>
    <w:p w14:paraId="0A0E99E6">
      <w:pPr>
        <w:spacing w:line="360" w:lineRule="exact"/>
        <w:ind w:left="2" w:firstLine="420"/>
        <w:rPr>
          <w:rFonts w:hint="eastAsia" w:ascii="宋体" w:hAnsi="宋体" w:cs="宋体"/>
          <w:color w:val="000000"/>
          <w:szCs w:val="21"/>
          <w:highlight w:val="none"/>
        </w:rPr>
      </w:pPr>
      <w:r>
        <w:rPr>
          <w:rFonts w:hint="eastAsia" w:ascii="宋体" w:hAnsi="宋体" w:cs="宋体"/>
          <w:color w:val="000000"/>
          <w:szCs w:val="21"/>
          <w:highlight w:val="none"/>
        </w:rPr>
        <w:t>35.1签订合同时间：</w:t>
      </w:r>
      <w:r>
        <w:rPr>
          <w:rFonts w:hint="eastAsia" w:ascii="宋体" w:hAnsi="宋体" w:cs="宋体"/>
          <w:color w:val="000000"/>
          <w:szCs w:val="21"/>
          <w:highlight w:val="none"/>
          <w:lang w:eastAsia="zh-CN"/>
        </w:rPr>
        <w:t>中标通知书发出之日起八个工作日内</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中标人收到</w:t>
      </w:r>
      <w:r>
        <w:rPr>
          <w:rFonts w:hint="eastAsia" w:ascii="宋体" w:hAnsi="宋体" w:cs="宋体"/>
          <w:color w:val="000000"/>
          <w:szCs w:val="21"/>
          <w:highlight w:val="none"/>
        </w:rPr>
        <w:t>中标通知书后，应按规定与采购人在“</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”上在线签订电子合同。</w:t>
      </w:r>
    </w:p>
    <w:p w14:paraId="5FEEEEF1">
      <w:pPr>
        <w:spacing w:line="360" w:lineRule="exact"/>
        <w:ind w:left="2" w:firstLine="420"/>
        <w:rPr>
          <w:rFonts w:ascii="宋体" w:hAnsi="宋体" w:cs="宋体"/>
          <w:color w:val="000000"/>
          <w:szCs w:val="21"/>
          <w:highlight w:val="none"/>
        </w:rPr>
      </w:pPr>
      <w:r>
        <w:rPr>
          <w:rFonts w:hint="eastAsia" w:ascii="宋体" w:hAnsi="宋体" w:cs="宋体"/>
          <w:color w:val="000000"/>
          <w:highlight w:val="none"/>
        </w:rPr>
        <w:t>35.2</w:t>
      </w:r>
      <w:r>
        <w:rPr>
          <w:rFonts w:hint="eastAsia" w:ascii="宋体" w:hAnsi="宋体" w:cs="宋体"/>
          <w:color w:val="000000"/>
          <w:highlight w:val="none"/>
          <w:lang w:eastAsia="zh-CN"/>
        </w:rPr>
        <w:t>中标人</w:t>
      </w:r>
      <w:r>
        <w:rPr>
          <w:rFonts w:hint="eastAsia" w:ascii="宋体" w:hAnsi="宋体" w:cs="宋体"/>
          <w:color w:val="000000"/>
          <w:highlight w:val="none"/>
        </w:rPr>
        <w:t>为联合体的，联合体各方均应与采购人签订合同，并承担连带责任。（本项目不接受联合体投标）</w:t>
      </w:r>
    </w:p>
    <w:p w14:paraId="1C05DE8E">
      <w:pPr>
        <w:spacing w:line="360" w:lineRule="exact"/>
        <w:ind w:left="2" w:firstLine="420"/>
        <w:rPr>
          <w:rFonts w:ascii="宋体" w:hAnsi="宋体" w:cs="宋体"/>
          <w:color w:val="000000"/>
          <w:szCs w:val="21"/>
          <w:highlight w:val="none"/>
        </w:rPr>
      </w:pPr>
      <w:r>
        <w:rPr>
          <w:rFonts w:hint="eastAsia" w:ascii="宋体" w:hAnsi="宋体" w:cs="宋体"/>
          <w:color w:val="000000"/>
          <w:szCs w:val="21"/>
          <w:highlight w:val="none"/>
        </w:rPr>
        <w:t>35.3如</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有下列情形之一的，情节严重的，由财政部门将其列入不良行为记录名单，在一至三年内禁止参加政府采购活动，并予以通报。采购人或者采购代理机构可从评标委员会推荐的中标候选供应商中按顺序重新确定</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或重新组织招标。</w:t>
      </w:r>
    </w:p>
    <w:p w14:paraId="0984C1FA">
      <w:pPr>
        <w:spacing w:line="360" w:lineRule="exact"/>
        <w:ind w:firstLine="315"/>
        <w:rPr>
          <w:rFonts w:ascii="宋体" w:hAnsi="宋体" w:cs="宋体"/>
          <w:color w:val="000000"/>
          <w:szCs w:val="21"/>
          <w:highlight w:val="none"/>
        </w:rPr>
      </w:pPr>
      <w:r>
        <w:rPr>
          <w:rFonts w:hint="eastAsia" w:ascii="宋体" w:hAnsi="宋体" w:cs="宋体"/>
          <w:color w:val="000000"/>
          <w:szCs w:val="21"/>
          <w:highlight w:val="none"/>
        </w:rPr>
        <w:t>（1）中标后不与采购人签订合同的（不可抗力除外）；</w:t>
      </w:r>
    </w:p>
    <w:p w14:paraId="34141703">
      <w:pPr>
        <w:spacing w:line="360" w:lineRule="exact"/>
        <w:ind w:left="2" w:firstLine="315"/>
        <w:rPr>
          <w:rFonts w:ascii="宋体" w:hAnsi="宋体" w:cs="宋体"/>
          <w:color w:val="000000"/>
          <w:szCs w:val="21"/>
          <w:highlight w:val="none"/>
        </w:rPr>
      </w:pPr>
      <w:r>
        <w:rPr>
          <w:rFonts w:hint="eastAsia" w:ascii="宋体" w:hAnsi="宋体" w:cs="宋体"/>
          <w:color w:val="000000"/>
          <w:szCs w:val="21"/>
          <w:highlight w:val="none"/>
        </w:rPr>
        <w:t>（2）将中标项目转让给他人，或者在投标文件中未说明，且未经采购人同意，将中标项目分包给他人的；</w:t>
      </w:r>
    </w:p>
    <w:p w14:paraId="77B86FDA">
      <w:pPr>
        <w:spacing w:line="360" w:lineRule="exact"/>
        <w:ind w:firstLine="315"/>
        <w:rPr>
          <w:rFonts w:ascii="宋体" w:hAnsi="宋体" w:cs="宋体"/>
          <w:color w:val="000000"/>
          <w:szCs w:val="21"/>
          <w:highlight w:val="none"/>
        </w:rPr>
      </w:pPr>
      <w:r>
        <w:rPr>
          <w:rFonts w:hint="eastAsia" w:ascii="宋体" w:hAnsi="宋体" w:cs="宋体"/>
          <w:color w:val="000000"/>
          <w:szCs w:val="21"/>
          <w:highlight w:val="none"/>
        </w:rPr>
        <w:t>（3）拒绝履行合同义务的。</w:t>
      </w:r>
    </w:p>
    <w:p w14:paraId="524AB505">
      <w:pPr>
        <w:spacing w:line="360" w:lineRule="exact"/>
        <w:ind w:left="2" w:firstLine="420"/>
        <w:rPr>
          <w:rFonts w:ascii="宋体" w:hAnsi="宋体" w:cs="宋体"/>
          <w:color w:val="000000"/>
          <w:szCs w:val="21"/>
          <w:highlight w:val="none"/>
        </w:rPr>
      </w:pPr>
      <w:r>
        <w:rPr>
          <w:rFonts w:hint="eastAsia" w:ascii="宋体" w:hAnsi="宋体" w:cs="宋体"/>
          <w:color w:val="000000"/>
          <w:szCs w:val="21"/>
          <w:highlight w:val="none"/>
        </w:rPr>
        <w:t>35.4合同备案存档：政府采购合同双方自签订之日起</w:t>
      </w:r>
      <w:r>
        <w:rPr>
          <w:rFonts w:hint="eastAsia" w:ascii="宋体" w:hAnsi="宋体" w:cs="宋体"/>
          <w:color w:val="000000"/>
          <w:szCs w:val="21"/>
          <w:highlight w:val="none"/>
          <w:lang w:eastAsia="zh-CN"/>
        </w:rPr>
        <w:t>将自动存档于“广西政府采购云平台”上</w:t>
      </w:r>
      <w:r>
        <w:rPr>
          <w:rFonts w:hint="eastAsia" w:ascii="宋体" w:hAnsi="宋体" w:cs="宋体"/>
          <w:color w:val="000000"/>
          <w:szCs w:val="21"/>
          <w:highlight w:val="none"/>
        </w:rPr>
        <w:t>，采购人于合同签订之日起七个工作日内将一份合同原件送本级财政部门备案。</w:t>
      </w:r>
    </w:p>
    <w:p w14:paraId="028AC7AA">
      <w:pPr>
        <w:spacing w:line="400" w:lineRule="exact"/>
        <w:ind w:left="2" w:firstLine="420"/>
        <w:rPr>
          <w:rFonts w:ascii="宋体" w:hAnsi="宋体" w:cs="宋体"/>
          <w:color w:val="000000"/>
          <w:szCs w:val="21"/>
          <w:highlight w:val="none"/>
        </w:rPr>
      </w:pPr>
    </w:p>
    <w:p w14:paraId="578F3E92">
      <w:pPr>
        <w:spacing w:line="360" w:lineRule="auto"/>
        <w:jc w:val="center"/>
        <w:outlineLvl w:val="1"/>
        <w:rPr>
          <w:rFonts w:ascii="宋体" w:hAnsi="宋体" w:cs="宋体"/>
          <w:b/>
          <w:color w:val="000000"/>
          <w:sz w:val="28"/>
          <w:szCs w:val="28"/>
          <w:highlight w:val="none"/>
        </w:rPr>
      </w:pPr>
      <w:bookmarkStart w:id="189" w:name="_Toc4983"/>
      <w:bookmarkStart w:id="190" w:name="_Toc495841761"/>
      <w:bookmarkStart w:id="191" w:name="_Toc8473"/>
      <w:bookmarkStart w:id="192" w:name="_Toc1909"/>
      <w:r>
        <w:rPr>
          <w:rFonts w:hint="eastAsia" w:ascii="宋体" w:hAnsi="宋体" w:cs="宋体"/>
          <w:b/>
          <w:color w:val="000000"/>
          <w:sz w:val="28"/>
          <w:szCs w:val="28"/>
          <w:highlight w:val="none"/>
        </w:rPr>
        <w:t>八、其他事项</w:t>
      </w:r>
      <w:bookmarkEnd w:id="189"/>
      <w:bookmarkEnd w:id="190"/>
      <w:bookmarkEnd w:id="191"/>
      <w:bookmarkEnd w:id="192"/>
    </w:p>
    <w:p w14:paraId="6DAE9FF4">
      <w:pPr>
        <w:spacing w:line="380" w:lineRule="exact"/>
        <w:ind w:firstLine="413"/>
        <w:outlineLvl w:val="2"/>
        <w:rPr>
          <w:rFonts w:ascii="宋体" w:hAnsi="宋体" w:cs="宋体"/>
          <w:b/>
          <w:color w:val="000000"/>
          <w:szCs w:val="21"/>
          <w:highlight w:val="none"/>
        </w:rPr>
      </w:pPr>
      <w:bookmarkStart w:id="193" w:name="_Toc18260"/>
      <w:bookmarkStart w:id="194" w:name="_Toc2437"/>
      <w:bookmarkStart w:id="195" w:name="_Toc5655"/>
      <w:bookmarkStart w:id="196" w:name="_Toc19503"/>
      <w:bookmarkStart w:id="197" w:name="_Toc29323"/>
      <w:bookmarkStart w:id="198" w:name="_Toc4309"/>
      <w:bookmarkStart w:id="199" w:name="_Toc32243"/>
      <w:r>
        <w:rPr>
          <w:rFonts w:hint="eastAsia" w:ascii="宋体" w:hAnsi="宋体" w:cs="宋体"/>
          <w:b/>
          <w:color w:val="000000"/>
          <w:szCs w:val="21"/>
          <w:highlight w:val="none"/>
        </w:rPr>
        <w:t>36. 招标代理服务费</w:t>
      </w:r>
      <w:bookmarkEnd w:id="193"/>
      <w:bookmarkEnd w:id="194"/>
      <w:bookmarkEnd w:id="195"/>
      <w:bookmarkEnd w:id="196"/>
      <w:bookmarkEnd w:id="197"/>
      <w:bookmarkEnd w:id="198"/>
    </w:p>
    <w:p w14:paraId="03CF7B6F">
      <w:pPr>
        <w:spacing w:line="380" w:lineRule="exact"/>
        <w:ind w:firstLine="420"/>
        <w:rPr>
          <w:rFonts w:ascii="宋体" w:hAnsi="宋体" w:cs="宋体"/>
          <w:b/>
          <w:color w:val="000000"/>
          <w:szCs w:val="21"/>
          <w:highlight w:val="none"/>
        </w:rPr>
      </w:pPr>
      <w:r>
        <w:rPr>
          <w:rFonts w:hint="eastAsia" w:ascii="宋体" w:hAnsi="宋体" w:cs="宋体"/>
          <w:color w:val="000000"/>
          <w:szCs w:val="21"/>
          <w:highlight w:val="none"/>
        </w:rPr>
        <w:t>本项目免收代理服务费。</w:t>
      </w:r>
    </w:p>
    <w:p w14:paraId="79DD399D">
      <w:pPr>
        <w:spacing w:line="400" w:lineRule="exact"/>
        <w:ind w:firstLine="413"/>
        <w:outlineLvl w:val="2"/>
        <w:rPr>
          <w:rFonts w:ascii="宋体" w:hAnsi="宋体" w:cs="宋体"/>
          <w:b/>
          <w:color w:val="000000"/>
          <w:szCs w:val="21"/>
          <w:highlight w:val="none"/>
        </w:rPr>
      </w:pPr>
      <w:bookmarkStart w:id="200" w:name="_Toc16219"/>
      <w:bookmarkStart w:id="201" w:name="_Toc19124"/>
      <w:r>
        <w:rPr>
          <w:rFonts w:hint="eastAsia" w:ascii="宋体" w:hAnsi="宋体" w:cs="宋体"/>
          <w:b/>
          <w:color w:val="000000"/>
          <w:szCs w:val="21"/>
          <w:highlight w:val="none"/>
        </w:rPr>
        <w:t xml:space="preserve">37. </w:t>
      </w:r>
      <w:r>
        <w:rPr>
          <w:rFonts w:hint="eastAsia" w:ascii="宋体" w:hAnsi="宋体" w:cs="宋体"/>
          <w:b/>
          <w:color w:val="000000"/>
          <w:szCs w:val="21"/>
          <w:highlight w:val="none"/>
          <w:lang w:eastAsia="zh-CN"/>
        </w:rPr>
        <w:t>编制依据</w:t>
      </w:r>
      <w:bookmarkEnd w:id="199"/>
      <w:bookmarkEnd w:id="200"/>
    </w:p>
    <w:p w14:paraId="5616BECF">
      <w:pPr>
        <w:spacing w:line="400" w:lineRule="exact"/>
        <w:ind w:firstLine="420"/>
        <w:rPr>
          <w:rFonts w:ascii="宋体" w:hAnsi="宋体" w:cs="宋体"/>
          <w:color w:val="000000"/>
          <w:highlight w:val="none"/>
        </w:rPr>
      </w:pPr>
      <w:r>
        <w:rPr>
          <w:rFonts w:hint="eastAsia" w:ascii="宋体" w:hAnsi="宋体" w:cs="宋体"/>
          <w:color w:val="000000"/>
          <w:highlight w:val="none"/>
        </w:rPr>
        <w:t>本招标文件是根据《中华人民共和国政府采购法》《中华人民共和国政府采购法实施条例》及《政府采购货物和服务招标投标管理办法》（财政部令第87号）和政府采购管理有关规定编制。</w:t>
      </w:r>
      <w:bookmarkEnd w:id="201"/>
    </w:p>
    <w:p w14:paraId="24EC2E46">
      <w:pPr>
        <w:spacing w:line="400" w:lineRule="exact"/>
        <w:ind w:firstLine="413"/>
        <w:outlineLvl w:val="2"/>
        <w:rPr>
          <w:rFonts w:ascii="宋体" w:hAnsi="宋体" w:cs="宋体"/>
          <w:b/>
          <w:color w:val="000000"/>
          <w:szCs w:val="21"/>
          <w:highlight w:val="none"/>
        </w:rPr>
      </w:pPr>
      <w:bookmarkStart w:id="202" w:name="_Toc29343"/>
      <w:bookmarkStart w:id="203" w:name="_Toc11077"/>
      <w:bookmarkStart w:id="204" w:name="_Toc23015"/>
      <w:r>
        <w:rPr>
          <w:rFonts w:hint="eastAsia" w:ascii="宋体" w:hAnsi="宋体" w:cs="宋体"/>
          <w:b/>
          <w:color w:val="000000"/>
          <w:szCs w:val="21"/>
          <w:highlight w:val="none"/>
        </w:rPr>
        <w:t>38. 监督管理机构</w:t>
      </w:r>
      <w:bookmarkEnd w:id="202"/>
      <w:bookmarkEnd w:id="203"/>
      <w:bookmarkEnd w:id="204"/>
    </w:p>
    <w:p w14:paraId="1948CFEE">
      <w:pPr>
        <w:spacing w:line="400" w:lineRule="exact"/>
        <w:ind w:firstLine="420"/>
        <w:rPr>
          <w:rFonts w:hint="eastAsia" w:ascii="宋体" w:hAnsi="宋体" w:eastAsia="宋体" w:cs="宋体"/>
          <w:color w:val="000000"/>
          <w:szCs w:val="21"/>
          <w:highlight w:val="none"/>
          <w:lang w:val="en-US" w:eastAsia="zh-CN"/>
        </w:rPr>
      </w:pPr>
      <w:bookmarkStart w:id="205" w:name="_Toc23297"/>
      <w:r>
        <w:rPr>
          <w:rFonts w:hint="eastAsia" w:ascii="宋体" w:hAnsi="宋体" w:cs="宋体"/>
          <w:color w:val="000000"/>
          <w:szCs w:val="21"/>
          <w:highlight w:val="none"/>
          <w:lang w:val="en-US" w:eastAsia="zh-CN"/>
        </w:rPr>
        <w:t>桂林市财政局</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 xml:space="preserve">  电话：</w:t>
      </w:r>
      <w:r>
        <w:rPr>
          <w:rFonts w:hint="eastAsia" w:ascii="宋体" w:hAnsi="宋体" w:cs="宋体"/>
          <w:color w:val="000000"/>
          <w:szCs w:val="21"/>
          <w:highlight w:val="none"/>
          <w:lang w:eastAsia="zh-CN"/>
        </w:rPr>
        <w:t>0773-2862142</w:t>
      </w:r>
    </w:p>
    <w:p w14:paraId="1F6BB52F">
      <w:pPr>
        <w:pStyle w:val="213"/>
        <w:spacing w:line="390" w:lineRule="exact"/>
        <w:contextualSpacing/>
        <w:rPr>
          <w:rFonts w:hAnsi="宋体" w:cs="宋体"/>
          <w:b/>
          <w:bCs/>
          <w:color w:val="000000"/>
          <w:highlight w:val="none"/>
        </w:rPr>
      </w:pPr>
    </w:p>
    <w:p w14:paraId="32600D29">
      <w:pPr>
        <w:pStyle w:val="213"/>
        <w:spacing w:line="390" w:lineRule="exact"/>
        <w:contextualSpacing/>
        <w:rPr>
          <w:rFonts w:hAnsi="宋体" w:cs="宋体"/>
          <w:b/>
          <w:bCs/>
          <w:color w:val="000000"/>
          <w:highlight w:val="none"/>
        </w:rPr>
      </w:pPr>
    </w:p>
    <w:p w14:paraId="26B5F11D">
      <w:pPr>
        <w:pStyle w:val="213"/>
        <w:spacing w:line="390" w:lineRule="exact"/>
        <w:contextualSpacing/>
        <w:rPr>
          <w:rFonts w:hAnsi="宋体" w:cs="宋体"/>
          <w:b/>
          <w:bCs/>
          <w:color w:val="000000"/>
          <w:highlight w:val="none"/>
        </w:rPr>
      </w:pPr>
    </w:p>
    <w:p w14:paraId="5409A482">
      <w:pPr>
        <w:pStyle w:val="213"/>
        <w:spacing w:line="390" w:lineRule="exact"/>
        <w:contextualSpacing/>
        <w:rPr>
          <w:rFonts w:hAnsi="宋体" w:cs="宋体"/>
          <w:b/>
          <w:bCs/>
          <w:color w:val="000000"/>
          <w:highlight w:val="none"/>
        </w:rPr>
      </w:pPr>
    </w:p>
    <w:p w14:paraId="4633FC51">
      <w:pPr>
        <w:pStyle w:val="213"/>
        <w:spacing w:line="390" w:lineRule="exact"/>
        <w:contextualSpacing/>
        <w:rPr>
          <w:rFonts w:hAnsi="宋体" w:cs="宋体"/>
          <w:b/>
          <w:bCs/>
          <w:color w:val="000000"/>
          <w:highlight w:val="none"/>
        </w:rPr>
      </w:pPr>
    </w:p>
    <w:p w14:paraId="4EAD4E44">
      <w:pPr>
        <w:pStyle w:val="213"/>
        <w:spacing w:line="390" w:lineRule="exact"/>
        <w:contextualSpacing/>
        <w:rPr>
          <w:rFonts w:hAnsi="宋体" w:cs="宋体"/>
          <w:b/>
          <w:bCs/>
          <w:color w:val="000000"/>
          <w:highlight w:val="none"/>
        </w:rPr>
      </w:pPr>
    </w:p>
    <w:p w14:paraId="1DF8C995">
      <w:pPr>
        <w:pStyle w:val="213"/>
        <w:spacing w:line="390" w:lineRule="exact"/>
        <w:contextualSpacing/>
        <w:rPr>
          <w:rFonts w:hAnsi="宋体" w:cs="宋体"/>
          <w:b/>
          <w:bCs/>
          <w:color w:val="000000"/>
          <w:highlight w:val="none"/>
        </w:rPr>
      </w:pPr>
    </w:p>
    <w:p w14:paraId="22E49CA3">
      <w:pPr>
        <w:pStyle w:val="213"/>
        <w:spacing w:line="390" w:lineRule="exact"/>
        <w:contextualSpacing/>
        <w:rPr>
          <w:rFonts w:hAnsi="宋体" w:cs="宋体"/>
          <w:b/>
          <w:bCs/>
          <w:color w:val="000000"/>
          <w:highlight w:val="none"/>
        </w:rPr>
      </w:pPr>
    </w:p>
    <w:p w14:paraId="768C27F8">
      <w:pPr>
        <w:pStyle w:val="213"/>
        <w:spacing w:line="390" w:lineRule="exact"/>
        <w:contextualSpacing/>
        <w:rPr>
          <w:rFonts w:hAnsi="宋体" w:cs="宋体"/>
          <w:b/>
          <w:bCs/>
          <w:color w:val="000000"/>
          <w:highlight w:val="none"/>
        </w:rPr>
      </w:pPr>
    </w:p>
    <w:p w14:paraId="1AB79575">
      <w:pPr>
        <w:pStyle w:val="213"/>
        <w:spacing w:line="390" w:lineRule="exact"/>
        <w:contextualSpacing/>
        <w:rPr>
          <w:rFonts w:hAnsi="宋体" w:cs="宋体"/>
          <w:b/>
          <w:bCs/>
          <w:color w:val="000000"/>
          <w:highlight w:val="none"/>
        </w:rPr>
      </w:pPr>
    </w:p>
    <w:p w14:paraId="742A0963">
      <w:pPr>
        <w:pStyle w:val="213"/>
        <w:spacing w:line="390" w:lineRule="exact"/>
        <w:contextualSpacing/>
        <w:rPr>
          <w:rFonts w:hAnsi="宋体" w:cs="宋体"/>
          <w:b/>
          <w:bCs/>
          <w:color w:val="000000"/>
          <w:highlight w:val="none"/>
        </w:rPr>
      </w:pPr>
    </w:p>
    <w:p w14:paraId="0222752B">
      <w:pPr>
        <w:pStyle w:val="213"/>
        <w:spacing w:line="390" w:lineRule="exact"/>
        <w:contextualSpacing/>
        <w:rPr>
          <w:rFonts w:hAnsi="宋体" w:cs="宋体"/>
          <w:b/>
          <w:bCs/>
          <w:color w:val="000000"/>
          <w:highlight w:val="none"/>
        </w:rPr>
      </w:pPr>
    </w:p>
    <w:p w14:paraId="3F2D0B53">
      <w:pPr>
        <w:pStyle w:val="213"/>
        <w:spacing w:line="390" w:lineRule="exact"/>
        <w:contextualSpacing/>
        <w:rPr>
          <w:rFonts w:hAnsi="宋体" w:cs="宋体"/>
          <w:b/>
          <w:bCs/>
          <w:color w:val="000000"/>
          <w:highlight w:val="none"/>
        </w:rPr>
      </w:pPr>
    </w:p>
    <w:p w14:paraId="42F6E301">
      <w:pPr>
        <w:pStyle w:val="213"/>
        <w:spacing w:line="390" w:lineRule="exact"/>
        <w:contextualSpacing/>
        <w:rPr>
          <w:rFonts w:hAnsi="宋体" w:cs="宋体"/>
          <w:b/>
          <w:bCs/>
          <w:color w:val="000000"/>
          <w:highlight w:val="none"/>
        </w:rPr>
      </w:pPr>
    </w:p>
    <w:p w14:paraId="08324499">
      <w:pPr>
        <w:pStyle w:val="213"/>
        <w:spacing w:line="390" w:lineRule="exact"/>
        <w:contextualSpacing/>
        <w:rPr>
          <w:rFonts w:hAnsi="宋体" w:cs="宋体"/>
          <w:b/>
          <w:bCs/>
          <w:color w:val="000000"/>
          <w:highlight w:val="none"/>
        </w:rPr>
      </w:pPr>
    </w:p>
    <w:p w14:paraId="728E6D19">
      <w:pPr>
        <w:pStyle w:val="213"/>
        <w:spacing w:line="390" w:lineRule="exact"/>
        <w:contextualSpacing/>
        <w:rPr>
          <w:rFonts w:hAnsi="宋体" w:cs="宋体"/>
          <w:b/>
          <w:bCs/>
          <w:color w:val="000000"/>
          <w:highlight w:val="none"/>
        </w:rPr>
      </w:pPr>
    </w:p>
    <w:p w14:paraId="15E0196C">
      <w:pPr>
        <w:pStyle w:val="213"/>
        <w:spacing w:line="390" w:lineRule="exact"/>
        <w:contextualSpacing/>
        <w:rPr>
          <w:rFonts w:hAnsi="宋体" w:cs="宋体"/>
          <w:b/>
          <w:bCs/>
          <w:color w:val="000000"/>
          <w:highlight w:val="none"/>
        </w:rPr>
      </w:pPr>
    </w:p>
    <w:p w14:paraId="58FDC4E3">
      <w:pPr>
        <w:pStyle w:val="213"/>
        <w:spacing w:line="390" w:lineRule="exact"/>
        <w:contextualSpacing/>
        <w:rPr>
          <w:rFonts w:hAnsi="宋体" w:cs="宋体"/>
          <w:b/>
          <w:bCs/>
          <w:color w:val="000000"/>
          <w:highlight w:val="none"/>
        </w:rPr>
      </w:pPr>
    </w:p>
    <w:p w14:paraId="6479805C">
      <w:pPr>
        <w:spacing w:line="360" w:lineRule="auto"/>
        <w:jc w:val="center"/>
        <w:outlineLvl w:val="1"/>
        <w:rPr>
          <w:rFonts w:hint="eastAsia" w:ascii="宋体" w:hAnsi="宋体" w:eastAsia="宋体" w:cs="宋体"/>
          <w:b/>
          <w:color w:val="000000"/>
          <w:sz w:val="28"/>
          <w:szCs w:val="28"/>
          <w:highlight w:val="none"/>
        </w:rPr>
      </w:pPr>
      <w:bookmarkStart w:id="206" w:name="_Toc18791"/>
      <w:bookmarkStart w:id="207" w:name="_Toc30701"/>
      <w:bookmarkStart w:id="208" w:name="_Toc20149"/>
      <w:bookmarkStart w:id="209" w:name="_Toc12929"/>
      <w:bookmarkStart w:id="210" w:name="_Toc17907"/>
      <w:bookmarkStart w:id="211" w:name="_Toc12927"/>
      <w:bookmarkStart w:id="212" w:name="_Toc30534"/>
      <w:r>
        <w:rPr>
          <w:rFonts w:hint="eastAsia" w:ascii="宋体" w:hAnsi="宋体" w:eastAsia="宋体" w:cs="宋体"/>
          <w:b/>
          <w:color w:val="000000"/>
          <w:sz w:val="28"/>
          <w:szCs w:val="28"/>
          <w:highlight w:val="none"/>
        </w:rPr>
        <w:t>第三章  采购需求</w:t>
      </w:r>
      <w:bookmarkEnd w:id="205"/>
      <w:bookmarkEnd w:id="206"/>
      <w:bookmarkEnd w:id="207"/>
      <w:bookmarkEnd w:id="208"/>
    </w:p>
    <w:p w14:paraId="7E8961F0">
      <w:pPr>
        <w:pStyle w:val="14"/>
        <w:rPr>
          <w:b/>
          <w:bCs/>
          <w:color w:val="000000"/>
          <w:highlight w:val="none"/>
        </w:rPr>
      </w:pPr>
      <w:r>
        <w:rPr>
          <w:rFonts w:hint="eastAsia"/>
          <w:b/>
          <w:bCs/>
          <w:color w:val="000000"/>
          <w:highlight w:val="none"/>
        </w:rPr>
        <w:t>注：</w:t>
      </w:r>
      <w:r>
        <w:rPr>
          <w:rFonts w:hint="eastAsia" w:eastAsia="宋体" w:asciiTheme="minorEastAsia" w:hAnsi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采购需求</w:t>
      </w:r>
      <w:r>
        <w:rPr>
          <w:rFonts w:hint="eastAsia" w:eastAsia="宋体" w:asciiTheme="minorEastAsia" w:hAnsi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中除现场勘察相关要求外</w:t>
      </w:r>
      <w:r>
        <w:rPr>
          <w:rFonts w:hint="eastAsia" w:asciiTheme="minorEastAsia" w:hAnsiTheme="minorEastAsia" w:eastAsiaTheme="minorEastAsia" w:cstheme="minorEastAsia"/>
          <w:b/>
          <w:bCs/>
          <w:color w:val="auto"/>
          <w:szCs w:val="21"/>
          <w:highlight w:val="none"/>
          <w:lang w:eastAsia="zh-CN"/>
        </w:rPr>
        <w:t>，其他</w:t>
      </w:r>
      <w:r>
        <w:rPr>
          <w:rFonts w:hint="eastAsia" w:asciiTheme="minorEastAsia" w:hAnsiTheme="minorEastAsia" w:eastAsiaTheme="minorEastAsia" w:cstheme="minorEastAsia"/>
          <w:b/>
          <w:bCs/>
          <w:color w:val="auto"/>
          <w:szCs w:val="21"/>
          <w:highlight w:val="none"/>
        </w:rPr>
        <w:t>均为实质性要求</w:t>
      </w:r>
      <w:r>
        <w:rPr>
          <w:rFonts w:hint="eastAsia"/>
          <w:b/>
          <w:bCs/>
          <w:color w:val="000000"/>
          <w:highlight w:val="none"/>
        </w:rPr>
        <w:t>，不允许负偏离，否则投标无效。</w:t>
      </w:r>
    </w:p>
    <w:p w14:paraId="257810F3">
      <w:pPr>
        <w:numPr>
          <w:ilvl w:val="0"/>
          <w:numId w:val="0"/>
        </w:numPr>
        <w:outlineLvl w:val="1"/>
        <w:rPr>
          <w:rFonts w:hint="eastAsia" w:ascii="Times New Roman" w:hAnsi="Times New Roman" w:eastAsia="宋体" w:cs="Times New Roman"/>
          <w:b/>
          <w:bCs/>
          <w:color w:val="000000"/>
          <w:highlight w:val="none"/>
        </w:rPr>
      </w:pPr>
      <w:r>
        <w:rPr>
          <w:rFonts w:hint="eastAsia" w:ascii="Times New Roman" w:hAnsi="Times New Roman" w:eastAsia="宋体" w:cs="Times New Roman"/>
          <w:b/>
          <w:bCs/>
          <w:color w:val="000000"/>
          <w:highlight w:val="none"/>
          <w:lang w:val="en-US" w:eastAsia="zh-CN"/>
        </w:rPr>
        <w:t>1.</w:t>
      </w:r>
      <w:r>
        <w:rPr>
          <w:rFonts w:hint="eastAsia" w:ascii="Times New Roman" w:hAnsi="Times New Roman" w:eastAsia="宋体" w:cs="Times New Roman"/>
          <w:b/>
          <w:bCs/>
          <w:color w:val="000000"/>
          <w:highlight w:val="none"/>
        </w:rPr>
        <w:t>项目基本情况</w:t>
      </w:r>
    </w:p>
    <w:p w14:paraId="66B20889">
      <w:pPr>
        <w:outlineLvl w:val="2"/>
        <w:rPr>
          <w:color w:val="000000"/>
          <w:highlight w:val="none"/>
        </w:rPr>
      </w:pPr>
      <w:r>
        <w:rPr>
          <w:rFonts w:hint="eastAsia"/>
          <w:color w:val="000000"/>
          <w:highlight w:val="none"/>
        </w:rPr>
        <w:t>1.1物业情况</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5068"/>
      </w:tblGrid>
      <w:tr w14:paraId="3217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op w:val="single" w:color="auto" w:sz="4" w:space="0"/>
              <w:left w:val="single" w:color="auto" w:sz="4" w:space="0"/>
              <w:bottom w:val="single" w:color="auto" w:sz="4" w:space="0"/>
              <w:right w:val="single" w:color="auto" w:sz="4" w:space="0"/>
            </w:tcBorders>
            <w:noWrap w:val="0"/>
            <w:vAlign w:val="top"/>
          </w:tcPr>
          <w:p w14:paraId="764516D3">
            <w:pPr>
              <w:jc w:val="center"/>
              <w:rPr>
                <w:color w:val="000000"/>
                <w:highlight w:val="none"/>
              </w:rPr>
            </w:pPr>
            <w:r>
              <w:rPr>
                <w:rFonts w:hint="eastAsia"/>
                <w:color w:val="000000"/>
                <w:highlight w:val="none"/>
              </w:rPr>
              <w:t>物业名称</w:t>
            </w:r>
          </w:p>
        </w:tc>
        <w:tc>
          <w:tcPr>
            <w:tcW w:w="5068" w:type="dxa"/>
            <w:tcBorders>
              <w:top w:val="single" w:color="auto" w:sz="4" w:space="0"/>
              <w:left w:val="single" w:color="auto" w:sz="4" w:space="0"/>
              <w:bottom w:val="single" w:color="auto" w:sz="4" w:space="0"/>
              <w:right w:val="single" w:color="auto" w:sz="4" w:space="0"/>
            </w:tcBorders>
            <w:noWrap w:val="0"/>
            <w:vAlign w:val="top"/>
          </w:tcPr>
          <w:p w14:paraId="28779256">
            <w:pPr>
              <w:jc w:val="center"/>
              <w:rPr>
                <w:color w:val="000000"/>
                <w:highlight w:val="none"/>
              </w:rPr>
            </w:pPr>
            <w:r>
              <w:rPr>
                <w:rFonts w:hint="eastAsia"/>
                <w:color w:val="000000"/>
                <w:highlight w:val="none"/>
              </w:rPr>
              <w:t>物业地址</w:t>
            </w:r>
          </w:p>
        </w:tc>
      </w:tr>
      <w:tr w14:paraId="47B4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op w:val="single" w:color="auto" w:sz="4" w:space="0"/>
              <w:left w:val="single" w:color="auto" w:sz="4" w:space="0"/>
              <w:bottom w:val="single" w:color="auto" w:sz="4" w:space="0"/>
              <w:right w:val="single" w:color="auto" w:sz="4" w:space="0"/>
            </w:tcBorders>
            <w:noWrap w:val="0"/>
            <w:vAlign w:val="top"/>
          </w:tcPr>
          <w:p w14:paraId="3547F388">
            <w:pPr>
              <w:rPr>
                <w:rFonts w:hint="eastAsia" w:eastAsia="宋体"/>
                <w:color w:val="auto"/>
                <w:highlight w:val="none"/>
                <w:lang w:eastAsia="zh-CN"/>
              </w:rPr>
            </w:pPr>
            <w:r>
              <w:rPr>
                <w:rFonts w:hint="eastAsia"/>
                <w:color w:val="auto"/>
                <w:highlight w:val="none"/>
              </w:rPr>
              <w:t>物业名称1：</w:t>
            </w:r>
            <w:r>
              <w:rPr>
                <w:rFonts w:hint="eastAsia"/>
                <w:color w:val="auto"/>
                <w:highlight w:val="none"/>
                <w:lang w:eastAsia="zh-CN"/>
              </w:rPr>
              <w:t>桂林市建设大厦、桂林投资发展商务大厦(桂林市市直机关第二办公区)</w:t>
            </w:r>
          </w:p>
        </w:tc>
        <w:tc>
          <w:tcPr>
            <w:tcW w:w="5068" w:type="dxa"/>
            <w:tcBorders>
              <w:top w:val="single" w:color="auto" w:sz="4" w:space="0"/>
              <w:left w:val="single" w:color="auto" w:sz="4" w:space="0"/>
              <w:bottom w:val="single" w:color="auto" w:sz="4" w:space="0"/>
              <w:right w:val="single" w:color="auto" w:sz="4" w:space="0"/>
            </w:tcBorders>
            <w:noWrap w:val="0"/>
            <w:vAlign w:val="top"/>
          </w:tcPr>
          <w:p w14:paraId="2F9E0A94">
            <w:pPr>
              <w:rPr>
                <w:color w:val="auto"/>
                <w:highlight w:val="none"/>
              </w:rPr>
            </w:pPr>
            <w:r>
              <w:rPr>
                <w:rFonts w:hint="eastAsia"/>
                <w:color w:val="auto"/>
                <w:highlight w:val="none"/>
              </w:rPr>
              <w:t>桂林市临桂区青莲路1号、桂林市青莲路8号</w:t>
            </w:r>
          </w:p>
        </w:tc>
      </w:tr>
      <w:tr w14:paraId="4C6B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op w:val="single" w:color="auto" w:sz="4" w:space="0"/>
              <w:left w:val="single" w:color="auto" w:sz="4" w:space="0"/>
              <w:bottom w:val="single" w:color="auto" w:sz="4" w:space="0"/>
              <w:right w:val="single" w:color="auto" w:sz="4" w:space="0"/>
            </w:tcBorders>
            <w:noWrap w:val="0"/>
            <w:vAlign w:val="top"/>
          </w:tcPr>
          <w:p w14:paraId="7CF6C026">
            <w:pPr>
              <w:rPr>
                <w:rFonts w:hint="eastAsia"/>
                <w:color w:val="auto"/>
                <w:highlight w:val="none"/>
              </w:rPr>
            </w:pPr>
            <w:r>
              <w:rPr>
                <w:rFonts w:hint="eastAsia"/>
                <w:color w:val="auto"/>
                <w:highlight w:val="none"/>
              </w:rPr>
              <w:t>物业名称</w:t>
            </w:r>
            <w:r>
              <w:rPr>
                <w:rFonts w:hint="eastAsia"/>
                <w:color w:val="auto"/>
                <w:highlight w:val="none"/>
                <w:lang w:val="en-US" w:eastAsia="zh-CN"/>
              </w:rPr>
              <w:t>2</w:t>
            </w:r>
            <w:r>
              <w:rPr>
                <w:rFonts w:hint="eastAsia"/>
                <w:color w:val="auto"/>
                <w:highlight w:val="none"/>
              </w:rPr>
              <w:t>：桂林市</w:t>
            </w:r>
            <w:r>
              <w:rPr>
                <w:rFonts w:hint="eastAsia"/>
                <w:color w:val="auto"/>
                <w:highlight w:val="none"/>
                <w:lang w:eastAsia="zh-CN"/>
              </w:rPr>
              <w:t>交通枢纽指挥中心（鼎晟大厦）</w:t>
            </w:r>
          </w:p>
        </w:tc>
        <w:tc>
          <w:tcPr>
            <w:tcW w:w="5068" w:type="dxa"/>
            <w:tcBorders>
              <w:top w:val="single" w:color="auto" w:sz="4" w:space="0"/>
              <w:left w:val="single" w:color="auto" w:sz="4" w:space="0"/>
              <w:bottom w:val="single" w:color="auto" w:sz="4" w:space="0"/>
              <w:right w:val="single" w:color="auto" w:sz="4" w:space="0"/>
            </w:tcBorders>
            <w:noWrap w:val="0"/>
            <w:vAlign w:val="top"/>
          </w:tcPr>
          <w:p w14:paraId="080DE5DE">
            <w:pPr>
              <w:rPr>
                <w:rFonts w:hint="eastAsia"/>
                <w:color w:val="auto"/>
                <w:highlight w:val="none"/>
              </w:rPr>
            </w:pPr>
            <w:r>
              <w:rPr>
                <w:rFonts w:hint="eastAsia"/>
                <w:color w:val="auto"/>
                <w:highlight w:val="none"/>
              </w:rPr>
              <w:t>桂林市临桂区万福路北侧、人民路西侧万福桥头、万福路与人民路交汇处</w:t>
            </w:r>
          </w:p>
        </w:tc>
      </w:tr>
    </w:tbl>
    <w:p w14:paraId="386DC814">
      <w:pPr>
        <w:keepNext w:val="0"/>
        <w:keepLines w:val="0"/>
        <w:pageBreakBefore w:val="0"/>
        <w:widowControl w:val="0"/>
        <w:bidi w:val="0"/>
        <w:spacing w:line="240" w:lineRule="auto"/>
        <w:ind w:left="0" w:right="0" w:firstLine="0"/>
        <w:jc w:val="both"/>
        <w:outlineLvl w:val="9"/>
        <w:rPr>
          <w:color w:val="auto"/>
          <w:highlight w:val="none"/>
        </w:rPr>
      </w:pPr>
      <w:r>
        <w:rPr>
          <w:rFonts w:hint="eastAsia"/>
          <w:color w:val="auto"/>
          <w:highlight w:val="none"/>
        </w:rPr>
        <w:t>1.2采购人提供供应商使用的场地</w:t>
      </w:r>
    </w:p>
    <w:p w14:paraId="7014E96A">
      <w:pPr>
        <w:pStyle w:val="203"/>
        <w:keepNext w:val="0"/>
        <w:keepLines w:val="0"/>
        <w:pageBreakBefore w:val="0"/>
        <w:widowControl w:val="0"/>
        <w:numPr>
          <w:ilvl w:val="0"/>
          <w:numId w:val="4"/>
        </w:numPr>
        <w:bidi w:val="0"/>
        <w:spacing w:line="240" w:lineRule="auto"/>
        <w:ind w:left="0" w:right="0" w:firstLine="0"/>
        <w:jc w:val="both"/>
        <w:outlineLvl w:val="9"/>
        <w:rPr>
          <w:rFonts w:hint="eastAsia" w:ascii="宋体" w:hAnsi="宋体" w:cs="宋体"/>
          <w:color w:val="auto"/>
          <w:szCs w:val="21"/>
        </w:rPr>
      </w:pPr>
      <w:r>
        <w:rPr>
          <w:rFonts w:hint="eastAsia" w:ascii="宋体" w:hAnsi="宋体" w:cs="宋体"/>
          <w:color w:val="auto"/>
          <w:szCs w:val="21"/>
          <w:lang w:eastAsia="zh-CN"/>
        </w:rPr>
        <w:t>采购人</w:t>
      </w:r>
      <w:r>
        <w:rPr>
          <w:rFonts w:hint="eastAsia" w:ascii="宋体" w:hAnsi="宋体" w:cs="宋体"/>
          <w:color w:val="auto"/>
          <w:szCs w:val="21"/>
        </w:rPr>
        <w:t>提供物业用房、</w:t>
      </w:r>
      <w:r>
        <w:rPr>
          <w:rFonts w:hint="eastAsia" w:ascii="宋体" w:hAnsi="宋体" w:cs="宋体"/>
          <w:color w:val="auto"/>
          <w:szCs w:val="21"/>
          <w:lang w:val="en-US" w:eastAsia="zh-CN"/>
        </w:rPr>
        <w:t>安保</w:t>
      </w:r>
      <w:r>
        <w:rPr>
          <w:rFonts w:hint="eastAsia" w:ascii="宋体" w:hAnsi="宋体" w:cs="宋体"/>
          <w:color w:val="auto"/>
          <w:szCs w:val="21"/>
        </w:rPr>
        <w:t>值班室，其他办公用品。</w:t>
      </w:r>
    </w:p>
    <w:p w14:paraId="64D5F27A">
      <w:pPr>
        <w:pStyle w:val="203"/>
        <w:keepNext w:val="0"/>
        <w:keepLines w:val="0"/>
        <w:pageBreakBefore w:val="0"/>
        <w:widowControl w:val="0"/>
        <w:numPr>
          <w:ilvl w:val="0"/>
          <w:numId w:val="0"/>
        </w:numPr>
        <w:bidi w:val="0"/>
        <w:spacing w:line="240" w:lineRule="auto"/>
        <w:ind w:right="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cs="宋体"/>
          <w:color w:val="auto"/>
          <w:szCs w:val="21"/>
        </w:rPr>
        <w:t>根据需要在适合的楼层配备洁具堆放间，其它房间（如设备工具间、保洁仓库、保洁工作间、员工的更衣室、会议仓库、会议工作间）进场后视情况协调解决。</w:t>
      </w:r>
    </w:p>
    <w:p w14:paraId="1D334151">
      <w:pPr>
        <w:numPr>
          <w:ilvl w:val="0"/>
          <w:numId w:val="0"/>
        </w:numPr>
        <w:outlineLvl w:val="1"/>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2.物业服务范围</w:t>
      </w:r>
      <w:r>
        <w:rPr>
          <w:rFonts w:hint="eastAsia"/>
          <w:color w:val="auto"/>
          <w:lang w:eastAsia="zh-CN"/>
        </w:rPr>
        <w:t>：</w:t>
      </w:r>
      <w:r>
        <w:rPr>
          <w:rFonts w:hint="eastAsia"/>
          <w:b/>
          <w:bCs/>
          <w:color w:val="auto"/>
          <w:lang w:eastAsia="zh-CN"/>
        </w:rPr>
        <w:t>指桂林投资发展商务大厦、桂林投资发展商务大厦附楼、桂林市建设大厦主楼、桂林市建设大厦附楼、交通枢纽指挥中心(鼎晟大厦)主楼、交通枢纽指挥中心(鼎晟大厦)辅楼、用地范围内。</w:t>
      </w:r>
    </w:p>
    <w:p w14:paraId="446F731C">
      <w:pPr>
        <w:numPr>
          <w:ilvl w:val="0"/>
          <w:numId w:val="5"/>
        </w:numPr>
        <w:ind w:left="210"/>
        <w:outlineLvl w:val="2"/>
        <w:rPr>
          <w:color w:val="auto"/>
          <w:highlight w:val="none"/>
        </w:rPr>
      </w:pPr>
      <w:r>
        <w:rPr>
          <w:rFonts w:hint="eastAsia"/>
          <w:color w:val="auto"/>
          <w:highlight w:val="none"/>
          <w:lang w:eastAsia="zh-CN"/>
        </w:rPr>
        <w:t>物业</w:t>
      </w:r>
      <w:r>
        <w:rPr>
          <w:rFonts w:hint="eastAsia"/>
          <w:color w:val="auto"/>
          <w:highlight w:val="none"/>
          <w:lang w:val="en-US" w:eastAsia="zh-CN"/>
        </w:rPr>
        <w:t>1（</w:t>
      </w:r>
      <w:r>
        <w:rPr>
          <w:rFonts w:hint="eastAsia"/>
          <w:color w:val="auto"/>
          <w:highlight w:val="none"/>
          <w:lang w:eastAsia="zh-CN"/>
        </w:rPr>
        <w:t>桂林市建设大厦、桂林投资发展商务大厦(桂林市市直机关第二办公区)</w:t>
      </w:r>
      <w:r>
        <w:rPr>
          <w:rFonts w:hint="eastAsia"/>
          <w:color w:val="auto"/>
          <w:highlight w:val="none"/>
          <w:lang w:val="en-US" w:eastAsia="zh-CN"/>
        </w:rPr>
        <w:t>）：</w:t>
      </w:r>
      <w:r>
        <w:rPr>
          <w:rFonts w:hint="eastAsia"/>
          <w:color w:val="auto"/>
          <w:highlight w:val="none"/>
        </w:rPr>
        <w:t>物业管理（建筑物）</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75"/>
        <w:gridCol w:w="2841"/>
        <w:gridCol w:w="3719"/>
      </w:tblGrid>
      <w:tr w14:paraId="32E7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gridSpan w:val="2"/>
            <w:tcBorders>
              <w:top w:val="single" w:color="auto" w:sz="4" w:space="0"/>
              <w:left w:val="single" w:color="auto" w:sz="4" w:space="0"/>
              <w:bottom w:val="single" w:color="auto" w:sz="4" w:space="0"/>
              <w:right w:val="single" w:color="auto" w:sz="4" w:space="0"/>
            </w:tcBorders>
            <w:noWrap w:val="0"/>
            <w:vAlign w:val="center"/>
          </w:tcPr>
          <w:p w14:paraId="76C67E84">
            <w:pPr>
              <w:jc w:val="both"/>
              <w:rPr>
                <w:rFonts w:hint="eastAsia"/>
                <w:color w:val="000000"/>
                <w:highlight w:val="none"/>
              </w:rPr>
            </w:pPr>
            <w:r>
              <w:rPr>
                <w:rFonts w:hint="eastAsia"/>
                <w:color w:val="000000"/>
                <w:highlight w:val="none"/>
              </w:rPr>
              <w:t>名称</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0B3CFB63">
            <w:pPr>
              <w:jc w:val="both"/>
              <w:rPr>
                <w:rFonts w:hint="eastAsia"/>
                <w:color w:val="000000"/>
                <w:highlight w:val="none"/>
              </w:rPr>
            </w:pPr>
            <w:r>
              <w:rPr>
                <w:rFonts w:hint="eastAsia"/>
                <w:color w:val="000000"/>
                <w:highlight w:val="none"/>
              </w:rPr>
              <w:t>明细</w:t>
            </w:r>
          </w:p>
        </w:tc>
        <w:tc>
          <w:tcPr>
            <w:tcW w:w="3719" w:type="dxa"/>
            <w:tcBorders>
              <w:top w:val="single" w:color="auto" w:sz="4" w:space="0"/>
              <w:left w:val="single" w:color="auto" w:sz="4" w:space="0"/>
              <w:bottom w:val="single" w:color="auto" w:sz="4" w:space="0"/>
              <w:right w:val="single" w:color="auto" w:sz="4" w:space="0"/>
            </w:tcBorders>
            <w:noWrap w:val="0"/>
            <w:vAlign w:val="center"/>
          </w:tcPr>
          <w:p w14:paraId="0C4E5182">
            <w:pPr>
              <w:jc w:val="both"/>
              <w:rPr>
                <w:rFonts w:hint="eastAsia"/>
                <w:color w:val="000000"/>
                <w:highlight w:val="none"/>
              </w:rPr>
            </w:pPr>
            <w:r>
              <w:rPr>
                <w:rFonts w:hint="eastAsia"/>
                <w:color w:val="000000"/>
                <w:highlight w:val="none"/>
              </w:rPr>
              <w:t>服务内容及标准</w:t>
            </w:r>
          </w:p>
        </w:tc>
      </w:tr>
      <w:tr w14:paraId="29DF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gridSpan w:val="2"/>
            <w:tcBorders>
              <w:top w:val="single" w:color="auto" w:sz="4" w:space="0"/>
              <w:left w:val="single" w:color="auto" w:sz="4" w:space="0"/>
              <w:bottom w:val="single" w:color="auto" w:sz="4" w:space="0"/>
              <w:right w:val="single" w:color="auto" w:sz="4" w:space="0"/>
            </w:tcBorders>
            <w:noWrap w:val="0"/>
            <w:vAlign w:val="center"/>
          </w:tcPr>
          <w:p w14:paraId="7A3B006A">
            <w:pPr>
              <w:jc w:val="both"/>
              <w:rPr>
                <w:rFonts w:hint="eastAsia"/>
                <w:color w:val="000000"/>
                <w:highlight w:val="none"/>
              </w:rPr>
            </w:pPr>
            <w:r>
              <w:rPr>
                <w:rFonts w:hint="eastAsia"/>
                <w:color w:val="000000"/>
                <w:highlight w:val="none"/>
              </w:rPr>
              <w:t>建筑名称</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33D8E45F">
            <w:pPr>
              <w:jc w:val="both"/>
              <w:rPr>
                <w:rFonts w:hint="eastAsia"/>
                <w:color w:val="000000"/>
                <w:highlight w:val="none"/>
              </w:rPr>
            </w:pPr>
            <w:r>
              <w:rPr>
                <w:rFonts w:hint="eastAsia"/>
                <w:color w:val="000000"/>
                <w:highlight w:val="none"/>
                <w:lang w:val="en-US" w:eastAsia="zh-CN"/>
              </w:rPr>
              <w:t>发展</w:t>
            </w:r>
            <w:r>
              <w:rPr>
                <w:rFonts w:hint="eastAsia"/>
                <w:color w:val="000000"/>
                <w:highlight w:val="none"/>
              </w:rPr>
              <w:t>大厦</w:t>
            </w:r>
            <w:r>
              <w:rPr>
                <w:rFonts w:hint="eastAsia"/>
                <w:color w:val="000000"/>
                <w:highlight w:val="none"/>
                <w:lang w:eastAsia="zh-CN"/>
              </w:rPr>
              <w:t>、</w:t>
            </w:r>
            <w:r>
              <w:rPr>
                <w:rFonts w:hint="eastAsia"/>
                <w:color w:val="000000"/>
                <w:highlight w:val="none"/>
                <w:lang w:val="en-US" w:eastAsia="zh-CN"/>
              </w:rPr>
              <w:t>发展大厦附楼</w:t>
            </w:r>
            <w:r>
              <w:rPr>
                <w:rFonts w:hint="eastAsia"/>
                <w:color w:val="000000"/>
                <w:highlight w:val="none"/>
                <w:lang w:eastAsia="zh-CN"/>
              </w:rPr>
              <w:t>；</w:t>
            </w:r>
            <w:r>
              <w:rPr>
                <w:rFonts w:hint="eastAsia"/>
                <w:color w:val="000000"/>
                <w:highlight w:val="none"/>
                <w:lang w:val="en-US" w:eastAsia="zh-CN"/>
              </w:rPr>
              <w:t>住建大厦</w:t>
            </w:r>
            <w:r>
              <w:rPr>
                <w:rFonts w:hint="eastAsia"/>
                <w:color w:val="000000"/>
                <w:highlight w:val="none"/>
                <w:lang w:eastAsia="zh-CN"/>
              </w:rPr>
              <w:t>主楼、</w:t>
            </w:r>
            <w:r>
              <w:rPr>
                <w:rFonts w:hint="eastAsia"/>
                <w:color w:val="000000"/>
                <w:highlight w:val="none"/>
                <w:lang w:val="en-US" w:eastAsia="zh-CN"/>
              </w:rPr>
              <w:t>住建大厦</w:t>
            </w:r>
            <w:r>
              <w:rPr>
                <w:rFonts w:hint="eastAsia"/>
                <w:color w:val="000000"/>
                <w:highlight w:val="none"/>
                <w:lang w:eastAsia="zh-CN"/>
              </w:rPr>
              <w:t>附</w:t>
            </w:r>
            <w:r>
              <w:rPr>
                <w:rFonts w:hint="eastAsia"/>
                <w:color w:val="000000"/>
                <w:highlight w:val="none"/>
              </w:rPr>
              <w:t>楼</w:t>
            </w:r>
          </w:p>
        </w:tc>
        <w:tc>
          <w:tcPr>
            <w:tcW w:w="3719" w:type="dxa"/>
            <w:tcBorders>
              <w:top w:val="single" w:color="auto" w:sz="4" w:space="0"/>
              <w:left w:val="single" w:color="auto" w:sz="4" w:space="0"/>
              <w:bottom w:val="single" w:color="auto" w:sz="4" w:space="0"/>
              <w:right w:val="single" w:color="auto" w:sz="4" w:space="0"/>
            </w:tcBorders>
            <w:noWrap w:val="0"/>
            <w:vAlign w:val="center"/>
          </w:tcPr>
          <w:p w14:paraId="71F9EAA9">
            <w:pPr>
              <w:jc w:val="both"/>
              <w:rPr>
                <w:rFonts w:hint="eastAsia"/>
                <w:color w:val="000000"/>
                <w:highlight w:val="none"/>
              </w:rPr>
            </w:pPr>
          </w:p>
        </w:tc>
      </w:tr>
      <w:tr w14:paraId="134D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5" w:type="dxa"/>
            <w:vMerge w:val="restart"/>
            <w:tcBorders>
              <w:top w:val="single" w:color="auto" w:sz="4" w:space="0"/>
              <w:left w:val="single" w:color="auto" w:sz="4" w:space="0"/>
              <w:bottom w:val="single" w:color="auto" w:sz="4" w:space="0"/>
              <w:right w:val="single" w:color="auto" w:sz="4" w:space="0"/>
            </w:tcBorders>
            <w:noWrap w:val="0"/>
            <w:vAlign w:val="center"/>
          </w:tcPr>
          <w:p w14:paraId="69563AC3">
            <w:pPr>
              <w:jc w:val="both"/>
              <w:rPr>
                <w:rFonts w:hint="eastAsia"/>
                <w:color w:val="000000"/>
                <w:highlight w:val="none"/>
              </w:rPr>
            </w:pPr>
            <w:r>
              <w:rPr>
                <w:rFonts w:hint="eastAsia"/>
                <w:color w:val="000000"/>
                <w:highlight w:val="none"/>
              </w:rPr>
              <w:t>总面积</w:t>
            </w:r>
          </w:p>
        </w:tc>
        <w:tc>
          <w:tcPr>
            <w:tcW w:w="2075" w:type="dxa"/>
            <w:tcBorders>
              <w:top w:val="single" w:color="auto" w:sz="4" w:space="0"/>
              <w:left w:val="single" w:color="auto" w:sz="4" w:space="0"/>
              <w:bottom w:val="single" w:color="auto" w:sz="4" w:space="0"/>
              <w:right w:val="single" w:color="auto" w:sz="4" w:space="0"/>
            </w:tcBorders>
            <w:noWrap w:val="0"/>
            <w:vAlign w:val="center"/>
          </w:tcPr>
          <w:p w14:paraId="510C4D1D">
            <w:pPr>
              <w:jc w:val="both"/>
              <w:rPr>
                <w:rFonts w:hint="eastAsia"/>
                <w:color w:val="000000"/>
                <w:highlight w:val="none"/>
              </w:rPr>
            </w:pPr>
            <w:r>
              <w:rPr>
                <w:rFonts w:hint="eastAsia"/>
                <w:color w:val="000000"/>
                <w:highlight w:val="none"/>
              </w:rPr>
              <w:t>建筑面积（㎡）</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3EA80661">
            <w:pPr>
              <w:jc w:val="both"/>
              <w:rPr>
                <w:rFonts w:hint="eastAsia" w:eastAsia="宋体"/>
                <w:color w:val="000000"/>
                <w:highlight w:val="none"/>
                <w:lang w:val="en-US" w:eastAsia="zh-CN"/>
              </w:rPr>
            </w:pPr>
            <w:r>
              <w:rPr>
                <w:rFonts w:hint="eastAsia"/>
                <w:color w:val="000000"/>
                <w:highlight w:val="none"/>
                <w:lang w:val="en-US" w:eastAsia="zh-CN"/>
              </w:rPr>
              <w:t>8.02</w:t>
            </w:r>
            <w:r>
              <w:rPr>
                <w:rFonts w:hint="eastAsia"/>
                <w:color w:val="000000"/>
                <w:highlight w:val="none"/>
              </w:rPr>
              <w:t>万平方米</w:t>
            </w:r>
          </w:p>
        </w:tc>
        <w:tc>
          <w:tcPr>
            <w:tcW w:w="3719" w:type="dxa"/>
            <w:tcBorders>
              <w:top w:val="single" w:color="auto" w:sz="4" w:space="0"/>
              <w:left w:val="single" w:color="auto" w:sz="4" w:space="0"/>
              <w:bottom w:val="single" w:color="auto" w:sz="4" w:space="0"/>
              <w:right w:val="single" w:color="auto" w:sz="4" w:space="0"/>
            </w:tcBorders>
            <w:noWrap w:val="0"/>
            <w:vAlign w:val="center"/>
          </w:tcPr>
          <w:p w14:paraId="67B447E1">
            <w:pPr>
              <w:jc w:val="both"/>
              <w:rPr>
                <w:rFonts w:hint="eastAsia"/>
                <w:color w:val="000000"/>
                <w:highlight w:val="none"/>
              </w:rPr>
            </w:pPr>
            <w:r>
              <w:rPr>
                <w:rFonts w:hint="eastAsia"/>
                <w:color w:val="000000"/>
                <w:highlight w:val="none"/>
              </w:rPr>
              <w:t>见“3.6保安服务”</w:t>
            </w:r>
          </w:p>
        </w:tc>
      </w:tr>
      <w:tr w14:paraId="4188DD36">
        <w:tblPrEx>
          <w:tblCellMar>
            <w:top w:w="0" w:type="dxa"/>
            <w:left w:w="108" w:type="dxa"/>
            <w:bottom w:w="0" w:type="dxa"/>
            <w:right w:w="108" w:type="dxa"/>
          </w:tblCellMar>
        </w:tblPrEx>
        <w:trPr>
          <w:trHeight w:val="312"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14:paraId="1FB9F4D2">
            <w:pPr>
              <w:jc w:val="both"/>
              <w:rPr>
                <w:color w:val="000000"/>
                <w:highlight w:val="none"/>
              </w:rPr>
            </w:pPr>
          </w:p>
        </w:tc>
        <w:tc>
          <w:tcPr>
            <w:tcW w:w="2075" w:type="dxa"/>
            <w:tcBorders>
              <w:top w:val="single" w:color="auto" w:sz="4" w:space="0"/>
              <w:left w:val="single" w:color="auto" w:sz="4" w:space="0"/>
              <w:bottom w:val="single" w:color="auto" w:sz="4" w:space="0"/>
              <w:right w:val="single" w:color="auto" w:sz="4" w:space="0"/>
            </w:tcBorders>
            <w:noWrap w:val="0"/>
            <w:vAlign w:val="center"/>
          </w:tcPr>
          <w:p w14:paraId="07CA9B58">
            <w:pPr>
              <w:jc w:val="both"/>
              <w:rPr>
                <w:rFonts w:hint="eastAsia"/>
                <w:color w:val="000000"/>
                <w:highlight w:val="none"/>
              </w:rPr>
            </w:pPr>
            <w:r>
              <w:rPr>
                <w:rFonts w:hint="eastAsia"/>
                <w:color w:val="000000"/>
                <w:highlight w:val="none"/>
              </w:rPr>
              <w:t>保洁面积（㎡）</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466C4377">
            <w:pPr>
              <w:jc w:val="both"/>
              <w:rPr>
                <w:rFonts w:hint="eastAsia"/>
                <w:color w:val="000000"/>
                <w:highlight w:val="none"/>
              </w:rPr>
            </w:pPr>
            <w:r>
              <w:rPr>
                <w:rFonts w:hint="eastAsia"/>
                <w:color w:val="000000"/>
                <w:highlight w:val="none"/>
                <w:lang w:val="en-US" w:eastAsia="zh-CN"/>
              </w:rPr>
              <w:t>4.5</w:t>
            </w:r>
            <w:r>
              <w:rPr>
                <w:rFonts w:hint="eastAsia"/>
                <w:color w:val="000000"/>
                <w:highlight w:val="none"/>
              </w:rPr>
              <w:t>万平方米</w:t>
            </w:r>
          </w:p>
        </w:tc>
        <w:tc>
          <w:tcPr>
            <w:tcW w:w="3719" w:type="dxa"/>
            <w:tcBorders>
              <w:top w:val="single" w:color="auto" w:sz="4" w:space="0"/>
              <w:left w:val="single" w:color="auto" w:sz="4" w:space="0"/>
              <w:bottom w:val="single" w:color="auto" w:sz="4" w:space="0"/>
              <w:right w:val="single" w:color="auto" w:sz="4" w:space="0"/>
            </w:tcBorders>
            <w:noWrap w:val="0"/>
            <w:vAlign w:val="center"/>
          </w:tcPr>
          <w:p w14:paraId="273CDB53">
            <w:pPr>
              <w:jc w:val="both"/>
              <w:rPr>
                <w:rFonts w:hint="eastAsia"/>
                <w:color w:val="000000"/>
                <w:highlight w:val="none"/>
              </w:rPr>
            </w:pPr>
            <w:r>
              <w:rPr>
                <w:rFonts w:hint="eastAsia"/>
                <w:color w:val="000000"/>
                <w:highlight w:val="none"/>
              </w:rPr>
              <w:t>见“3.4保洁服务”</w:t>
            </w:r>
          </w:p>
        </w:tc>
      </w:tr>
      <w:tr w14:paraId="67B8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5FC304D0">
            <w:pPr>
              <w:jc w:val="both"/>
              <w:rPr>
                <w:rFonts w:hint="eastAsia"/>
                <w:color w:val="000000"/>
                <w:highlight w:val="none"/>
              </w:rPr>
            </w:pPr>
            <w:r>
              <w:rPr>
                <w:rFonts w:hint="eastAsia"/>
                <w:color w:val="000000"/>
                <w:highlight w:val="none"/>
              </w:rPr>
              <w:t>门窗</w:t>
            </w:r>
          </w:p>
        </w:tc>
        <w:tc>
          <w:tcPr>
            <w:tcW w:w="2075" w:type="dxa"/>
            <w:tcBorders>
              <w:top w:val="single" w:color="auto" w:sz="4" w:space="0"/>
              <w:left w:val="single" w:color="auto" w:sz="4" w:space="0"/>
              <w:bottom w:val="single" w:color="auto" w:sz="4" w:space="0"/>
              <w:right w:val="single" w:color="auto" w:sz="4" w:space="0"/>
            </w:tcBorders>
            <w:noWrap w:val="0"/>
            <w:vAlign w:val="center"/>
          </w:tcPr>
          <w:p w14:paraId="3429862A">
            <w:pPr>
              <w:jc w:val="both"/>
              <w:rPr>
                <w:rFonts w:hint="eastAsia"/>
                <w:color w:val="000000"/>
                <w:highlight w:val="none"/>
              </w:rPr>
            </w:pPr>
            <w:r>
              <w:rPr>
                <w:rFonts w:hint="eastAsia"/>
                <w:color w:val="000000"/>
                <w:highlight w:val="none"/>
              </w:rPr>
              <w:t>门窗总个数或总面积</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5B2D02AF">
            <w:pPr>
              <w:jc w:val="both"/>
              <w:rPr>
                <w:color w:val="000000"/>
                <w:highlight w:val="none"/>
              </w:rPr>
            </w:pPr>
            <w:r>
              <w:rPr>
                <w:rFonts w:hint="eastAsia"/>
                <w:color w:val="000000"/>
                <w:highlight w:val="none"/>
                <w:lang w:val="en-US" w:eastAsia="zh-CN"/>
              </w:rPr>
              <w:t>门1370</w:t>
            </w:r>
            <w:r>
              <w:rPr>
                <w:rFonts w:hint="eastAsia"/>
                <w:color w:val="000000"/>
                <w:highlight w:val="none"/>
              </w:rPr>
              <w:t>个</w:t>
            </w:r>
            <w:r>
              <w:t>，</w:t>
            </w:r>
            <w:r>
              <w:rPr>
                <w:rFonts w:hint="eastAsia"/>
                <w:color w:val="000000"/>
                <w:highlight w:val="none"/>
              </w:rPr>
              <w:t>窗户</w:t>
            </w:r>
            <w:r>
              <w:rPr>
                <w:rFonts w:hint="eastAsia"/>
                <w:color w:val="000000"/>
                <w:highlight w:val="none"/>
                <w:lang w:val="en-US" w:eastAsia="zh-CN"/>
              </w:rPr>
              <w:t>1922</w:t>
            </w:r>
            <w:r>
              <w:rPr>
                <w:rFonts w:hint="eastAsia"/>
                <w:color w:val="000000"/>
                <w:highlight w:val="none"/>
              </w:rPr>
              <w:t>个</w:t>
            </w:r>
          </w:p>
        </w:tc>
        <w:tc>
          <w:tcPr>
            <w:tcW w:w="3719" w:type="dxa"/>
            <w:tcBorders>
              <w:top w:val="single" w:color="auto" w:sz="4" w:space="0"/>
              <w:left w:val="single" w:color="auto" w:sz="4" w:space="0"/>
              <w:bottom w:val="single" w:color="auto" w:sz="4" w:space="0"/>
              <w:right w:val="single" w:color="auto" w:sz="4" w:space="0"/>
            </w:tcBorders>
            <w:noWrap w:val="0"/>
            <w:vAlign w:val="center"/>
          </w:tcPr>
          <w:p w14:paraId="3E25B093">
            <w:pPr>
              <w:jc w:val="both"/>
              <w:rPr>
                <w:rFonts w:hint="eastAsia"/>
                <w:color w:val="000000"/>
                <w:highlight w:val="none"/>
              </w:rPr>
            </w:pPr>
            <w:r>
              <w:rPr>
                <w:rFonts w:hint="eastAsia"/>
                <w:color w:val="000000"/>
                <w:highlight w:val="none"/>
              </w:rPr>
              <w:t>见“3.2房屋维护服务”“3.4保洁服务”</w:t>
            </w:r>
          </w:p>
        </w:tc>
      </w:tr>
      <w:tr w14:paraId="0071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424582C8">
            <w:pPr>
              <w:jc w:val="both"/>
              <w:rPr>
                <w:rFonts w:hint="eastAsia"/>
                <w:color w:val="000000"/>
                <w:highlight w:val="none"/>
              </w:rPr>
            </w:pPr>
            <w:r>
              <w:rPr>
                <w:rFonts w:hint="eastAsia"/>
                <w:color w:val="000000"/>
                <w:highlight w:val="none"/>
              </w:rPr>
              <w:t>地面</w:t>
            </w:r>
          </w:p>
        </w:tc>
        <w:tc>
          <w:tcPr>
            <w:tcW w:w="2075" w:type="dxa"/>
            <w:tcBorders>
              <w:top w:val="single" w:color="auto" w:sz="4" w:space="0"/>
              <w:left w:val="single" w:color="auto" w:sz="4" w:space="0"/>
              <w:bottom w:val="single" w:color="auto" w:sz="4" w:space="0"/>
              <w:right w:val="single" w:color="auto" w:sz="4" w:space="0"/>
            </w:tcBorders>
            <w:noWrap w:val="0"/>
            <w:vAlign w:val="center"/>
          </w:tcPr>
          <w:p w14:paraId="6E19D793">
            <w:pPr>
              <w:jc w:val="both"/>
              <w:rPr>
                <w:rFonts w:hint="eastAsia"/>
                <w:color w:val="000000"/>
                <w:highlight w:val="none"/>
              </w:rPr>
            </w:pPr>
            <w:r>
              <w:rPr>
                <w:rFonts w:hint="eastAsia"/>
                <w:color w:val="000000"/>
                <w:highlight w:val="none"/>
              </w:rPr>
              <w:t>地面各材质及面积</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5349026F">
            <w:pPr>
              <w:jc w:val="both"/>
              <w:rPr>
                <w:color w:val="000000"/>
                <w:highlight w:val="none"/>
              </w:rPr>
            </w:pPr>
            <w:r>
              <w:rPr>
                <w:rFonts w:hint="eastAsia"/>
                <w:color w:val="000000"/>
                <w:highlight w:val="none"/>
              </w:rPr>
              <w:t>环氧地坪面积</w:t>
            </w:r>
            <w:r>
              <w:rPr>
                <w:rFonts w:hint="eastAsia"/>
                <w:color w:val="000000"/>
                <w:highlight w:val="none"/>
                <w:lang w:val="en-US" w:eastAsia="zh-CN"/>
              </w:rPr>
              <w:t>8500平方米</w:t>
            </w:r>
            <w:r>
              <w:rPr>
                <w:rFonts w:hint="eastAsia"/>
                <w:color w:val="000000"/>
                <w:highlight w:val="none"/>
                <w:lang w:eastAsia="zh-CN"/>
              </w:rPr>
              <w:t>，</w:t>
            </w:r>
            <w:r>
              <w:rPr>
                <w:rFonts w:hint="eastAsia"/>
                <w:color w:val="000000"/>
                <w:highlight w:val="none"/>
              </w:rPr>
              <w:t>瓷砖地板面积</w:t>
            </w:r>
            <w:r>
              <w:rPr>
                <w:rFonts w:hint="eastAsia"/>
                <w:color w:val="000000"/>
                <w:highlight w:val="none"/>
                <w:lang w:val="en-US" w:eastAsia="zh-CN"/>
              </w:rPr>
              <w:t>3.5</w:t>
            </w:r>
            <w:r>
              <w:rPr>
                <w:rFonts w:hint="eastAsia"/>
                <w:color w:val="000000"/>
                <w:highlight w:val="none"/>
              </w:rPr>
              <w:t>万平方米</w:t>
            </w:r>
          </w:p>
        </w:tc>
        <w:tc>
          <w:tcPr>
            <w:tcW w:w="3719" w:type="dxa"/>
            <w:tcBorders>
              <w:top w:val="single" w:color="auto" w:sz="4" w:space="0"/>
              <w:left w:val="single" w:color="auto" w:sz="4" w:space="0"/>
              <w:bottom w:val="single" w:color="auto" w:sz="4" w:space="0"/>
              <w:right w:val="single" w:color="auto" w:sz="4" w:space="0"/>
            </w:tcBorders>
            <w:noWrap w:val="0"/>
            <w:vAlign w:val="center"/>
          </w:tcPr>
          <w:p w14:paraId="16940C4D">
            <w:pPr>
              <w:jc w:val="both"/>
              <w:rPr>
                <w:rFonts w:hint="eastAsia"/>
                <w:color w:val="000000"/>
                <w:highlight w:val="none"/>
              </w:rPr>
            </w:pPr>
            <w:r>
              <w:rPr>
                <w:rFonts w:hint="eastAsia"/>
                <w:color w:val="000000"/>
                <w:highlight w:val="none"/>
              </w:rPr>
              <w:t>见“3.2房屋维护服务”“3.4保洁服务”</w:t>
            </w:r>
          </w:p>
        </w:tc>
      </w:tr>
      <w:tr w14:paraId="6221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32D1D467">
            <w:pPr>
              <w:jc w:val="both"/>
              <w:rPr>
                <w:rFonts w:hint="eastAsia"/>
                <w:color w:val="000000"/>
                <w:highlight w:val="none"/>
              </w:rPr>
            </w:pPr>
            <w:r>
              <w:rPr>
                <w:rFonts w:hint="eastAsia"/>
                <w:color w:val="000000"/>
                <w:highlight w:val="none"/>
              </w:rPr>
              <w:t>内墙饰面</w:t>
            </w:r>
          </w:p>
        </w:tc>
        <w:tc>
          <w:tcPr>
            <w:tcW w:w="2075" w:type="dxa"/>
            <w:tcBorders>
              <w:top w:val="single" w:color="auto" w:sz="4" w:space="0"/>
              <w:left w:val="single" w:color="auto" w:sz="4" w:space="0"/>
              <w:bottom w:val="single" w:color="auto" w:sz="4" w:space="0"/>
              <w:right w:val="single" w:color="auto" w:sz="4" w:space="0"/>
            </w:tcBorders>
            <w:noWrap w:val="0"/>
            <w:vAlign w:val="center"/>
          </w:tcPr>
          <w:p w14:paraId="235695AE">
            <w:pPr>
              <w:jc w:val="both"/>
              <w:rPr>
                <w:rFonts w:hint="eastAsia"/>
                <w:color w:val="000000"/>
                <w:highlight w:val="none"/>
              </w:rPr>
            </w:pPr>
            <w:r>
              <w:rPr>
                <w:rFonts w:hint="eastAsia"/>
                <w:color w:val="000000"/>
                <w:highlight w:val="none"/>
              </w:rPr>
              <w:t>内墙饰面材质及面积</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7559D6FE">
            <w:pPr>
              <w:jc w:val="both"/>
              <w:rPr>
                <w:rFonts w:eastAsia="宋体"/>
                <w:color w:val="000000"/>
                <w:highlight w:val="none"/>
                <w:lang w:val="en-US" w:eastAsia="zh-CN"/>
              </w:rPr>
            </w:pPr>
            <w:r>
              <w:rPr>
                <w:rFonts w:hint="eastAsia"/>
                <w:color w:val="000000"/>
                <w:highlight w:val="none"/>
              </w:rPr>
              <w:t>乳胶漆</w:t>
            </w:r>
            <w:r>
              <w:rPr>
                <w:rFonts w:hint="eastAsia"/>
                <w:color w:val="000000"/>
                <w:highlight w:val="none"/>
                <w:lang w:val="en-US" w:eastAsia="zh-CN"/>
              </w:rPr>
              <w:t>11.5</w:t>
            </w:r>
            <w:r>
              <w:rPr>
                <w:rFonts w:hint="eastAsia"/>
                <w:color w:val="000000"/>
                <w:highlight w:val="none"/>
              </w:rPr>
              <w:t>万平方米</w:t>
            </w:r>
            <w:r>
              <w:t>，</w:t>
            </w:r>
            <w:r>
              <w:rPr>
                <w:rFonts w:hint="eastAsia"/>
                <w:color w:val="000000"/>
                <w:highlight w:val="none"/>
              </w:rPr>
              <w:t>木质墙饰面积</w:t>
            </w:r>
            <w:r>
              <w:rPr>
                <w:rFonts w:hint="eastAsia"/>
                <w:color w:val="000000"/>
                <w:highlight w:val="none"/>
                <w:lang w:val="en-US" w:eastAsia="zh-CN"/>
              </w:rPr>
              <w:t>450</w:t>
            </w:r>
            <w:r>
              <w:rPr>
                <w:rFonts w:hint="eastAsia"/>
                <w:color w:val="000000"/>
                <w:highlight w:val="none"/>
              </w:rPr>
              <w:t>平方米</w:t>
            </w:r>
            <w:r>
              <w:rPr>
                <w:rFonts w:hint="eastAsia"/>
                <w:color w:val="000000"/>
                <w:lang w:val="en-US" w:eastAsia="zh-CN"/>
              </w:rPr>
              <w:t>。</w:t>
            </w:r>
          </w:p>
        </w:tc>
        <w:tc>
          <w:tcPr>
            <w:tcW w:w="3719" w:type="dxa"/>
            <w:tcBorders>
              <w:top w:val="single" w:color="auto" w:sz="4" w:space="0"/>
              <w:left w:val="single" w:color="auto" w:sz="4" w:space="0"/>
              <w:bottom w:val="single" w:color="auto" w:sz="4" w:space="0"/>
              <w:right w:val="single" w:color="auto" w:sz="4" w:space="0"/>
            </w:tcBorders>
            <w:noWrap w:val="0"/>
            <w:vAlign w:val="center"/>
          </w:tcPr>
          <w:p w14:paraId="6158C5AC">
            <w:pPr>
              <w:jc w:val="both"/>
              <w:rPr>
                <w:rFonts w:hint="eastAsia"/>
                <w:color w:val="000000"/>
                <w:highlight w:val="none"/>
              </w:rPr>
            </w:pPr>
            <w:r>
              <w:rPr>
                <w:rFonts w:hint="eastAsia"/>
                <w:color w:val="000000"/>
                <w:highlight w:val="none"/>
              </w:rPr>
              <w:t>见“3.2房屋维护服务”“3.4保洁服务”</w:t>
            </w:r>
          </w:p>
        </w:tc>
      </w:tr>
      <w:tr w14:paraId="17FB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6D73F49C">
            <w:pPr>
              <w:jc w:val="both"/>
              <w:rPr>
                <w:rFonts w:hint="eastAsia"/>
                <w:color w:val="000000"/>
                <w:highlight w:val="none"/>
              </w:rPr>
            </w:pPr>
            <w:r>
              <w:rPr>
                <w:rFonts w:hint="eastAsia"/>
                <w:color w:val="000000"/>
                <w:highlight w:val="none"/>
              </w:rPr>
              <w:t>顶面</w:t>
            </w:r>
          </w:p>
        </w:tc>
        <w:tc>
          <w:tcPr>
            <w:tcW w:w="2075" w:type="dxa"/>
            <w:tcBorders>
              <w:top w:val="single" w:color="auto" w:sz="4" w:space="0"/>
              <w:left w:val="single" w:color="auto" w:sz="4" w:space="0"/>
              <w:bottom w:val="single" w:color="auto" w:sz="4" w:space="0"/>
              <w:right w:val="single" w:color="auto" w:sz="4" w:space="0"/>
            </w:tcBorders>
            <w:noWrap w:val="0"/>
            <w:vAlign w:val="center"/>
          </w:tcPr>
          <w:p w14:paraId="4EAB7DC5">
            <w:pPr>
              <w:jc w:val="both"/>
              <w:rPr>
                <w:rFonts w:hint="eastAsia"/>
                <w:color w:val="000000"/>
                <w:highlight w:val="none"/>
              </w:rPr>
            </w:pPr>
            <w:r>
              <w:rPr>
                <w:rFonts w:hint="eastAsia"/>
                <w:color w:val="000000"/>
                <w:highlight w:val="none"/>
              </w:rPr>
              <w:t>顶面材质及面积</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12E130B4">
            <w:pPr>
              <w:jc w:val="both"/>
              <w:rPr>
                <w:rFonts w:hint="eastAsia" w:eastAsia="宋体"/>
                <w:color w:val="000000"/>
                <w:highlight w:val="none"/>
                <w:lang w:val="en-US" w:eastAsia="zh-CN"/>
              </w:rPr>
            </w:pPr>
            <w:r>
              <w:rPr>
                <w:rFonts w:hint="eastAsia"/>
                <w:color w:val="000000"/>
                <w:highlight w:val="none"/>
              </w:rPr>
              <w:t>铝扣板、石膏板、实木二级吊顶</w:t>
            </w:r>
            <w:r>
              <w:rPr>
                <w:rFonts w:hint="eastAsia"/>
                <w:color w:val="000000"/>
                <w:highlight w:val="none"/>
                <w:lang w:val="en-US" w:eastAsia="zh-CN"/>
              </w:rPr>
              <w:t>1.5</w:t>
            </w:r>
            <w:r>
              <w:rPr>
                <w:rFonts w:hint="eastAsia"/>
                <w:color w:val="000000"/>
                <w:highlight w:val="none"/>
              </w:rPr>
              <w:t>万</w:t>
            </w:r>
            <w:r>
              <w:rPr>
                <w:rFonts w:hint="eastAsia"/>
                <w:color w:val="000000"/>
                <w:highlight w:val="none"/>
                <w:lang w:val="en-US" w:eastAsia="zh-CN"/>
              </w:rPr>
              <w:t>平方米</w:t>
            </w:r>
          </w:p>
        </w:tc>
        <w:tc>
          <w:tcPr>
            <w:tcW w:w="3719" w:type="dxa"/>
            <w:tcBorders>
              <w:top w:val="single" w:color="auto" w:sz="4" w:space="0"/>
              <w:left w:val="single" w:color="auto" w:sz="4" w:space="0"/>
              <w:bottom w:val="single" w:color="auto" w:sz="4" w:space="0"/>
              <w:right w:val="single" w:color="auto" w:sz="4" w:space="0"/>
            </w:tcBorders>
            <w:noWrap w:val="0"/>
            <w:vAlign w:val="center"/>
          </w:tcPr>
          <w:p w14:paraId="56F97087">
            <w:pPr>
              <w:jc w:val="both"/>
              <w:rPr>
                <w:rFonts w:hint="eastAsia"/>
                <w:color w:val="000000"/>
                <w:highlight w:val="none"/>
              </w:rPr>
            </w:pPr>
            <w:r>
              <w:rPr>
                <w:rFonts w:hint="eastAsia"/>
                <w:color w:val="000000"/>
                <w:highlight w:val="none"/>
              </w:rPr>
              <w:t>见“3.2房屋维护服务”“3.4保洁服务”</w:t>
            </w:r>
          </w:p>
        </w:tc>
      </w:tr>
      <w:tr w14:paraId="4D85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5" w:type="dxa"/>
            <w:vMerge w:val="restart"/>
            <w:tcBorders>
              <w:top w:val="single" w:color="auto" w:sz="4" w:space="0"/>
              <w:left w:val="single" w:color="auto" w:sz="4" w:space="0"/>
              <w:bottom w:val="single" w:color="auto" w:sz="4" w:space="0"/>
              <w:right w:val="single" w:color="auto" w:sz="4" w:space="0"/>
            </w:tcBorders>
            <w:noWrap w:val="0"/>
            <w:vAlign w:val="center"/>
          </w:tcPr>
          <w:p w14:paraId="6C05F89A">
            <w:pPr>
              <w:jc w:val="both"/>
              <w:rPr>
                <w:rFonts w:hint="eastAsia"/>
                <w:color w:val="000000"/>
                <w:highlight w:val="none"/>
              </w:rPr>
            </w:pPr>
            <w:r>
              <w:rPr>
                <w:rFonts w:hint="eastAsia"/>
                <w:color w:val="000000"/>
                <w:highlight w:val="none"/>
              </w:rPr>
              <w:t>外墙</w:t>
            </w:r>
          </w:p>
        </w:tc>
        <w:tc>
          <w:tcPr>
            <w:tcW w:w="2075" w:type="dxa"/>
            <w:tcBorders>
              <w:top w:val="single" w:color="auto" w:sz="4" w:space="0"/>
              <w:left w:val="single" w:color="auto" w:sz="4" w:space="0"/>
              <w:bottom w:val="single" w:color="auto" w:sz="4" w:space="0"/>
              <w:right w:val="single" w:color="auto" w:sz="4" w:space="0"/>
            </w:tcBorders>
            <w:noWrap w:val="0"/>
            <w:vAlign w:val="center"/>
          </w:tcPr>
          <w:p w14:paraId="4B46DF32">
            <w:pPr>
              <w:jc w:val="both"/>
              <w:rPr>
                <w:rFonts w:hint="eastAsia"/>
                <w:color w:val="000000"/>
                <w:highlight w:val="none"/>
              </w:rPr>
            </w:pPr>
            <w:r>
              <w:rPr>
                <w:rFonts w:hint="eastAsia"/>
                <w:color w:val="000000"/>
                <w:highlight w:val="none"/>
              </w:rPr>
              <w:t>外墙材质及面积</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51F6D204">
            <w:pPr>
              <w:jc w:val="both"/>
              <w:rPr>
                <w:color w:val="000000"/>
                <w:highlight w:val="none"/>
              </w:rPr>
            </w:pPr>
            <w:r>
              <w:rPr>
                <w:rFonts w:hint="eastAsia"/>
                <w:color w:val="000000"/>
                <w:highlight w:val="none"/>
              </w:rPr>
              <w:t>幕墙玻璃和石材</w:t>
            </w:r>
            <w:r>
              <w:rPr>
                <w:rFonts w:hint="eastAsia"/>
                <w:color w:val="000000"/>
                <w:highlight w:val="none"/>
                <w:lang w:val="en-US" w:eastAsia="zh-CN"/>
              </w:rPr>
              <w:t>5.27</w:t>
            </w:r>
            <w:r>
              <w:rPr>
                <w:rFonts w:hint="eastAsia"/>
                <w:color w:val="000000"/>
                <w:highlight w:val="none"/>
              </w:rPr>
              <w:t>万平方米</w:t>
            </w:r>
          </w:p>
        </w:tc>
        <w:tc>
          <w:tcPr>
            <w:tcW w:w="3719" w:type="dxa"/>
            <w:tcBorders>
              <w:top w:val="single" w:color="auto" w:sz="4" w:space="0"/>
              <w:left w:val="single" w:color="auto" w:sz="4" w:space="0"/>
              <w:bottom w:val="single" w:color="auto" w:sz="4" w:space="0"/>
              <w:right w:val="single" w:color="auto" w:sz="4" w:space="0"/>
            </w:tcBorders>
            <w:noWrap w:val="0"/>
            <w:vAlign w:val="center"/>
          </w:tcPr>
          <w:p w14:paraId="0D43B538">
            <w:pPr>
              <w:jc w:val="both"/>
              <w:rPr>
                <w:rFonts w:hint="eastAsia"/>
                <w:color w:val="000000"/>
                <w:highlight w:val="none"/>
              </w:rPr>
            </w:pPr>
            <w:r>
              <w:rPr>
                <w:rFonts w:hint="eastAsia"/>
                <w:color w:val="000000"/>
                <w:highlight w:val="none"/>
              </w:rPr>
              <w:t>见“3.2房屋维护服务”“3.4保洁服务”</w:t>
            </w:r>
          </w:p>
        </w:tc>
      </w:tr>
      <w:tr w14:paraId="322A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14:paraId="6028C720">
            <w:pPr>
              <w:jc w:val="both"/>
              <w:rPr>
                <w:color w:val="000000"/>
                <w:highlight w:val="none"/>
              </w:rPr>
            </w:pPr>
          </w:p>
        </w:tc>
        <w:tc>
          <w:tcPr>
            <w:tcW w:w="2075" w:type="dxa"/>
            <w:tcBorders>
              <w:top w:val="single" w:color="auto" w:sz="4" w:space="0"/>
              <w:left w:val="single" w:color="auto" w:sz="4" w:space="0"/>
              <w:bottom w:val="single" w:color="auto" w:sz="4" w:space="0"/>
              <w:right w:val="single" w:color="auto" w:sz="4" w:space="0"/>
            </w:tcBorders>
            <w:noWrap w:val="0"/>
            <w:vAlign w:val="center"/>
          </w:tcPr>
          <w:p w14:paraId="6B916C48">
            <w:pPr>
              <w:jc w:val="both"/>
              <w:rPr>
                <w:rFonts w:hint="eastAsia"/>
                <w:color w:val="000000"/>
                <w:highlight w:val="none"/>
              </w:rPr>
            </w:pPr>
            <w:r>
              <w:rPr>
                <w:rFonts w:hint="eastAsia"/>
                <w:color w:val="000000"/>
                <w:highlight w:val="none"/>
              </w:rPr>
              <w:t>外墙清洗面积</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477ABBCB">
            <w:pPr>
              <w:jc w:val="both"/>
              <w:rPr>
                <w:rFonts w:hint="eastAsia"/>
                <w:color w:val="000000"/>
                <w:highlight w:val="none"/>
              </w:rPr>
            </w:pPr>
            <w:r>
              <w:rPr>
                <w:rFonts w:hint="eastAsia"/>
                <w:color w:val="000000"/>
                <w:highlight w:val="none"/>
                <w:lang w:val="en-US" w:eastAsia="zh-CN"/>
              </w:rPr>
              <w:t>0.21</w:t>
            </w:r>
            <w:r>
              <w:rPr>
                <w:rFonts w:hint="eastAsia"/>
                <w:color w:val="000000"/>
                <w:highlight w:val="none"/>
              </w:rPr>
              <w:t>万平方米</w:t>
            </w:r>
          </w:p>
        </w:tc>
        <w:tc>
          <w:tcPr>
            <w:tcW w:w="3719" w:type="dxa"/>
            <w:tcBorders>
              <w:top w:val="single" w:color="auto" w:sz="4" w:space="0"/>
              <w:left w:val="single" w:color="auto" w:sz="4" w:space="0"/>
              <w:bottom w:val="single" w:color="auto" w:sz="4" w:space="0"/>
              <w:right w:val="single" w:color="auto" w:sz="4" w:space="0"/>
            </w:tcBorders>
            <w:noWrap w:val="0"/>
            <w:vAlign w:val="center"/>
          </w:tcPr>
          <w:p w14:paraId="3981318C">
            <w:pPr>
              <w:jc w:val="both"/>
              <w:rPr>
                <w:rFonts w:hint="eastAsia"/>
                <w:color w:val="000000"/>
                <w:highlight w:val="none"/>
              </w:rPr>
            </w:pPr>
            <w:r>
              <w:rPr>
                <w:rFonts w:hint="eastAsia"/>
                <w:color w:val="000000"/>
                <w:highlight w:val="none"/>
                <w:lang w:val="en-US" w:eastAsia="zh-CN"/>
              </w:rPr>
              <w:t>见</w:t>
            </w:r>
            <w:r>
              <w:rPr>
                <w:rFonts w:hint="eastAsia"/>
                <w:color w:val="000000"/>
                <w:highlight w:val="none"/>
              </w:rPr>
              <w:t>“3.4保洁服务”</w:t>
            </w:r>
          </w:p>
        </w:tc>
      </w:tr>
      <w:tr w14:paraId="4B1E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7D5C5F05">
            <w:pPr>
              <w:jc w:val="both"/>
              <w:rPr>
                <w:rFonts w:hint="eastAsia"/>
                <w:color w:val="000000"/>
                <w:highlight w:val="none"/>
              </w:rPr>
            </w:pPr>
            <w:r>
              <w:rPr>
                <w:rFonts w:hint="eastAsia"/>
                <w:color w:val="000000"/>
                <w:highlight w:val="none"/>
              </w:rPr>
              <w:t>卫生间</w:t>
            </w:r>
          </w:p>
        </w:tc>
        <w:tc>
          <w:tcPr>
            <w:tcW w:w="2075" w:type="dxa"/>
            <w:tcBorders>
              <w:top w:val="single" w:color="auto" w:sz="4" w:space="0"/>
              <w:left w:val="single" w:color="auto" w:sz="4" w:space="0"/>
              <w:bottom w:val="single" w:color="auto" w:sz="4" w:space="0"/>
              <w:right w:val="single" w:color="auto" w:sz="4" w:space="0"/>
            </w:tcBorders>
            <w:noWrap w:val="0"/>
            <w:vAlign w:val="center"/>
          </w:tcPr>
          <w:p w14:paraId="0F606BBC">
            <w:pPr>
              <w:jc w:val="both"/>
              <w:rPr>
                <w:rFonts w:hint="eastAsia"/>
                <w:color w:val="000000"/>
                <w:highlight w:val="none"/>
              </w:rPr>
            </w:pPr>
            <w:r>
              <w:rPr>
                <w:rFonts w:hint="eastAsia"/>
                <w:color w:val="000000"/>
                <w:highlight w:val="none"/>
              </w:rPr>
              <w:t>总数量及面积</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740758FD">
            <w:pPr>
              <w:jc w:val="both"/>
              <w:rPr>
                <w:color w:val="000000"/>
                <w:highlight w:val="none"/>
              </w:rPr>
            </w:pPr>
            <w:r>
              <w:rPr>
                <w:rFonts w:hint="eastAsia"/>
                <w:color w:val="000000"/>
                <w:highlight w:val="none"/>
                <w:lang w:val="en-US" w:eastAsia="zh-CN"/>
              </w:rPr>
              <w:t>70</w:t>
            </w:r>
            <w:r>
              <w:rPr>
                <w:rFonts w:hint="eastAsia"/>
                <w:color w:val="000000"/>
                <w:highlight w:val="none"/>
              </w:rPr>
              <w:t>组</w:t>
            </w:r>
            <w:r>
              <w:rPr>
                <w:rFonts w:hint="eastAsia"/>
                <w:color w:val="000000"/>
                <w:highlight w:val="none"/>
                <w:lang w:val="en-US" w:eastAsia="zh-CN"/>
              </w:rPr>
              <w:t>、1850</w:t>
            </w:r>
            <w:r>
              <w:rPr>
                <w:rFonts w:hint="eastAsia"/>
                <w:color w:val="000000"/>
                <w:highlight w:val="none"/>
              </w:rPr>
              <w:t>平方米</w:t>
            </w:r>
          </w:p>
        </w:tc>
        <w:tc>
          <w:tcPr>
            <w:tcW w:w="3719" w:type="dxa"/>
            <w:tcBorders>
              <w:top w:val="single" w:color="auto" w:sz="4" w:space="0"/>
              <w:left w:val="single" w:color="auto" w:sz="4" w:space="0"/>
              <w:bottom w:val="single" w:color="auto" w:sz="4" w:space="0"/>
              <w:right w:val="single" w:color="auto" w:sz="4" w:space="0"/>
            </w:tcBorders>
            <w:noWrap w:val="0"/>
            <w:vAlign w:val="center"/>
          </w:tcPr>
          <w:p w14:paraId="4752E509">
            <w:pPr>
              <w:jc w:val="both"/>
              <w:rPr>
                <w:rFonts w:hint="eastAsia"/>
                <w:color w:val="000000"/>
                <w:highlight w:val="none"/>
              </w:rPr>
            </w:pPr>
            <w:r>
              <w:rPr>
                <w:rFonts w:hint="eastAsia"/>
                <w:color w:val="000000"/>
                <w:highlight w:val="none"/>
              </w:rPr>
              <w:t>见“3.4保洁服务”</w:t>
            </w:r>
          </w:p>
        </w:tc>
      </w:tr>
      <w:tr w14:paraId="3A3F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3D062113">
            <w:pPr>
              <w:jc w:val="both"/>
              <w:rPr>
                <w:rFonts w:hint="eastAsia"/>
                <w:color w:val="000000"/>
                <w:highlight w:val="none"/>
              </w:rPr>
            </w:pPr>
            <w:r>
              <w:rPr>
                <w:rFonts w:hint="eastAsia"/>
                <w:color w:val="000000"/>
                <w:highlight w:val="none"/>
              </w:rPr>
              <w:t>垃圾存放点</w:t>
            </w:r>
          </w:p>
        </w:tc>
        <w:tc>
          <w:tcPr>
            <w:tcW w:w="2075" w:type="dxa"/>
            <w:tcBorders>
              <w:top w:val="single" w:color="auto" w:sz="4" w:space="0"/>
              <w:left w:val="single" w:color="auto" w:sz="4" w:space="0"/>
              <w:bottom w:val="single" w:color="auto" w:sz="4" w:space="0"/>
              <w:right w:val="single" w:color="auto" w:sz="4" w:space="0"/>
            </w:tcBorders>
            <w:noWrap w:val="0"/>
            <w:vAlign w:val="center"/>
          </w:tcPr>
          <w:p w14:paraId="62F4141B">
            <w:pPr>
              <w:jc w:val="both"/>
              <w:rPr>
                <w:rFonts w:hint="eastAsia"/>
                <w:color w:val="000000"/>
                <w:highlight w:val="none"/>
              </w:rPr>
            </w:pPr>
            <w:r>
              <w:rPr>
                <w:rFonts w:hint="eastAsia"/>
                <w:color w:val="000000"/>
                <w:highlight w:val="none"/>
              </w:rPr>
              <w:t>位置、面积、数量</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21FE267E">
            <w:pPr>
              <w:jc w:val="both"/>
              <w:rPr>
                <w:color w:val="000000"/>
                <w:highlight w:val="none"/>
              </w:rPr>
            </w:pPr>
            <w:r>
              <w:rPr>
                <w:rFonts w:hint="eastAsia"/>
                <w:color w:val="000000"/>
                <w:highlight w:val="none"/>
                <w:lang w:val="en-US" w:eastAsia="zh-CN"/>
              </w:rPr>
              <w:t>七号门内右侧、八</w:t>
            </w:r>
            <w:r>
              <w:rPr>
                <w:rFonts w:hint="eastAsia"/>
                <w:color w:val="000000"/>
                <w:highlight w:val="none"/>
              </w:rPr>
              <w:t>号岗门</w:t>
            </w:r>
            <w:r>
              <w:rPr>
                <w:rFonts w:hint="eastAsia"/>
                <w:color w:val="000000"/>
                <w:highlight w:val="none"/>
                <w:lang w:val="en-US" w:eastAsia="zh-CN"/>
              </w:rPr>
              <w:t>内</w:t>
            </w:r>
            <w:r>
              <w:rPr>
                <w:rFonts w:hint="eastAsia"/>
                <w:color w:val="000000"/>
                <w:highlight w:val="none"/>
              </w:rPr>
              <w:t>右侧</w:t>
            </w:r>
            <w:r>
              <w:rPr>
                <w:rFonts w:hint="eastAsia"/>
                <w:color w:val="000000"/>
                <w:highlight w:val="none"/>
                <w:lang w:eastAsia="zh-CN"/>
              </w:rPr>
              <w:t>，</w:t>
            </w:r>
            <w:r>
              <w:rPr>
                <w:rFonts w:hint="eastAsia"/>
                <w:color w:val="000000"/>
                <w:highlight w:val="none"/>
                <w:lang w:val="en-US" w:eastAsia="zh-CN"/>
              </w:rPr>
              <w:t>两个</w:t>
            </w:r>
            <w:r>
              <w:rPr>
                <w:rFonts w:hint="eastAsia"/>
                <w:color w:val="000000"/>
                <w:highlight w:val="none"/>
              </w:rPr>
              <w:t>垃圾存放点，</w:t>
            </w:r>
            <w:r>
              <w:rPr>
                <w:rFonts w:hint="eastAsia"/>
                <w:color w:val="000000"/>
                <w:highlight w:val="none"/>
                <w:lang w:val="en-US" w:eastAsia="zh-CN"/>
              </w:rPr>
              <w:t>3</w:t>
            </w:r>
            <w:r>
              <w:rPr>
                <w:rFonts w:hint="eastAsia"/>
                <w:color w:val="000000"/>
                <w:highlight w:val="none"/>
              </w:rPr>
              <w:t>0平方米</w:t>
            </w:r>
          </w:p>
        </w:tc>
        <w:tc>
          <w:tcPr>
            <w:tcW w:w="3719" w:type="dxa"/>
            <w:tcBorders>
              <w:top w:val="single" w:color="auto" w:sz="4" w:space="0"/>
              <w:left w:val="single" w:color="auto" w:sz="4" w:space="0"/>
              <w:bottom w:val="single" w:color="auto" w:sz="4" w:space="0"/>
              <w:right w:val="single" w:color="auto" w:sz="4" w:space="0"/>
            </w:tcBorders>
            <w:noWrap w:val="0"/>
            <w:vAlign w:val="center"/>
          </w:tcPr>
          <w:p w14:paraId="24B91393">
            <w:pPr>
              <w:jc w:val="both"/>
              <w:rPr>
                <w:rFonts w:hint="eastAsia"/>
                <w:color w:val="000000"/>
                <w:highlight w:val="none"/>
              </w:rPr>
            </w:pPr>
            <w:r>
              <w:rPr>
                <w:rFonts w:hint="eastAsia"/>
                <w:color w:val="000000"/>
                <w:highlight w:val="none"/>
              </w:rPr>
              <w:t>见“3.4保洁服务”</w:t>
            </w:r>
          </w:p>
        </w:tc>
      </w:tr>
      <w:tr w14:paraId="61B7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5" w:type="dxa"/>
            <w:vMerge w:val="restart"/>
            <w:tcBorders>
              <w:top w:val="single" w:color="auto" w:sz="4" w:space="0"/>
              <w:left w:val="single" w:color="auto" w:sz="4" w:space="0"/>
              <w:bottom w:val="single" w:color="auto" w:sz="4" w:space="0"/>
              <w:right w:val="single" w:color="auto" w:sz="4" w:space="0"/>
            </w:tcBorders>
            <w:noWrap w:val="0"/>
            <w:vAlign w:val="center"/>
          </w:tcPr>
          <w:p w14:paraId="39470133">
            <w:pPr>
              <w:jc w:val="both"/>
              <w:rPr>
                <w:rFonts w:hint="eastAsia"/>
                <w:color w:val="000000"/>
                <w:highlight w:val="none"/>
              </w:rPr>
            </w:pPr>
            <w:r>
              <w:rPr>
                <w:rFonts w:hint="eastAsia"/>
                <w:color w:val="000000"/>
                <w:highlight w:val="none"/>
              </w:rPr>
              <w:t>车位数</w:t>
            </w:r>
          </w:p>
        </w:tc>
        <w:tc>
          <w:tcPr>
            <w:tcW w:w="2075" w:type="dxa"/>
            <w:tcBorders>
              <w:top w:val="single" w:color="auto" w:sz="4" w:space="0"/>
              <w:left w:val="single" w:color="auto" w:sz="4" w:space="0"/>
              <w:bottom w:val="single" w:color="auto" w:sz="4" w:space="0"/>
              <w:right w:val="single" w:color="auto" w:sz="4" w:space="0"/>
            </w:tcBorders>
            <w:noWrap w:val="0"/>
            <w:vAlign w:val="center"/>
          </w:tcPr>
          <w:p w14:paraId="449F0903">
            <w:pPr>
              <w:jc w:val="both"/>
              <w:rPr>
                <w:rFonts w:hint="eastAsia"/>
                <w:color w:val="000000"/>
                <w:highlight w:val="none"/>
              </w:rPr>
            </w:pPr>
            <w:r>
              <w:rPr>
                <w:rFonts w:hint="eastAsia"/>
                <w:color w:val="000000"/>
                <w:highlight w:val="none"/>
              </w:rPr>
              <w:t>地下车位</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5474DD53">
            <w:pPr>
              <w:jc w:val="both"/>
              <w:rPr>
                <w:color w:val="000000"/>
                <w:highlight w:val="none"/>
              </w:rPr>
            </w:pPr>
            <w:r>
              <w:rPr>
                <w:rFonts w:hint="eastAsia"/>
                <w:color w:val="000000"/>
                <w:highlight w:val="none"/>
                <w:lang w:val="en-US" w:eastAsia="zh-CN"/>
              </w:rPr>
              <w:t>314</w:t>
            </w:r>
            <w:r>
              <w:rPr>
                <w:rFonts w:hint="eastAsia"/>
                <w:color w:val="000000"/>
                <w:highlight w:val="none"/>
              </w:rPr>
              <w:t>个</w:t>
            </w:r>
          </w:p>
        </w:tc>
        <w:tc>
          <w:tcPr>
            <w:tcW w:w="3719" w:type="dxa"/>
            <w:tcBorders>
              <w:top w:val="single" w:color="auto" w:sz="4" w:space="0"/>
              <w:left w:val="single" w:color="auto" w:sz="4" w:space="0"/>
              <w:bottom w:val="single" w:color="auto" w:sz="4" w:space="0"/>
              <w:right w:val="single" w:color="auto" w:sz="4" w:space="0"/>
            </w:tcBorders>
            <w:noWrap w:val="0"/>
            <w:vAlign w:val="center"/>
          </w:tcPr>
          <w:p w14:paraId="54BC3689">
            <w:pPr>
              <w:jc w:val="both"/>
              <w:rPr>
                <w:rFonts w:hint="eastAsia"/>
                <w:color w:val="000000"/>
                <w:highlight w:val="none"/>
              </w:rPr>
            </w:pPr>
            <w:r>
              <w:rPr>
                <w:rFonts w:hint="eastAsia"/>
                <w:color w:val="000000"/>
                <w:highlight w:val="none"/>
              </w:rPr>
              <w:t>见“3.6保安服务”</w:t>
            </w:r>
          </w:p>
        </w:tc>
      </w:tr>
      <w:tr w14:paraId="421C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14:paraId="67FCF661">
            <w:pPr>
              <w:jc w:val="both"/>
              <w:rPr>
                <w:color w:val="000000"/>
                <w:highlight w:val="none"/>
              </w:rPr>
            </w:pPr>
          </w:p>
        </w:tc>
        <w:tc>
          <w:tcPr>
            <w:tcW w:w="2075" w:type="dxa"/>
            <w:tcBorders>
              <w:top w:val="single" w:color="auto" w:sz="4" w:space="0"/>
              <w:left w:val="single" w:color="auto" w:sz="4" w:space="0"/>
              <w:bottom w:val="single" w:color="auto" w:sz="4" w:space="0"/>
              <w:right w:val="single" w:color="auto" w:sz="4" w:space="0"/>
            </w:tcBorders>
            <w:noWrap w:val="0"/>
            <w:vAlign w:val="center"/>
          </w:tcPr>
          <w:p w14:paraId="7240627F">
            <w:pPr>
              <w:jc w:val="both"/>
              <w:rPr>
                <w:rFonts w:hint="eastAsia"/>
                <w:color w:val="000000"/>
                <w:highlight w:val="none"/>
              </w:rPr>
            </w:pPr>
            <w:r>
              <w:rPr>
                <w:rFonts w:hint="eastAsia"/>
                <w:color w:val="000000"/>
                <w:highlight w:val="none"/>
              </w:rPr>
              <w:t>地上车位</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1388B33C">
            <w:pPr>
              <w:jc w:val="both"/>
              <w:rPr>
                <w:rFonts w:hint="eastAsia" w:eastAsia="宋体"/>
                <w:color w:val="000000"/>
                <w:highlight w:val="none"/>
                <w:lang w:eastAsia="zh-CN"/>
              </w:rPr>
            </w:pPr>
            <w:r>
              <w:rPr>
                <w:rFonts w:hint="eastAsia"/>
                <w:color w:val="000000"/>
                <w:highlight w:val="none"/>
                <w:lang w:val="en-US" w:eastAsia="zh-CN"/>
              </w:rPr>
              <w:t>427</w:t>
            </w:r>
            <w:r>
              <w:rPr>
                <w:rFonts w:hint="eastAsia"/>
                <w:color w:val="000000"/>
                <w:highlight w:val="none"/>
              </w:rPr>
              <w:t>个汽车车位</w:t>
            </w:r>
            <w:r>
              <w:rPr>
                <w:rFonts w:hint="eastAsia"/>
                <w:color w:val="000000"/>
                <w:highlight w:val="none"/>
                <w:lang w:eastAsia="zh-CN"/>
              </w:rPr>
              <w:t>（含</w:t>
            </w:r>
            <w:r>
              <w:rPr>
                <w:rFonts w:hint="eastAsia"/>
                <w:color w:val="000000"/>
                <w:highlight w:val="none"/>
              </w:rPr>
              <w:t>汽车充电桩</w:t>
            </w:r>
            <w:r>
              <w:rPr>
                <w:rFonts w:hint="eastAsia"/>
                <w:color w:val="000000"/>
                <w:highlight w:val="none"/>
                <w:lang w:val="en-US" w:eastAsia="zh-CN"/>
              </w:rPr>
              <w:t>18</w:t>
            </w:r>
            <w:r>
              <w:rPr>
                <w:rFonts w:hint="eastAsia"/>
                <w:color w:val="000000"/>
                <w:highlight w:val="none"/>
              </w:rPr>
              <w:t>个</w:t>
            </w:r>
            <w:r>
              <w:rPr>
                <w:rFonts w:hint="eastAsia"/>
                <w:color w:val="000000"/>
                <w:highlight w:val="none"/>
                <w:lang w:eastAsia="zh-CN"/>
              </w:rPr>
              <w:t>），</w:t>
            </w:r>
            <w:r>
              <w:rPr>
                <w:rFonts w:hint="eastAsia"/>
                <w:color w:val="000000"/>
                <w:highlight w:val="none"/>
              </w:rPr>
              <w:t>电单车车位</w:t>
            </w:r>
            <w:r>
              <w:rPr>
                <w:rFonts w:hint="eastAsia"/>
                <w:color w:val="000000"/>
                <w:highlight w:val="none"/>
                <w:lang w:val="en-US" w:eastAsia="zh-CN"/>
              </w:rPr>
              <w:t>116</w:t>
            </w:r>
            <w:r>
              <w:rPr>
                <w:rFonts w:hint="eastAsia"/>
                <w:color w:val="000000"/>
                <w:highlight w:val="none"/>
              </w:rPr>
              <w:t>个</w:t>
            </w:r>
            <w:r>
              <w:rPr>
                <w:rFonts w:hint="eastAsia"/>
                <w:color w:val="000000"/>
                <w:highlight w:val="none"/>
                <w:lang w:eastAsia="zh-CN"/>
              </w:rPr>
              <w:t>（含</w:t>
            </w:r>
            <w:r>
              <w:rPr>
                <w:rFonts w:hint="eastAsia"/>
                <w:color w:val="000000"/>
                <w:highlight w:val="none"/>
              </w:rPr>
              <w:t>电单车充电桩</w:t>
            </w:r>
            <w:r>
              <w:rPr>
                <w:rFonts w:hint="eastAsia"/>
                <w:color w:val="000000"/>
                <w:highlight w:val="none"/>
                <w:lang w:val="en-US" w:eastAsia="zh-CN"/>
              </w:rPr>
              <w:t>65</w:t>
            </w:r>
            <w:r>
              <w:rPr>
                <w:rFonts w:hint="eastAsia"/>
                <w:color w:val="000000"/>
                <w:highlight w:val="none"/>
              </w:rPr>
              <w:t>个</w:t>
            </w:r>
            <w:r>
              <w:rPr>
                <w:rFonts w:hint="eastAsia"/>
                <w:color w:val="000000"/>
                <w:highlight w:val="none"/>
                <w:lang w:eastAsia="zh-CN"/>
              </w:rPr>
              <w:t>）</w:t>
            </w:r>
            <w:r>
              <w:rPr>
                <w:rFonts w:hint="eastAsia"/>
                <w:color w:val="000000"/>
                <w:lang w:eastAsia="zh-CN"/>
              </w:rPr>
              <w:t>。</w:t>
            </w:r>
          </w:p>
        </w:tc>
        <w:tc>
          <w:tcPr>
            <w:tcW w:w="3719" w:type="dxa"/>
            <w:tcBorders>
              <w:top w:val="single" w:color="auto" w:sz="4" w:space="0"/>
              <w:left w:val="single" w:color="auto" w:sz="4" w:space="0"/>
              <w:bottom w:val="single" w:color="auto" w:sz="4" w:space="0"/>
              <w:right w:val="single" w:color="auto" w:sz="4" w:space="0"/>
            </w:tcBorders>
            <w:noWrap w:val="0"/>
            <w:vAlign w:val="center"/>
          </w:tcPr>
          <w:p w14:paraId="7ADEF196">
            <w:pPr>
              <w:jc w:val="both"/>
              <w:rPr>
                <w:rFonts w:hint="eastAsia"/>
                <w:color w:val="000000"/>
                <w:highlight w:val="none"/>
              </w:rPr>
            </w:pPr>
            <w:r>
              <w:rPr>
                <w:rFonts w:hint="eastAsia"/>
                <w:color w:val="000000"/>
                <w:highlight w:val="none"/>
              </w:rPr>
              <w:t>见“3.6保安服务”</w:t>
            </w:r>
          </w:p>
        </w:tc>
      </w:tr>
      <w:tr w14:paraId="7E9A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5" w:type="dxa"/>
            <w:vMerge w:val="restart"/>
            <w:tcBorders>
              <w:top w:val="single" w:color="auto" w:sz="4" w:space="0"/>
              <w:left w:val="single" w:color="auto" w:sz="4" w:space="0"/>
              <w:bottom w:val="single" w:color="auto" w:sz="4" w:space="0"/>
              <w:right w:val="single" w:color="auto" w:sz="4" w:space="0"/>
            </w:tcBorders>
            <w:noWrap w:val="0"/>
            <w:vAlign w:val="center"/>
          </w:tcPr>
          <w:p w14:paraId="0363B61B">
            <w:pPr>
              <w:jc w:val="both"/>
              <w:rPr>
                <w:rFonts w:hint="eastAsia"/>
                <w:color w:val="000000"/>
                <w:highlight w:val="none"/>
              </w:rPr>
            </w:pPr>
            <w:r>
              <w:rPr>
                <w:rFonts w:hint="eastAsia"/>
                <w:color w:val="000000"/>
                <w:highlight w:val="none"/>
              </w:rPr>
              <w:t>车行\人行口</w:t>
            </w:r>
          </w:p>
        </w:tc>
        <w:tc>
          <w:tcPr>
            <w:tcW w:w="2075" w:type="dxa"/>
            <w:tcBorders>
              <w:top w:val="single" w:color="auto" w:sz="4" w:space="0"/>
              <w:left w:val="single" w:color="auto" w:sz="4" w:space="0"/>
              <w:bottom w:val="single" w:color="auto" w:sz="4" w:space="0"/>
              <w:right w:val="single" w:color="auto" w:sz="4" w:space="0"/>
            </w:tcBorders>
            <w:noWrap w:val="0"/>
            <w:vAlign w:val="center"/>
          </w:tcPr>
          <w:p w14:paraId="40B41F75">
            <w:pPr>
              <w:jc w:val="both"/>
              <w:rPr>
                <w:rFonts w:hint="eastAsia"/>
                <w:color w:val="000000"/>
                <w:highlight w:val="none"/>
              </w:rPr>
            </w:pPr>
            <w:r>
              <w:rPr>
                <w:rFonts w:hint="eastAsia"/>
                <w:color w:val="000000"/>
                <w:highlight w:val="none"/>
              </w:rPr>
              <w:t>车行口</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55ECACDE">
            <w:pPr>
              <w:jc w:val="both"/>
              <w:rPr>
                <w:color w:val="000000"/>
                <w:highlight w:val="none"/>
              </w:rPr>
            </w:pPr>
            <w:r>
              <w:rPr>
                <w:rFonts w:hint="eastAsia"/>
                <w:color w:val="000000"/>
                <w:highlight w:val="none"/>
                <w:lang w:val="en-US" w:eastAsia="zh-CN"/>
              </w:rPr>
              <w:t>10个出入口，4</w:t>
            </w:r>
            <w:r>
              <w:rPr>
                <w:rFonts w:hint="eastAsia"/>
                <w:color w:val="000000"/>
                <w:highlight w:val="none"/>
              </w:rPr>
              <w:t>个大门出入口（需要24小时值班）</w:t>
            </w:r>
          </w:p>
        </w:tc>
        <w:tc>
          <w:tcPr>
            <w:tcW w:w="3719" w:type="dxa"/>
            <w:tcBorders>
              <w:top w:val="single" w:color="auto" w:sz="4" w:space="0"/>
              <w:left w:val="single" w:color="auto" w:sz="4" w:space="0"/>
              <w:bottom w:val="single" w:color="auto" w:sz="4" w:space="0"/>
              <w:right w:val="single" w:color="auto" w:sz="4" w:space="0"/>
            </w:tcBorders>
            <w:noWrap w:val="0"/>
            <w:vAlign w:val="center"/>
          </w:tcPr>
          <w:p w14:paraId="7369AB21">
            <w:pPr>
              <w:jc w:val="both"/>
              <w:rPr>
                <w:rFonts w:hint="eastAsia"/>
                <w:color w:val="000000"/>
                <w:highlight w:val="none"/>
              </w:rPr>
            </w:pPr>
            <w:r>
              <w:rPr>
                <w:rFonts w:hint="eastAsia"/>
                <w:color w:val="000000"/>
                <w:highlight w:val="none"/>
              </w:rPr>
              <w:t>见“3.6保安服务”</w:t>
            </w:r>
          </w:p>
        </w:tc>
      </w:tr>
      <w:tr w14:paraId="4BFA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14:paraId="5DD46B9D">
            <w:pPr>
              <w:jc w:val="both"/>
              <w:rPr>
                <w:color w:val="000000"/>
                <w:highlight w:val="none"/>
              </w:rPr>
            </w:pPr>
          </w:p>
        </w:tc>
        <w:tc>
          <w:tcPr>
            <w:tcW w:w="2075" w:type="dxa"/>
            <w:tcBorders>
              <w:top w:val="single" w:color="auto" w:sz="4" w:space="0"/>
              <w:left w:val="single" w:color="auto" w:sz="4" w:space="0"/>
              <w:bottom w:val="single" w:color="auto" w:sz="4" w:space="0"/>
              <w:right w:val="single" w:color="auto" w:sz="4" w:space="0"/>
            </w:tcBorders>
            <w:noWrap w:val="0"/>
            <w:vAlign w:val="center"/>
          </w:tcPr>
          <w:p w14:paraId="7717DF58">
            <w:pPr>
              <w:jc w:val="both"/>
              <w:rPr>
                <w:rFonts w:hint="eastAsia"/>
                <w:color w:val="000000"/>
                <w:highlight w:val="none"/>
              </w:rPr>
            </w:pPr>
            <w:r>
              <w:rPr>
                <w:rFonts w:hint="eastAsia"/>
                <w:color w:val="000000"/>
                <w:highlight w:val="none"/>
              </w:rPr>
              <w:t>人行口</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317BF5FF">
            <w:pPr>
              <w:jc w:val="both"/>
              <w:rPr>
                <w:color w:val="000000"/>
                <w:highlight w:val="none"/>
              </w:rPr>
            </w:pPr>
            <w:r>
              <w:rPr>
                <w:rFonts w:hint="eastAsia"/>
                <w:color w:val="000000"/>
                <w:highlight w:val="none"/>
                <w:lang w:val="en-US" w:eastAsia="zh-CN"/>
              </w:rPr>
              <w:t>4</w:t>
            </w:r>
            <w:r>
              <w:rPr>
                <w:rFonts w:hint="eastAsia"/>
                <w:color w:val="000000"/>
                <w:highlight w:val="none"/>
              </w:rPr>
              <w:t>个大门（需要24小时值班）</w:t>
            </w:r>
          </w:p>
        </w:tc>
        <w:tc>
          <w:tcPr>
            <w:tcW w:w="3719" w:type="dxa"/>
            <w:tcBorders>
              <w:top w:val="single" w:color="auto" w:sz="4" w:space="0"/>
              <w:left w:val="single" w:color="auto" w:sz="4" w:space="0"/>
              <w:bottom w:val="single" w:color="auto" w:sz="4" w:space="0"/>
              <w:right w:val="single" w:color="auto" w:sz="4" w:space="0"/>
            </w:tcBorders>
            <w:noWrap w:val="0"/>
            <w:vAlign w:val="center"/>
          </w:tcPr>
          <w:p w14:paraId="18CEFE65">
            <w:pPr>
              <w:jc w:val="both"/>
              <w:rPr>
                <w:rFonts w:hint="eastAsia"/>
                <w:color w:val="000000"/>
                <w:highlight w:val="none"/>
              </w:rPr>
            </w:pPr>
            <w:r>
              <w:rPr>
                <w:rFonts w:hint="eastAsia"/>
                <w:color w:val="000000"/>
                <w:highlight w:val="none"/>
              </w:rPr>
              <w:t>见“3.6保安服务”</w:t>
            </w:r>
          </w:p>
        </w:tc>
      </w:tr>
      <w:tr w14:paraId="554B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5" w:type="dxa"/>
            <w:vMerge w:val="restart"/>
            <w:tcBorders>
              <w:top w:val="single" w:color="auto" w:sz="4" w:space="0"/>
              <w:left w:val="single" w:color="auto" w:sz="4" w:space="0"/>
              <w:bottom w:val="single" w:color="auto" w:sz="4" w:space="0"/>
              <w:right w:val="single" w:color="auto" w:sz="4" w:space="0"/>
            </w:tcBorders>
            <w:noWrap w:val="0"/>
            <w:vAlign w:val="center"/>
          </w:tcPr>
          <w:p w14:paraId="7FC57111">
            <w:pPr>
              <w:jc w:val="both"/>
              <w:rPr>
                <w:rFonts w:hint="eastAsia"/>
                <w:color w:val="000000"/>
                <w:highlight w:val="none"/>
              </w:rPr>
            </w:pPr>
            <w:r>
              <w:rPr>
                <w:rFonts w:hint="eastAsia"/>
                <w:color w:val="000000"/>
                <w:highlight w:val="none"/>
              </w:rPr>
              <w:t>设施设备</w:t>
            </w:r>
          </w:p>
        </w:tc>
        <w:tc>
          <w:tcPr>
            <w:tcW w:w="2075" w:type="dxa"/>
            <w:tcBorders>
              <w:top w:val="single" w:color="auto" w:sz="4" w:space="0"/>
              <w:left w:val="single" w:color="auto" w:sz="4" w:space="0"/>
              <w:bottom w:val="single" w:color="auto" w:sz="4" w:space="0"/>
              <w:right w:val="single" w:color="auto" w:sz="4" w:space="0"/>
            </w:tcBorders>
            <w:noWrap w:val="0"/>
            <w:vAlign w:val="center"/>
          </w:tcPr>
          <w:p w14:paraId="6B159B41">
            <w:pPr>
              <w:jc w:val="both"/>
              <w:rPr>
                <w:rFonts w:hint="eastAsia"/>
                <w:color w:val="000000"/>
                <w:highlight w:val="none"/>
              </w:rPr>
            </w:pPr>
            <w:r>
              <w:rPr>
                <w:rFonts w:hint="eastAsia"/>
                <w:color w:val="000000"/>
                <w:highlight w:val="none"/>
              </w:rPr>
              <w:t>电梯</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13C3CEB2">
            <w:pPr>
              <w:jc w:val="both"/>
              <w:rPr>
                <w:rFonts w:hint="eastAsia"/>
                <w:color w:val="000000"/>
                <w:highlight w:val="none"/>
              </w:rPr>
            </w:pPr>
            <w:r>
              <w:rPr>
                <w:rFonts w:hint="eastAsia"/>
                <w:color w:val="000000"/>
                <w:highlight w:val="none"/>
              </w:rPr>
              <w:t>曳引客梯共</w:t>
            </w:r>
            <w:r>
              <w:rPr>
                <w:rFonts w:hint="eastAsia"/>
                <w:color w:val="000000"/>
                <w:highlight w:val="none"/>
                <w:lang w:val="en-US" w:eastAsia="zh-CN"/>
              </w:rPr>
              <w:t>20</w:t>
            </w:r>
            <w:r>
              <w:rPr>
                <w:rFonts w:hint="eastAsia"/>
                <w:color w:val="000000"/>
                <w:highlight w:val="none"/>
              </w:rPr>
              <w:t>台</w:t>
            </w:r>
            <w:r>
              <w:rPr>
                <w:rFonts w:hint="eastAsia"/>
                <w:color w:val="000000"/>
                <w:highlight w:val="none"/>
                <w:lang w:eastAsia="zh-CN"/>
              </w:rPr>
              <w:t>（含</w:t>
            </w:r>
            <w:r>
              <w:rPr>
                <w:rFonts w:hint="eastAsia"/>
                <w:color w:val="000000"/>
                <w:highlight w:val="none"/>
              </w:rPr>
              <w:t>消防梯共</w:t>
            </w:r>
            <w:r>
              <w:rPr>
                <w:rFonts w:hint="eastAsia"/>
                <w:color w:val="000000"/>
                <w:highlight w:val="none"/>
                <w:lang w:val="en-US" w:eastAsia="zh-CN"/>
              </w:rPr>
              <w:t>4</w:t>
            </w:r>
            <w:r>
              <w:rPr>
                <w:rFonts w:hint="eastAsia"/>
                <w:color w:val="000000"/>
                <w:highlight w:val="none"/>
              </w:rPr>
              <w:t>台</w:t>
            </w:r>
            <w:r>
              <w:rPr>
                <w:rFonts w:hint="eastAsia"/>
                <w:color w:val="000000"/>
                <w:highlight w:val="none"/>
                <w:lang w:eastAsia="zh-CN"/>
              </w:rPr>
              <w:t>）</w:t>
            </w:r>
            <w:r>
              <w:rPr>
                <w:rFonts w:hint="eastAsia"/>
                <w:color w:val="000000"/>
                <w:highlight w:val="none"/>
              </w:rPr>
              <w:t>。</w:t>
            </w:r>
          </w:p>
        </w:tc>
        <w:tc>
          <w:tcPr>
            <w:tcW w:w="3719" w:type="dxa"/>
            <w:tcBorders>
              <w:top w:val="single" w:color="auto" w:sz="4" w:space="0"/>
              <w:left w:val="single" w:color="auto" w:sz="4" w:space="0"/>
              <w:bottom w:val="single" w:color="auto" w:sz="4" w:space="0"/>
              <w:right w:val="single" w:color="auto" w:sz="4" w:space="0"/>
            </w:tcBorders>
            <w:noWrap w:val="0"/>
            <w:vAlign w:val="center"/>
          </w:tcPr>
          <w:p w14:paraId="365145EF">
            <w:pPr>
              <w:jc w:val="both"/>
              <w:rPr>
                <w:rFonts w:hint="eastAsia"/>
                <w:color w:val="000000"/>
                <w:highlight w:val="none"/>
              </w:rPr>
            </w:pPr>
            <w:r>
              <w:rPr>
                <w:rFonts w:hint="eastAsia"/>
                <w:color w:val="000000"/>
                <w:highlight w:val="none"/>
              </w:rPr>
              <w:t>见“3.3公用设施设备维护”</w:t>
            </w:r>
          </w:p>
        </w:tc>
      </w:tr>
      <w:tr w14:paraId="0BE9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14:paraId="3BFB46C3">
            <w:pPr>
              <w:jc w:val="both"/>
              <w:rPr>
                <w:rFonts w:hint="eastAsia"/>
                <w:color w:val="000000"/>
                <w:highlight w:val="none"/>
              </w:rPr>
            </w:pPr>
          </w:p>
        </w:tc>
        <w:tc>
          <w:tcPr>
            <w:tcW w:w="2075" w:type="dxa"/>
            <w:tcBorders>
              <w:top w:val="single" w:color="auto" w:sz="4" w:space="0"/>
              <w:left w:val="single" w:color="auto" w:sz="4" w:space="0"/>
              <w:bottom w:val="single" w:color="auto" w:sz="4" w:space="0"/>
              <w:right w:val="single" w:color="auto" w:sz="4" w:space="0"/>
            </w:tcBorders>
            <w:noWrap w:val="0"/>
            <w:vAlign w:val="center"/>
          </w:tcPr>
          <w:p w14:paraId="1A21EFFD">
            <w:pPr>
              <w:jc w:val="both"/>
              <w:rPr>
                <w:rFonts w:hint="eastAsia"/>
                <w:color w:val="000000"/>
                <w:highlight w:val="none"/>
              </w:rPr>
            </w:pPr>
            <w:r>
              <w:rPr>
                <w:rFonts w:hint="eastAsia"/>
                <w:color w:val="000000"/>
                <w:highlight w:val="none"/>
              </w:rPr>
              <w:t>空调系统</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1E6D7F5E">
            <w:pPr>
              <w:jc w:val="both"/>
              <w:rPr>
                <w:rFonts w:hint="eastAsia"/>
                <w:color w:val="000000"/>
                <w:lang w:val="en-US" w:eastAsia="zh-CN"/>
              </w:rPr>
            </w:pPr>
            <w:r>
              <w:rPr>
                <w:rFonts w:hint="eastAsia"/>
                <w:color w:val="000000"/>
                <w:highlight w:val="none"/>
                <w:lang w:val="en-US" w:eastAsia="zh-CN"/>
              </w:rPr>
              <w:t>4台</w:t>
            </w:r>
            <w:r>
              <w:rPr>
                <w:rFonts w:hint="eastAsia"/>
                <w:color w:val="000000"/>
                <w:highlight w:val="none"/>
                <w:lang w:eastAsia="zh-CN"/>
              </w:rPr>
              <w:t>单螺杆水源热泵机组、</w:t>
            </w:r>
          </w:p>
          <w:p w14:paraId="25C91CC7">
            <w:pPr>
              <w:jc w:val="both"/>
              <w:rPr>
                <w:rFonts w:hint="eastAsia"/>
                <w:color w:val="000000"/>
                <w:lang w:val="en-US" w:eastAsia="zh-CN"/>
              </w:rPr>
            </w:pPr>
            <w:r>
              <w:rPr>
                <w:rFonts w:hint="eastAsia"/>
                <w:color w:val="000000"/>
                <w:highlight w:val="none"/>
                <w:lang w:val="en-US" w:eastAsia="zh-CN"/>
              </w:rPr>
              <w:t>3台螺杆式风冷热泵机组、</w:t>
            </w:r>
          </w:p>
          <w:p w14:paraId="6CD61EF2">
            <w:pPr>
              <w:jc w:val="both"/>
              <w:rPr>
                <w:color w:val="000000"/>
                <w:highlight w:val="none"/>
              </w:rPr>
            </w:pPr>
            <w:r>
              <w:rPr>
                <w:rFonts w:hint="eastAsia"/>
                <w:color w:val="000000"/>
                <w:highlight w:val="none"/>
                <w:lang w:val="en-US" w:eastAsia="zh-CN"/>
              </w:rPr>
              <w:t>3台螺</w:t>
            </w:r>
            <w:r>
              <w:rPr>
                <w:rFonts w:hint="eastAsia"/>
                <w:color w:val="000000"/>
                <w:highlight w:val="none"/>
                <w:lang w:eastAsia="zh-CN"/>
              </w:rPr>
              <w:t>杆式风冷冷（热）水机组、</w:t>
            </w:r>
            <w:r>
              <w:rPr>
                <w:rFonts w:hint="eastAsia"/>
                <w:color w:val="000000"/>
                <w:highlight w:val="none"/>
                <w:lang w:val="en-US" w:eastAsia="zh-CN"/>
              </w:rPr>
              <w:t>10台</w:t>
            </w:r>
            <w:r>
              <w:rPr>
                <w:rFonts w:hint="eastAsia"/>
                <w:color w:val="000000"/>
                <w:highlight w:val="none"/>
                <w:lang w:eastAsia="zh-CN"/>
              </w:rPr>
              <w:t>模块式风冷冷（热）水机组</w:t>
            </w:r>
            <w:r>
              <w:rPr>
                <w:rFonts w:hint="eastAsia"/>
                <w:color w:val="000000"/>
                <w:highlight w:val="none"/>
                <w:lang w:val="en-US" w:eastAsia="zh-CN"/>
              </w:rPr>
              <w:t>风机盘管2388台、新风机47台、25台水泵、5台冷却塔。</w:t>
            </w:r>
          </w:p>
        </w:tc>
        <w:tc>
          <w:tcPr>
            <w:tcW w:w="3719" w:type="dxa"/>
            <w:tcBorders>
              <w:top w:val="single" w:color="auto" w:sz="4" w:space="0"/>
              <w:left w:val="single" w:color="auto" w:sz="4" w:space="0"/>
              <w:bottom w:val="single" w:color="auto" w:sz="4" w:space="0"/>
              <w:right w:val="single" w:color="auto" w:sz="4" w:space="0"/>
            </w:tcBorders>
            <w:noWrap w:val="0"/>
            <w:vAlign w:val="center"/>
          </w:tcPr>
          <w:p w14:paraId="01DA8D89">
            <w:pPr>
              <w:jc w:val="both"/>
              <w:rPr>
                <w:rFonts w:hint="eastAsia"/>
                <w:color w:val="000000"/>
                <w:highlight w:val="none"/>
              </w:rPr>
            </w:pPr>
            <w:r>
              <w:rPr>
                <w:rFonts w:hint="eastAsia"/>
                <w:color w:val="000000"/>
                <w:highlight w:val="none"/>
              </w:rPr>
              <w:t>见“3.3公用设施设备维护”</w:t>
            </w:r>
          </w:p>
        </w:tc>
      </w:tr>
      <w:tr w14:paraId="511F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14:paraId="1A6B80AC">
            <w:pPr>
              <w:jc w:val="both"/>
              <w:rPr>
                <w:rFonts w:hint="eastAsia"/>
                <w:color w:val="000000"/>
                <w:highlight w:val="none"/>
              </w:rPr>
            </w:pPr>
          </w:p>
        </w:tc>
        <w:tc>
          <w:tcPr>
            <w:tcW w:w="2075" w:type="dxa"/>
            <w:tcBorders>
              <w:top w:val="single" w:color="auto" w:sz="4" w:space="0"/>
              <w:left w:val="single" w:color="auto" w:sz="4" w:space="0"/>
              <w:bottom w:val="single" w:color="auto" w:sz="4" w:space="0"/>
              <w:right w:val="single" w:color="auto" w:sz="4" w:space="0"/>
            </w:tcBorders>
            <w:noWrap w:val="0"/>
            <w:vAlign w:val="center"/>
          </w:tcPr>
          <w:p w14:paraId="2F42AA48">
            <w:pPr>
              <w:jc w:val="both"/>
              <w:rPr>
                <w:rFonts w:hint="eastAsia"/>
                <w:color w:val="000000"/>
                <w:highlight w:val="none"/>
              </w:rPr>
            </w:pPr>
            <w:r>
              <w:rPr>
                <w:rFonts w:hint="eastAsia"/>
                <w:color w:val="000000"/>
                <w:highlight w:val="none"/>
              </w:rPr>
              <w:t>消防系统</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680BFB9A">
            <w:pPr>
              <w:jc w:val="both"/>
              <w:rPr>
                <w:color w:val="000000"/>
                <w:highlight w:val="none"/>
              </w:rPr>
            </w:pPr>
            <w:r>
              <w:rPr>
                <w:rFonts w:hint="eastAsia" w:ascii="宋体" w:hAnsi="宋体" w:eastAsia="宋体" w:cs="宋体"/>
                <w:color w:val="000000"/>
                <w:highlight w:val="none"/>
              </w:rPr>
              <w:t>消防总控制室</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rPr>
              <w:t>个，辅助控制室</w:t>
            </w:r>
            <w:r>
              <w:rPr>
                <w:rFonts w:hint="eastAsia" w:ascii="宋体" w:hAnsi="宋体" w:eastAsia="宋体" w:cs="宋体"/>
                <w:color w:val="000000"/>
                <w:highlight w:val="none"/>
                <w:lang w:val="en-US" w:eastAsia="zh-CN"/>
              </w:rPr>
              <w:t>1</w:t>
            </w:r>
            <w:r>
              <w:rPr>
                <w:rFonts w:hint="eastAsia" w:ascii="宋体" w:hAnsi="宋体" w:eastAsia="宋体" w:cs="宋体"/>
                <w:color w:val="000000"/>
                <w:highlight w:val="none"/>
              </w:rPr>
              <w:t>个，消防水泵</w:t>
            </w:r>
            <w:r>
              <w:rPr>
                <w:rFonts w:hint="eastAsia" w:ascii="宋体" w:hAnsi="宋体" w:eastAsia="宋体" w:cs="宋体"/>
                <w:color w:val="000000"/>
                <w:highlight w:val="none"/>
                <w:lang w:val="en-US" w:eastAsia="zh-CN"/>
              </w:rPr>
              <w:t>12</w:t>
            </w:r>
            <w:r>
              <w:rPr>
                <w:rFonts w:hint="eastAsia" w:ascii="宋体" w:hAnsi="宋体" w:eastAsia="宋体" w:cs="宋体"/>
                <w:color w:val="000000"/>
                <w:highlight w:val="none"/>
              </w:rPr>
              <w:t>个，防火门</w:t>
            </w:r>
            <w:r>
              <w:rPr>
                <w:rFonts w:hint="eastAsia" w:ascii="宋体" w:hAnsi="宋体" w:eastAsia="宋体" w:cs="宋体"/>
                <w:color w:val="000000"/>
                <w:highlight w:val="none"/>
                <w:lang w:val="en-US" w:eastAsia="zh-CN"/>
              </w:rPr>
              <w:t>1174</w:t>
            </w:r>
            <w:r>
              <w:rPr>
                <w:rFonts w:hint="eastAsia" w:ascii="宋体" w:hAnsi="宋体" w:eastAsia="宋体" w:cs="宋体"/>
                <w:color w:val="000000"/>
                <w:highlight w:val="none"/>
              </w:rPr>
              <w:t>个</w:t>
            </w:r>
            <w:r>
              <w:rPr>
                <w:rFonts w:hint="eastAsia" w:ascii="宋体" w:hAnsi="宋体" w:eastAsia="宋体" w:cs="宋体"/>
                <w:color w:val="000000"/>
                <w:highlight w:val="none"/>
                <w:lang w:eastAsia="zh-CN"/>
              </w:rPr>
              <w:t>、</w:t>
            </w:r>
            <w:r>
              <w:rPr>
                <w:rFonts w:hint="eastAsia"/>
                <w:color w:val="000000"/>
                <w:highlight w:val="none"/>
                <w:shd w:val="clear" w:color="auto" w:fill="auto"/>
                <w:lang w:val="en-US" w:eastAsia="zh-CN"/>
              </w:rPr>
              <w:t>消防接合器10套</w:t>
            </w:r>
            <w:r>
              <w:rPr>
                <w:rFonts w:hint="eastAsia" w:ascii="宋体" w:hAnsi="宋体" w:eastAsia="宋体" w:cs="宋体"/>
                <w:color w:val="000000"/>
                <w:highlight w:val="none"/>
              </w:rPr>
              <w:t>。</w:t>
            </w:r>
          </w:p>
        </w:tc>
        <w:tc>
          <w:tcPr>
            <w:tcW w:w="3719" w:type="dxa"/>
            <w:tcBorders>
              <w:top w:val="single" w:color="auto" w:sz="4" w:space="0"/>
              <w:left w:val="single" w:color="auto" w:sz="4" w:space="0"/>
              <w:bottom w:val="single" w:color="auto" w:sz="4" w:space="0"/>
              <w:right w:val="single" w:color="auto" w:sz="4" w:space="0"/>
            </w:tcBorders>
            <w:noWrap w:val="0"/>
            <w:vAlign w:val="center"/>
          </w:tcPr>
          <w:p w14:paraId="114A0B47">
            <w:pPr>
              <w:jc w:val="both"/>
              <w:rPr>
                <w:rFonts w:hint="eastAsia"/>
                <w:color w:val="000000"/>
                <w:highlight w:val="none"/>
              </w:rPr>
            </w:pPr>
            <w:r>
              <w:rPr>
                <w:rFonts w:hint="eastAsia"/>
                <w:color w:val="000000"/>
                <w:highlight w:val="none"/>
              </w:rPr>
              <w:t>见“3.6保安服务”“3.3公用设施设备维护”</w:t>
            </w:r>
          </w:p>
        </w:tc>
      </w:tr>
      <w:tr w14:paraId="2008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14:paraId="3D0BA627">
            <w:pPr>
              <w:jc w:val="both"/>
              <w:rPr>
                <w:rFonts w:hint="eastAsia"/>
                <w:color w:val="000000"/>
                <w:highlight w:val="none"/>
              </w:rPr>
            </w:pPr>
          </w:p>
        </w:tc>
        <w:tc>
          <w:tcPr>
            <w:tcW w:w="2075" w:type="dxa"/>
            <w:tcBorders>
              <w:top w:val="single" w:color="auto" w:sz="4" w:space="0"/>
              <w:left w:val="single" w:color="auto" w:sz="4" w:space="0"/>
              <w:bottom w:val="single" w:color="auto" w:sz="4" w:space="0"/>
              <w:right w:val="single" w:color="auto" w:sz="4" w:space="0"/>
            </w:tcBorders>
            <w:noWrap w:val="0"/>
            <w:vAlign w:val="center"/>
          </w:tcPr>
          <w:p w14:paraId="52E252AC">
            <w:pPr>
              <w:jc w:val="both"/>
              <w:rPr>
                <w:rFonts w:hint="eastAsia"/>
                <w:color w:val="000000"/>
                <w:highlight w:val="none"/>
              </w:rPr>
            </w:pPr>
            <w:r>
              <w:rPr>
                <w:rFonts w:hint="eastAsia"/>
                <w:color w:val="000000"/>
                <w:highlight w:val="none"/>
              </w:rPr>
              <w:t>安防系统</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31A017AD">
            <w:pPr>
              <w:jc w:val="both"/>
              <w:rPr>
                <w:rFonts w:eastAsia="宋体"/>
                <w:color w:val="000000"/>
                <w:highlight w:val="none"/>
                <w:lang w:val="en-US" w:eastAsia="zh-CN"/>
              </w:rPr>
            </w:pPr>
            <w:r>
              <w:rPr>
                <w:rFonts w:hint="eastAsia"/>
                <w:color w:val="000000"/>
                <w:highlight w:val="none"/>
              </w:rPr>
              <w:t>监控室</w:t>
            </w:r>
            <w:r>
              <w:rPr>
                <w:rFonts w:hint="eastAsia"/>
                <w:color w:val="000000"/>
                <w:highlight w:val="none"/>
                <w:lang w:val="en-US" w:eastAsia="zh-CN"/>
              </w:rPr>
              <w:t>2</w:t>
            </w:r>
            <w:r>
              <w:rPr>
                <w:rFonts w:hint="eastAsia"/>
                <w:color w:val="000000"/>
                <w:highlight w:val="none"/>
              </w:rPr>
              <w:t>个</w:t>
            </w:r>
            <w:r>
              <w:rPr>
                <w:rFonts w:hint="eastAsia"/>
                <w:color w:val="000000"/>
                <w:highlight w:val="none"/>
                <w:lang w:eastAsia="zh-CN"/>
              </w:rPr>
              <w:t>、</w:t>
            </w:r>
            <w:r>
              <w:rPr>
                <w:rFonts w:hint="eastAsia"/>
                <w:color w:val="000000"/>
                <w:highlight w:val="none"/>
                <w:lang w:val="en-US" w:eastAsia="zh-CN"/>
              </w:rPr>
              <w:t>室内</w:t>
            </w:r>
            <w:r>
              <w:rPr>
                <w:rFonts w:hint="eastAsia"/>
                <w:color w:val="000000"/>
                <w:highlight w:val="none"/>
                <w:shd w:val="clear" w:color="auto" w:fill="auto"/>
                <w:lang w:val="en-US" w:eastAsia="zh-CN"/>
              </w:rPr>
              <w:t>监控系统2套、室外监控系统2套；地面停车场道闸管理系统2套、地下室停车场道闸管理系统2套；车辆道闸12套、人行道闸4套。</w:t>
            </w:r>
          </w:p>
        </w:tc>
        <w:tc>
          <w:tcPr>
            <w:tcW w:w="3719" w:type="dxa"/>
            <w:tcBorders>
              <w:top w:val="single" w:color="auto" w:sz="4" w:space="0"/>
              <w:left w:val="single" w:color="auto" w:sz="4" w:space="0"/>
              <w:bottom w:val="single" w:color="auto" w:sz="4" w:space="0"/>
              <w:right w:val="single" w:color="auto" w:sz="4" w:space="0"/>
            </w:tcBorders>
            <w:noWrap w:val="0"/>
            <w:vAlign w:val="center"/>
          </w:tcPr>
          <w:p w14:paraId="71F619FF">
            <w:pPr>
              <w:jc w:val="both"/>
              <w:rPr>
                <w:rFonts w:hint="eastAsia"/>
                <w:color w:val="000000"/>
                <w:highlight w:val="none"/>
              </w:rPr>
            </w:pPr>
            <w:r>
              <w:rPr>
                <w:rFonts w:hint="eastAsia"/>
                <w:color w:val="000000"/>
                <w:highlight w:val="none"/>
              </w:rPr>
              <w:t>见“3.6保安服务”“3.3公用设施设备维护”</w:t>
            </w:r>
          </w:p>
        </w:tc>
      </w:tr>
      <w:tr w14:paraId="3227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14:paraId="3593AD22">
            <w:pPr>
              <w:jc w:val="both"/>
              <w:rPr>
                <w:rFonts w:hint="eastAsia"/>
                <w:color w:val="000000"/>
                <w:highlight w:val="none"/>
              </w:rPr>
            </w:pPr>
          </w:p>
        </w:tc>
        <w:tc>
          <w:tcPr>
            <w:tcW w:w="2075" w:type="dxa"/>
            <w:tcBorders>
              <w:top w:val="single" w:color="auto" w:sz="4" w:space="0"/>
              <w:left w:val="single" w:color="auto" w:sz="4" w:space="0"/>
              <w:bottom w:val="single" w:color="auto" w:sz="4" w:space="0"/>
              <w:right w:val="single" w:color="auto" w:sz="4" w:space="0"/>
            </w:tcBorders>
            <w:noWrap w:val="0"/>
            <w:vAlign w:val="center"/>
          </w:tcPr>
          <w:p w14:paraId="3553540E">
            <w:pPr>
              <w:jc w:val="both"/>
              <w:rPr>
                <w:rFonts w:hint="eastAsia"/>
                <w:color w:val="000000"/>
                <w:highlight w:val="none"/>
              </w:rPr>
            </w:pPr>
            <w:r>
              <w:rPr>
                <w:rFonts w:hint="eastAsia"/>
                <w:color w:val="000000"/>
                <w:highlight w:val="none"/>
              </w:rPr>
              <w:t>照明系统</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66C724C1">
            <w:pPr>
              <w:jc w:val="both"/>
              <w:rPr>
                <w:rFonts w:eastAsia="宋体"/>
                <w:color w:val="000000"/>
                <w:highlight w:val="none"/>
                <w:lang w:val="en-US" w:eastAsia="zh-CN"/>
              </w:rPr>
            </w:pPr>
            <w:r>
              <w:rPr>
                <w:rFonts w:hint="eastAsia"/>
                <w:color w:val="000000"/>
                <w:highlight w:val="none"/>
              </w:rPr>
              <w:t>室内照明灯具</w:t>
            </w:r>
            <w:r>
              <w:rPr>
                <w:rFonts w:hint="eastAsia"/>
                <w:color w:val="000000"/>
                <w:highlight w:val="none"/>
                <w:lang w:val="en-US" w:eastAsia="zh-CN"/>
              </w:rPr>
              <w:t>2514</w:t>
            </w:r>
          </w:p>
        </w:tc>
        <w:tc>
          <w:tcPr>
            <w:tcW w:w="3719" w:type="dxa"/>
            <w:tcBorders>
              <w:top w:val="single" w:color="auto" w:sz="4" w:space="0"/>
              <w:left w:val="single" w:color="auto" w:sz="4" w:space="0"/>
              <w:bottom w:val="single" w:color="auto" w:sz="4" w:space="0"/>
              <w:right w:val="single" w:color="auto" w:sz="4" w:space="0"/>
            </w:tcBorders>
            <w:noWrap w:val="0"/>
            <w:vAlign w:val="center"/>
          </w:tcPr>
          <w:p w14:paraId="2889DA1E">
            <w:pPr>
              <w:jc w:val="both"/>
              <w:rPr>
                <w:rFonts w:hint="eastAsia"/>
                <w:color w:val="000000"/>
                <w:highlight w:val="none"/>
              </w:rPr>
            </w:pPr>
            <w:r>
              <w:rPr>
                <w:rFonts w:hint="eastAsia"/>
                <w:color w:val="000000"/>
                <w:highlight w:val="none"/>
              </w:rPr>
              <w:t>见“3.3公用设施设备维护”</w:t>
            </w:r>
          </w:p>
        </w:tc>
      </w:tr>
      <w:tr w14:paraId="5F64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14:paraId="5DFEA7D5">
            <w:pPr>
              <w:jc w:val="both"/>
              <w:rPr>
                <w:rFonts w:hint="eastAsia"/>
                <w:color w:val="000000"/>
                <w:highlight w:val="none"/>
              </w:rPr>
            </w:pPr>
          </w:p>
        </w:tc>
        <w:tc>
          <w:tcPr>
            <w:tcW w:w="2075" w:type="dxa"/>
            <w:tcBorders>
              <w:top w:val="single" w:color="auto" w:sz="4" w:space="0"/>
              <w:left w:val="single" w:color="auto" w:sz="4" w:space="0"/>
              <w:bottom w:val="single" w:color="auto" w:sz="4" w:space="0"/>
              <w:right w:val="single" w:color="auto" w:sz="4" w:space="0"/>
            </w:tcBorders>
            <w:noWrap w:val="0"/>
            <w:vAlign w:val="center"/>
          </w:tcPr>
          <w:p w14:paraId="1D63440E">
            <w:pPr>
              <w:jc w:val="both"/>
              <w:rPr>
                <w:rFonts w:hint="eastAsia"/>
                <w:color w:val="000000"/>
                <w:highlight w:val="none"/>
              </w:rPr>
            </w:pPr>
            <w:r>
              <w:rPr>
                <w:rFonts w:hint="eastAsia"/>
                <w:color w:val="000000"/>
                <w:highlight w:val="none"/>
              </w:rPr>
              <w:t>供配电系统</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2D70879F">
            <w:pPr>
              <w:jc w:val="both"/>
              <w:rPr>
                <w:color w:val="000000"/>
                <w:highlight w:val="none"/>
              </w:rPr>
            </w:pPr>
            <w:r>
              <w:rPr>
                <w:rFonts w:hint="eastAsia"/>
                <w:color w:val="000000"/>
                <w:highlight w:val="none"/>
                <w:lang w:val="en-US" w:eastAsia="zh-CN"/>
              </w:rPr>
              <w:t>3</w:t>
            </w:r>
            <w:r>
              <w:rPr>
                <w:rFonts w:hint="eastAsia"/>
                <w:color w:val="000000"/>
                <w:highlight w:val="none"/>
              </w:rPr>
              <w:t>个配电房</w:t>
            </w:r>
            <w:r>
              <w:rPr>
                <w:rFonts w:hint="eastAsia"/>
                <w:color w:val="000000"/>
                <w:highlight w:val="none"/>
                <w:lang w:eastAsia="zh-CN"/>
              </w:rPr>
              <w:t>，</w:t>
            </w:r>
            <w:r>
              <w:rPr>
                <w:rFonts w:hint="eastAsia"/>
                <w:color w:val="000000"/>
                <w:highlight w:val="none"/>
                <w:lang w:val="en-US" w:eastAsia="zh-CN"/>
              </w:rPr>
              <w:t>5</w:t>
            </w:r>
            <w:r>
              <w:rPr>
                <w:rFonts w:hint="eastAsia"/>
                <w:color w:val="000000"/>
                <w:highlight w:val="none"/>
                <w:lang w:eastAsia="zh-CN"/>
              </w:rPr>
              <w:t>台</w:t>
            </w:r>
            <w:r>
              <w:rPr>
                <w:rFonts w:hint="eastAsia"/>
                <w:color w:val="000000"/>
                <w:highlight w:val="none"/>
              </w:rPr>
              <w:t>变压器，</w:t>
            </w:r>
            <w:r>
              <w:rPr>
                <w:rFonts w:hint="eastAsia"/>
                <w:color w:val="000000"/>
                <w:highlight w:val="none"/>
                <w:lang w:val="en-US" w:eastAsia="zh-CN"/>
              </w:rPr>
              <w:t>46</w:t>
            </w:r>
            <w:r>
              <w:rPr>
                <w:rFonts w:hint="eastAsia"/>
                <w:color w:val="000000"/>
                <w:highlight w:val="none"/>
              </w:rPr>
              <w:t>个配电柜</w:t>
            </w:r>
            <w:r>
              <w:rPr>
                <w:rFonts w:hint="eastAsia"/>
                <w:color w:val="000000"/>
                <w:highlight w:val="none"/>
                <w:lang w:eastAsia="zh-CN"/>
              </w:rPr>
              <w:t>，</w:t>
            </w:r>
            <w:r>
              <w:rPr>
                <w:rFonts w:hint="eastAsia"/>
                <w:color w:val="000000"/>
                <w:highlight w:val="none"/>
              </w:rPr>
              <w:t>总装机容量</w:t>
            </w:r>
            <w:r>
              <w:rPr>
                <w:rFonts w:hint="eastAsia"/>
                <w:color w:val="000000"/>
                <w:highlight w:val="none"/>
                <w:lang w:val="en-US" w:eastAsia="zh-CN"/>
              </w:rPr>
              <w:t>8</w:t>
            </w:r>
            <w:r>
              <w:rPr>
                <w:rFonts w:hint="eastAsia"/>
                <w:color w:val="000000"/>
                <w:highlight w:val="none"/>
              </w:rPr>
              <w:t>000kv</w:t>
            </w:r>
            <w:r>
              <w:rPr>
                <w:rFonts w:hint="eastAsia"/>
                <w:color w:val="000000"/>
                <w:highlight w:val="none"/>
                <w:lang w:val="en-US" w:eastAsia="zh-CN"/>
              </w:rPr>
              <w:t>A</w:t>
            </w:r>
            <w:r>
              <w:rPr>
                <w:rFonts w:hint="eastAsia"/>
                <w:color w:val="000000"/>
                <w:highlight w:val="none"/>
                <w:lang w:eastAsia="zh-CN"/>
              </w:rPr>
              <w:t>，</w:t>
            </w:r>
            <w:r>
              <w:rPr>
                <w:rFonts w:hint="eastAsia"/>
                <w:color w:val="000000"/>
                <w:lang w:val="en-US" w:eastAsia="zh-CN"/>
              </w:rPr>
              <w:t>3台柴油发电机，</w:t>
            </w:r>
          </w:p>
        </w:tc>
        <w:tc>
          <w:tcPr>
            <w:tcW w:w="3719" w:type="dxa"/>
            <w:tcBorders>
              <w:top w:val="single" w:color="auto" w:sz="4" w:space="0"/>
              <w:left w:val="single" w:color="auto" w:sz="4" w:space="0"/>
              <w:bottom w:val="single" w:color="auto" w:sz="4" w:space="0"/>
              <w:right w:val="single" w:color="auto" w:sz="4" w:space="0"/>
            </w:tcBorders>
            <w:noWrap w:val="0"/>
            <w:vAlign w:val="center"/>
          </w:tcPr>
          <w:p w14:paraId="5A58FC27">
            <w:pPr>
              <w:jc w:val="both"/>
              <w:rPr>
                <w:rFonts w:hint="eastAsia"/>
                <w:color w:val="000000"/>
                <w:highlight w:val="none"/>
              </w:rPr>
            </w:pPr>
            <w:r>
              <w:rPr>
                <w:rFonts w:hint="eastAsia"/>
                <w:color w:val="000000"/>
                <w:highlight w:val="none"/>
              </w:rPr>
              <w:t>见“3.3公用设施设备维护”</w:t>
            </w:r>
          </w:p>
        </w:tc>
      </w:tr>
    </w:tbl>
    <w:p w14:paraId="7BE1E6C7">
      <w:pPr>
        <w:numPr>
          <w:ilvl w:val="0"/>
          <w:numId w:val="5"/>
        </w:numPr>
        <w:ind w:left="210"/>
        <w:outlineLvl w:val="2"/>
        <w:rPr>
          <w:rFonts w:hint="eastAsia"/>
          <w:color w:val="auto"/>
          <w:highlight w:val="none"/>
        </w:rPr>
      </w:pPr>
      <w:r>
        <w:rPr>
          <w:rFonts w:hint="eastAsia"/>
          <w:color w:val="auto"/>
          <w:highlight w:val="none"/>
          <w:lang w:eastAsia="zh-CN"/>
        </w:rPr>
        <w:t>物业</w:t>
      </w:r>
      <w:r>
        <w:rPr>
          <w:rFonts w:hint="eastAsia"/>
          <w:color w:val="auto"/>
          <w:highlight w:val="none"/>
          <w:lang w:val="en-US" w:eastAsia="zh-CN"/>
        </w:rPr>
        <w:t>1（</w:t>
      </w:r>
      <w:r>
        <w:rPr>
          <w:rFonts w:hint="eastAsia"/>
          <w:color w:val="auto"/>
          <w:highlight w:val="none"/>
          <w:lang w:eastAsia="zh-CN"/>
        </w:rPr>
        <w:t>桂林市建设大厦、桂林投资发展商务大厦(桂林市市直机关第二办公区)</w:t>
      </w:r>
      <w:r>
        <w:rPr>
          <w:rFonts w:hint="eastAsia"/>
          <w:color w:val="auto"/>
          <w:highlight w:val="none"/>
          <w:lang w:val="en-US" w:eastAsia="zh-CN"/>
        </w:rPr>
        <w:t>）：</w:t>
      </w:r>
      <w:r>
        <w:rPr>
          <w:rFonts w:hint="eastAsia"/>
          <w:color w:val="auto"/>
          <w:highlight w:val="none"/>
        </w:rPr>
        <w:t>物业管理（室外）</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3697"/>
      </w:tblGrid>
      <w:tr w14:paraId="24C3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noWrap w:val="0"/>
            <w:vAlign w:val="center"/>
          </w:tcPr>
          <w:p w14:paraId="5B23C000">
            <w:pPr>
              <w:jc w:val="both"/>
              <w:rPr>
                <w:rFonts w:hint="eastAsia"/>
                <w:color w:val="000000"/>
                <w:highlight w:val="none"/>
              </w:rPr>
            </w:pPr>
            <w:r>
              <w:rPr>
                <w:rFonts w:hint="eastAsia"/>
                <w:color w:val="000000"/>
                <w:highlight w:val="none"/>
              </w:rPr>
              <w:t>名称</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08ECDD3F">
            <w:pPr>
              <w:jc w:val="both"/>
              <w:rPr>
                <w:rFonts w:hint="eastAsia"/>
                <w:color w:val="000000"/>
                <w:highlight w:val="none"/>
              </w:rPr>
            </w:pPr>
            <w:r>
              <w:rPr>
                <w:rFonts w:hint="eastAsia"/>
                <w:color w:val="000000"/>
                <w:highlight w:val="none"/>
              </w:rPr>
              <w:t>明细</w:t>
            </w:r>
          </w:p>
        </w:tc>
        <w:tc>
          <w:tcPr>
            <w:tcW w:w="3697" w:type="dxa"/>
            <w:tcBorders>
              <w:top w:val="single" w:color="auto" w:sz="4" w:space="0"/>
              <w:left w:val="single" w:color="auto" w:sz="4" w:space="0"/>
              <w:bottom w:val="single" w:color="auto" w:sz="4" w:space="0"/>
              <w:right w:val="single" w:color="auto" w:sz="4" w:space="0"/>
            </w:tcBorders>
            <w:noWrap w:val="0"/>
            <w:vAlign w:val="center"/>
          </w:tcPr>
          <w:p w14:paraId="1869FD18">
            <w:pPr>
              <w:jc w:val="both"/>
              <w:rPr>
                <w:rFonts w:hint="eastAsia"/>
                <w:color w:val="000000"/>
                <w:highlight w:val="none"/>
              </w:rPr>
            </w:pPr>
            <w:r>
              <w:rPr>
                <w:rFonts w:hint="eastAsia"/>
                <w:color w:val="000000"/>
                <w:highlight w:val="none"/>
              </w:rPr>
              <w:t>服务内容及标准</w:t>
            </w:r>
          </w:p>
        </w:tc>
      </w:tr>
      <w:tr w14:paraId="4F93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noWrap w:val="0"/>
            <w:vAlign w:val="center"/>
          </w:tcPr>
          <w:p w14:paraId="30D37DDD">
            <w:pPr>
              <w:jc w:val="both"/>
              <w:rPr>
                <w:rFonts w:hint="eastAsia"/>
                <w:color w:val="000000"/>
                <w:highlight w:val="none"/>
              </w:rPr>
            </w:pPr>
            <w:r>
              <w:rPr>
                <w:rFonts w:hint="eastAsia"/>
                <w:color w:val="000000"/>
                <w:highlight w:val="none"/>
              </w:rPr>
              <w:t>室外面积（㎡）</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534011F7">
            <w:pPr>
              <w:jc w:val="both"/>
              <w:rPr>
                <w:color w:val="000000"/>
                <w:highlight w:val="none"/>
              </w:rPr>
            </w:pPr>
            <w:r>
              <w:rPr>
                <w:rFonts w:hint="eastAsia"/>
                <w:color w:val="000000"/>
                <w:highlight w:val="none"/>
                <w:lang w:val="en-US" w:eastAsia="zh-CN"/>
              </w:rPr>
              <w:t>1.8</w:t>
            </w:r>
            <w:r>
              <w:rPr>
                <w:rFonts w:hint="eastAsia"/>
                <w:color w:val="000000"/>
                <w:highlight w:val="none"/>
              </w:rPr>
              <w:t>万平方米</w:t>
            </w:r>
          </w:p>
        </w:tc>
        <w:tc>
          <w:tcPr>
            <w:tcW w:w="3697" w:type="dxa"/>
            <w:tcBorders>
              <w:top w:val="single" w:color="auto" w:sz="4" w:space="0"/>
              <w:left w:val="single" w:color="auto" w:sz="4" w:space="0"/>
              <w:bottom w:val="single" w:color="auto" w:sz="4" w:space="0"/>
              <w:right w:val="single" w:color="auto" w:sz="4" w:space="0"/>
            </w:tcBorders>
            <w:noWrap w:val="0"/>
            <w:vAlign w:val="center"/>
          </w:tcPr>
          <w:p w14:paraId="3D46C4CD">
            <w:pPr>
              <w:jc w:val="both"/>
              <w:rPr>
                <w:rFonts w:hint="eastAsia"/>
                <w:color w:val="000000"/>
                <w:highlight w:val="none"/>
              </w:rPr>
            </w:pPr>
            <w:r>
              <w:rPr>
                <w:rFonts w:hint="eastAsia"/>
                <w:color w:val="000000"/>
                <w:highlight w:val="none"/>
              </w:rPr>
              <w:t>见“3.4保洁服务”“3.6保安服务”</w:t>
            </w:r>
          </w:p>
        </w:tc>
      </w:tr>
      <w:tr w14:paraId="1DB0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noWrap w:val="0"/>
            <w:vAlign w:val="center"/>
          </w:tcPr>
          <w:p w14:paraId="2A5F0A50">
            <w:pPr>
              <w:jc w:val="both"/>
              <w:rPr>
                <w:rFonts w:hint="eastAsia"/>
                <w:color w:val="000000"/>
                <w:highlight w:val="none"/>
              </w:rPr>
            </w:pPr>
            <w:r>
              <w:rPr>
                <w:rFonts w:hint="eastAsia"/>
                <w:color w:val="000000"/>
                <w:highlight w:val="none"/>
              </w:rPr>
              <w:t>绿化面积</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68FDBFF2">
            <w:pPr>
              <w:jc w:val="both"/>
              <w:rPr>
                <w:color w:val="000000"/>
                <w:highlight w:val="none"/>
              </w:rPr>
            </w:pPr>
            <w:r>
              <w:rPr>
                <w:rFonts w:hint="eastAsia"/>
                <w:color w:val="000000"/>
                <w:highlight w:val="none"/>
                <w:lang w:val="en-US" w:eastAsia="zh-CN"/>
              </w:rPr>
              <w:t>1.25</w:t>
            </w:r>
            <w:r>
              <w:rPr>
                <w:rFonts w:hint="eastAsia"/>
                <w:color w:val="000000"/>
                <w:highlight w:val="none"/>
              </w:rPr>
              <w:t>万平方米</w:t>
            </w:r>
          </w:p>
        </w:tc>
        <w:tc>
          <w:tcPr>
            <w:tcW w:w="3697" w:type="dxa"/>
            <w:tcBorders>
              <w:top w:val="single" w:color="auto" w:sz="4" w:space="0"/>
              <w:left w:val="single" w:color="auto" w:sz="4" w:space="0"/>
              <w:bottom w:val="single" w:color="auto" w:sz="4" w:space="0"/>
              <w:right w:val="single" w:color="auto" w:sz="4" w:space="0"/>
            </w:tcBorders>
            <w:noWrap w:val="0"/>
            <w:vAlign w:val="center"/>
          </w:tcPr>
          <w:p w14:paraId="32513E5E">
            <w:pPr>
              <w:jc w:val="both"/>
              <w:rPr>
                <w:rFonts w:hint="eastAsia"/>
                <w:color w:val="000000"/>
                <w:highlight w:val="none"/>
              </w:rPr>
            </w:pPr>
            <w:r>
              <w:rPr>
                <w:rFonts w:hint="eastAsia"/>
                <w:color w:val="000000"/>
                <w:highlight w:val="none"/>
              </w:rPr>
              <w:t>见“3.4保洁服务”“3.5绿化服务”</w:t>
            </w:r>
          </w:p>
        </w:tc>
      </w:tr>
      <w:tr w14:paraId="0036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noWrap w:val="0"/>
            <w:vAlign w:val="center"/>
          </w:tcPr>
          <w:p w14:paraId="533CFC4C">
            <w:pPr>
              <w:jc w:val="both"/>
              <w:rPr>
                <w:rFonts w:hint="eastAsia"/>
                <w:color w:val="000000"/>
                <w:highlight w:val="none"/>
              </w:rPr>
            </w:pPr>
            <w:r>
              <w:rPr>
                <w:rFonts w:hint="eastAsia"/>
                <w:color w:val="000000"/>
                <w:highlight w:val="none"/>
              </w:rPr>
              <w:t>广场</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57109157">
            <w:pPr>
              <w:jc w:val="both"/>
              <w:rPr>
                <w:color w:val="000000"/>
                <w:highlight w:val="none"/>
              </w:rPr>
            </w:pPr>
            <w:r>
              <w:rPr>
                <w:rFonts w:hint="eastAsia"/>
                <w:color w:val="000000"/>
                <w:highlight w:val="none"/>
                <w:lang w:val="en-US" w:eastAsia="zh-CN"/>
              </w:rPr>
              <w:t>0.22</w:t>
            </w:r>
            <w:r>
              <w:rPr>
                <w:rFonts w:hint="eastAsia"/>
                <w:color w:val="000000"/>
                <w:highlight w:val="none"/>
              </w:rPr>
              <w:t>万平方米</w:t>
            </w:r>
          </w:p>
        </w:tc>
        <w:tc>
          <w:tcPr>
            <w:tcW w:w="3697" w:type="dxa"/>
            <w:tcBorders>
              <w:top w:val="single" w:color="auto" w:sz="4" w:space="0"/>
              <w:left w:val="single" w:color="auto" w:sz="4" w:space="0"/>
              <w:bottom w:val="single" w:color="auto" w:sz="4" w:space="0"/>
              <w:right w:val="single" w:color="auto" w:sz="4" w:space="0"/>
            </w:tcBorders>
            <w:noWrap w:val="0"/>
            <w:vAlign w:val="center"/>
          </w:tcPr>
          <w:p w14:paraId="298B7711">
            <w:pPr>
              <w:jc w:val="both"/>
              <w:rPr>
                <w:rFonts w:hint="eastAsia"/>
                <w:color w:val="000000"/>
                <w:highlight w:val="none"/>
              </w:rPr>
            </w:pPr>
            <w:r>
              <w:rPr>
                <w:rFonts w:hint="eastAsia"/>
                <w:color w:val="000000"/>
                <w:highlight w:val="none"/>
              </w:rPr>
              <w:t>见“3.4保洁服务”“3.6保安服务”</w:t>
            </w:r>
          </w:p>
        </w:tc>
      </w:tr>
      <w:tr w14:paraId="2BEA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noWrap w:val="0"/>
            <w:vAlign w:val="center"/>
          </w:tcPr>
          <w:p w14:paraId="172550FD">
            <w:pPr>
              <w:jc w:val="both"/>
              <w:rPr>
                <w:rFonts w:hint="eastAsia"/>
                <w:color w:val="000000"/>
                <w:highlight w:val="none"/>
              </w:rPr>
            </w:pPr>
            <w:r>
              <w:rPr>
                <w:rFonts w:hint="eastAsia"/>
                <w:color w:val="000000"/>
                <w:highlight w:val="none"/>
              </w:rPr>
              <w:t>路灯、草坪、音箱</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7949AB50">
            <w:pPr>
              <w:jc w:val="both"/>
              <w:rPr>
                <w:rFonts w:hint="eastAsia"/>
                <w:color w:val="000000"/>
                <w:highlight w:val="none"/>
              </w:rPr>
            </w:pPr>
            <w:r>
              <w:rPr>
                <w:rFonts w:hint="eastAsia"/>
                <w:color w:val="000000"/>
                <w:highlight w:val="none"/>
                <w:shd w:val="clear" w:color="auto" w:fill="auto"/>
                <w:lang w:val="en-US" w:eastAsia="zh-CN"/>
              </w:rPr>
              <w:t>室外照明系统4套，其中</w:t>
            </w:r>
            <w:r>
              <w:rPr>
                <w:rFonts w:hint="eastAsia"/>
                <w:color w:val="000000"/>
                <w:highlight w:val="none"/>
              </w:rPr>
              <w:t>路灯</w:t>
            </w:r>
            <w:r>
              <w:rPr>
                <w:rFonts w:hint="eastAsia"/>
                <w:color w:val="000000"/>
                <w:highlight w:val="none"/>
                <w:lang w:val="en-US" w:eastAsia="zh-CN"/>
              </w:rPr>
              <w:t>19盏</w:t>
            </w:r>
            <w:r>
              <w:rPr>
                <w:rFonts w:hint="eastAsia"/>
                <w:color w:val="000000"/>
                <w:highlight w:val="none"/>
              </w:rPr>
              <w:t>、</w:t>
            </w:r>
            <w:r>
              <w:rPr>
                <w:rFonts w:hint="eastAsia"/>
                <w:color w:val="000000"/>
                <w:highlight w:val="none"/>
                <w:u w:val="none"/>
                <w:lang w:val="en-US" w:eastAsia="zh-CN"/>
              </w:rPr>
              <w:t>围墙灯73盏、</w:t>
            </w:r>
            <w:r>
              <w:rPr>
                <w:rFonts w:hint="eastAsia"/>
                <w:color w:val="000000"/>
                <w:highlight w:val="none"/>
              </w:rPr>
              <w:t>草坪灯</w:t>
            </w:r>
            <w:r>
              <w:rPr>
                <w:color w:val="000000"/>
                <w:highlight w:val="none"/>
                <w:u w:val="none"/>
                <w:lang w:val="en-US" w:eastAsia="zh-CN"/>
              </w:rPr>
              <w:t>48</w:t>
            </w:r>
            <w:r>
              <w:rPr>
                <w:rFonts w:hint="eastAsia"/>
                <w:color w:val="000000"/>
                <w:highlight w:val="none"/>
                <w:lang w:val="en-US" w:eastAsia="zh-CN"/>
              </w:rPr>
              <w:t>盏。</w:t>
            </w:r>
          </w:p>
        </w:tc>
        <w:tc>
          <w:tcPr>
            <w:tcW w:w="3697" w:type="dxa"/>
            <w:tcBorders>
              <w:top w:val="single" w:color="auto" w:sz="4" w:space="0"/>
              <w:left w:val="single" w:color="auto" w:sz="4" w:space="0"/>
              <w:bottom w:val="single" w:color="auto" w:sz="4" w:space="0"/>
              <w:right w:val="single" w:color="auto" w:sz="4" w:space="0"/>
            </w:tcBorders>
            <w:noWrap w:val="0"/>
            <w:vAlign w:val="center"/>
          </w:tcPr>
          <w:p w14:paraId="32537E27">
            <w:pPr>
              <w:jc w:val="both"/>
              <w:rPr>
                <w:rFonts w:hint="eastAsia"/>
                <w:color w:val="000000"/>
                <w:highlight w:val="none"/>
              </w:rPr>
            </w:pPr>
            <w:r>
              <w:rPr>
                <w:rFonts w:hint="eastAsia"/>
                <w:color w:val="000000"/>
                <w:highlight w:val="none"/>
              </w:rPr>
              <w:t>见“3.3公用设施设备维护”“3.4保洁服务”</w:t>
            </w:r>
          </w:p>
        </w:tc>
      </w:tr>
      <w:tr w14:paraId="6BC5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noWrap w:val="0"/>
            <w:vAlign w:val="center"/>
          </w:tcPr>
          <w:p w14:paraId="6686FD08">
            <w:pPr>
              <w:jc w:val="both"/>
              <w:rPr>
                <w:rFonts w:hint="eastAsia"/>
                <w:color w:val="000000"/>
                <w:highlight w:val="none"/>
              </w:rPr>
            </w:pPr>
            <w:r>
              <w:rPr>
                <w:rFonts w:hint="eastAsia"/>
                <w:color w:val="000000"/>
                <w:highlight w:val="none"/>
              </w:rPr>
              <w:t>消防栓</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16BA182B">
            <w:pPr>
              <w:jc w:val="both"/>
              <w:rPr>
                <w:rFonts w:eastAsia="宋体"/>
                <w:color w:val="000000"/>
                <w:highlight w:val="none"/>
                <w:lang w:val="en-US" w:eastAsia="zh-CN"/>
              </w:rPr>
            </w:pPr>
            <w:r>
              <w:rPr>
                <w:rFonts w:hint="eastAsia"/>
                <w:color w:val="000000"/>
                <w:highlight w:val="none"/>
                <w:lang w:val="en-US" w:eastAsia="zh-CN"/>
              </w:rPr>
              <w:t>室内消火栓671</w:t>
            </w:r>
            <w:r>
              <w:rPr>
                <w:rFonts w:hint="eastAsia"/>
                <w:color w:val="000000"/>
                <w:highlight w:val="none"/>
              </w:rPr>
              <w:t>个</w:t>
            </w:r>
            <w:r>
              <w:rPr>
                <w:rFonts w:hint="eastAsia"/>
                <w:color w:val="000000"/>
                <w:highlight w:val="none"/>
                <w:shd w:val="clear" w:color="auto" w:fill="auto"/>
                <w:lang w:eastAsia="zh-CN"/>
              </w:rPr>
              <w:t>、</w:t>
            </w:r>
            <w:r>
              <w:rPr>
                <w:rFonts w:hint="eastAsia"/>
                <w:color w:val="000000"/>
                <w:highlight w:val="none"/>
                <w:shd w:val="clear" w:color="auto" w:fill="auto"/>
                <w:lang w:val="en-US" w:eastAsia="zh-CN"/>
              </w:rPr>
              <w:t>室外消火栓12个、室外消防接合器12套</w:t>
            </w:r>
          </w:p>
        </w:tc>
        <w:tc>
          <w:tcPr>
            <w:tcW w:w="3697" w:type="dxa"/>
            <w:tcBorders>
              <w:top w:val="single" w:color="auto" w:sz="4" w:space="0"/>
              <w:left w:val="single" w:color="auto" w:sz="4" w:space="0"/>
              <w:bottom w:val="single" w:color="auto" w:sz="4" w:space="0"/>
              <w:right w:val="single" w:color="auto" w:sz="4" w:space="0"/>
            </w:tcBorders>
            <w:noWrap w:val="0"/>
            <w:vAlign w:val="center"/>
          </w:tcPr>
          <w:p w14:paraId="27E65AEE">
            <w:pPr>
              <w:jc w:val="both"/>
              <w:rPr>
                <w:rFonts w:hint="eastAsia"/>
                <w:color w:val="000000"/>
                <w:highlight w:val="none"/>
              </w:rPr>
            </w:pPr>
            <w:r>
              <w:rPr>
                <w:rFonts w:hint="eastAsia"/>
                <w:color w:val="000000"/>
                <w:highlight w:val="none"/>
              </w:rPr>
              <w:t>见“3.3公用设施设备维护”“3.4保洁服务”</w:t>
            </w:r>
          </w:p>
        </w:tc>
      </w:tr>
      <w:tr w14:paraId="1F25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noWrap w:val="0"/>
            <w:vAlign w:val="center"/>
          </w:tcPr>
          <w:p w14:paraId="059E5623">
            <w:pPr>
              <w:jc w:val="both"/>
              <w:rPr>
                <w:rFonts w:hint="eastAsia"/>
                <w:color w:val="000000"/>
                <w:highlight w:val="none"/>
              </w:rPr>
            </w:pPr>
            <w:r>
              <w:rPr>
                <w:rFonts w:hint="eastAsia"/>
                <w:color w:val="000000"/>
                <w:highlight w:val="none"/>
              </w:rPr>
              <w:t>垃圾箱</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64D77A6E">
            <w:pPr>
              <w:jc w:val="both"/>
              <w:rPr>
                <w:color w:val="000000"/>
                <w:highlight w:val="none"/>
              </w:rPr>
            </w:pPr>
            <w:r>
              <w:rPr>
                <w:rFonts w:hint="eastAsia"/>
                <w:color w:val="000000"/>
                <w:highlight w:val="none"/>
                <w:lang w:val="en-US" w:eastAsia="zh-CN"/>
              </w:rPr>
              <w:t>884</w:t>
            </w:r>
            <w:r>
              <w:rPr>
                <w:rFonts w:hint="eastAsia"/>
                <w:color w:val="000000"/>
                <w:highlight w:val="none"/>
              </w:rPr>
              <w:t>个大小垃圾桶，</w:t>
            </w:r>
            <w:r>
              <w:rPr>
                <w:rFonts w:hint="eastAsia"/>
                <w:color w:val="000000"/>
                <w:highlight w:val="none"/>
                <w:lang w:val="en-US" w:eastAsia="zh-CN"/>
              </w:rPr>
              <w:t>2</w:t>
            </w:r>
            <w:r>
              <w:rPr>
                <w:rFonts w:hint="eastAsia"/>
                <w:color w:val="000000"/>
                <w:highlight w:val="none"/>
              </w:rPr>
              <w:t>个垃圾箱</w:t>
            </w:r>
          </w:p>
        </w:tc>
        <w:tc>
          <w:tcPr>
            <w:tcW w:w="3697" w:type="dxa"/>
            <w:tcBorders>
              <w:top w:val="single" w:color="auto" w:sz="4" w:space="0"/>
              <w:left w:val="single" w:color="auto" w:sz="4" w:space="0"/>
              <w:bottom w:val="single" w:color="auto" w:sz="4" w:space="0"/>
              <w:right w:val="single" w:color="auto" w:sz="4" w:space="0"/>
            </w:tcBorders>
            <w:noWrap w:val="0"/>
            <w:vAlign w:val="center"/>
          </w:tcPr>
          <w:p w14:paraId="2FF9F7F8">
            <w:pPr>
              <w:jc w:val="both"/>
              <w:rPr>
                <w:rFonts w:hint="eastAsia"/>
                <w:color w:val="000000"/>
                <w:highlight w:val="none"/>
              </w:rPr>
            </w:pPr>
            <w:r>
              <w:rPr>
                <w:rFonts w:hint="eastAsia"/>
                <w:color w:val="000000"/>
                <w:highlight w:val="none"/>
              </w:rPr>
              <w:t>见“3.4保洁服务”</w:t>
            </w:r>
          </w:p>
        </w:tc>
      </w:tr>
      <w:tr w14:paraId="2A27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noWrap w:val="0"/>
            <w:vAlign w:val="center"/>
          </w:tcPr>
          <w:p w14:paraId="12FFA016">
            <w:pPr>
              <w:jc w:val="both"/>
              <w:rPr>
                <w:rFonts w:hint="eastAsia"/>
                <w:color w:val="000000"/>
                <w:highlight w:val="none"/>
              </w:rPr>
            </w:pPr>
            <w:r>
              <w:rPr>
                <w:rFonts w:hint="eastAsia"/>
                <w:color w:val="000000"/>
                <w:highlight w:val="none"/>
              </w:rPr>
              <w:t>室外配电箱</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735EADF3">
            <w:pPr>
              <w:jc w:val="both"/>
              <w:rPr>
                <w:color w:val="000000"/>
                <w:highlight w:val="none"/>
              </w:rPr>
            </w:pPr>
            <w:r>
              <w:rPr>
                <w:rFonts w:hint="eastAsia"/>
                <w:color w:val="000000"/>
                <w:highlight w:val="none"/>
                <w:lang w:val="en-US" w:eastAsia="zh-CN"/>
              </w:rPr>
              <w:t>22</w:t>
            </w:r>
            <w:r>
              <w:rPr>
                <w:rFonts w:hint="eastAsia"/>
                <w:color w:val="000000"/>
                <w:highlight w:val="none"/>
              </w:rPr>
              <w:t>个</w:t>
            </w:r>
          </w:p>
        </w:tc>
        <w:tc>
          <w:tcPr>
            <w:tcW w:w="3697" w:type="dxa"/>
            <w:tcBorders>
              <w:top w:val="single" w:color="auto" w:sz="4" w:space="0"/>
              <w:left w:val="single" w:color="auto" w:sz="4" w:space="0"/>
              <w:bottom w:val="single" w:color="auto" w:sz="4" w:space="0"/>
              <w:right w:val="single" w:color="auto" w:sz="4" w:space="0"/>
            </w:tcBorders>
            <w:noWrap w:val="0"/>
            <w:vAlign w:val="center"/>
          </w:tcPr>
          <w:p w14:paraId="21BD7037">
            <w:pPr>
              <w:jc w:val="both"/>
              <w:rPr>
                <w:rFonts w:hint="eastAsia"/>
                <w:color w:val="000000"/>
                <w:highlight w:val="none"/>
              </w:rPr>
            </w:pPr>
            <w:r>
              <w:rPr>
                <w:rFonts w:hint="eastAsia"/>
                <w:color w:val="000000"/>
                <w:highlight w:val="none"/>
              </w:rPr>
              <w:t>见“3.3公用设施设备维护”“3.4保洁服务”</w:t>
            </w:r>
          </w:p>
        </w:tc>
      </w:tr>
      <w:tr w14:paraId="451F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noWrap w:val="0"/>
            <w:vAlign w:val="center"/>
          </w:tcPr>
          <w:p w14:paraId="65900C00">
            <w:pPr>
              <w:jc w:val="both"/>
              <w:rPr>
                <w:rFonts w:hint="eastAsia"/>
                <w:color w:val="000000"/>
                <w:highlight w:val="none"/>
              </w:rPr>
            </w:pPr>
            <w:r>
              <w:rPr>
                <w:rFonts w:hint="eastAsia"/>
                <w:color w:val="000000"/>
                <w:highlight w:val="none"/>
              </w:rPr>
              <w:t>监控</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0830300E">
            <w:pPr>
              <w:jc w:val="both"/>
              <w:rPr>
                <w:rFonts w:hint="eastAsia"/>
                <w:color w:val="000000"/>
                <w:highlight w:val="none"/>
              </w:rPr>
            </w:pPr>
            <w:r>
              <w:rPr>
                <w:rFonts w:hint="eastAsia"/>
                <w:color w:val="000000"/>
                <w:highlight w:val="none"/>
                <w:lang w:val="en-US" w:eastAsia="zh-CN"/>
              </w:rPr>
              <w:t>338</w:t>
            </w:r>
            <w:r>
              <w:rPr>
                <w:rFonts w:hint="eastAsia"/>
                <w:color w:val="000000"/>
                <w:highlight w:val="none"/>
              </w:rPr>
              <w:t>台监控摄像头</w:t>
            </w:r>
          </w:p>
        </w:tc>
        <w:tc>
          <w:tcPr>
            <w:tcW w:w="3697" w:type="dxa"/>
            <w:tcBorders>
              <w:top w:val="single" w:color="auto" w:sz="4" w:space="0"/>
              <w:left w:val="single" w:color="auto" w:sz="4" w:space="0"/>
              <w:bottom w:val="single" w:color="auto" w:sz="4" w:space="0"/>
              <w:right w:val="single" w:color="auto" w:sz="4" w:space="0"/>
            </w:tcBorders>
            <w:noWrap w:val="0"/>
            <w:vAlign w:val="center"/>
          </w:tcPr>
          <w:p w14:paraId="2677D88D">
            <w:pPr>
              <w:jc w:val="both"/>
              <w:rPr>
                <w:rFonts w:hint="eastAsia"/>
                <w:color w:val="000000"/>
                <w:highlight w:val="none"/>
              </w:rPr>
            </w:pPr>
            <w:r>
              <w:rPr>
                <w:rFonts w:hint="eastAsia"/>
                <w:color w:val="000000"/>
                <w:highlight w:val="none"/>
              </w:rPr>
              <w:t>见“3.3公用设施设备维护”“3.4保洁服务”</w:t>
            </w:r>
          </w:p>
        </w:tc>
      </w:tr>
      <w:tr w14:paraId="3DAE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840" w:type="dxa"/>
            <w:tcBorders>
              <w:top w:val="single" w:color="auto" w:sz="4" w:space="0"/>
              <w:left w:val="single" w:color="auto" w:sz="4" w:space="0"/>
              <w:bottom w:val="single" w:color="auto" w:sz="4" w:space="0"/>
              <w:right w:val="single" w:color="auto" w:sz="4" w:space="0"/>
            </w:tcBorders>
            <w:noWrap w:val="0"/>
            <w:vAlign w:val="center"/>
          </w:tcPr>
          <w:p w14:paraId="050BA760">
            <w:pPr>
              <w:jc w:val="both"/>
              <w:rPr>
                <w:rFonts w:hint="eastAsia"/>
                <w:color w:val="000000"/>
                <w:highlight w:val="none"/>
              </w:rPr>
            </w:pPr>
            <w:r>
              <w:rPr>
                <w:rFonts w:hint="eastAsia"/>
                <w:color w:val="000000"/>
                <w:highlight w:val="none"/>
              </w:rPr>
              <w:t>指示牌、显示屏</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51A8D729">
            <w:pPr>
              <w:jc w:val="both"/>
              <w:rPr>
                <w:rFonts w:eastAsia="宋体"/>
                <w:color w:val="000000"/>
                <w:highlight w:val="none"/>
                <w:lang w:val="en-US" w:eastAsia="zh-CN"/>
              </w:rPr>
            </w:pPr>
            <w:r>
              <w:rPr>
                <w:rFonts w:hint="eastAsia"/>
                <w:color w:val="000000"/>
                <w:highlight w:val="none"/>
                <w:lang w:val="en-US" w:eastAsia="zh-CN"/>
              </w:rPr>
              <w:t>57</w:t>
            </w:r>
            <w:r>
              <w:rPr>
                <w:rFonts w:hint="eastAsia"/>
                <w:color w:val="000000"/>
                <w:highlight w:val="none"/>
              </w:rPr>
              <w:t>个</w:t>
            </w:r>
          </w:p>
        </w:tc>
        <w:tc>
          <w:tcPr>
            <w:tcW w:w="3697" w:type="dxa"/>
            <w:tcBorders>
              <w:top w:val="single" w:color="auto" w:sz="4" w:space="0"/>
              <w:left w:val="single" w:color="auto" w:sz="4" w:space="0"/>
              <w:bottom w:val="single" w:color="auto" w:sz="4" w:space="0"/>
              <w:right w:val="single" w:color="auto" w:sz="4" w:space="0"/>
            </w:tcBorders>
            <w:noWrap w:val="0"/>
            <w:vAlign w:val="center"/>
          </w:tcPr>
          <w:p w14:paraId="13DE0472">
            <w:pPr>
              <w:jc w:val="both"/>
              <w:rPr>
                <w:rFonts w:hint="eastAsia"/>
                <w:color w:val="000000"/>
                <w:highlight w:val="none"/>
              </w:rPr>
            </w:pPr>
            <w:r>
              <w:rPr>
                <w:rFonts w:hint="eastAsia"/>
                <w:color w:val="000000"/>
                <w:highlight w:val="none"/>
              </w:rPr>
              <w:t>见“3.3公用设施设备维护”“3.4保洁服务”</w:t>
            </w:r>
          </w:p>
        </w:tc>
      </w:tr>
      <w:tr w14:paraId="0D0F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840" w:type="dxa"/>
            <w:tcBorders>
              <w:top w:val="single" w:color="auto" w:sz="4" w:space="0"/>
              <w:left w:val="single" w:color="auto" w:sz="4" w:space="0"/>
              <w:bottom w:val="single" w:color="auto" w:sz="4" w:space="0"/>
              <w:right w:val="single" w:color="auto" w:sz="4" w:space="0"/>
            </w:tcBorders>
            <w:noWrap w:val="0"/>
            <w:vAlign w:val="center"/>
          </w:tcPr>
          <w:p w14:paraId="53A293A5">
            <w:pPr>
              <w:jc w:val="both"/>
              <w:rPr>
                <w:rFonts w:hint="eastAsia" w:eastAsia="宋体"/>
                <w:color w:val="000000"/>
                <w:highlight w:val="none"/>
                <w:shd w:val="clear" w:color="auto" w:fill="auto"/>
                <w:lang w:val="en-US" w:eastAsia="zh-CN"/>
              </w:rPr>
            </w:pPr>
            <w:r>
              <w:rPr>
                <w:rFonts w:hint="eastAsia"/>
                <w:color w:val="000000"/>
                <w:highlight w:val="none"/>
                <w:shd w:val="clear" w:color="auto" w:fill="auto"/>
                <w:lang w:val="en-US" w:eastAsia="zh-CN"/>
              </w:rPr>
              <w:t>喷泉</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79A529FA">
            <w:pPr>
              <w:jc w:val="both"/>
              <w:rPr>
                <w:color w:val="000000"/>
                <w:highlight w:val="none"/>
                <w:shd w:val="clear" w:color="auto" w:fill="auto"/>
                <w:lang w:val="en-US" w:eastAsia="zh-CN"/>
              </w:rPr>
            </w:pPr>
            <w:r>
              <w:rPr>
                <w:rFonts w:hint="eastAsia"/>
                <w:color w:val="000000"/>
                <w:highlight w:val="none"/>
                <w:shd w:val="clear" w:color="auto" w:fill="auto"/>
                <w:lang w:val="en-US" w:eastAsia="zh-CN"/>
              </w:rPr>
              <w:t>1套</w:t>
            </w:r>
          </w:p>
        </w:tc>
        <w:tc>
          <w:tcPr>
            <w:tcW w:w="3697" w:type="dxa"/>
            <w:tcBorders>
              <w:top w:val="single" w:color="auto" w:sz="4" w:space="0"/>
              <w:left w:val="single" w:color="auto" w:sz="4" w:space="0"/>
              <w:bottom w:val="single" w:color="auto" w:sz="4" w:space="0"/>
              <w:right w:val="single" w:color="auto" w:sz="4" w:space="0"/>
            </w:tcBorders>
            <w:noWrap w:val="0"/>
            <w:vAlign w:val="center"/>
          </w:tcPr>
          <w:p w14:paraId="5E1F812E">
            <w:pPr>
              <w:jc w:val="both"/>
              <w:rPr>
                <w:rFonts w:hint="eastAsia"/>
                <w:color w:val="000000"/>
                <w:highlight w:val="none"/>
                <w:shd w:val="clear" w:color="auto" w:fill="auto"/>
              </w:rPr>
            </w:pPr>
            <w:r>
              <w:rPr>
                <w:rFonts w:hint="eastAsia"/>
                <w:color w:val="000000"/>
                <w:highlight w:val="none"/>
                <w:shd w:val="clear" w:color="auto" w:fill="auto"/>
              </w:rPr>
              <w:t>见“3.3公用设施设备维护”“3.4保洁服务”</w:t>
            </w:r>
          </w:p>
        </w:tc>
      </w:tr>
      <w:tr w14:paraId="5F7B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840" w:type="dxa"/>
            <w:tcBorders>
              <w:top w:val="single" w:color="auto" w:sz="4" w:space="0"/>
              <w:left w:val="single" w:color="auto" w:sz="4" w:space="0"/>
              <w:bottom w:val="single" w:color="auto" w:sz="4" w:space="0"/>
              <w:right w:val="single" w:color="auto" w:sz="4" w:space="0"/>
            </w:tcBorders>
            <w:noWrap w:val="0"/>
            <w:vAlign w:val="center"/>
          </w:tcPr>
          <w:p w14:paraId="070B7266">
            <w:pPr>
              <w:jc w:val="both"/>
              <w:rPr>
                <w:rFonts w:hint="eastAsia"/>
                <w:color w:val="000000"/>
                <w:highlight w:val="none"/>
                <w:shd w:val="clear" w:color="auto" w:fill="auto"/>
              </w:rPr>
            </w:pPr>
            <w:r>
              <w:rPr>
                <w:rFonts w:hint="eastAsia"/>
                <w:color w:val="000000"/>
                <w:shd w:val="clear" w:color="auto" w:fill="auto"/>
                <w:lang w:val="en-US" w:eastAsia="zh-CN"/>
              </w:rPr>
              <w:t>给排水系统</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5C1C3E95">
            <w:pPr>
              <w:jc w:val="both"/>
              <w:rPr>
                <w:color w:val="000000"/>
                <w:highlight w:val="none"/>
                <w:shd w:val="clear" w:color="auto" w:fill="auto"/>
                <w:lang w:val="en-US" w:eastAsia="zh-CN"/>
              </w:rPr>
            </w:pPr>
            <w:r>
              <w:rPr>
                <w:rFonts w:hint="eastAsia"/>
                <w:color w:val="000000"/>
                <w:highlight w:val="none"/>
                <w:shd w:val="clear" w:color="auto" w:fill="auto"/>
                <w:lang w:val="en-US" w:eastAsia="zh-CN"/>
              </w:rPr>
              <w:t>污水管网系统2套、30个污水井，雨水管网系统2套、34个雨水井。</w:t>
            </w:r>
          </w:p>
        </w:tc>
        <w:tc>
          <w:tcPr>
            <w:tcW w:w="3697" w:type="dxa"/>
            <w:tcBorders>
              <w:top w:val="single" w:color="auto" w:sz="4" w:space="0"/>
              <w:left w:val="single" w:color="auto" w:sz="4" w:space="0"/>
              <w:bottom w:val="single" w:color="auto" w:sz="4" w:space="0"/>
              <w:right w:val="single" w:color="auto" w:sz="4" w:space="0"/>
            </w:tcBorders>
            <w:noWrap w:val="0"/>
            <w:vAlign w:val="center"/>
          </w:tcPr>
          <w:p w14:paraId="27AED2BE">
            <w:pPr>
              <w:jc w:val="both"/>
              <w:rPr>
                <w:rFonts w:hint="eastAsia"/>
                <w:color w:val="000000"/>
                <w:highlight w:val="none"/>
                <w:shd w:val="clear" w:color="auto" w:fill="auto"/>
              </w:rPr>
            </w:pPr>
            <w:r>
              <w:rPr>
                <w:rFonts w:hint="eastAsia"/>
                <w:color w:val="000000"/>
                <w:highlight w:val="none"/>
                <w:shd w:val="clear" w:color="auto" w:fill="auto"/>
              </w:rPr>
              <w:t>见“3.3公用设施设备维护”“3.4保洁服务”</w:t>
            </w:r>
          </w:p>
        </w:tc>
      </w:tr>
    </w:tbl>
    <w:p w14:paraId="06290423">
      <w:pPr>
        <w:numPr>
          <w:ilvl w:val="0"/>
          <w:numId w:val="0"/>
        </w:numPr>
        <w:ind w:left="0" w:firstLine="210"/>
        <w:outlineLvl w:val="2"/>
        <w:rPr>
          <w:rFonts w:hint="eastAsia"/>
          <w:color w:val="000000"/>
          <w:highlight w:val="none"/>
          <w:lang w:eastAsia="zh-CN"/>
        </w:rPr>
      </w:pPr>
    </w:p>
    <w:p w14:paraId="5476B653">
      <w:pPr>
        <w:numPr>
          <w:ilvl w:val="0"/>
          <w:numId w:val="0"/>
        </w:numPr>
        <w:ind w:left="0" w:firstLine="210"/>
        <w:outlineLvl w:val="2"/>
        <w:rPr>
          <w:rFonts w:hint="eastAsia"/>
          <w:color w:val="000000"/>
          <w:highlight w:val="none"/>
          <w:lang w:eastAsia="zh-CN"/>
        </w:rPr>
      </w:pPr>
    </w:p>
    <w:p w14:paraId="364159EC">
      <w:pPr>
        <w:numPr>
          <w:ilvl w:val="0"/>
          <w:numId w:val="0"/>
        </w:numPr>
        <w:ind w:left="0" w:firstLine="210"/>
        <w:outlineLvl w:val="2"/>
        <w:rPr>
          <w:color w:val="auto"/>
          <w:highlight w:val="none"/>
        </w:rPr>
      </w:pPr>
      <w:r>
        <w:rPr>
          <w:rFonts w:hint="eastAsia"/>
          <w:color w:val="000000"/>
          <w:highlight w:val="none"/>
          <w:lang w:eastAsia="zh-CN"/>
        </w:rPr>
        <w:t>（</w:t>
      </w:r>
      <w:r>
        <w:rPr>
          <w:rFonts w:hint="eastAsia"/>
          <w:color w:val="000000"/>
          <w:highlight w:val="none"/>
          <w:lang w:val="en-US" w:eastAsia="zh-CN"/>
        </w:rPr>
        <w:t>3</w:t>
      </w:r>
      <w:r>
        <w:rPr>
          <w:rFonts w:hint="eastAsia"/>
          <w:color w:val="000000"/>
          <w:highlight w:val="none"/>
          <w:lang w:eastAsia="zh-CN"/>
        </w:rPr>
        <w:t>）</w:t>
      </w:r>
      <w:r>
        <w:rPr>
          <w:rFonts w:hint="eastAsia"/>
          <w:color w:val="auto"/>
          <w:highlight w:val="none"/>
          <w:lang w:eastAsia="zh-CN"/>
        </w:rPr>
        <w:t>物业</w:t>
      </w:r>
      <w:r>
        <w:rPr>
          <w:rFonts w:hint="eastAsia"/>
          <w:color w:val="auto"/>
          <w:highlight w:val="none"/>
          <w:lang w:val="en-US" w:eastAsia="zh-CN"/>
        </w:rPr>
        <w:t>2：（</w:t>
      </w:r>
      <w:r>
        <w:rPr>
          <w:rFonts w:hint="eastAsia"/>
          <w:color w:val="auto"/>
          <w:highlight w:val="none"/>
        </w:rPr>
        <w:t>桂林市</w:t>
      </w:r>
      <w:r>
        <w:rPr>
          <w:rFonts w:hint="eastAsia"/>
          <w:color w:val="auto"/>
          <w:highlight w:val="none"/>
          <w:lang w:eastAsia="zh-CN"/>
        </w:rPr>
        <w:t>交通枢纽指挥中心（鼎晟大厦）</w:t>
      </w:r>
      <w:r>
        <w:rPr>
          <w:rFonts w:hint="eastAsia"/>
          <w:color w:val="auto"/>
          <w:highlight w:val="none"/>
          <w:lang w:val="en-US" w:eastAsia="zh-CN"/>
        </w:rPr>
        <w:t>）</w:t>
      </w:r>
      <w:r>
        <w:rPr>
          <w:rFonts w:hint="eastAsia"/>
          <w:color w:val="auto"/>
          <w:highlight w:val="none"/>
        </w:rPr>
        <w:t>物业管理（建筑物）</w:t>
      </w:r>
    </w:p>
    <w:tbl>
      <w:tblPr>
        <w:tblStyle w:val="3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75"/>
        <w:gridCol w:w="2841"/>
        <w:gridCol w:w="3719"/>
      </w:tblGrid>
      <w:tr w14:paraId="35FF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gridSpan w:val="2"/>
            <w:noWrap w:val="0"/>
            <w:vAlign w:val="center"/>
          </w:tcPr>
          <w:p w14:paraId="3B30D306">
            <w:pPr>
              <w:jc w:val="both"/>
              <w:rPr>
                <w:rFonts w:hint="eastAsia"/>
                <w:color w:val="auto"/>
                <w:highlight w:val="none"/>
              </w:rPr>
            </w:pPr>
            <w:r>
              <w:rPr>
                <w:rFonts w:hint="eastAsia"/>
                <w:color w:val="auto"/>
                <w:highlight w:val="none"/>
              </w:rPr>
              <w:t>名称</w:t>
            </w:r>
          </w:p>
        </w:tc>
        <w:tc>
          <w:tcPr>
            <w:tcW w:w="2841" w:type="dxa"/>
            <w:noWrap w:val="0"/>
            <w:vAlign w:val="center"/>
          </w:tcPr>
          <w:p w14:paraId="2C7F5901">
            <w:pPr>
              <w:jc w:val="both"/>
              <w:rPr>
                <w:rFonts w:hint="eastAsia"/>
                <w:color w:val="auto"/>
                <w:highlight w:val="none"/>
              </w:rPr>
            </w:pPr>
            <w:r>
              <w:rPr>
                <w:rFonts w:hint="eastAsia"/>
                <w:color w:val="auto"/>
                <w:highlight w:val="none"/>
              </w:rPr>
              <w:t>明细</w:t>
            </w:r>
          </w:p>
        </w:tc>
        <w:tc>
          <w:tcPr>
            <w:tcW w:w="3719" w:type="dxa"/>
            <w:noWrap w:val="0"/>
            <w:vAlign w:val="center"/>
          </w:tcPr>
          <w:p w14:paraId="766BCB17">
            <w:pPr>
              <w:jc w:val="both"/>
              <w:rPr>
                <w:rFonts w:hint="eastAsia"/>
                <w:color w:val="auto"/>
                <w:highlight w:val="none"/>
              </w:rPr>
            </w:pPr>
            <w:r>
              <w:rPr>
                <w:rFonts w:hint="eastAsia"/>
                <w:color w:val="auto"/>
                <w:highlight w:val="none"/>
              </w:rPr>
              <w:t>服务内容及标准</w:t>
            </w:r>
          </w:p>
        </w:tc>
      </w:tr>
      <w:tr w14:paraId="684B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gridSpan w:val="2"/>
            <w:noWrap w:val="0"/>
            <w:vAlign w:val="center"/>
          </w:tcPr>
          <w:p w14:paraId="1E3601C4">
            <w:pPr>
              <w:jc w:val="both"/>
              <w:rPr>
                <w:rFonts w:hint="eastAsia"/>
                <w:color w:val="auto"/>
                <w:highlight w:val="none"/>
              </w:rPr>
            </w:pPr>
            <w:r>
              <w:rPr>
                <w:rFonts w:hint="eastAsia"/>
                <w:color w:val="auto"/>
                <w:highlight w:val="none"/>
              </w:rPr>
              <w:t>建筑名称</w:t>
            </w:r>
          </w:p>
        </w:tc>
        <w:tc>
          <w:tcPr>
            <w:tcW w:w="2841" w:type="dxa"/>
            <w:noWrap w:val="0"/>
            <w:vAlign w:val="center"/>
          </w:tcPr>
          <w:p w14:paraId="2439BDA5">
            <w:pPr>
              <w:jc w:val="both"/>
              <w:rPr>
                <w:rFonts w:hint="eastAsia"/>
                <w:color w:val="auto"/>
                <w:highlight w:val="none"/>
              </w:rPr>
            </w:pPr>
            <w:r>
              <w:rPr>
                <w:rFonts w:hint="eastAsia"/>
                <w:color w:val="auto"/>
                <w:highlight w:val="none"/>
                <w:lang w:eastAsia="zh-CN"/>
              </w:rPr>
              <w:t>交通枢纽指挥中心（鼎晟大厦）</w:t>
            </w:r>
          </w:p>
        </w:tc>
        <w:tc>
          <w:tcPr>
            <w:tcW w:w="3719" w:type="dxa"/>
            <w:noWrap w:val="0"/>
            <w:vAlign w:val="center"/>
          </w:tcPr>
          <w:p w14:paraId="7A88A3CC">
            <w:pPr>
              <w:jc w:val="both"/>
              <w:rPr>
                <w:rFonts w:hint="eastAsia"/>
                <w:color w:val="auto"/>
                <w:highlight w:val="none"/>
              </w:rPr>
            </w:pPr>
          </w:p>
        </w:tc>
      </w:tr>
      <w:tr w14:paraId="58F8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5" w:type="dxa"/>
            <w:vMerge w:val="restart"/>
            <w:noWrap w:val="0"/>
            <w:vAlign w:val="center"/>
          </w:tcPr>
          <w:p w14:paraId="7226A0EE">
            <w:pPr>
              <w:jc w:val="both"/>
              <w:rPr>
                <w:rFonts w:hint="eastAsia"/>
                <w:color w:val="auto"/>
                <w:highlight w:val="none"/>
              </w:rPr>
            </w:pPr>
            <w:r>
              <w:rPr>
                <w:rFonts w:hint="eastAsia"/>
                <w:color w:val="auto"/>
                <w:highlight w:val="none"/>
              </w:rPr>
              <w:t>总面积</w:t>
            </w:r>
          </w:p>
        </w:tc>
        <w:tc>
          <w:tcPr>
            <w:tcW w:w="2075" w:type="dxa"/>
            <w:noWrap w:val="0"/>
            <w:vAlign w:val="center"/>
          </w:tcPr>
          <w:p w14:paraId="435F0428">
            <w:pPr>
              <w:jc w:val="both"/>
              <w:rPr>
                <w:rFonts w:hint="eastAsia"/>
                <w:color w:val="auto"/>
                <w:highlight w:val="none"/>
              </w:rPr>
            </w:pPr>
            <w:r>
              <w:rPr>
                <w:rFonts w:hint="eastAsia"/>
                <w:color w:val="auto"/>
                <w:highlight w:val="none"/>
              </w:rPr>
              <w:t>建筑面积（㎡）</w:t>
            </w:r>
          </w:p>
        </w:tc>
        <w:tc>
          <w:tcPr>
            <w:tcW w:w="2841" w:type="dxa"/>
            <w:noWrap w:val="0"/>
            <w:vAlign w:val="center"/>
          </w:tcPr>
          <w:p w14:paraId="5061CF60">
            <w:pPr>
              <w:jc w:val="both"/>
              <w:rPr>
                <w:rFonts w:hint="eastAsia" w:eastAsia="宋体"/>
                <w:color w:val="auto"/>
                <w:highlight w:val="none"/>
                <w:lang w:val="en-US" w:eastAsia="zh-CN"/>
              </w:rPr>
            </w:pPr>
            <w:r>
              <w:rPr>
                <w:rFonts w:hint="eastAsia"/>
                <w:color w:val="auto"/>
                <w:highlight w:val="none"/>
                <w:lang w:val="en-US" w:eastAsia="zh-CN"/>
              </w:rPr>
              <w:t>5.25</w:t>
            </w:r>
            <w:r>
              <w:rPr>
                <w:rFonts w:hint="eastAsia"/>
                <w:color w:val="auto"/>
                <w:highlight w:val="none"/>
              </w:rPr>
              <w:t>万平方米</w:t>
            </w:r>
          </w:p>
        </w:tc>
        <w:tc>
          <w:tcPr>
            <w:tcW w:w="3719" w:type="dxa"/>
            <w:noWrap w:val="0"/>
            <w:vAlign w:val="center"/>
          </w:tcPr>
          <w:p w14:paraId="01723FFC">
            <w:pPr>
              <w:jc w:val="both"/>
              <w:rPr>
                <w:rFonts w:hint="eastAsia"/>
                <w:color w:val="auto"/>
                <w:highlight w:val="none"/>
              </w:rPr>
            </w:pPr>
            <w:r>
              <w:rPr>
                <w:rFonts w:hint="eastAsia"/>
                <w:color w:val="auto"/>
                <w:highlight w:val="none"/>
              </w:rPr>
              <w:t>见“3.6保安服务”</w:t>
            </w:r>
          </w:p>
        </w:tc>
      </w:tr>
      <w:tr w14:paraId="4EA7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5" w:type="dxa"/>
            <w:vMerge w:val="continue"/>
            <w:noWrap w:val="0"/>
            <w:vAlign w:val="center"/>
          </w:tcPr>
          <w:p w14:paraId="48953A18">
            <w:pPr>
              <w:jc w:val="both"/>
              <w:rPr>
                <w:color w:val="auto"/>
                <w:highlight w:val="none"/>
              </w:rPr>
            </w:pPr>
          </w:p>
        </w:tc>
        <w:tc>
          <w:tcPr>
            <w:tcW w:w="2075" w:type="dxa"/>
            <w:noWrap w:val="0"/>
            <w:vAlign w:val="center"/>
          </w:tcPr>
          <w:p w14:paraId="4B7BD3E6">
            <w:pPr>
              <w:jc w:val="both"/>
              <w:rPr>
                <w:rFonts w:hint="eastAsia"/>
                <w:color w:val="auto"/>
                <w:highlight w:val="none"/>
              </w:rPr>
            </w:pPr>
            <w:r>
              <w:rPr>
                <w:rFonts w:hint="eastAsia"/>
                <w:color w:val="auto"/>
                <w:highlight w:val="none"/>
              </w:rPr>
              <w:t>保洁面积（㎡）</w:t>
            </w:r>
          </w:p>
        </w:tc>
        <w:tc>
          <w:tcPr>
            <w:tcW w:w="2841" w:type="dxa"/>
            <w:noWrap w:val="0"/>
            <w:vAlign w:val="center"/>
          </w:tcPr>
          <w:p w14:paraId="00CC5E72">
            <w:pPr>
              <w:jc w:val="both"/>
              <w:rPr>
                <w:rFonts w:hint="eastAsia"/>
                <w:color w:val="auto"/>
                <w:highlight w:val="none"/>
              </w:rPr>
            </w:pPr>
            <w:r>
              <w:rPr>
                <w:rFonts w:hint="eastAsia"/>
                <w:color w:val="auto"/>
                <w:highlight w:val="none"/>
                <w:lang w:val="en-US" w:eastAsia="zh-CN"/>
              </w:rPr>
              <w:t>2.5</w:t>
            </w:r>
            <w:r>
              <w:rPr>
                <w:rFonts w:hint="eastAsia"/>
                <w:color w:val="auto"/>
                <w:highlight w:val="none"/>
              </w:rPr>
              <w:t>万平方米</w:t>
            </w:r>
          </w:p>
        </w:tc>
        <w:tc>
          <w:tcPr>
            <w:tcW w:w="3719" w:type="dxa"/>
            <w:noWrap w:val="0"/>
            <w:vAlign w:val="center"/>
          </w:tcPr>
          <w:p w14:paraId="5FBE12EB">
            <w:pPr>
              <w:jc w:val="both"/>
              <w:rPr>
                <w:rFonts w:hint="eastAsia"/>
                <w:color w:val="auto"/>
                <w:highlight w:val="none"/>
              </w:rPr>
            </w:pPr>
            <w:r>
              <w:rPr>
                <w:rFonts w:hint="eastAsia"/>
                <w:color w:val="auto"/>
                <w:highlight w:val="none"/>
              </w:rPr>
              <w:t>见“3.4保洁服务”</w:t>
            </w:r>
          </w:p>
        </w:tc>
      </w:tr>
      <w:tr w14:paraId="4BB6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5" w:type="dxa"/>
            <w:noWrap w:val="0"/>
            <w:vAlign w:val="center"/>
          </w:tcPr>
          <w:p w14:paraId="78C9BAC4">
            <w:pPr>
              <w:jc w:val="both"/>
              <w:rPr>
                <w:rFonts w:hint="eastAsia"/>
                <w:color w:val="auto"/>
                <w:highlight w:val="none"/>
              </w:rPr>
            </w:pPr>
            <w:r>
              <w:rPr>
                <w:rFonts w:hint="eastAsia"/>
                <w:color w:val="auto"/>
                <w:highlight w:val="none"/>
              </w:rPr>
              <w:t>门窗</w:t>
            </w:r>
          </w:p>
        </w:tc>
        <w:tc>
          <w:tcPr>
            <w:tcW w:w="2075" w:type="dxa"/>
            <w:noWrap w:val="0"/>
            <w:vAlign w:val="center"/>
          </w:tcPr>
          <w:p w14:paraId="58BD97A3">
            <w:pPr>
              <w:jc w:val="both"/>
              <w:rPr>
                <w:rFonts w:hint="eastAsia"/>
                <w:color w:val="auto"/>
                <w:highlight w:val="none"/>
              </w:rPr>
            </w:pPr>
            <w:r>
              <w:rPr>
                <w:rFonts w:hint="eastAsia"/>
                <w:color w:val="auto"/>
                <w:highlight w:val="none"/>
              </w:rPr>
              <w:t>门窗总个数或总面积</w:t>
            </w:r>
          </w:p>
        </w:tc>
        <w:tc>
          <w:tcPr>
            <w:tcW w:w="2841" w:type="dxa"/>
            <w:noWrap w:val="0"/>
            <w:vAlign w:val="center"/>
          </w:tcPr>
          <w:p w14:paraId="31FCB7CB">
            <w:pPr>
              <w:jc w:val="both"/>
              <w:rPr>
                <w:color w:val="auto"/>
                <w:highlight w:val="none"/>
              </w:rPr>
            </w:pPr>
            <w:r>
              <w:rPr>
                <w:rFonts w:hint="eastAsia"/>
                <w:color w:val="auto"/>
                <w:highlight w:val="none"/>
                <w:lang w:val="en-US" w:eastAsia="zh-CN"/>
              </w:rPr>
              <w:t>门900</w:t>
            </w:r>
            <w:r>
              <w:rPr>
                <w:rFonts w:hint="eastAsia"/>
                <w:color w:val="auto"/>
                <w:highlight w:val="none"/>
              </w:rPr>
              <w:t>个</w:t>
            </w:r>
            <w:r>
              <w:rPr>
                <w:rFonts w:hint="eastAsia"/>
                <w:color w:val="auto"/>
                <w:highlight w:val="none"/>
                <w:lang w:eastAsia="zh-CN"/>
              </w:rPr>
              <w:t>，</w:t>
            </w:r>
            <w:r>
              <w:rPr>
                <w:rFonts w:hint="eastAsia"/>
                <w:color w:val="auto"/>
                <w:highlight w:val="none"/>
              </w:rPr>
              <w:t>窗户</w:t>
            </w:r>
            <w:r>
              <w:rPr>
                <w:rFonts w:hint="eastAsia"/>
                <w:color w:val="auto"/>
                <w:highlight w:val="none"/>
                <w:lang w:val="en-US" w:eastAsia="zh-CN"/>
              </w:rPr>
              <w:t>1250</w:t>
            </w:r>
            <w:r>
              <w:rPr>
                <w:rFonts w:hint="eastAsia"/>
                <w:color w:val="auto"/>
                <w:highlight w:val="none"/>
              </w:rPr>
              <w:t>个</w:t>
            </w:r>
          </w:p>
        </w:tc>
        <w:tc>
          <w:tcPr>
            <w:tcW w:w="3719" w:type="dxa"/>
            <w:noWrap w:val="0"/>
            <w:vAlign w:val="center"/>
          </w:tcPr>
          <w:p w14:paraId="47095D20">
            <w:pPr>
              <w:jc w:val="both"/>
              <w:rPr>
                <w:rFonts w:hint="eastAsia"/>
                <w:color w:val="auto"/>
                <w:highlight w:val="none"/>
              </w:rPr>
            </w:pPr>
            <w:r>
              <w:rPr>
                <w:rFonts w:hint="eastAsia"/>
                <w:color w:val="auto"/>
                <w:highlight w:val="none"/>
              </w:rPr>
              <w:t>见“3.2房屋维护服务”“3.4保洁服务”</w:t>
            </w:r>
          </w:p>
        </w:tc>
      </w:tr>
      <w:tr w14:paraId="29A8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5" w:type="dxa"/>
            <w:noWrap w:val="0"/>
            <w:vAlign w:val="center"/>
          </w:tcPr>
          <w:p w14:paraId="4A48C2EC">
            <w:pPr>
              <w:jc w:val="both"/>
              <w:rPr>
                <w:rFonts w:hint="eastAsia"/>
                <w:color w:val="auto"/>
                <w:highlight w:val="none"/>
              </w:rPr>
            </w:pPr>
            <w:r>
              <w:rPr>
                <w:rFonts w:hint="eastAsia"/>
                <w:color w:val="auto"/>
                <w:highlight w:val="none"/>
              </w:rPr>
              <w:t>地面</w:t>
            </w:r>
          </w:p>
        </w:tc>
        <w:tc>
          <w:tcPr>
            <w:tcW w:w="2075" w:type="dxa"/>
            <w:noWrap w:val="0"/>
            <w:vAlign w:val="center"/>
          </w:tcPr>
          <w:p w14:paraId="57BEEE16">
            <w:pPr>
              <w:jc w:val="both"/>
              <w:rPr>
                <w:rFonts w:hint="eastAsia"/>
                <w:color w:val="auto"/>
                <w:highlight w:val="none"/>
              </w:rPr>
            </w:pPr>
            <w:r>
              <w:rPr>
                <w:rFonts w:hint="eastAsia"/>
                <w:color w:val="auto"/>
                <w:highlight w:val="none"/>
              </w:rPr>
              <w:t>地面各材质及面积</w:t>
            </w:r>
          </w:p>
        </w:tc>
        <w:tc>
          <w:tcPr>
            <w:tcW w:w="2841" w:type="dxa"/>
            <w:noWrap w:val="0"/>
            <w:vAlign w:val="center"/>
          </w:tcPr>
          <w:p w14:paraId="05CCEC61">
            <w:pPr>
              <w:jc w:val="both"/>
              <w:rPr>
                <w:color w:val="auto"/>
                <w:highlight w:val="none"/>
              </w:rPr>
            </w:pPr>
            <w:r>
              <w:rPr>
                <w:rFonts w:hint="eastAsia"/>
                <w:color w:val="auto"/>
                <w:highlight w:val="none"/>
              </w:rPr>
              <w:t>瓷砖地板面积</w:t>
            </w:r>
            <w:r>
              <w:rPr>
                <w:rFonts w:hint="eastAsia"/>
                <w:color w:val="auto"/>
                <w:highlight w:val="none"/>
                <w:lang w:val="en-US" w:eastAsia="zh-CN"/>
              </w:rPr>
              <w:t>2.5</w:t>
            </w:r>
            <w:r>
              <w:rPr>
                <w:rFonts w:hint="eastAsia"/>
                <w:color w:val="auto"/>
                <w:highlight w:val="none"/>
              </w:rPr>
              <w:t>万平方米</w:t>
            </w:r>
          </w:p>
        </w:tc>
        <w:tc>
          <w:tcPr>
            <w:tcW w:w="3719" w:type="dxa"/>
            <w:noWrap w:val="0"/>
            <w:vAlign w:val="center"/>
          </w:tcPr>
          <w:p w14:paraId="2C513D7B">
            <w:pPr>
              <w:jc w:val="both"/>
              <w:rPr>
                <w:rFonts w:hint="eastAsia"/>
                <w:color w:val="auto"/>
                <w:highlight w:val="none"/>
              </w:rPr>
            </w:pPr>
            <w:r>
              <w:rPr>
                <w:rFonts w:hint="eastAsia"/>
                <w:color w:val="auto"/>
                <w:highlight w:val="none"/>
              </w:rPr>
              <w:t>见“3.2房屋维护服务”“3.4保洁服务”</w:t>
            </w:r>
          </w:p>
        </w:tc>
      </w:tr>
      <w:tr w14:paraId="66A3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5" w:type="dxa"/>
            <w:noWrap w:val="0"/>
            <w:vAlign w:val="center"/>
          </w:tcPr>
          <w:p w14:paraId="25423BCF">
            <w:pPr>
              <w:jc w:val="both"/>
              <w:rPr>
                <w:rFonts w:hint="eastAsia"/>
                <w:color w:val="auto"/>
                <w:highlight w:val="none"/>
              </w:rPr>
            </w:pPr>
            <w:r>
              <w:rPr>
                <w:rFonts w:hint="eastAsia"/>
                <w:color w:val="auto"/>
                <w:highlight w:val="none"/>
              </w:rPr>
              <w:t>内墙饰面</w:t>
            </w:r>
          </w:p>
        </w:tc>
        <w:tc>
          <w:tcPr>
            <w:tcW w:w="2075" w:type="dxa"/>
            <w:noWrap w:val="0"/>
            <w:vAlign w:val="center"/>
          </w:tcPr>
          <w:p w14:paraId="1097E0F1">
            <w:pPr>
              <w:jc w:val="both"/>
              <w:rPr>
                <w:rFonts w:hint="eastAsia"/>
                <w:color w:val="auto"/>
                <w:highlight w:val="none"/>
              </w:rPr>
            </w:pPr>
            <w:r>
              <w:rPr>
                <w:rFonts w:hint="eastAsia"/>
                <w:color w:val="auto"/>
                <w:highlight w:val="none"/>
              </w:rPr>
              <w:t>内墙饰面材质及面积</w:t>
            </w:r>
          </w:p>
        </w:tc>
        <w:tc>
          <w:tcPr>
            <w:tcW w:w="2841" w:type="dxa"/>
            <w:noWrap w:val="0"/>
            <w:vAlign w:val="center"/>
          </w:tcPr>
          <w:p w14:paraId="34806A5D">
            <w:pPr>
              <w:jc w:val="both"/>
              <w:rPr>
                <w:rFonts w:hint="default" w:eastAsia="宋体"/>
                <w:color w:val="auto"/>
                <w:highlight w:val="none"/>
                <w:lang w:val="en-US" w:eastAsia="zh-CN"/>
              </w:rPr>
            </w:pPr>
            <w:r>
              <w:rPr>
                <w:rFonts w:hint="eastAsia"/>
                <w:color w:val="auto"/>
                <w:highlight w:val="none"/>
              </w:rPr>
              <w:t>乳胶漆</w:t>
            </w:r>
            <w:r>
              <w:rPr>
                <w:rFonts w:hint="eastAsia"/>
                <w:color w:val="auto"/>
                <w:highlight w:val="none"/>
                <w:lang w:val="en-US" w:eastAsia="zh-CN"/>
              </w:rPr>
              <w:t>7.2</w:t>
            </w:r>
            <w:r>
              <w:rPr>
                <w:rFonts w:hint="eastAsia"/>
                <w:color w:val="auto"/>
                <w:highlight w:val="none"/>
              </w:rPr>
              <w:t>万平方米</w:t>
            </w:r>
          </w:p>
        </w:tc>
        <w:tc>
          <w:tcPr>
            <w:tcW w:w="3719" w:type="dxa"/>
            <w:noWrap w:val="0"/>
            <w:vAlign w:val="center"/>
          </w:tcPr>
          <w:p w14:paraId="68CAFCAC">
            <w:pPr>
              <w:jc w:val="both"/>
              <w:rPr>
                <w:rFonts w:hint="eastAsia"/>
                <w:color w:val="auto"/>
                <w:highlight w:val="none"/>
              </w:rPr>
            </w:pPr>
            <w:r>
              <w:rPr>
                <w:rFonts w:hint="eastAsia"/>
                <w:color w:val="auto"/>
                <w:highlight w:val="none"/>
              </w:rPr>
              <w:t>见“3.2房屋维护服务”“3.4保洁服务”</w:t>
            </w:r>
          </w:p>
        </w:tc>
      </w:tr>
      <w:tr w14:paraId="4391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5" w:type="dxa"/>
            <w:noWrap w:val="0"/>
            <w:vAlign w:val="center"/>
          </w:tcPr>
          <w:p w14:paraId="3A149699">
            <w:pPr>
              <w:jc w:val="both"/>
              <w:rPr>
                <w:rFonts w:hint="eastAsia"/>
                <w:color w:val="auto"/>
                <w:highlight w:val="none"/>
              </w:rPr>
            </w:pPr>
            <w:r>
              <w:rPr>
                <w:rFonts w:hint="eastAsia"/>
                <w:color w:val="auto"/>
                <w:highlight w:val="none"/>
              </w:rPr>
              <w:t>顶面</w:t>
            </w:r>
          </w:p>
        </w:tc>
        <w:tc>
          <w:tcPr>
            <w:tcW w:w="2075" w:type="dxa"/>
            <w:noWrap w:val="0"/>
            <w:vAlign w:val="center"/>
          </w:tcPr>
          <w:p w14:paraId="115B208B">
            <w:pPr>
              <w:jc w:val="both"/>
              <w:rPr>
                <w:rFonts w:hint="eastAsia"/>
                <w:color w:val="auto"/>
                <w:highlight w:val="none"/>
              </w:rPr>
            </w:pPr>
            <w:r>
              <w:rPr>
                <w:rFonts w:hint="eastAsia"/>
                <w:color w:val="auto"/>
                <w:highlight w:val="none"/>
              </w:rPr>
              <w:t>顶面材质及面积</w:t>
            </w:r>
          </w:p>
        </w:tc>
        <w:tc>
          <w:tcPr>
            <w:tcW w:w="2841" w:type="dxa"/>
            <w:noWrap w:val="0"/>
            <w:vAlign w:val="center"/>
          </w:tcPr>
          <w:p w14:paraId="64D60ED7">
            <w:pPr>
              <w:jc w:val="both"/>
              <w:rPr>
                <w:rFonts w:hint="eastAsia" w:eastAsia="宋体"/>
                <w:color w:val="auto"/>
                <w:highlight w:val="none"/>
                <w:lang w:val="en-US" w:eastAsia="zh-CN"/>
              </w:rPr>
            </w:pPr>
            <w:r>
              <w:rPr>
                <w:rFonts w:hint="eastAsia"/>
                <w:color w:val="auto"/>
                <w:highlight w:val="none"/>
              </w:rPr>
              <w:t>铝扣板、石膏板、实木二级吊顶</w:t>
            </w:r>
            <w:r>
              <w:rPr>
                <w:rFonts w:hint="eastAsia"/>
                <w:color w:val="auto"/>
                <w:highlight w:val="none"/>
                <w:lang w:val="en-US" w:eastAsia="zh-CN"/>
              </w:rPr>
              <w:t>2</w:t>
            </w:r>
            <w:r>
              <w:rPr>
                <w:rFonts w:hint="eastAsia"/>
                <w:color w:val="auto"/>
                <w:highlight w:val="none"/>
              </w:rPr>
              <w:t>万</w:t>
            </w:r>
            <w:r>
              <w:rPr>
                <w:rFonts w:hint="eastAsia"/>
                <w:color w:val="auto"/>
                <w:highlight w:val="none"/>
                <w:lang w:val="en-US" w:eastAsia="zh-CN"/>
              </w:rPr>
              <w:t>平方米</w:t>
            </w:r>
          </w:p>
        </w:tc>
        <w:tc>
          <w:tcPr>
            <w:tcW w:w="3719" w:type="dxa"/>
            <w:noWrap w:val="0"/>
            <w:vAlign w:val="center"/>
          </w:tcPr>
          <w:p w14:paraId="555CDEA9">
            <w:pPr>
              <w:jc w:val="both"/>
              <w:rPr>
                <w:rFonts w:hint="eastAsia"/>
                <w:color w:val="auto"/>
                <w:highlight w:val="none"/>
              </w:rPr>
            </w:pPr>
            <w:r>
              <w:rPr>
                <w:rFonts w:hint="eastAsia"/>
                <w:color w:val="auto"/>
                <w:highlight w:val="none"/>
              </w:rPr>
              <w:t>见“3.2房屋维护服务”“3.4保洁服务”</w:t>
            </w:r>
          </w:p>
        </w:tc>
      </w:tr>
      <w:tr w14:paraId="0804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5" w:type="dxa"/>
            <w:vMerge w:val="restart"/>
            <w:noWrap w:val="0"/>
            <w:vAlign w:val="center"/>
          </w:tcPr>
          <w:p w14:paraId="40440AAB">
            <w:pPr>
              <w:jc w:val="both"/>
              <w:rPr>
                <w:rFonts w:hint="eastAsia"/>
                <w:color w:val="auto"/>
                <w:highlight w:val="none"/>
              </w:rPr>
            </w:pPr>
            <w:r>
              <w:rPr>
                <w:rFonts w:hint="eastAsia"/>
                <w:color w:val="auto"/>
                <w:highlight w:val="none"/>
              </w:rPr>
              <w:t>外墙</w:t>
            </w:r>
          </w:p>
        </w:tc>
        <w:tc>
          <w:tcPr>
            <w:tcW w:w="2075" w:type="dxa"/>
            <w:noWrap w:val="0"/>
            <w:vAlign w:val="center"/>
          </w:tcPr>
          <w:p w14:paraId="3A8A8763">
            <w:pPr>
              <w:jc w:val="both"/>
              <w:rPr>
                <w:rFonts w:hint="eastAsia"/>
                <w:color w:val="auto"/>
                <w:highlight w:val="none"/>
              </w:rPr>
            </w:pPr>
            <w:r>
              <w:rPr>
                <w:rFonts w:hint="eastAsia"/>
                <w:color w:val="auto"/>
                <w:highlight w:val="none"/>
              </w:rPr>
              <w:t>外墙材质及面积</w:t>
            </w:r>
          </w:p>
        </w:tc>
        <w:tc>
          <w:tcPr>
            <w:tcW w:w="2841" w:type="dxa"/>
            <w:noWrap w:val="0"/>
            <w:vAlign w:val="center"/>
          </w:tcPr>
          <w:p w14:paraId="78E4AF0C">
            <w:pPr>
              <w:jc w:val="both"/>
              <w:rPr>
                <w:color w:val="auto"/>
                <w:highlight w:val="none"/>
              </w:rPr>
            </w:pPr>
            <w:r>
              <w:rPr>
                <w:rFonts w:hint="eastAsia"/>
                <w:color w:val="auto"/>
                <w:highlight w:val="none"/>
              </w:rPr>
              <w:t>幕墙玻璃和石材</w:t>
            </w:r>
            <w:r>
              <w:rPr>
                <w:rFonts w:hint="eastAsia"/>
                <w:color w:val="auto"/>
                <w:highlight w:val="none"/>
                <w:lang w:val="en-US" w:eastAsia="zh-CN"/>
              </w:rPr>
              <w:t>1.5</w:t>
            </w:r>
            <w:r>
              <w:rPr>
                <w:rFonts w:hint="eastAsia"/>
                <w:color w:val="auto"/>
                <w:highlight w:val="none"/>
              </w:rPr>
              <w:t>万平方米</w:t>
            </w:r>
          </w:p>
        </w:tc>
        <w:tc>
          <w:tcPr>
            <w:tcW w:w="3719" w:type="dxa"/>
            <w:noWrap w:val="0"/>
            <w:vAlign w:val="center"/>
          </w:tcPr>
          <w:p w14:paraId="0FE3D640">
            <w:pPr>
              <w:jc w:val="both"/>
              <w:rPr>
                <w:rFonts w:hint="eastAsia"/>
                <w:color w:val="auto"/>
                <w:highlight w:val="none"/>
              </w:rPr>
            </w:pPr>
            <w:r>
              <w:rPr>
                <w:rFonts w:hint="eastAsia"/>
                <w:color w:val="auto"/>
                <w:highlight w:val="none"/>
              </w:rPr>
              <w:t>见“3.2房屋维护服务”“3.4保洁服务”</w:t>
            </w:r>
          </w:p>
        </w:tc>
      </w:tr>
      <w:tr w14:paraId="0CE6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5" w:type="dxa"/>
            <w:vMerge w:val="continue"/>
            <w:noWrap w:val="0"/>
            <w:vAlign w:val="center"/>
          </w:tcPr>
          <w:p w14:paraId="6222DC07">
            <w:pPr>
              <w:jc w:val="both"/>
              <w:rPr>
                <w:color w:val="auto"/>
                <w:highlight w:val="none"/>
              </w:rPr>
            </w:pPr>
          </w:p>
        </w:tc>
        <w:tc>
          <w:tcPr>
            <w:tcW w:w="2075" w:type="dxa"/>
            <w:noWrap w:val="0"/>
            <w:vAlign w:val="center"/>
          </w:tcPr>
          <w:p w14:paraId="12D08895">
            <w:pPr>
              <w:jc w:val="both"/>
              <w:rPr>
                <w:rFonts w:hint="eastAsia"/>
                <w:color w:val="auto"/>
                <w:highlight w:val="none"/>
              </w:rPr>
            </w:pPr>
            <w:r>
              <w:rPr>
                <w:rFonts w:hint="eastAsia"/>
                <w:color w:val="auto"/>
                <w:highlight w:val="none"/>
              </w:rPr>
              <w:t>外墙清洗面积</w:t>
            </w:r>
          </w:p>
        </w:tc>
        <w:tc>
          <w:tcPr>
            <w:tcW w:w="2841" w:type="dxa"/>
            <w:noWrap w:val="0"/>
            <w:vAlign w:val="center"/>
          </w:tcPr>
          <w:p w14:paraId="553A243F">
            <w:pPr>
              <w:jc w:val="both"/>
              <w:rPr>
                <w:rFonts w:hint="eastAsia"/>
                <w:color w:val="auto"/>
                <w:highlight w:val="none"/>
              </w:rPr>
            </w:pPr>
            <w:r>
              <w:rPr>
                <w:rFonts w:hint="eastAsia"/>
                <w:color w:val="auto"/>
                <w:highlight w:val="none"/>
                <w:lang w:val="en-US" w:eastAsia="zh-CN"/>
              </w:rPr>
              <w:t>1.5</w:t>
            </w:r>
            <w:r>
              <w:rPr>
                <w:rFonts w:hint="eastAsia"/>
                <w:color w:val="auto"/>
                <w:highlight w:val="none"/>
              </w:rPr>
              <w:t>万平方米</w:t>
            </w:r>
          </w:p>
        </w:tc>
        <w:tc>
          <w:tcPr>
            <w:tcW w:w="3719" w:type="dxa"/>
            <w:noWrap w:val="0"/>
            <w:vAlign w:val="center"/>
          </w:tcPr>
          <w:p w14:paraId="1D7E7F8E">
            <w:pPr>
              <w:jc w:val="both"/>
              <w:rPr>
                <w:rFonts w:hint="eastAsia"/>
                <w:color w:val="auto"/>
                <w:highlight w:val="none"/>
              </w:rPr>
            </w:pPr>
            <w:r>
              <w:rPr>
                <w:rFonts w:hint="eastAsia"/>
                <w:color w:val="auto"/>
                <w:highlight w:val="none"/>
                <w:lang w:val="en-US" w:eastAsia="zh-CN"/>
              </w:rPr>
              <w:t>见</w:t>
            </w:r>
            <w:r>
              <w:rPr>
                <w:rFonts w:hint="eastAsia"/>
                <w:color w:val="auto"/>
                <w:highlight w:val="none"/>
              </w:rPr>
              <w:t>“3.4保洁服务”</w:t>
            </w:r>
          </w:p>
        </w:tc>
      </w:tr>
      <w:tr w14:paraId="0F41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5" w:type="dxa"/>
            <w:noWrap w:val="0"/>
            <w:vAlign w:val="center"/>
          </w:tcPr>
          <w:p w14:paraId="03EC6236">
            <w:pPr>
              <w:jc w:val="both"/>
              <w:rPr>
                <w:rFonts w:hint="eastAsia"/>
                <w:color w:val="auto"/>
                <w:highlight w:val="none"/>
              </w:rPr>
            </w:pPr>
            <w:r>
              <w:rPr>
                <w:rFonts w:hint="eastAsia"/>
                <w:color w:val="auto"/>
                <w:highlight w:val="none"/>
              </w:rPr>
              <w:t>卫生间</w:t>
            </w:r>
          </w:p>
        </w:tc>
        <w:tc>
          <w:tcPr>
            <w:tcW w:w="2075" w:type="dxa"/>
            <w:noWrap w:val="0"/>
            <w:vAlign w:val="center"/>
          </w:tcPr>
          <w:p w14:paraId="0D14A8D7">
            <w:pPr>
              <w:jc w:val="both"/>
              <w:rPr>
                <w:rFonts w:hint="eastAsia"/>
                <w:color w:val="auto"/>
                <w:highlight w:val="none"/>
              </w:rPr>
            </w:pPr>
            <w:r>
              <w:rPr>
                <w:rFonts w:hint="eastAsia"/>
                <w:color w:val="auto"/>
                <w:highlight w:val="none"/>
              </w:rPr>
              <w:t>总数量及面积</w:t>
            </w:r>
          </w:p>
        </w:tc>
        <w:tc>
          <w:tcPr>
            <w:tcW w:w="2841" w:type="dxa"/>
            <w:noWrap w:val="0"/>
            <w:vAlign w:val="center"/>
          </w:tcPr>
          <w:p w14:paraId="591BD4EA">
            <w:pPr>
              <w:jc w:val="both"/>
              <w:rPr>
                <w:color w:val="auto"/>
                <w:highlight w:val="none"/>
              </w:rPr>
            </w:pPr>
            <w:r>
              <w:rPr>
                <w:rFonts w:hint="eastAsia"/>
                <w:color w:val="auto"/>
                <w:highlight w:val="none"/>
                <w:lang w:val="en-US" w:eastAsia="zh-CN"/>
              </w:rPr>
              <w:t>60</w:t>
            </w:r>
            <w:r>
              <w:rPr>
                <w:rFonts w:hint="eastAsia"/>
                <w:color w:val="auto"/>
                <w:highlight w:val="none"/>
              </w:rPr>
              <w:t>组</w:t>
            </w:r>
            <w:r>
              <w:rPr>
                <w:rFonts w:hint="eastAsia"/>
                <w:color w:val="auto"/>
                <w:highlight w:val="none"/>
                <w:lang w:val="en-US" w:eastAsia="zh-CN"/>
              </w:rPr>
              <w:t>、1200</w:t>
            </w:r>
            <w:r>
              <w:rPr>
                <w:rFonts w:hint="eastAsia"/>
                <w:color w:val="auto"/>
                <w:highlight w:val="none"/>
              </w:rPr>
              <w:t>平方米</w:t>
            </w:r>
          </w:p>
        </w:tc>
        <w:tc>
          <w:tcPr>
            <w:tcW w:w="3719" w:type="dxa"/>
            <w:noWrap w:val="0"/>
            <w:vAlign w:val="center"/>
          </w:tcPr>
          <w:p w14:paraId="4090BA12">
            <w:pPr>
              <w:jc w:val="both"/>
              <w:rPr>
                <w:rFonts w:hint="eastAsia"/>
                <w:color w:val="auto"/>
                <w:highlight w:val="none"/>
              </w:rPr>
            </w:pPr>
            <w:r>
              <w:rPr>
                <w:rFonts w:hint="eastAsia"/>
                <w:color w:val="auto"/>
                <w:highlight w:val="none"/>
              </w:rPr>
              <w:t>见“3.4保洁服务”</w:t>
            </w:r>
          </w:p>
        </w:tc>
      </w:tr>
      <w:tr w14:paraId="2F25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5" w:type="dxa"/>
            <w:noWrap w:val="0"/>
            <w:vAlign w:val="center"/>
          </w:tcPr>
          <w:p w14:paraId="7D532E4A">
            <w:pPr>
              <w:jc w:val="both"/>
              <w:rPr>
                <w:rFonts w:hint="eastAsia"/>
                <w:color w:val="auto"/>
                <w:highlight w:val="none"/>
              </w:rPr>
            </w:pPr>
            <w:r>
              <w:rPr>
                <w:rFonts w:hint="eastAsia"/>
                <w:color w:val="auto"/>
                <w:highlight w:val="none"/>
              </w:rPr>
              <w:t>垃圾存放点</w:t>
            </w:r>
          </w:p>
        </w:tc>
        <w:tc>
          <w:tcPr>
            <w:tcW w:w="2075" w:type="dxa"/>
            <w:noWrap w:val="0"/>
            <w:vAlign w:val="center"/>
          </w:tcPr>
          <w:p w14:paraId="102C1C41">
            <w:pPr>
              <w:jc w:val="both"/>
              <w:rPr>
                <w:rFonts w:hint="eastAsia"/>
                <w:color w:val="auto"/>
                <w:highlight w:val="none"/>
              </w:rPr>
            </w:pPr>
            <w:r>
              <w:rPr>
                <w:rFonts w:hint="eastAsia"/>
                <w:color w:val="auto"/>
                <w:highlight w:val="none"/>
              </w:rPr>
              <w:t>位置、面积、数量</w:t>
            </w:r>
          </w:p>
        </w:tc>
        <w:tc>
          <w:tcPr>
            <w:tcW w:w="2841" w:type="dxa"/>
            <w:noWrap w:val="0"/>
            <w:vAlign w:val="center"/>
          </w:tcPr>
          <w:p w14:paraId="4EDB133F">
            <w:pPr>
              <w:jc w:val="both"/>
              <w:rPr>
                <w:color w:val="auto"/>
                <w:highlight w:val="none"/>
              </w:rPr>
            </w:pPr>
            <w:r>
              <w:rPr>
                <w:rFonts w:hint="eastAsia"/>
                <w:color w:val="auto"/>
                <w:highlight w:val="none"/>
                <w:lang w:val="en-US" w:eastAsia="zh-CN"/>
              </w:rPr>
              <w:t>两个</w:t>
            </w:r>
            <w:r>
              <w:rPr>
                <w:rFonts w:hint="eastAsia"/>
                <w:color w:val="auto"/>
                <w:highlight w:val="none"/>
              </w:rPr>
              <w:t>垃圾存放点，</w:t>
            </w:r>
            <w:r>
              <w:rPr>
                <w:rFonts w:hint="eastAsia"/>
                <w:color w:val="auto"/>
                <w:highlight w:val="none"/>
                <w:lang w:val="en-US" w:eastAsia="zh-CN"/>
              </w:rPr>
              <w:t>15</w:t>
            </w:r>
            <w:r>
              <w:rPr>
                <w:rFonts w:hint="eastAsia"/>
                <w:color w:val="auto"/>
                <w:highlight w:val="none"/>
              </w:rPr>
              <w:t>平方米</w:t>
            </w:r>
          </w:p>
        </w:tc>
        <w:tc>
          <w:tcPr>
            <w:tcW w:w="3719" w:type="dxa"/>
            <w:noWrap w:val="0"/>
            <w:vAlign w:val="center"/>
          </w:tcPr>
          <w:p w14:paraId="3B9EA083">
            <w:pPr>
              <w:jc w:val="both"/>
              <w:rPr>
                <w:rFonts w:hint="eastAsia"/>
                <w:color w:val="auto"/>
                <w:highlight w:val="none"/>
              </w:rPr>
            </w:pPr>
            <w:r>
              <w:rPr>
                <w:rFonts w:hint="eastAsia"/>
                <w:color w:val="auto"/>
                <w:highlight w:val="none"/>
              </w:rPr>
              <w:t>见“3.4保洁服务”</w:t>
            </w:r>
          </w:p>
        </w:tc>
      </w:tr>
      <w:tr w14:paraId="385F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5" w:type="dxa"/>
            <w:vMerge w:val="restart"/>
            <w:noWrap w:val="0"/>
            <w:vAlign w:val="center"/>
          </w:tcPr>
          <w:p w14:paraId="402E2675">
            <w:pPr>
              <w:jc w:val="both"/>
              <w:rPr>
                <w:rFonts w:hint="eastAsia"/>
                <w:color w:val="auto"/>
                <w:highlight w:val="none"/>
              </w:rPr>
            </w:pPr>
            <w:r>
              <w:rPr>
                <w:rFonts w:hint="eastAsia"/>
                <w:color w:val="auto"/>
                <w:highlight w:val="none"/>
              </w:rPr>
              <w:t>车位数</w:t>
            </w:r>
          </w:p>
        </w:tc>
        <w:tc>
          <w:tcPr>
            <w:tcW w:w="2075" w:type="dxa"/>
            <w:noWrap w:val="0"/>
            <w:vAlign w:val="center"/>
          </w:tcPr>
          <w:p w14:paraId="65670EE2">
            <w:pPr>
              <w:jc w:val="both"/>
              <w:rPr>
                <w:rFonts w:hint="eastAsia"/>
                <w:color w:val="auto"/>
                <w:highlight w:val="none"/>
              </w:rPr>
            </w:pPr>
            <w:r>
              <w:rPr>
                <w:rFonts w:hint="eastAsia"/>
                <w:color w:val="auto"/>
                <w:highlight w:val="none"/>
              </w:rPr>
              <w:t>地下车位</w:t>
            </w:r>
          </w:p>
        </w:tc>
        <w:tc>
          <w:tcPr>
            <w:tcW w:w="2841" w:type="dxa"/>
            <w:noWrap w:val="0"/>
            <w:vAlign w:val="center"/>
          </w:tcPr>
          <w:p w14:paraId="1AE8353C">
            <w:pPr>
              <w:jc w:val="both"/>
              <w:rPr>
                <w:color w:val="auto"/>
                <w:highlight w:val="none"/>
              </w:rPr>
            </w:pPr>
            <w:r>
              <w:rPr>
                <w:rFonts w:hint="eastAsia"/>
                <w:color w:val="auto"/>
                <w:highlight w:val="none"/>
                <w:lang w:val="en-US" w:eastAsia="zh-CN"/>
              </w:rPr>
              <w:t>150</w:t>
            </w:r>
            <w:r>
              <w:rPr>
                <w:rFonts w:hint="eastAsia"/>
                <w:color w:val="auto"/>
                <w:highlight w:val="none"/>
              </w:rPr>
              <w:t>个</w:t>
            </w:r>
          </w:p>
        </w:tc>
        <w:tc>
          <w:tcPr>
            <w:tcW w:w="3719" w:type="dxa"/>
            <w:noWrap w:val="0"/>
            <w:vAlign w:val="center"/>
          </w:tcPr>
          <w:p w14:paraId="53B794E4">
            <w:pPr>
              <w:jc w:val="both"/>
              <w:rPr>
                <w:rFonts w:hint="eastAsia"/>
                <w:color w:val="auto"/>
                <w:highlight w:val="none"/>
              </w:rPr>
            </w:pPr>
            <w:r>
              <w:rPr>
                <w:rFonts w:hint="eastAsia"/>
                <w:color w:val="auto"/>
                <w:highlight w:val="none"/>
              </w:rPr>
              <w:t>见“3.6保安服务”</w:t>
            </w:r>
          </w:p>
        </w:tc>
      </w:tr>
      <w:tr w14:paraId="1822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5" w:type="dxa"/>
            <w:vMerge w:val="continue"/>
            <w:noWrap w:val="0"/>
            <w:vAlign w:val="center"/>
          </w:tcPr>
          <w:p w14:paraId="2EF1BD18">
            <w:pPr>
              <w:jc w:val="both"/>
              <w:rPr>
                <w:color w:val="auto"/>
                <w:highlight w:val="none"/>
              </w:rPr>
            </w:pPr>
          </w:p>
        </w:tc>
        <w:tc>
          <w:tcPr>
            <w:tcW w:w="2075" w:type="dxa"/>
            <w:noWrap w:val="0"/>
            <w:vAlign w:val="center"/>
          </w:tcPr>
          <w:p w14:paraId="38812CA6">
            <w:pPr>
              <w:jc w:val="both"/>
              <w:rPr>
                <w:rFonts w:hint="eastAsia"/>
                <w:color w:val="auto"/>
                <w:highlight w:val="none"/>
              </w:rPr>
            </w:pPr>
            <w:r>
              <w:rPr>
                <w:rFonts w:hint="eastAsia"/>
                <w:color w:val="auto"/>
                <w:highlight w:val="none"/>
              </w:rPr>
              <w:t>地上车位</w:t>
            </w:r>
          </w:p>
        </w:tc>
        <w:tc>
          <w:tcPr>
            <w:tcW w:w="2841" w:type="dxa"/>
            <w:noWrap w:val="0"/>
            <w:vAlign w:val="center"/>
          </w:tcPr>
          <w:p w14:paraId="591425FB">
            <w:pPr>
              <w:jc w:val="both"/>
              <w:rPr>
                <w:rFonts w:hint="eastAsia" w:eastAsia="宋体"/>
                <w:color w:val="auto"/>
                <w:highlight w:val="none"/>
                <w:lang w:eastAsia="zh-CN"/>
              </w:rPr>
            </w:pPr>
            <w:r>
              <w:rPr>
                <w:rFonts w:hint="eastAsia"/>
                <w:color w:val="auto"/>
                <w:highlight w:val="none"/>
                <w:lang w:val="en-US" w:eastAsia="zh-CN"/>
              </w:rPr>
              <w:t>150</w:t>
            </w:r>
            <w:r>
              <w:rPr>
                <w:rFonts w:hint="eastAsia"/>
                <w:color w:val="auto"/>
                <w:highlight w:val="none"/>
              </w:rPr>
              <w:t>个汽车车位</w:t>
            </w:r>
            <w:r>
              <w:rPr>
                <w:rFonts w:hint="eastAsia"/>
                <w:color w:val="auto"/>
                <w:highlight w:val="none"/>
                <w:lang w:eastAsia="zh-CN"/>
              </w:rPr>
              <w:t>（含</w:t>
            </w:r>
            <w:r>
              <w:rPr>
                <w:rFonts w:hint="eastAsia"/>
                <w:color w:val="auto"/>
                <w:highlight w:val="none"/>
              </w:rPr>
              <w:t>汽车充电桩</w:t>
            </w:r>
            <w:r>
              <w:rPr>
                <w:rFonts w:hint="eastAsia"/>
                <w:color w:val="auto"/>
                <w:highlight w:val="none"/>
                <w:lang w:val="en-US" w:eastAsia="zh-CN"/>
              </w:rPr>
              <w:t>18</w:t>
            </w:r>
            <w:r>
              <w:rPr>
                <w:rFonts w:hint="eastAsia"/>
                <w:color w:val="auto"/>
                <w:highlight w:val="none"/>
              </w:rPr>
              <w:t>个</w:t>
            </w:r>
            <w:r>
              <w:rPr>
                <w:rFonts w:hint="eastAsia"/>
                <w:color w:val="auto"/>
                <w:highlight w:val="none"/>
                <w:lang w:eastAsia="zh-CN"/>
              </w:rPr>
              <w:t>），</w:t>
            </w:r>
            <w:r>
              <w:rPr>
                <w:rFonts w:hint="eastAsia"/>
                <w:color w:val="auto"/>
                <w:highlight w:val="none"/>
              </w:rPr>
              <w:t>电单车车位</w:t>
            </w:r>
            <w:r>
              <w:rPr>
                <w:rFonts w:hint="eastAsia"/>
                <w:color w:val="auto"/>
                <w:highlight w:val="none"/>
                <w:lang w:val="en-US" w:eastAsia="zh-CN"/>
              </w:rPr>
              <w:t>116</w:t>
            </w:r>
            <w:r>
              <w:rPr>
                <w:rFonts w:hint="eastAsia"/>
                <w:color w:val="auto"/>
                <w:highlight w:val="none"/>
              </w:rPr>
              <w:t>个</w:t>
            </w:r>
            <w:r>
              <w:rPr>
                <w:rFonts w:hint="eastAsia"/>
                <w:color w:val="auto"/>
                <w:highlight w:val="none"/>
                <w:lang w:eastAsia="zh-CN"/>
              </w:rPr>
              <w:t>（含</w:t>
            </w:r>
            <w:r>
              <w:rPr>
                <w:rFonts w:hint="eastAsia"/>
                <w:color w:val="auto"/>
                <w:highlight w:val="none"/>
              </w:rPr>
              <w:t>电单车充电桩</w:t>
            </w:r>
            <w:r>
              <w:rPr>
                <w:rFonts w:hint="eastAsia"/>
                <w:color w:val="auto"/>
                <w:highlight w:val="none"/>
                <w:lang w:val="en-US" w:eastAsia="zh-CN"/>
              </w:rPr>
              <w:t>65</w:t>
            </w:r>
            <w:r>
              <w:rPr>
                <w:rFonts w:hint="eastAsia"/>
                <w:color w:val="auto"/>
                <w:highlight w:val="none"/>
              </w:rPr>
              <w:t>个</w:t>
            </w:r>
            <w:r>
              <w:rPr>
                <w:rFonts w:hint="eastAsia"/>
                <w:color w:val="auto"/>
                <w:highlight w:val="none"/>
                <w:lang w:eastAsia="zh-CN"/>
              </w:rPr>
              <w:t>）。</w:t>
            </w:r>
          </w:p>
        </w:tc>
        <w:tc>
          <w:tcPr>
            <w:tcW w:w="3719" w:type="dxa"/>
            <w:noWrap w:val="0"/>
            <w:vAlign w:val="center"/>
          </w:tcPr>
          <w:p w14:paraId="7D7762F4">
            <w:pPr>
              <w:jc w:val="both"/>
              <w:rPr>
                <w:rFonts w:hint="eastAsia"/>
                <w:color w:val="auto"/>
                <w:highlight w:val="none"/>
              </w:rPr>
            </w:pPr>
            <w:r>
              <w:rPr>
                <w:rFonts w:hint="eastAsia"/>
                <w:color w:val="auto"/>
                <w:highlight w:val="none"/>
              </w:rPr>
              <w:t>见“3.6保安服务”</w:t>
            </w:r>
          </w:p>
        </w:tc>
      </w:tr>
      <w:tr w14:paraId="3D6F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5" w:type="dxa"/>
            <w:vMerge w:val="restart"/>
            <w:noWrap w:val="0"/>
            <w:vAlign w:val="center"/>
          </w:tcPr>
          <w:p w14:paraId="71FE6DF9">
            <w:pPr>
              <w:jc w:val="both"/>
              <w:rPr>
                <w:rFonts w:hint="eastAsia"/>
                <w:color w:val="auto"/>
                <w:highlight w:val="none"/>
              </w:rPr>
            </w:pPr>
            <w:r>
              <w:rPr>
                <w:rFonts w:hint="eastAsia"/>
                <w:color w:val="auto"/>
                <w:highlight w:val="none"/>
              </w:rPr>
              <w:t>车行\人行口</w:t>
            </w:r>
          </w:p>
        </w:tc>
        <w:tc>
          <w:tcPr>
            <w:tcW w:w="2075" w:type="dxa"/>
            <w:noWrap w:val="0"/>
            <w:vAlign w:val="center"/>
          </w:tcPr>
          <w:p w14:paraId="45C09788">
            <w:pPr>
              <w:jc w:val="both"/>
              <w:rPr>
                <w:rFonts w:hint="eastAsia"/>
                <w:color w:val="auto"/>
                <w:highlight w:val="none"/>
              </w:rPr>
            </w:pPr>
            <w:r>
              <w:rPr>
                <w:rFonts w:hint="eastAsia"/>
                <w:color w:val="auto"/>
                <w:highlight w:val="none"/>
              </w:rPr>
              <w:t>车行口</w:t>
            </w:r>
          </w:p>
        </w:tc>
        <w:tc>
          <w:tcPr>
            <w:tcW w:w="2841" w:type="dxa"/>
            <w:noWrap w:val="0"/>
            <w:vAlign w:val="center"/>
          </w:tcPr>
          <w:p w14:paraId="36B9D3E4">
            <w:pPr>
              <w:jc w:val="both"/>
              <w:rPr>
                <w:color w:val="auto"/>
                <w:highlight w:val="none"/>
              </w:rPr>
            </w:pPr>
            <w:r>
              <w:rPr>
                <w:rFonts w:hint="eastAsia"/>
                <w:color w:val="auto"/>
                <w:highlight w:val="none"/>
                <w:lang w:val="en-US" w:eastAsia="zh-CN"/>
              </w:rPr>
              <w:t>6个出入口，1</w:t>
            </w:r>
            <w:r>
              <w:rPr>
                <w:rFonts w:hint="eastAsia"/>
                <w:color w:val="auto"/>
                <w:highlight w:val="none"/>
              </w:rPr>
              <w:t>个大门出入口（需要24小时值班）</w:t>
            </w:r>
          </w:p>
        </w:tc>
        <w:tc>
          <w:tcPr>
            <w:tcW w:w="3719" w:type="dxa"/>
            <w:noWrap w:val="0"/>
            <w:vAlign w:val="center"/>
          </w:tcPr>
          <w:p w14:paraId="61BA8153">
            <w:pPr>
              <w:jc w:val="both"/>
              <w:rPr>
                <w:rFonts w:hint="eastAsia"/>
                <w:color w:val="auto"/>
                <w:highlight w:val="none"/>
              </w:rPr>
            </w:pPr>
            <w:r>
              <w:rPr>
                <w:rFonts w:hint="eastAsia"/>
                <w:color w:val="auto"/>
                <w:highlight w:val="none"/>
              </w:rPr>
              <w:t>见“3.6保安服务”</w:t>
            </w:r>
          </w:p>
        </w:tc>
      </w:tr>
      <w:tr w14:paraId="7B6A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5" w:type="dxa"/>
            <w:vMerge w:val="continue"/>
            <w:noWrap w:val="0"/>
            <w:vAlign w:val="center"/>
          </w:tcPr>
          <w:p w14:paraId="0B53265D">
            <w:pPr>
              <w:jc w:val="both"/>
              <w:rPr>
                <w:color w:val="auto"/>
                <w:highlight w:val="none"/>
              </w:rPr>
            </w:pPr>
          </w:p>
        </w:tc>
        <w:tc>
          <w:tcPr>
            <w:tcW w:w="2075" w:type="dxa"/>
            <w:noWrap w:val="0"/>
            <w:vAlign w:val="center"/>
          </w:tcPr>
          <w:p w14:paraId="39BBCC66">
            <w:pPr>
              <w:jc w:val="both"/>
              <w:rPr>
                <w:rFonts w:hint="eastAsia"/>
                <w:color w:val="auto"/>
                <w:highlight w:val="none"/>
              </w:rPr>
            </w:pPr>
            <w:r>
              <w:rPr>
                <w:rFonts w:hint="eastAsia"/>
                <w:color w:val="auto"/>
                <w:highlight w:val="none"/>
              </w:rPr>
              <w:t>人行口</w:t>
            </w:r>
          </w:p>
        </w:tc>
        <w:tc>
          <w:tcPr>
            <w:tcW w:w="2841" w:type="dxa"/>
            <w:noWrap w:val="0"/>
            <w:vAlign w:val="center"/>
          </w:tcPr>
          <w:p w14:paraId="70997AC1">
            <w:pPr>
              <w:jc w:val="both"/>
              <w:rPr>
                <w:color w:val="auto"/>
                <w:highlight w:val="none"/>
              </w:rPr>
            </w:pPr>
            <w:r>
              <w:rPr>
                <w:rFonts w:hint="eastAsia"/>
                <w:color w:val="auto"/>
                <w:highlight w:val="none"/>
                <w:lang w:val="en-US" w:eastAsia="zh-CN"/>
              </w:rPr>
              <w:t>4</w:t>
            </w:r>
            <w:r>
              <w:rPr>
                <w:rFonts w:hint="eastAsia"/>
                <w:color w:val="auto"/>
                <w:highlight w:val="none"/>
              </w:rPr>
              <w:t>个大门（需要24小时值班）</w:t>
            </w:r>
          </w:p>
        </w:tc>
        <w:tc>
          <w:tcPr>
            <w:tcW w:w="3719" w:type="dxa"/>
            <w:noWrap w:val="0"/>
            <w:vAlign w:val="center"/>
          </w:tcPr>
          <w:p w14:paraId="723120B9">
            <w:pPr>
              <w:jc w:val="both"/>
              <w:rPr>
                <w:rFonts w:hint="eastAsia"/>
                <w:color w:val="auto"/>
                <w:highlight w:val="none"/>
              </w:rPr>
            </w:pPr>
            <w:r>
              <w:rPr>
                <w:rFonts w:hint="eastAsia"/>
                <w:color w:val="auto"/>
                <w:highlight w:val="none"/>
              </w:rPr>
              <w:t>见“3.6保安服务”</w:t>
            </w:r>
          </w:p>
        </w:tc>
      </w:tr>
      <w:tr w14:paraId="665D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5" w:type="dxa"/>
            <w:vMerge w:val="restart"/>
            <w:noWrap w:val="0"/>
            <w:vAlign w:val="center"/>
          </w:tcPr>
          <w:p w14:paraId="49505255">
            <w:pPr>
              <w:jc w:val="both"/>
              <w:rPr>
                <w:rFonts w:hint="eastAsia"/>
                <w:color w:val="auto"/>
                <w:highlight w:val="none"/>
              </w:rPr>
            </w:pPr>
            <w:r>
              <w:rPr>
                <w:rFonts w:hint="eastAsia"/>
                <w:color w:val="auto"/>
                <w:highlight w:val="none"/>
              </w:rPr>
              <w:t>设施设备</w:t>
            </w:r>
          </w:p>
        </w:tc>
        <w:tc>
          <w:tcPr>
            <w:tcW w:w="2075" w:type="dxa"/>
            <w:noWrap w:val="0"/>
            <w:vAlign w:val="center"/>
          </w:tcPr>
          <w:p w14:paraId="0B1CDD87">
            <w:pPr>
              <w:jc w:val="both"/>
              <w:rPr>
                <w:rFonts w:hint="eastAsia"/>
                <w:color w:val="auto"/>
                <w:highlight w:val="none"/>
              </w:rPr>
            </w:pPr>
            <w:r>
              <w:rPr>
                <w:rFonts w:hint="eastAsia"/>
                <w:color w:val="auto"/>
                <w:highlight w:val="none"/>
              </w:rPr>
              <w:t>电梯</w:t>
            </w:r>
          </w:p>
        </w:tc>
        <w:tc>
          <w:tcPr>
            <w:tcW w:w="2841" w:type="dxa"/>
            <w:noWrap w:val="0"/>
            <w:vAlign w:val="center"/>
          </w:tcPr>
          <w:p w14:paraId="273A6448">
            <w:pPr>
              <w:jc w:val="both"/>
              <w:rPr>
                <w:rFonts w:hint="eastAsia"/>
                <w:color w:val="auto"/>
                <w:highlight w:val="none"/>
              </w:rPr>
            </w:pPr>
            <w:r>
              <w:rPr>
                <w:rFonts w:hint="eastAsia"/>
                <w:color w:val="auto"/>
                <w:highlight w:val="none"/>
              </w:rPr>
              <w:t>曳引客梯共</w:t>
            </w:r>
            <w:r>
              <w:rPr>
                <w:rFonts w:hint="eastAsia"/>
                <w:color w:val="auto"/>
                <w:highlight w:val="none"/>
                <w:lang w:val="en-US" w:eastAsia="zh-CN"/>
              </w:rPr>
              <w:t>10</w:t>
            </w:r>
            <w:r>
              <w:rPr>
                <w:rFonts w:hint="eastAsia"/>
                <w:color w:val="auto"/>
                <w:highlight w:val="none"/>
              </w:rPr>
              <w:t>台</w:t>
            </w:r>
            <w:r>
              <w:rPr>
                <w:rFonts w:hint="eastAsia"/>
                <w:color w:val="auto"/>
                <w:highlight w:val="none"/>
                <w:lang w:eastAsia="zh-CN"/>
              </w:rPr>
              <w:t>（含</w:t>
            </w:r>
            <w:r>
              <w:rPr>
                <w:rFonts w:hint="eastAsia"/>
                <w:color w:val="auto"/>
                <w:highlight w:val="none"/>
              </w:rPr>
              <w:t>消防梯共</w:t>
            </w:r>
            <w:r>
              <w:rPr>
                <w:rFonts w:hint="eastAsia"/>
                <w:color w:val="auto"/>
                <w:highlight w:val="none"/>
                <w:lang w:val="en-US" w:eastAsia="zh-CN"/>
              </w:rPr>
              <w:t>4</w:t>
            </w:r>
            <w:r>
              <w:rPr>
                <w:rFonts w:hint="eastAsia"/>
                <w:color w:val="auto"/>
                <w:highlight w:val="none"/>
              </w:rPr>
              <w:t>台</w:t>
            </w:r>
            <w:r>
              <w:rPr>
                <w:rFonts w:hint="eastAsia"/>
                <w:color w:val="auto"/>
                <w:highlight w:val="none"/>
                <w:lang w:eastAsia="zh-CN"/>
              </w:rPr>
              <w:t>）</w:t>
            </w:r>
            <w:r>
              <w:rPr>
                <w:rFonts w:hint="eastAsia"/>
                <w:color w:val="auto"/>
                <w:highlight w:val="none"/>
              </w:rPr>
              <w:t>。</w:t>
            </w:r>
          </w:p>
        </w:tc>
        <w:tc>
          <w:tcPr>
            <w:tcW w:w="3719" w:type="dxa"/>
            <w:noWrap w:val="0"/>
            <w:vAlign w:val="center"/>
          </w:tcPr>
          <w:p w14:paraId="641B8D72">
            <w:pPr>
              <w:jc w:val="both"/>
              <w:rPr>
                <w:rFonts w:hint="eastAsia"/>
                <w:color w:val="auto"/>
                <w:highlight w:val="none"/>
              </w:rPr>
            </w:pPr>
            <w:r>
              <w:rPr>
                <w:rFonts w:hint="eastAsia"/>
                <w:color w:val="auto"/>
                <w:highlight w:val="none"/>
              </w:rPr>
              <w:t>见“3.3公用设施设备维护”</w:t>
            </w:r>
          </w:p>
        </w:tc>
      </w:tr>
      <w:tr w14:paraId="2CCF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5" w:type="dxa"/>
            <w:vMerge w:val="continue"/>
            <w:noWrap w:val="0"/>
            <w:vAlign w:val="center"/>
          </w:tcPr>
          <w:p w14:paraId="59F8EC49">
            <w:pPr>
              <w:jc w:val="both"/>
              <w:rPr>
                <w:rFonts w:hint="eastAsia"/>
                <w:color w:val="auto"/>
                <w:highlight w:val="none"/>
              </w:rPr>
            </w:pPr>
          </w:p>
        </w:tc>
        <w:tc>
          <w:tcPr>
            <w:tcW w:w="2075" w:type="dxa"/>
            <w:noWrap w:val="0"/>
            <w:vAlign w:val="center"/>
          </w:tcPr>
          <w:p w14:paraId="6489D5F5">
            <w:pPr>
              <w:jc w:val="both"/>
              <w:rPr>
                <w:rFonts w:hint="eastAsia"/>
                <w:color w:val="auto"/>
                <w:highlight w:val="none"/>
              </w:rPr>
            </w:pPr>
            <w:r>
              <w:rPr>
                <w:rFonts w:hint="eastAsia"/>
                <w:color w:val="auto"/>
                <w:highlight w:val="none"/>
              </w:rPr>
              <w:t>空调系统</w:t>
            </w:r>
          </w:p>
        </w:tc>
        <w:tc>
          <w:tcPr>
            <w:tcW w:w="2841" w:type="dxa"/>
            <w:noWrap w:val="0"/>
            <w:vAlign w:val="center"/>
          </w:tcPr>
          <w:p w14:paraId="26BF8810">
            <w:pPr>
              <w:jc w:val="both"/>
              <w:rPr>
                <w:rFonts w:hint="eastAsia"/>
                <w:color w:val="auto"/>
                <w:lang w:val="en-US" w:eastAsia="zh-CN"/>
              </w:rPr>
            </w:pPr>
            <w:r>
              <w:rPr>
                <w:rFonts w:hint="eastAsia"/>
                <w:color w:val="auto"/>
                <w:highlight w:val="none"/>
                <w:lang w:val="en-US" w:eastAsia="zh-CN"/>
              </w:rPr>
              <w:t>4台</w:t>
            </w:r>
            <w:r>
              <w:rPr>
                <w:rFonts w:hint="eastAsia"/>
                <w:color w:val="auto"/>
                <w:highlight w:val="none"/>
                <w:lang w:eastAsia="zh-CN"/>
              </w:rPr>
              <w:t>单螺杆水源热泵机组、</w:t>
            </w:r>
          </w:p>
          <w:p w14:paraId="54E754D0">
            <w:pPr>
              <w:jc w:val="both"/>
              <w:rPr>
                <w:rFonts w:hint="eastAsia"/>
                <w:color w:val="auto"/>
                <w:lang w:val="en-US" w:eastAsia="zh-CN"/>
              </w:rPr>
            </w:pPr>
            <w:r>
              <w:rPr>
                <w:rFonts w:hint="eastAsia"/>
                <w:color w:val="auto"/>
                <w:highlight w:val="none"/>
                <w:lang w:val="en-US" w:eastAsia="zh-CN"/>
              </w:rPr>
              <w:t>3台螺杆式风冷热泵机组、</w:t>
            </w:r>
          </w:p>
          <w:p w14:paraId="2E5638E4">
            <w:pPr>
              <w:jc w:val="both"/>
              <w:rPr>
                <w:color w:val="auto"/>
                <w:highlight w:val="none"/>
              </w:rPr>
            </w:pPr>
            <w:r>
              <w:rPr>
                <w:rFonts w:hint="eastAsia"/>
                <w:color w:val="auto"/>
                <w:highlight w:val="none"/>
                <w:lang w:val="en-US" w:eastAsia="zh-CN"/>
              </w:rPr>
              <w:t>3台螺</w:t>
            </w:r>
            <w:r>
              <w:rPr>
                <w:rFonts w:hint="eastAsia"/>
                <w:color w:val="auto"/>
                <w:highlight w:val="none"/>
                <w:lang w:eastAsia="zh-CN"/>
              </w:rPr>
              <w:t>杆式风冷冷（热）水机组、</w:t>
            </w:r>
            <w:r>
              <w:rPr>
                <w:rFonts w:hint="eastAsia"/>
                <w:color w:val="auto"/>
                <w:highlight w:val="none"/>
                <w:lang w:val="en-US" w:eastAsia="zh-CN"/>
              </w:rPr>
              <w:t>10台</w:t>
            </w:r>
            <w:r>
              <w:rPr>
                <w:rFonts w:hint="eastAsia"/>
                <w:color w:val="auto"/>
                <w:highlight w:val="none"/>
                <w:lang w:eastAsia="zh-CN"/>
              </w:rPr>
              <w:t>模块式风冷冷（热）水机组</w:t>
            </w:r>
            <w:r>
              <w:rPr>
                <w:rFonts w:hint="eastAsia"/>
                <w:color w:val="auto"/>
                <w:highlight w:val="none"/>
                <w:lang w:val="en-US" w:eastAsia="zh-CN"/>
              </w:rPr>
              <w:t>风机盘管2388台      新风机24台、12台水泵、5台冷却塔</w:t>
            </w:r>
          </w:p>
        </w:tc>
        <w:tc>
          <w:tcPr>
            <w:tcW w:w="3719" w:type="dxa"/>
            <w:noWrap w:val="0"/>
            <w:vAlign w:val="center"/>
          </w:tcPr>
          <w:p w14:paraId="5DE8EC5B">
            <w:pPr>
              <w:jc w:val="both"/>
              <w:rPr>
                <w:rFonts w:hint="eastAsia"/>
                <w:color w:val="auto"/>
                <w:highlight w:val="none"/>
              </w:rPr>
            </w:pPr>
            <w:r>
              <w:rPr>
                <w:rFonts w:hint="eastAsia"/>
                <w:color w:val="auto"/>
                <w:highlight w:val="none"/>
              </w:rPr>
              <w:t>见“3.3公用设施设备维护”</w:t>
            </w:r>
          </w:p>
        </w:tc>
      </w:tr>
      <w:tr w14:paraId="26A3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5" w:type="dxa"/>
            <w:vMerge w:val="continue"/>
            <w:noWrap w:val="0"/>
            <w:vAlign w:val="center"/>
          </w:tcPr>
          <w:p w14:paraId="6006A1DA">
            <w:pPr>
              <w:jc w:val="both"/>
              <w:rPr>
                <w:rFonts w:hint="eastAsia"/>
                <w:color w:val="auto"/>
                <w:highlight w:val="none"/>
              </w:rPr>
            </w:pPr>
          </w:p>
        </w:tc>
        <w:tc>
          <w:tcPr>
            <w:tcW w:w="2075" w:type="dxa"/>
            <w:noWrap w:val="0"/>
            <w:vAlign w:val="center"/>
          </w:tcPr>
          <w:p w14:paraId="2FAC19D8">
            <w:pPr>
              <w:jc w:val="both"/>
              <w:rPr>
                <w:rFonts w:hint="eastAsia"/>
                <w:color w:val="auto"/>
                <w:highlight w:val="none"/>
              </w:rPr>
            </w:pPr>
            <w:r>
              <w:rPr>
                <w:rFonts w:hint="eastAsia"/>
                <w:color w:val="auto"/>
                <w:highlight w:val="none"/>
              </w:rPr>
              <w:t>消防系统</w:t>
            </w:r>
          </w:p>
        </w:tc>
        <w:tc>
          <w:tcPr>
            <w:tcW w:w="2841" w:type="dxa"/>
            <w:noWrap w:val="0"/>
            <w:vAlign w:val="center"/>
          </w:tcPr>
          <w:p w14:paraId="6CA2BE51">
            <w:pPr>
              <w:jc w:val="both"/>
              <w:rPr>
                <w:color w:val="auto"/>
                <w:highlight w:val="none"/>
              </w:rPr>
            </w:pPr>
            <w:r>
              <w:rPr>
                <w:rFonts w:hint="eastAsia" w:ascii="宋体" w:hAnsi="宋体" w:eastAsia="宋体" w:cs="宋体"/>
                <w:color w:val="auto"/>
                <w:highlight w:val="none"/>
              </w:rPr>
              <w:t>消防总控制室</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个，辅助控制室</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个，消防水泵</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个，防火门</w:t>
            </w:r>
            <w:r>
              <w:rPr>
                <w:rFonts w:hint="eastAsia" w:ascii="宋体" w:hAnsi="宋体" w:eastAsia="宋体" w:cs="宋体"/>
                <w:color w:val="auto"/>
                <w:highlight w:val="none"/>
                <w:lang w:val="en-US" w:eastAsia="zh-CN"/>
              </w:rPr>
              <w:t>500</w:t>
            </w:r>
            <w:r>
              <w:rPr>
                <w:rFonts w:hint="eastAsia" w:ascii="宋体" w:hAnsi="宋体" w:eastAsia="宋体" w:cs="宋体"/>
                <w:color w:val="auto"/>
                <w:highlight w:val="none"/>
              </w:rPr>
              <w:t>个</w:t>
            </w:r>
            <w:r>
              <w:rPr>
                <w:rFonts w:hint="eastAsia" w:ascii="宋体" w:hAnsi="宋体" w:eastAsia="宋体" w:cs="宋体"/>
                <w:color w:val="auto"/>
                <w:highlight w:val="none"/>
                <w:lang w:eastAsia="zh-CN"/>
              </w:rPr>
              <w:t>、</w:t>
            </w:r>
            <w:r>
              <w:rPr>
                <w:rFonts w:hint="eastAsia"/>
                <w:color w:val="auto"/>
                <w:highlight w:val="none"/>
                <w:shd w:val="clear" w:color="auto" w:fill="auto"/>
                <w:lang w:val="en-US" w:eastAsia="zh-CN"/>
              </w:rPr>
              <w:t>消防接合器5套</w:t>
            </w:r>
            <w:r>
              <w:rPr>
                <w:rFonts w:hint="eastAsia" w:ascii="宋体" w:hAnsi="宋体" w:eastAsia="宋体" w:cs="宋体"/>
                <w:color w:val="auto"/>
                <w:highlight w:val="none"/>
              </w:rPr>
              <w:t>。</w:t>
            </w:r>
          </w:p>
        </w:tc>
        <w:tc>
          <w:tcPr>
            <w:tcW w:w="3719" w:type="dxa"/>
            <w:noWrap w:val="0"/>
            <w:vAlign w:val="center"/>
          </w:tcPr>
          <w:p w14:paraId="25050ABB">
            <w:pPr>
              <w:jc w:val="both"/>
              <w:rPr>
                <w:rFonts w:hint="eastAsia"/>
                <w:color w:val="auto"/>
                <w:highlight w:val="none"/>
              </w:rPr>
            </w:pPr>
            <w:r>
              <w:rPr>
                <w:rFonts w:hint="eastAsia"/>
                <w:color w:val="auto"/>
                <w:highlight w:val="none"/>
              </w:rPr>
              <w:t>见“3.6保安服务”“3.3公用设施设备维护”</w:t>
            </w:r>
          </w:p>
        </w:tc>
      </w:tr>
      <w:tr w14:paraId="71FC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65" w:type="dxa"/>
            <w:vMerge w:val="continue"/>
            <w:noWrap w:val="0"/>
            <w:vAlign w:val="center"/>
          </w:tcPr>
          <w:p w14:paraId="47A96EB1">
            <w:pPr>
              <w:jc w:val="both"/>
              <w:rPr>
                <w:rFonts w:hint="eastAsia"/>
                <w:color w:val="auto"/>
                <w:highlight w:val="none"/>
              </w:rPr>
            </w:pPr>
          </w:p>
        </w:tc>
        <w:tc>
          <w:tcPr>
            <w:tcW w:w="2075" w:type="dxa"/>
            <w:noWrap w:val="0"/>
            <w:vAlign w:val="center"/>
          </w:tcPr>
          <w:p w14:paraId="29C4B71D">
            <w:pPr>
              <w:jc w:val="both"/>
              <w:rPr>
                <w:rFonts w:hint="eastAsia"/>
                <w:color w:val="auto"/>
                <w:highlight w:val="none"/>
              </w:rPr>
            </w:pPr>
            <w:r>
              <w:rPr>
                <w:rFonts w:hint="eastAsia"/>
                <w:color w:val="auto"/>
                <w:highlight w:val="none"/>
              </w:rPr>
              <w:t>安防系统</w:t>
            </w:r>
          </w:p>
        </w:tc>
        <w:tc>
          <w:tcPr>
            <w:tcW w:w="2841" w:type="dxa"/>
            <w:noWrap w:val="0"/>
            <w:vAlign w:val="center"/>
          </w:tcPr>
          <w:p w14:paraId="0797E18F">
            <w:pPr>
              <w:jc w:val="both"/>
              <w:rPr>
                <w:rFonts w:hint="default" w:eastAsia="宋体"/>
                <w:color w:val="auto"/>
                <w:highlight w:val="none"/>
                <w:lang w:val="en-US" w:eastAsia="zh-CN"/>
              </w:rPr>
            </w:pPr>
            <w:r>
              <w:rPr>
                <w:rFonts w:hint="eastAsia"/>
                <w:color w:val="auto"/>
                <w:highlight w:val="none"/>
              </w:rPr>
              <w:t>监控室</w:t>
            </w:r>
            <w:r>
              <w:rPr>
                <w:rFonts w:hint="eastAsia"/>
                <w:color w:val="auto"/>
                <w:highlight w:val="none"/>
                <w:lang w:val="en-US" w:eastAsia="zh-CN"/>
              </w:rPr>
              <w:t>2</w:t>
            </w:r>
            <w:r>
              <w:rPr>
                <w:rFonts w:hint="eastAsia"/>
                <w:color w:val="auto"/>
                <w:highlight w:val="none"/>
              </w:rPr>
              <w:t>个</w:t>
            </w:r>
            <w:r>
              <w:rPr>
                <w:rFonts w:hint="eastAsia"/>
                <w:color w:val="auto"/>
                <w:highlight w:val="none"/>
                <w:lang w:eastAsia="zh-CN"/>
              </w:rPr>
              <w:t>、</w:t>
            </w:r>
            <w:r>
              <w:rPr>
                <w:rFonts w:hint="eastAsia"/>
                <w:color w:val="auto"/>
                <w:highlight w:val="none"/>
                <w:lang w:val="en-US" w:eastAsia="zh-CN"/>
              </w:rPr>
              <w:t>室内</w:t>
            </w:r>
            <w:r>
              <w:rPr>
                <w:rFonts w:hint="eastAsia"/>
                <w:color w:val="auto"/>
                <w:highlight w:val="none"/>
                <w:shd w:val="clear" w:color="auto" w:fill="auto"/>
                <w:lang w:val="en-US" w:eastAsia="zh-CN"/>
              </w:rPr>
              <w:t>监控系统2套、室外监控系统2套；地面停车场道闸管理系统2套、地下室停车场道闸管理系统2套；车辆道闸2套、人行道闸1套。</w:t>
            </w:r>
          </w:p>
        </w:tc>
        <w:tc>
          <w:tcPr>
            <w:tcW w:w="3719" w:type="dxa"/>
            <w:noWrap w:val="0"/>
            <w:vAlign w:val="center"/>
          </w:tcPr>
          <w:p w14:paraId="60D376DC">
            <w:pPr>
              <w:jc w:val="both"/>
              <w:rPr>
                <w:rFonts w:hint="eastAsia"/>
                <w:color w:val="auto"/>
                <w:highlight w:val="none"/>
              </w:rPr>
            </w:pPr>
            <w:r>
              <w:rPr>
                <w:rFonts w:hint="eastAsia"/>
                <w:color w:val="auto"/>
                <w:highlight w:val="none"/>
              </w:rPr>
              <w:t>见“3.6保安服务”“3.3公用设施设备维护”</w:t>
            </w:r>
          </w:p>
        </w:tc>
      </w:tr>
      <w:tr w14:paraId="387B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5" w:type="dxa"/>
            <w:vMerge w:val="continue"/>
            <w:noWrap w:val="0"/>
            <w:vAlign w:val="center"/>
          </w:tcPr>
          <w:p w14:paraId="7D02A5BF">
            <w:pPr>
              <w:jc w:val="both"/>
              <w:rPr>
                <w:rFonts w:hint="eastAsia"/>
                <w:color w:val="auto"/>
                <w:highlight w:val="none"/>
              </w:rPr>
            </w:pPr>
          </w:p>
        </w:tc>
        <w:tc>
          <w:tcPr>
            <w:tcW w:w="2075" w:type="dxa"/>
            <w:noWrap w:val="0"/>
            <w:vAlign w:val="center"/>
          </w:tcPr>
          <w:p w14:paraId="69959995">
            <w:pPr>
              <w:jc w:val="both"/>
              <w:rPr>
                <w:rFonts w:hint="eastAsia"/>
                <w:color w:val="auto"/>
                <w:highlight w:val="none"/>
              </w:rPr>
            </w:pPr>
            <w:r>
              <w:rPr>
                <w:rFonts w:hint="eastAsia"/>
                <w:color w:val="auto"/>
                <w:highlight w:val="none"/>
              </w:rPr>
              <w:t>照明系统</w:t>
            </w:r>
          </w:p>
        </w:tc>
        <w:tc>
          <w:tcPr>
            <w:tcW w:w="2841" w:type="dxa"/>
            <w:noWrap w:val="0"/>
            <w:vAlign w:val="center"/>
          </w:tcPr>
          <w:p w14:paraId="0E909820">
            <w:pPr>
              <w:jc w:val="both"/>
              <w:rPr>
                <w:rFonts w:hint="default" w:eastAsia="宋体"/>
                <w:color w:val="auto"/>
                <w:highlight w:val="none"/>
                <w:lang w:val="en-US" w:eastAsia="zh-CN"/>
              </w:rPr>
            </w:pPr>
            <w:r>
              <w:rPr>
                <w:rFonts w:hint="eastAsia"/>
                <w:color w:val="auto"/>
                <w:highlight w:val="none"/>
              </w:rPr>
              <w:t>室内照明灯具</w:t>
            </w:r>
            <w:r>
              <w:rPr>
                <w:rFonts w:hint="eastAsia"/>
                <w:color w:val="auto"/>
                <w:highlight w:val="none"/>
                <w:lang w:val="en-US" w:eastAsia="zh-CN"/>
              </w:rPr>
              <w:t>1200</w:t>
            </w:r>
          </w:p>
        </w:tc>
        <w:tc>
          <w:tcPr>
            <w:tcW w:w="3719" w:type="dxa"/>
            <w:noWrap w:val="0"/>
            <w:vAlign w:val="center"/>
          </w:tcPr>
          <w:p w14:paraId="5ACEE625">
            <w:pPr>
              <w:jc w:val="both"/>
              <w:rPr>
                <w:rFonts w:hint="eastAsia"/>
                <w:color w:val="auto"/>
                <w:highlight w:val="none"/>
              </w:rPr>
            </w:pPr>
            <w:r>
              <w:rPr>
                <w:rFonts w:hint="eastAsia"/>
                <w:color w:val="auto"/>
                <w:highlight w:val="none"/>
              </w:rPr>
              <w:t>见“3.3公用设施设备维护”</w:t>
            </w:r>
          </w:p>
        </w:tc>
      </w:tr>
      <w:tr w14:paraId="2376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5" w:type="dxa"/>
            <w:vMerge w:val="continue"/>
            <w:noWrap w:val="0"/>
            <w:vAlign w:val="center"/>
          </w:tcPr>
          <w:p w14:paraId="2DB3FBC4">
            <w:pPr>
              <w:jc w:val="both"/>
              <w:rPr>
                <w:rFonts w:hint="eastAsia"/>
                <w:color w:val="auto"/>
                <w:highlight w:val="none"/>
              </w:rPr>
            </w:pPr>
          </w:p>
        </w:tc>
        <w:tc>
          <w:tcPr>
            <w:tcW w:w="2075" w:type="dxa"/>
            <w:noWrap w:val="0"/>
            <w:vAlign w:val="center"/>
          </w:tcPr>
          <w:p w14:paraId="5429CCAA">
            <w:pPr>
              <w:jc w:val="both"/>
              <w:rPr>
                <w:rFonts w:hint="eastAsia"/>
                <w:color w:val="auto"/>
                <w:highlight w:val="none"/>
              </w:rPr>
            </w:pPr>
            <w:r>
              <w:rPr>
                <w:rFonts w:hint="eastAsia"/>
                <w:color w:val="auto"/>
                <w:highlight w:val="none"/>
              </w:rPr>
              <w:t>供配电系统</w:t>
            </w:r>
          </w:p>
        </w:tc>
        <w:tc>
          <w:tcPr>
            <w:tcW w:w="2841" w:type="dxa"/>
            <w:noWrap w:val="0"/>
            <w:vAlign w:val="center"/>
          </w:tcPr>
          <w:p w14:paraId="23AEE337">
            <w:pPr>
              <w:jc w:val="both"/>
              <w:rPr>
                <w:color w:val="auto"/>
                <w:highlight w:val="none"/>
              </w:rPr>
            </w:pPr>
            <w:r>
              <w:rPr>
                <w:rFonts w:hint="eastAsia"/>
                <w:color w:val="auto"/>
                <w:highlight w:val="none"/>
                <w:lang w:val="en-US" w:eastAsia="zh-CN"/>
              </w:rPr>
              <w:t>2</w:t>
            </w:r>
            <w:r>
              <w:rPr>
                <w:rFonts w:hint="eastAsia"/>
                <w:color w:val="auto"/>
                <w:highlight w:val="none"/>
              </w:rPr>
              <w:t>个配电房</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台</w:t>
            </w:r>
            <w:r>
              <w:rPr>
                <w:rFonts w:hint="eastAsia"/>
                <w:color w:val="auto"/>
                <w:highlight w:val="none"/>
              </w:rPr>
              <w:t>变压器，</w:t>
            </w:r>
            <w:r>
              <w:rPr>
                <w:rFonts w:hint="eastAsia"/>
                <w:color w:val="auto"/>
                <w:highlight w:val="none"/>
                <w:lang w:val="en-US" w:eastAsia="zh-CN"/>
              </w:rPr>
              <w:t>24</w:t>
            </w:r>
            <w:r>
              <w:rPr>
                <w:rFonts w:hint="eastAsia"/>
                <w:color w:val="auto"/>
                <w:highlight w:val="none"/>
              </w:rPr>
              <w:t>个配电柜</w:t>
            </w:r>
            <w:r>
              <w:rPr>
                <w:rFonts w:hint="eastAsia"/>
                <w:color w:val="auto"/>
                <w:highlight w:val="none"/>
                <w:lang w:eastAsia="zh-CN"/>
              </w:rPr>
              <w:t>，</w:t>
            </w:r>
            <w:r>
              <w:rPr>
                <w:rFonts w:hint="eastAsia"/>
                <w:color w:val="auto"/>
                <w:highlight w:val="none"/>
              </w:rPr>
              <w:t>总装机容量</w:t>
            </w:r>
            <w:r>
              <w:rPr>
                <w:rFonts w:hint="eastAsia"/>
                <w:color w:val="auto"/>
                <w:highlight w:val="none"/>
                <w:lang w:val="en-US" w:eastAsia="zh-CN"/>
              </w:rPr>
              <w:t>4</w:t>
            </w:r>
            <w:r>
              <w:rPr>
                <w:rFonts w:hint="eastAsia"/>
                <w:color w:val="auto"/>
                <w:highlight w:val="none"/>
              </w:rPr>
              <w:t>000kv</w:t>
            </w:r>
            <w:r>
              <w:rPr>
                <w:rFonts w:hint="eastAsia"/>
                <w:color w:val="auto"/>
                <w:highlight w:val="none"/>
                <w:lang w:val="en-US" w:eastAsia="zh-CN"/>
              </w:rPr>
              <w:t>A</w:t>
            </w:r>
            <w:r>
              <w:rPr>
                <w:rFonts w:hint="eastAsia"/>
                <w:color w:val="auto"/>
                <w:highlight w:val="none"/>
                <w:lang w:eastAsia="zh-CN"/>
              </w:rPr>
              <w:t>，</w:t>
            </w:r>
            <w:r>
              <w:rPr>
                <w:rFonts w:hint="eastAsia"/>
                <w:color w:val="auto"/>
                <w:lang w:val="en-US" w:eastAsia="zh-CN"/>
              </w:rPr>
              <w:t>1台柴油发电机，</w:t>
            </w:r>
          </w:p>
        </w:tc>
        <w:tc>
          <w:tcPr>
            <w:tcW w:w="3719" w:type="dxa"/>
            <w:noWrap w:val="0"/>
            <w:vAlign w:val="center"/>
          </w:tcPr>
          <w:p w14:paraId="222C892B">
            <w:pPr>
              <w:jc w:val="both"/>
              <w:rPr>
                <w:rFonts w:hint="eastAsia"/>
                <w:color w:val="auto"/>
                <w:highlight w:val="none"/>
              </w:rPr>
            </w:pPr>
            <w:r>
              <w:rPr>
                <w:rFonts w:hint="eastAsia"/>
                <w:color w:val="auto"/>
                <w:highlight w:val="none"/>
              </w:rPr>
              <w:t>见“3.3公用设施设备维护”</w:t>
            </w:r>
          </w:p>
        </w:tc>
      </w:tr>
    </w:tbl>
    <w:p w14:paraId="465392CA">
      <w:pPr>
        <w:numPr>
          <w:ilvl w:val="0"/>
          <w:numId w:val="0"/>
        </w:numPr>
        <w:ind w:left="0"/>
        <w:outlineLvl w:val="2"/>
        <w:rPr>
          <w:rFonts w:hint="eastAsia"/>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）物业</w:t>
      </w:r>
      <w:r>
        <w:rPr>
          <w:rFonts w:hint="eastAsia"/>
          <w:color w:val="auto"/>
          <w:highlight w:val="none"/>
          <w:lang w:val="en-US" w:eastAsia="zh-CN"/>
        </w:rPr>
        <w:t>2（</w:t>
      </w:r>
      <w:r>
        <w:rPr>
          <w:rFonts w:hint="eastAsia"/>
          <w:color w:val="auto"/>
          <w:highlight w:val="none"/>
        </w:rPr>
        <w:t>桂林市</w:t>
      </w:r>
      <w:r>
        <w:rPr>
          <w:rFonts w:hint="eastAsia"/>
          <w:color w:val="auto"/>
          <w:highlight w:val="none"/>
          <w:lang w:eastAsia="zh-CN"/>
        </w:rPr>
        <w:t>交通枢纽指挥中心（鼎晟大厦）</w:t>
      </w:r>
      <w:r>
        <w:rPr>
          <w:rFonts w:hint="eastAsia"/>
          <w:color w:val="auto"/>
          <w:highlight w:val="none"/>
          <w:lang w:val="en-US" w:eastAsia="zh-CN"/>
        </w:rPr>
        <w:t>）：</w:t>
      </w:r>
      <w:r>
        <w:rPr>
          <w:rFonts w:hint="eastAsia"/>
          <w:color w:val="auto"/>
          <w:highlight w:val="none"/>
        </w:rPr>
        <w:t>物业管理（室外）</w:t>
      </w:r>
    </w:p>
    <w:tbl>
      <w:tblPr>
        <w:tblStyle w:val="30"/>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3697"/>
      </w:tblGrid>
      <w:tr w14:paraId="5EBB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center"/>
          </w:tcPr>
          <w:p w14:paraId="25642FDD">
            <w:pPr>
              <w:jc w:val="both"/>
              <w:rPr>
                <w:rFonts w:hint="eastAsia"/>
                <w:color w:val="auto"/>
                <w:highlight w:val="none"/>
              </w:rPr>
            </w:pPr>
            <w:r>
              <w:rPr>
                <w:rFonts w:hint="eastAsia"/>
                <w:color w:val="auto"/>
                <w:highlight w:val="none"/>
              </w:rPr>
              <w:t>名称</w:t>
            </w:r>
          </w:p>
        </w:tc>
        <w:tc>
          <w:tcPr>
            <w:tcW w:w="2841" w:type="dxa"/>
            <w:noWrap w:val="0"/>
            <w:vAlign w:val="center"/>
          </w:tcPr>
          <w:p w14:paraId="752C6AD7">
            <w:pPr>
              <w:jc w:val="both"/>
              <w:rPr>
                <w:rFonts w:hint="eastAsia"/>
                <w:color w:val="auto"/>
                <w:highlight w:val="none"/>
              </w:rPr>
            </w:pPr>
            <w:r>
              <w:rPr>
                <w:rFonts w:hint="eastAsia"/>
                <w:color w:val="auto"/>
                <w:highlight w:val="none"/>
              </w:rPr>
              <w:t>明细</w:t>
            </w:r>
          </w:p>
        </w:tc>
        <w:tc>
          <w:tcPr>
            <w:tcW w:w="3697" w:type="dxa"/>
            <w:noWrap w:val="0"/>
            <w:vAlign w:val="center"/>
          </w:tcPr>
          <w:p w14:paraId="62123C91">
            <w:pPr>
              <w:jc w:val="both"/>
              <w:rPr>
                <w:rFonts w:hint="eastAsia"/>
                <w:color w:val="auto"/>
                <w:highlight w:val="none"/>
              </w:rPr>
            </w:pPr>
            <w:r>
              <w:rPr>
                <w:rFonts w:hint="eastAsia"/>
                <w:color w:val="auto"/>
                <w:highlight w:val="none"/>
              </w:rPr>
              <w:t>服务内容及标准</w:t>
            </w:r>
          </w:p>
        </w:tc>
      </w:tr>
      <w:tr w14:paraId="6870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center"/>
          </w:tcPr>
          <w:p w14:paraId="2F4CE8B4">
            <w:pPr>
              <w:jc w:val="both"/>
              <w:rPr>
                <w:rFonts w:hint="eastAsia"/>
                <w:color w:val="auto"/>
                <w:highlight w:val="none"/>
              </w:rPr>
            </w:pPr>
            <w:r>
              <w:rPr>
                <w:rFonts w:hint="eastAsia"/>
                <w:color w:val="auto"/>
                <w:highlight w:val="none"/>
              </w:rPr>
              <w:t>室外面积（㎡）</w:t>
            </w:r>
          </w:p>
        </w:tc>
        <w:tc>
          <w:tcPr>
            <w:tcW w:w="2841" w:type="dxa"/>
            <w:noWrap w:val="0"/>
            <w:vAlign w:val="center"/>
          </w:tcPr>
          <w:p w14:paraId="513FFAE1">
            <w:pPr>
              <w:jc w:val="both"/>
              <w:rPr>
                <w:color w:val="auto"/>
                <w:highlight w:val="none"/>
              </w:rPr>
            </w:pPr>
            <w:r>
              <w:rPr>
                <w:rFonts w:hint="eastAsia"/>
                <w:color w:val="auto"/>
                <w:highlight w:val="none"/>
                <w:lang w:val="en-US" w:eastAsia="zh-CN"/>
              </w:rPr>
              <w:t>0.66</w:t>
            </w:r>
            <w:r>
              <w:rPr>
                <w:rFonts w:hint="eastAsia"/>
                <w:color w:val="auto"/>
                <w:highlight w:val="none"/>
              </w:rPr>
              <w:t>万平方米</w:t>
            </w:r>
          </w:p>
        </w:tc>
        <w:tc>
          <w:tcPr>
            <w:tcW w:w="3697" w:type="dxa"/>
            <w:noWrap w:val="0"/>
            <w:vAlign w:val="center"/>
          </w:tcPr>
          <w:p w14:paraId="6F47D72E">
            <w:pPr>
              <w:jc w:val="both"/>
              <w:rPr>
                <w:rFonts w:hint="eastAsia"/>
                <w:color w:val="auto"/>
                <w:highlight w:val="none"/>
              </w:rPr>
            </w:pPr>
            <w:r>
              <w:rPr>
                <w:rFonts w:hint="eastAsia"/>
                <w:color w:val="auto"/>
                <w:highlight w:val="none"/>
              </w:rPr>
              <w:t>见“3.4保洁服务”“3.6保安服务”</w:t>
            </w:r>
          </w:p>
        </w:tc>
      </w:tr>
      <w:tr w14:paraId="198A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center"/>
          </w:tcPr>
          <w:p w14:paraId="692585C1">
            <w:pPr>
              <w:jc w:val="both"/>
              <w:rPr>
                <w:rFonts w:hint="eastAsia"/>
                <w:color w:val="auto"/>
                <w:highlight w:val="none"/>
              </w:rPr>
            </w:pPr>
            <w:r>
              <w:rPr>
                <w:rFonts w:hint="eastAsia"/>
                <w:color w:val="auto"/>
                <w:highlight w:val="none"/>
              </w:rPr>
              <w:t>绿化面积</w:t>
            </w:r>
          </w:p>
        </w:tc>
        <w:tc>
          <w:tcPr>
            <w:tcW w:w="2841" w:type="dxa"/>
            <w:noWrap w:val="0"/>
            <w:vAlign w:val="center"/>
          </w:tcPr>
          <w:p w14:paraId="4A05233A">
            <w:pPr>
              <w:jc w:val="both"/>
              <w:rPr>
                <w:color w:val="auto"/>
                <w:highlight w:val="none"/>
              </w:rPr>
            </w:pPr>
            <w:r>
              <w:rPr>
                <w:rFonts w:hint="eastAsia"/>
                <w:color w:val="auto"/>
                <w:highlight w:val="none"/>
                <w:lang w:val="en-US" w:eastAsia="zh-CN"/>
              </w:rPr>
              <w:t>0.4</w:t>
            </w:r>
            <w:r>
              <w:rPr>
                <w:rFonts w:hint="eastAsia"/>
                <w:color w:val="auto"/>
                <w:highlight w:val="none"/>
              </w:rPr>
              <w:t>万平方米</w:t>
            </w:r>
          </w:p>
        </w:tc>
        <w:tc>
          <w:tcPr>
            <w:tcW w:w="3697" w:type="dxa"/>
            <w:noWrap w:val="0"/>
            <w:vAlign w:val="center"/>
          </w:tcPr>
          <w:p w14:paraId="0F7427B2">
            <w:pPr>
              <w:jc w:val="both"/>
              <w:rPr>
                <w:rFonts w:hint="eastAsia"/>
                <w:color w:val="auto"/>
                <w:highlight w:val="none"/>
              </w:rPr>
            </w:pPr>
            <w:r>
              <w:rPr>
                <w:rFonts w:hint="eastAsia"/>
                <w:color w:val="auto"/>
                <w:highlight w:val="none"/>
              </w:rPr>
              <w:t>见“3.4保洁服务”“3.5绿化服务”</w:t>
            </w:r>
          </w:p>
        </w:tc>
      </w:tr>
      <w:tr w14:paraId="118E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center"/>
          </w:tcPr>
          <w:p w14:paraId="07949E0B">
            <w:pPr>
              <w:jc w:val="both"/>
              <w:rPr>
                <w:rFonts w:hint="eastAsia"/>
                <w:color w:val="auto"/>
                <w:highlight w:val="none"/>
              </w:rPr>
            </w:pPr>
            <w:r>
              <w:rPr>
                <w:rFonts w:hint="eastAsia"/>
                <w:color w:val="auto"/>
                <w:highlight w:val="none"/>
              </w:rPr>
              <w:t>广场</w:t>
            </w:r>
          </w:p>
        </w:tc>
        <w:tc>
          <w:tcPr>
            <w:tcW w:w="2841" w:type="dxa"/>
            <w:noWrap w:val="0"/>
            <w:vAlign w:val="center"/>
          </w:tcPr>
          <w:p w14:paraId="4F9AB1A9">
            <w:pPr>
              <w:jc w:val="both"/>
              <w:rPr>
                <w:color w:val="auto"/>
                <w:highlight w:val="none"/>
              </w:rPr>
            </w:pPr>
            <w:r>
              <w:rPr>
                <w:rFonts w:hint="eastAsia"/>
                <w:color w:val="auto"/>
                <w:highlight w:val="none"/>
                <w:lang w:val="en-US" w:eastAsia="zh-CN"/>
              </w:rPr>
              <w:t>0.26</w:t>
            </w:r>
            <w:r>
              <w:rPr>
                <w:rFonts w:hint="eastAsia"/>
                <w:color w:val="auto"/>
                <w:highlight w:val="none"/>
              </w:rPr>
              <w:t>万平方米</w:t>
            </w:r>
          </w:p>
        </w:tc>
        <w:tc>
          <w:tcPr>
            <w:tcW w:w="3697" w:type="dxa"/>
            <w:noWrap w:val="0"/>
            <w:vAlign w:val="center"/>
          </w:tcPr>
          <w:p w14:paraId="6A8A2C35">
            <w:pPr>
              <w:jc w:val="both"/>
              <w:rPr>
                <w:rFonts w:hint="eastAsia"/>
                <w:color w:val="auto"/>
                <w:highlight w:val="none"/>
              </w:rPr>
            </w:pPr>
            <w:r>
              <w:rPr>
                <w:rFonts w:hint="eastAsia"/>
                <w:color w:val="auto"/>
                <w:highlight w:val="none"/>
              </w:rPr>
              <w:t>见“3.4保洁服务”“3.6保安服务”</w:t>
            </w:r>
          </w:p>
        </w:tc>
      </w:tr>
      <w:tr w14:paraId="74E5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center"/>
          </w:tcPr>
          <w:p w14:paraId="6936706A">
            <w:pPr>
              <w:jc w:val="both"/>
              <w:rPr>
                <w:rFonts w:hint="eastAsia"/>
                <w:color w:val="auto"/>
                <w:highlight w:val="none"/>
              </w:rPr>
            </w:pPr>
            <w:r>
              <w:rPr>
                <w:rFonts w:hint="eastAsia"/>
                <w:color w:val="auto"/>
                <w:highlight w:val="none"/>
              </w:rPr>
              <w:t>路灯、草坪、音箱</w:t>
            </w:r>
          </w:p>
        </w:tc>
        <w:tc>
          <w:tcPr>
            <w:tcW w:w="2841" w:type="dxa"/>
            <w:noWrap w:val="0"/>
            <w:vAlign w:val="center"/>
          </w:tcPr>
          <w:p w14:paraId="20E49408">
            <w:pPr>
              <w:jc w:val="both"/>
              <w:rPr>
                <w:rFonts w:hint="eastAsia"/>
                <w:color w:val="auto"/>
                <w:highlight w:val="none"/>
              </w:rPr>
            </w:pPr>
            <w:r>
              <w:rPr>
                <w:rFonts w:hint="eastAsia"/>
                <w:color w:val="auto"/>
                <w:highlight w:val="none"/>
                <w:shd w:val="clear" w:color="auto" w:fill="auto"/>
                <w:lang w:val="en-US" w:eastAsia="zh-CN"/>
              </w:rPr>
              <w:t>室外照明系统1套，其中</w:t>
            </w:r>
            <w:r>
              <w:rPr>
                <w:rFonts w:hint="eastAsia"/>
                <w:color w:val="auto"/>
                <w:highlight w:val="none"/>
              </w:rPr>
              <w:t>路灯</w:t>
            </w:r>
            <w:r>
              <w:rPr>
                <w:rFonts w:hint="eastAsia"/>
                <w:color w:val="auto"/>
                <w:highlight w:val="none"/>
                <w:lang w:val="en-US" w:eastAsia="zh-CN"/>
              </w:rPr>
              <w:t>19盏</w:t>
            </w:r>
            <w:r>
              <w:rPr>
                <w:rFonts w:hint="eastAsia"/>
                <w:color w:val="auto"/>
                <w:highlight w:val="none"/>
              </w:rPr>
              <w:t>、</w:t>
            </w:r>
            <w:r>
              <w:rPr>
                <w:rFonts w:hint="eastAsia"/>
                <w:color w:val="auto"/>
                <w:highlight w:val="none"/>
                <w:u w:val="none"/>
                <w:lang w:val="en-US" w:eastAsia="zh-CN"/>
              </w:rPr>
              <w:t>围墙灯73盏、</w:t>
            </w:r>
            <w:r>
              <w:rPr>
                <w:rFonts w:hint="eastAsia"/>
                <w:color w:val="auto"/>
                <w:highlight w:val="none"/>
              </w:rPr>
              <w:t>草坪灯</w:t>
            </w:r>
            <w:r>
              <w:rPr>
                <w:rFonts w:hint="default"/>
                <w:color w:val="auto"/>
                <w:highlight w:val="none"/>
                <w:u w:val="none"/>
                <w:lang w:val="en-US" w:eastAsia="zh-CN"/>
              </w:rPr>
              <w:t>48</w:t>
            </w:r>
            <w:r>
              <w:rPr>
                <w:rFonts w:hint="eastAsia"/>
                <w:color w:val="auto"/>
                <w:highlight w:val="none"/>
                <w:lang w:val="en-US" w:eastAsia="zh-CN"/>
              </w:rPr>
              <w:t>盏。</w:t>
            </w:r>
          </w:p>
        </w:tc>
        <w:tc>
          <w:tcPr>
            <w:tcW w:w="3697" w:type="dxa"/>
            <w:noWrap w:val="0"/>
            <w:vAlign w:val="center"/>
          </w:tcPr>
          <w:p w14:paraId="0F07D023">
            <w:pPr>
              <w:jc w:val="both"/>
              <w:rPr>
                <w:rFonts w:hint="eastAsia"/>
                <w:color w:val="auto"/>
                <w:highlight w:val="none"/>
              </w:rPr>
            </w:pPr>
            <w:r>
              <w:rPr>
                <w:rFonts w:hint="eastAsia"/>
                <w:color w:val="auto"/>
                <w:highlight w:val="none"/>
              </w:rPr>
              <w:t>见“3.3公用设施设备维护”“3.4保洁服务”</w:t>
            </w:r>
          </w:p>
        </w:tc>
      </w:tr>
      <w:tr w14:paraId="67B7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center"/>
          </w:tcPr>
          <w:p w14:paraId="2079D87B">
            <w:pPr>
              <w:jc w:val="both"/>
              <w:rPr>
                <w:rFonts w:hint="eastAsia"/>
                <w:color w:val="auto"/>
                <w:highlight w:val="none"/>
              </w:rPr>
            </w:pPr>
            <w:r>
              <w:rPr>
                <w:rFonts w:hint="eastAsia"/>
                <w:color w:val="auto"/>
                <w:highlight w:val="none"/>
              </w:rPr>
              <w:t>消防栓</w:t>
            </w:r>
          </w:p>
        </w:tc>
        <w:tc>
          <w:tcPr>
            <w:tcW w:w="2841" w:type="dxa"/>
            <w:noWrap w:val="0"/>
            <w:vAlign w:val="center"/>
          </w:tcPr>
          <w:p w14:paraId="5FE9C72E">
            <w:pPr>
              <w:jc w:val="both"/>
              <w:rPr>
                <w:rFonts w:hint="default" w:eastAsia="宋体"/>
                <w:color w:val="auto"/>
                <w:highlight w:val="none"/>
                <w:lang w:val="en-US" w:eastAsia="zh-CN"/>
              </w:rPr>
            </w:pPr>
            <w:r>
              <w:rPr>
                <w:rFonts w:hint="eastAsia"/>
                <w:color w:val="auto"/>
                <w:highlight w:val="none"/>
                <w:lang w:val="en-US" w:eastAsia="zh-CN"/>
              </w:rPr>
              <w:t>室内消火栓320</w:t>
            </w:r>
            <w:r>
              <w:rPr>
                <w:rFonts w:hint="eastAsia"/>
                <w:color w:val="auto"/>
                <w:highlight w:val="none"/>
              </w:rPr>
              <w:t>个</w:t>
            </w:r>
            <w:r>
              <w:rPr>
                <w:rFonts w:hint="eastAsia"/>
                <w:color w:val="auto"/>
                <w:highlight w:val="none"/>
                <w:shd w:val="clear" w:color="auto" w:fill="auto"/>
                <w:lang w:eastAsia="zh-CN"/>
              </w:rPr>
              <w:t>、</w:t>
            </w:r>
            <w:r>
              <w:rPr>
                <w:rFonts w:hint="eastAsia"/>
                <w:color w:val="auto"/>
                <w:highlight w:val="none"/>
                <w:shd w:val="clear" w:color="auto" w:fill="auto"/>
                <w:lang w:val="en-US" w:eastAsia="zh-CN"/>
              </w:rPr>
              <w:t>室外消火栓6个、室外消防接合器6套</w:t>
            </w:r>
          </w:p>
        </w:tc>
        <w:tc>
          <w:tcPr>
            <w:tcW w:w="3697" w:type="dxa"/>
            <w:noWrap w:val="0"/>
            <w:vAlign w:val="center"/>
          </w:tcPr>
          <w:p w14:paraId="7FE730BC">
            <w:pPr>
              <w:jc w:val="both"/>
              <w:rPr>
                <w:rFonts w:hint="eastAsia"/>
                <w:color w:val="auto"/>
                <w:highlight w:val="none"/>
              </w:rPr>
            </w:pPr>
            <w:r>
              <w:rPr>
                <w:rFonts w:hint="eastAsia"/>
                <w:color w:val="auto"/>
                <w:highlight w:val="none"/>
              </w:rPr>
              <w:t>见“3.3公用设施设备维护”“3.4保洁服务”</w:t>
            </w:r>
          </w:p>
        </w:tc>
      </w:tr>
      <w:tr w14:paraId="34DB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center"/>
          </w:tcPr>
          <w:p w14:paraId="04829630">
            <w:pPr>
              <w:jc w:val="both"/>
              <w:rPr>
                <w:rFonts w:hint="eastAsia"/>
                <w:color w:val="auto"/>
                <w:highlight w:val="none"/>
              </w:rPr>
            </w:pPr>
            <w:r>
              <w:rPr>
                <w:rFonts w:hint="eastAsia"/>
                <w:color w:val="auto"/>
                <w:highlight w:val="none"/>
              </w:rPr>
              <w:t>垃圾箱</w:t>
            </w:r>
          </w:p>
        </w:tc>
        <w:tc>
          <w:tcPr>
            <w:tcW w:w="2841" w:type="dxa"/>
            <w:noWrap w:val="0"/>
            <w:vAlign w:val="center"/>
          </w:tcPr>
          <w:p w14:paraId="6F8E5C92">
            <w:pPr>
              <w:jc w:val="both"/>
              <w:rPr>
                <w:color w:val="auto"/>
                <w:highlight w:val="none"/>
              </w:rPr>
            </w:pPr>
            <w:r>
              <w:rPr>
                <w:rFonts w:hint="eastAsia"/>
                <w:color w:val="auto"/>
                <w:highlight w:val="none"/>
                <w:lang w:val="en-US" w:eastAsia="zh-CN"/>
              </w:rPr>
              <w:t>450</w:t>
            </w:r>
            <w:r>
              <w:rPr>
                <w:rFonts w:hint="eastAsia"/>
                <w:color w:val="auto"/>
                <w:highlight w:val="none"/>
              </w:rPr>
              <w:t>个大小垃圾桶，</w:t>
            </w:r>
            <w:r>
              <w:rPr>
                <w:rFonts w:hint="eastAsia"/>
                <w:color w:val="auto"/>
                <w:highlight w:val="none"/>
                <w:lang w:val="en-US" w:eastAsia="zh-CN"/>
              </w:rPr>
              <w:t>1</w:t>
            </w:r>
            <w:r>
              <w:rPr>
                <w:rFonts w:hint="eastAsia"/>
                <w:color w:val="auto"/>
                <w:highlight w:val="none"/>
              </w:rPr>
              <w:t>个垃圾箱</w:t>
            </w:r>
          </w:p>
        </w:tc>
        <w:tc>
          <w:tcPr>
            <w:tcW w:w="3697" w:type="dxa"/>
            <w:noWrap w:val="0"/>
            <w:vAlign w:val="center"/>
          </w:tcPr>
          <w:p w14:paraId="79C4140A">
            <w:pPr>
              <w:jc w:val="both"/>
              <w:rPr>
                <w:rFonts w:hint="eastAsia"/>
                <w:color w:val="auto"/>
                <w:highlight w:val="none"/>
              </w:rPr>
            </w:pPr>
            <w:r>
              <w:rPr>
                <w:rFonts w:hint="eastAsia"/>
                <w:color w:val="auto"/>
                <w:highlight w:val="none"/>
              </w:rPr>
              <w:t>见“3.4保洁服务”</w:t>
            </w:r>
          </w:p>
        </w:tc>
      </w:tr>
      <w:tr w14:paraId="149C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center"/>
          </w:tcPr>
          <w:p w14:paraId="62DC719B">
            <w:pPr>
              <w:jc w:val="both"/>
              <w:rPr>
                <w:rFonts w:hint="eastAsia"/>
                <w:color w:val="auto"/>
                <w:highlight w:val="none"/>
              </w:rPr>
            </w:pPr>
            <w:r>
              <w:rPr>
                <w:rFonts w:hint="eastAsia"/>
                <w:color w:val="auto"/>
                <w:highlight w:val="none"/>
              </w:rPr>
              <w:t>室外配电箱</w:t>
            </w:r>
          </w:p>
        </w:tc>
        <w:tc>
          <w:tcPr>
            <w:tcW w:w="2841" w:type="dxa"/>
            <w:noWrap w:val="0"/>
            <w:vAlign w:val="center"/>
          </w:tcPr>
          <w:p w14:paraId="1E149954">
            <w:pPr>
              <w:jc w:val="both"/>
              <w:rPr>
                <w:color w:val="auto"/>
                <w:highlight w:val="none"/>
              </w:rPr>
            </w:pPr>
            <w:r>
              <w:rPr>
                <w:rFonts w:hint="eastAsia"/>
                <w:color w:val="auto"/>
                <w:highlight w:val="none"/>
                <w:lang w:val="en-US" w:eastAsia="zh-CN"/>
              </w:rPr>
              <w:t>11</w:t>
            </w:r>
            <w:r>
              <w:rPr>
                <w:rFonts w:hint="eastAsia"/>
                <w:color w:val="auto"/>
                <w:highlight w:val="none"/>
              </w:rPr>
              <w:t>个</w:t>
            </w:r>
          </w:p>
        </w:tc>
        <w:tc>
          <w:tcPr>
            <w:tcW w:w="3697" w:type="dxa"/>
            <w:noWrap w:val="0"/>
            <w:vAlign w:val="center"/>
          </w:tcPr>
          <w:p w14:paraId="50F4F55D">
            <w:pPr>
              <w:jc w:val="both"/>
              <w:rPr>
                <w:rFonts w:hint="eastAsia"/>
                <w:color w:val="auto"/>
                <w:highlight w:val="none"/>
              </w:rPr>
            </w:pPr>
            <w:r>
              <w:rPr>
                <w:rFonts w:hint="eastAsia"/>
                <w:color w:val="auto"/>
                <w:highlight w:val="none"/>
              </w:rPr>
              <w:t>见“3.3公用设施设备维护”“3.4保洁服务”</w:t>
            </w:r>
          </w:p>
        </w:tc>
      </w:tr>
      <w:tr w14:paraId="5B85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center"/>
          </w:tcPr>
          <w:p w14:paraId="3D6D606B">
            <w:pPr>
              <w:jc w:val="both"/>
              <w:rPr>
                <w:rFonts w:hint="eastAsia"/>
                <w:color w:val="auto"/>
                <w:highlight w:val="none"/>
              </w:rPr>
            </w:pPr>
            <w:r>
              <w:rPr>
                <w:rFonts w:hint="eastAsia"/>
                <w:color w:val="auto"/>
                <w:highlight w:val="none"/>
              </w:rPr>
              <w:t>监控</w:t>
            </w:r>
          </w:p>
        </w:tc>
        <w:tc>
          <w:tcPr>
            <w:tcW w:w="2841" w:type="dxa"/>
            <w:noWrap w:val="0"/>
            <w:vAlign w:val="center"/>
          </w:tcPr>
          <w:p w14:paraId="040EDB92">
            <w:pPr>
              <w:jc w:val="both"/>
              <w:rPr>
                <w:rFonts w:hint="eastAsia"/>
                <w:color w:val="auto"/>
                <w:highlight w:val="none"/>
              </w:rPr>
            </w:pPr>
            <w:r>
              <w:rPr>
                <w:rFonts w:hint="eastAsia"/>
                <w:color w:val="auto"/>
                <w:highlight w:val="none"/>
                <w:lang w:val="en-US" w:eastAsia="zh-CN"/>
              </w:rPr>
              <w:t>120</w:t>
            </w:r>
            <w:r>
              <w:rPr>
                <w:rFonts w:hint="eastAsia"/>
                <w:color w:val="auto"/>
                <w:highlight w:val="none"/>
              </w:rPr>
              <w:t>台监控摄像头</w:t>
            </w:r>
          </w:p>
        </w:tc>
        <w:tc>
          <w:tcPr>
            <w:tcW w:w="3697" w:type="dxa"/>
            <w:noWrap w:val="0"/>
            <w:vAlign w:val="center"/>
          </w:tcPr>
          <w:p w14:paraId="5112AF20">
            <w:pPr>
              <w:jc w:val="both"/>
              <w:rPr>
                <w:rFonts w:hint="eastAsia"/>
                <w:color w:val="auto"/>
                <w:highlight w:val="none"/>
              </w:rPr>
            </w:pPr>
            <w:r>
              <w:rPr>
                <w:rFonts w:hint="eastAsia"/>
                <w:color w:val="auto"/>
                <w:highlight w:val="none"/>
              </w:rPr>
              <w:t>见“3.3公用设施设备维护”“3.4保洁服务”</w:t>
            </w:r>
          </w:p>
        </w:tc>
      </w:tr>
      <w:tr w14:paraId="0B91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840" w:type="dxa"/>
            <w:noWrap w:val="0"/>
            <w:vAlign w:val="center"/>
          </w:tcPr>
          <w:p w14:paraId="4DA07C16">
            <w:pPr>
              <w:jc w:val="both"/>
              <w:rPr>
                <w:rFonts w:hint="eastAsia"/>
                <w:color w:val="auto"/>
                <w:highlight w:val="none"/>
              </w:rPr>
            </w:pPr>
            <w:r>
              <w:rPr>
                <w:rFonts w:hint="eastAsia"/>
                <w:color w:val="auto"/>
                <w:highlight w:val="none"/>
              </w:rPr>
              <w:t>指示牌、显示屏</w:t>
            </w:r>
          </w:p>
        </w:tc>
        <w:tc>
          <w:tcPr>
            <w:tcW w:w="2841" w:type="dxa"/>
            <w:noWrap w:val="0"/>
            <w:vAlign w:val="center"/>
          </w:tcPr>
          <w:p w14:paraId="60504586">
            <w:pPr>
              <w:jc w:val="both"/>
              <w:rPr>
                <w:rFonts w:hint="default" w:eastAsia="宋体"/>
                <w:color w:val="auto"/>
                <w:highlight w:val="none"/>
                <w:lang w:val="en-US" w:eastAsia="zh-CN"/>
              </w:rPr>
            </w:pPr>
            <w:r>
              <w:rPr>
                <w:rFonts w:hint="eastAsia"/>
                <w:color w:val="auto"/>
                <w:highlight w:val="none"/>
                <w:lang w:val="en-US" w:eastAsia="zh-CN"/>
              </w:rPr>
              <w:t>20</w:t>
            </w:r>
            <w:r>
              <w:rPr>
                <w:rFonts w:hint="eastAsia"/>
                <w:color w:val="auto"/>
                <w:highlight w:val="none"/>
              </w:rPr>
              <w:t>个</w:t>
            </w:r>
          </w:p>
        </w:tc>
        <w:tc>
          <w:tcPr>
            <w:tcW w:w="3697" w:type="dxa"/>
            <w:noWrap w:val="0"/>
            <w:vAlign w:val="center"/>
          </w:tcPr>
          <w:p w14:paraId="5DE25119">
            <w:pPr>
              <w:jc w:val="both"/>
              <w:rPr>
                <w:rFonts w:hint="eastAsia"/>
                <w:color w:val="auto"/>
                <w:highlight w:val="none"/>
              </w:rPr>
            </w:pPr>
            <w:r>
              <w:rPr>
                <w:rFonts w:hint="eastAsia"/>
                <w:color w:val="auto"/>
                <w:highlight w:val="none"/>
              </w:rPr>
              <w:t>见“3.3公用设施设备维护”“3.4保洁服务”</w:t>
            </w:r>
          </w:p>
        </w:tc>
      </w:tr>
      <w:tr w14:paraId="5E3A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840" w:type="dxa"/>
            <w:noWrap w:val="0"/>
            <w:vAlign w:val="center"/>
          </w:tcPr>
          <w:p w14:paraId="54125FE6">
            <w:pPr>
              <w:jc w:val="both"/>
              <w:rPr>
                <w:rFonts w:hint="eastAsia" w:eastAsia="宋体"/>
                <w:color w:val="auto"/>
                <w:highlight w:val="none"/>
                <w:shd w:val="clear" w:color="auto" w:fill="auto"/>
                <w:lang w:val="en-US" w:eastAsia="zh-CN"/>
              </w:rPr>
            </w:pPr>
            <w:r>
              <w:rPr>
                <w:rFonts w:hint="eastAsia"/>
                <w:color w:val="auto"/>
                <w:highlight w:val="none"/>
                <w:shd w:val="clear" w:color="auto" w:fill="auto"/>
                <w:lang w:val="en-US" w:eastAsia="zh-CN"/>
              </w:rPr>
              <w:t>喷泉</w:t>
            </w:r>
          </w:p>
        </w:tc>
        <w:tc>
          <w:tcPr>
            <w:tcW w:w="2841" w:type="dxa"/>
            <w:noWrap w:val="0"/>
            <w:vAlign w:val="center"/>
          </w:tcPr>
          <w:p w14:paraId="65D5B699">
            <w:pPr>
              <w:jc w:val="both"/>
              <w:rPr>
                <w:rFonts w:hint="default"/>
                <w:color w:val="auto"/>
                <w:highlight w:val="none"/>
                <w:shd w:val="clear" w:color="auto" w:fill="auto"/>
                <w:lang w:val="en-US" w:eastAsia="zh-CN"/>
              </w:rPr>
            </w:pPr>
            <w:r>
              <w:rPr>
                <w:rFonts w:hint="eastAsia"/>
                <w:color w:val="auto"/>
                <w:highlight w:val="none"/>
                <w:shd w:val="clear" w:color="auto" w:fill="auto"/>
                <w:lang w:val="en-US" w:eastAsia="zh-CN"/>
              </w:rPr>
              <w:t>0套</w:t>
            </w:r>
          </w:p>
        </w:tc>
        <w:tc>
          <w:tcPr>
            <w:tcW w:w="3697" w:type="dxa"/>
            <w:noWrap w:val="0"/>
            <w:vAlign w:val="center"/>
          </w:tcPr>
          <w:p w14:paraId="7CDC245B">
            <w:pPr>
              <w:jc w:val="both"/>
              <w:rPr>
                <w:rFonts w:hint="eastAsia"/>
                <w:color w:val="auto"/>
                <w:highlight w:val="none"/>
                <w:shd w:val="clear" w:color="auto" w:fill="auto"/>
              </w:rPr>
            </w:pPr>
            <w:r>
              <w:rPr>
                <w:rFonts w:hint="eastAsia"/>
                <w:color w:val="auto"/>
                <w:highlight w:val="none"/>
                <w:shd w:val="clear" w:color="auto" w:fill="auto"/>
              </w:rPr>
              <w:t>见“3.3公用设施设备维护”“3.4保洁服务”</w:t>
            </w:r>
          </w:p>
        </w:tc>
      </w:tr>
      <w:tr w14:paraId="2B0A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840" w:type="dxa"/>
            <w:noWrap w:val="0"/>
            <w:vAlign w:val="center"/>
          </w:tcPr>
          <w:p w14:paraId="396D8230">
            <w:pPr>
              <w:jc w:val="both"/>
              <w:rPr>
                <w:rFonts w:hint="eastAsia"/>
                <w:color w:val="auto"/>
                <w:highlight w:val="none"/>
                <w:shd w:val="clear" w:color="auto" w:fill="auto"/>
              </w:rPr>
            </w:pPr>
            <w:r>
              <w:rPr>
                <w:rFonts w:hint="eastAsia"/>
                <w:color w:val="auto"/>
                <w:shd w:val="clear" w:color="auto" w:fill="auto"/>
                <w:lang w:val="en-US" w:eastAsia="zh-CN"/>
              </w:rPr>
              <w:t>给排水系统</w:t>
            </w:r>
          </w:p>
        </w:tc>
        <w:tc>
          <w:tcPr>
            <w:tcW w:w="2841" w:type="dxa"/>
            <w:noWrap w:val="0"/>
            <w:vAlign w:val="center"/>
          </w:tcPr>
          <w:p w14:paraId="04F7DFD0">
            <w:pPr>
              <w:jc w:val="both"/>
              <w:rPr>
                <w:rFonts w:hint="default"/>
                <w:color w:val="auto"/>
                <w:highlight w:val="none"/>
                <w:shd w:val="clear" w:color="auto" w:fill="auto"/>
                <w:lang w:val="en-US" w:eastAsia="zh-CN"/>
              </w:rPr>
            </w:pPr>
            <w:r>
              <w:rPr>
                <w:rFonts w:hint="eastAsia"/>
                <w:color w:val="auto"/>
                <w:highlight w:val="none"/>
                <w:shd w:val="clear" w:color="auto" w:fill="auto"/>
                <w:lang w:val="en-US" w:eastAsia="zh-CN"/>
              </w:rPr>
              <w:t>污水管网系统1套、15个污水井，雨水管网系统1套、15个雨水井。</w:t>
            </w:r>
          </w:p>
        </w:tc>
        <w:tc>
          <w:tcPr>
            <w:tcW w:w="3697" w:type="dxa"/>
            <w:noWrap w:val="0"/>
            <w:vAlign w:val="center"/>
          </w:tcPr>
          <w:p w14:paraId="0B3F05D2">
            <w:pPr>
              <w:jc w:val="both"/>
              <w:rPr>
                <w:rFonts w:hint="eastAsia"/>
                <w:color w:val="auto"/>
                <w:highlight w:val="none"/>
                <w:shd w:val="clear" w:color="auto" w:fill="auto"/>
              </w:rPr>
            </w:pPr>
            <w:r>
              <w:rPr>
                <w:rFonts w:hint="eastAsia"/>
                <w:color w:val="auto"/>
                <w:highlight w:val="none"/>
                <w:shd w:val="clear" w:color="auto" w:fill="auto"/>
              </w:rPr>
              <w:t>见“3.3公用设施设备维护”“3.4保洁服务</w:t>
            </w:r>
          </w:p>
        </w:tc>
      </w:tr>
    </w:tbl>
    <w:p w14:paraId="5FB99B63">
      <w:pPr>
        <w:ind w:firstLine="210"/>
        <w:rPr>
          <w:rFonts w:hint="eastAsia" w:eastAsia="宋体"/>
          <w:color w:val="000000"/>
          <w:highlight w:val="none"/>
          <w:lang w:eastAsia="zh-CN"/>
        </w:rPr>
      </w:pPr>
      <w:r>
        <w:rPr>
          <w:rFonts w:hint="eastAsia" w:eastAsia="宋体"/>
          <w:color w:val="000000"/>
          <w:highlight w:val="none"/>
          <w:lang w:eastAsia="zh-CN"/>
        </w:rPr>
        <w:t>备注：所有明细以现场实际情况为准。</w:t>
      </w:r>
    </w:p>
    <w:p w14:paraId="260109F3">
      <w:pPr>
        <w:rPr>
          <w:rFonts w:hint="eastAsia" w:eastAsia="宋体"/>
          <w:color w:val="000000"/>
          <w:highlight w:val="none"/>
          <w:lang w:eastAsia="zh-CN"/>
        </w:rPr>
      </w:pPr>
    </w:p>
    <w:p w14:paraId="348882F7">
      <w:pPr>
        <w:numPr>
          <w:ilvl w:val="0"/>
          <w:numId w:val="6"/>
        </w:numPr>
        <w:outlineLvl w:val="1"/>
        <w:rPr>
          <w:rFonts w:hint="eastAsia"/>
          <w:b/>
          <w:bCs/>
          <w:color w:val="000000"/>
          <w:highlight w:val="none"/>
        </w:rPr>
      </w:pPr>
      <w:bookmarkStart w:id="213" w:name="_Toc10211"/>
      <w:r>
        <w:rPr>
          <w:rFonts w:hint="eastAsia"/>
          <w:b/>
          <w:bCs/>
          <w:color w:val="000000"/>
          <w:highlight w:val="none"/>
        </w:rPr>
        <w:t>物业管理服务内容及标准</w:t>
      </w:r>
      <w:bookmarkEnd w:id="209"/>
    </w:p>
    <w:p w14:paraId="4596692E">
      <w:pPr>
        <w:rPr>
          <w:color w:val="000000"/>
          <w:highlight w:val="none"/>
        </w:rPr>
      </w:pPr>
      <w:r>
        <w:rPr>
          <w:rFonts w:hint="eastAsia"/>
          <w:color w:val="000000"/>
          <w:highlight w:val="none"/>
        </w:rPr>
        <w:t xml:space="preserve">   物业管理服务包</w:t>
      </w:r>
      <w:r>
        <w:rPr>
          <w:rFonts w:hint="eastAsia"/>
          <w:color w:val="000000"/>
          <w:highlight w:val="none"/>
          <w:lang w:eastAsia="zh-CN"/>
        </w:rPr>
        <w:t>含</w:t>
      </w:r>
      <w:r>
        <w:rPr>
          <w:rFonts w:hint="eastAsia"/>
          <w:color w:val="000000"/>
          <w:highlight w:val="none"/>
        </w:rPr>
        <w:t>基本服务、房屋维护服务、公用设施设备维护服务、保洁服务、绿化服务、保安服务等。</w:t>
      </w:r>
    </w:p>
    <w:p w14:paraId="72262E64">
      <w:pPr>
        <w:outlineLvl w:val="2"/>
        <w:rPr>
          <w:b/>
          <w:bCs/>
          <w:color w:val="000000"/>
          <w:highlight w:val="none"/>
        </w:rPr>
      </w:pPr>
      <w:bookmarkStart w:id="214" w:name="_Toc27114"/>
      <w:r>
        <w:rPr>
          <w:rFonts w:hint="eastAsia"/>
          <w:b/>
          <w:bCs/>
          <w:color w:val="000000"/>
          <w:highlight w:val="none"/>
        </w:rPr>
        <w:t>3.1基本服务</w:t>
      </w:r>
      <w:bookmarkEnd w:id="210"/>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766"/>
        <w:gridCol w:w="6831"/>
      </w:tblGrid>
      <w:tr w14:paraId="1806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op w:val="single" w:color="auto" w:sz="4" w:space="0"/>
              <w:left w:val="single" w:color="auto" w:sz="4" w:space="0"/>
              <w:bottom w:val="single" w:color="auto" w:sz="4" w:space="0"/>
              <w:right w:val="single" w:color="auto" w:sz="4" w:space="0"/>
            </w:tcBorders>
            <w:noWrap w:val="0"/>
            <w:vAlign w:val="top"/>
          </w:tcPr>
          <w:p w14:paraId="4104AFFF">
            <w:pPr>
              <w:jc w:val="center"/>
              <w:rPr>
                <w:color w:val="000000"/>
                <w:highlight w:val="none"/>
              </w:rPr>
            </w:pPr>
            <w:r>
              <w:rPr>
                <w:rFonts w:hint="eastAsia"/>
                <w:color w:val="000000"/>
                <w:highlight w:val="none"/>
              </w:rPr>
              <w:t>序号</w:t>
            </w:r>
          </w:p>
        </w:tc>
        <w:tc>
          <w:tcPr>
            <w:tcW w:w="1766" w:type="dxa"/>
            <w:tcBorders>
              <w:top w:val="single" w:color="auto" w:sz="4" w:space="0"/>
              <w:left w:val="single" w:color="auto" w:sz="4" w:space="0"/>
              <w:bottom w:val="single" w:color="auto" w:sz="4" w:space="0"/>
              <w:right w:val="single" w:color="auto" w:sz="4" w:space="0"/>
            </w:tcBorders>
            <w:noWrap w:val="0"/>
            <w:vAlign w:val="top"/>
          </w:tcPr>
          <w:p w14:paraId="7D170124">
            <w:pPr>
              <w:jc w:val="center"/>
              <w:rPr>
                <w:color w:val="000000"/>
                <w:highlight w:val="none"/>
              </w:rPr>
            </w:pPr>
            <w:r>
              <w:rPr>
                <w:rFonts w:hint="eastAsia"/>
                <w:color w:val="000000"/>
                <w:highlight w:val="none"/>
              </w:rPr>
              <w:t>服务内容</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4C6F8AC0">
            <w:pPr>
              <w:jc w:val="center"/>
              <w:rPr>
                <w:color w:val="000000"/>
                <w:highlight w:val="none"/>
              </w:rPr>
            </w:pPr>
            <w:r>
              <w:rPr>
                <w:rFonts w:hint="eastAsia"/>
                <w:color w:val="000000"/>
                <w:highlight w:val="none"/>
              </w:rPr>
              <w:t>服务标准</w:t>
            </w:r>
          </w:p>
        </w:tc>
      </w:tr>
      <w:tr w14:paraId="40A6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vMerge w:val="restart"/>
            <w:tcBorders>
              <w:top w:val="single" w:color="auto" w:sz="4" w:space="0"/>
              <w:left w:val="single" w:color="auto" w:sz="4" w:space="0"/>
              <w:bottom w:val="single" w:color="auto" w:sz="4" w:space="0"/>
              <w:right w:val="single" w:color="auto" w:sz="4" w:space="0"/>
            </w:tcBorders>
            <w:noWrap w:val="0"/>
            <w:vAlign w:val="top"/>
          </w:tcPr>
          <w:p w14:paraId="524CACA1">
            <w:pPr>
              <w:rPr>
                <w:color w:val="000000"/>
                <w:highlight w:val="none"/>
              </w:rPr>
            </w:pPr>
            <w:r>
              <w:rPr>
                <w:rFonts w:hint="eastAsia"/>
                <w:color w:val="000000"/>
                <w:highlight w:val="none"/>
              </w:rPr>
              <w:t>1</w:t>
            </w:r>
          </w:p>
        </w:tc>
        <w:tc>
          <w:tcPr>
            <w:tcW w:w="1766" w:type="dxa"/>
            <w:vMerge w:val="restart"/>
            <w:tcBorders>
              <w:top w:val="single" w:color="auto" w:sz="4" w:space="0"/>
              <w:left w:val="single" w:color="auto" w:sz="4" w:space="0"/>
              <w:bottom w:val="single" w:color="auto" w:sz="4" w:space="0"/>
              <w:right w:val="single" w:color="auto" w:sz="4" w:space="0"/>
            </w:tcBorders>
            <w:noWrap w:val="0"/>
            <w:vAlign w:val="top"/>
          </w:tcPr>
          <w:p w14:paraId="75461769">
            <w:pPr>
              <w:jc w:val="center"/>
              <w:rPr>
                <w:color w:val="000000"/>
                <w:highlight w:val="none"/>
              </w:rPr>
            </w:pPr>
            <w:r>
              <w:rPr>
                <w:rFonts w:hint="eastAsia"/>
                <w:color w:val="000000"/>
                <w:highlight w:val="none"/>
              </w:rPr>
              <w:t>目标与责任</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4F41878F">
            <w:pPr>
              <w:rPr>
                <w:color w:val="000000"/>
                <w:highlight w:val="none"/>
              </w:rPr>
            </w:pPr>
            <w:r>
              <w:rPr>
                <w:rFonts w:hint="eastAsia"/>
                <w:color w:val="000000"/>
                <w:highlight w:val="none"/>
              </w:rPr>
              <w:t>（1）结合采购人要求及物业服务实际情况，制定年度管理目标，明确责任分工，制定配套项目服务实施方案。</w:t>
            </w:r>
          </w:p>
        </w:tc>
      </w:tr>
      <w:tr w14:paraId="41F2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378302B6">
            <w:pPr>
              <w:rPr>
                <w:color w:val="000000"/>
                <w:highlight w:val="none"/>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top"/>
          </w:tcPr>
          <w:p w14:paraId="30F249E2">
            <w:pPr>
              <w:rPr>
                <w:color w:val="000000"/>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11CA5A01">
            <w:pPr>
              <w:pStyle w:val="203"/>
              <w:keepNext w:val="0"/>
              <w:keepLines w:val="0"/>
              <w:pageBreakBefore w:val="0"/>
              <w:widowControl w:val="0"/>
              <w:bidi w:val="0"/>
              <w:spacing w:line="240" w:lineRule="auto"/>
              <w:ind w:left="0" w:right="0" w:firstLine="0"/>
              <w:jc w:val="both"/>
              <w:outlineLvl w:val="9"/>
              <w:rPr>
                <w:color w:val="000000"/>
                <w:highlight w:val="none"/>
              </w:rPr>
            </w:pPr>
            <w:r>
              <w:rPr>
                <w:rFonts w:hint="eastAsia"/>
                <w:color w:val="000000"/>
                <w:highlight w:val="none"/>
              </w:rPr>
              <w:t>（2）</w:t>
            </w:r>
            <w:r>
              <w:rPr>
                <w:rFonts w:hint="eastAsia" w:ascii="宋体" w:hAnsi="宋体" w:cs="宋体"/>
                <w:b w:val="0"/>
                <w:bCs w:val="0"/>
                <w:color w:val="000000"/>
                <w:szCs w:val="21"/>
                <w:highlight w:val="none"/>
              </w:rPr>
              <w:t>管理服务应达到的各项指标：</w:t>
            </w:r>
            <w:r>
              <w:rPr>
                <w:rFonts w:hint="eastAsia" w:ascii="宋体" w:hAnsi="宋体" w:cs="宋体"/>
                <w:color w:val="000000"/>
                <w:szCs w:val="21"/>
                <w:highlight w:val="none"/>
              </w:rPr>
              <w:t xml:space="preserve"> 重大安全事故发生率发生为零；环境卫生、清洁率达99%；智能化系统运行正常率100%；零修、报修及时率99%，返修率小于2%；服务有效投诉少于1%，处理率100%；满意率95%以上。</w:t>
            </w:r>
          </w:p>
        </w:tc>
      </w:tr>
      <w:tr w14:paraId="0669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770" w:type="dxa"/>
            <w:vMerge w:val="restart"/>
            <w:tcBorders>
              <w:top w:val="single" w:color="auto" w:sz="4" w:space="0"/>
              <w:left w:val="single" w:color="auto" w:sz="4" w:space="0"/>
              <w:bottom w:val="single" w:color="auto" w:sz="4" w:space="0"/>
              <w:right w:val="single" w:color="auto" w:sz="4" w:space="0"/>
            </w:tcBorders>
            <w:noWrap w:val="0"/>
            <w:vAlign w:val="top"/>
          </w:tcPr>
          <w:p w14:paraId="643192D4">
            <w:pPr>
              <w:rPr>
                <w:color w:val="000000"/>
                <w:highlight w:val="none"/>
              </w:rPr>
            </w:pPr>
            <w:r>
              <w:rPr>
                <w:rFonts w:hint="eastAsia"/>
                <w:color w:val="000000"/>
                <w:highlight w:val="none"/>
              </w:rPr>
              <w:t>2</w:t>
            </w:r>
          </w:p>
        </w:tc>
        <w:tc>
          <w:tcPr>
            <w:tcW w:w="1766" w:type="dxa"/>
            <w:vMerge w:val="restart"/>
            <w:tcBorders>
              <w:top w:val="single" w:color="auto" w:sz="4" w:space="0"/>
              <w:left w:val="single" w:color="auto" w:sz="4" w:space="0"/>
              <w:bottom w:val="single" w:color="auto" w:sz="4" w:space="0"/>
              <w:right w:val="single" w:color="auto" w:sz="4" w:space="0"/>
            </w:tcBorders>
            <w:noWrap w:val="0"/>
            <w:vAlign w:val="top"/>
          </w:tcPr>
          <w:p w14:paraId="3E6F0FB8">
            <w:pPr>
              <w:rPr>
                <w:color w:val="000000"/>
                <w:highlight w:val="none"/>
              </w:rPr>
            </w:pPr>
            <w:r>
              <w:rPr>
                <w:rFonts w:hint="eastAsia"/>
                <w:color w:val="000000"/>
                <w:highlight w:val="none"/>
              </w:rPr>
              <w:t>服务人员及要求</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68E68D1D">
            <w:pPr>
              <w:rPr>
                <w:color w:val="000000"/>
                <w:highlight w:val="none"/>
              </w:rPr>
            </w:pPr>
            <w:r>
              <w:rPr>
                <w:rFonts w:hint="eastAsia"/>
                <w:color w:val="000000"/>
                <w:highlight w:val="none"/>
              </w:rPr>
              <w:t>（1）拟投入人员身体健康。仪表</w:t>
            </w:r>
            <w:r>
              <w:rPr>
                <w:rFonts w:hint="eastAsia"/>
                <w:color w:val="000000"/>
              </w:rPr>
              <w:t>端庄</w:t>
            </w:r>
            <w:r>
              <w:rPr>
                <w:rFonts w:hint="eastAsia"/>
                <w:color w:val="000000"/>
                <w:highlight w:val="none"/>
              </w:rPr>
              <w:t>，精力充沛，工作认真负责，应保证录用人员身体健康，无传染性疾病（中标后出具人员健康证）、政治上可靠、身体素质好、无刑事违法犯罪或处分记录</w:t>
            </w:r>
            <w:r>
              <w:rPr>
                <w:rFonts w:hint="eastAsia"/>
                <w:color w:val="000000"/>
                <w:highlight w:val="none"/>
                <w:lang w:eastAsia="zh-CN"/>
              </w:rPr>
              <w:t>。</w:t>
            </w:r>
          </w:p>
        </w:tc>
      </w:tr>
      <w:tr w14:paraId="3696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6677ACF1">
            <w:pPr>
              <w:rPr>
                <w:rFonts w:hint="eastAsia"/>
                <w:color w:val="000000"/>
                <w:highlight w:val="none"/>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top"/>
          </w:tcPr>
          <w:p w14:paraId="446E2040">
            <w:pPr>
              <w:rPr>
                <w:rFonts w:hint="eastAsia"/>
                <w:color w:val="000000"/>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1ADC51DE">
            <w:pPr>
              <w:rPr>
                <w:rFonts w:hint="eastAsia"/>
                <w:color w:val="000000"/>
                <w:highlight w:val="none"/>
              </w:rPr>
            </w:pPr>
            <w:r>
              <w:rPr>
                <w:rFonts w:hint="eastAsia"/>
                <w:color w:val="000000"/>
                <w:highlight w:val="none"/>
              </w:rPr>
              <w:t>（2）物业主管需有</w:t>
            </w:r>
            <w:r>
              <w:rPr>
                <w:rFonts w:hint="eastAsia"/>
                <w:color w:val="000000"/>
              </w:rPr>
              <w:t>一定的</w:t>
            </w:r>
            <w:r>
              <w:rPr>
                <w:rFonts w:hint="eastAsia"/>
                <w:color w:val="000000"/>
                <w:highlight w:val="none"/>
              </w:rPr>
              <w:t>物业管理工作经验，须参加采购人或其主管单位组织的检查、考核、应知应会测试等，如检查、考核、测试未达到要求的，采购人有权要求更换。</w:t>
            </w:r>
          </w:p>
        </w:tc>
      </w:tr>
      <w:tr w14:paraId="3374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7BECCC69">
            <w:pPr>
              <w:rPr>
                <w:rFonts w:hint="eastAsia"/>
                <w:color w:val="000000"/>
                <w:highlight w:val="none"/>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top"/>
          </w:tcPr>
          <w:p w14:paraId="4BAE6D4E">
            <w:pPr>
              <w:rPr>
                <w:rFonts w:hint="eastAsia"/>
                <w:color w:val="000000"/>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2AEB4110">
            <w:pPr>
              <w:rPr>
                <w:rFonts w:hint="eastAsia"/>
                <w:color w:val="000000"/>
                <w:highlight w:val="none"/>
              </w:rPr>
            </w:pPr>
            <w:r>
              <w:rPr>
                <w:rFonts w:hint="eastAsia"/>
                <w:color w:val="000000"/>
                <w:highlight w:val="none"/>
              </w:rPr>
              <w:t>（3）服务人员的年龄、学历、工作经验及从业资格条件应当与所在岗位能力要求相匹配，到岗前应当经过必要的岗前培训已达到岗位能力要求，国家、行业规定应当取得职业资格证书或特种作业证书的，应当按规定持证上岗。</w:t>
            </w:r>
            <w:r>
              <w:rPr>
                <w:rFonts w:hint="eastAsia"/>
                <w:color w:val="000000"/>
                <w:highlight w:val="none"/>
                <w:lang w:eastAsia="zh-CN"/>
              </w:rPr>
              <w:t>如电工、消防操作员。</w:t>
            </w:r>
          </w:p>
        </w:tc>
      </w:tr>
      <w:tr w14:paraId="0E83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18736378">
            <w:pPr>
              <w:rPr>
                <w:rFonts w:hint="eastAsia"/>
                <w:color w:val="000000"/>
                <w:highlight w:val="none"/>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top"/>
          </w:tcPr>
          <w:p w14:paraId="430F1805">
            <w:pPr>
              <w:rPr>
                <w:rFonts w:hint="eastAsia"/>
                <w:color w:val="000000"/>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5BBEC6F0">
            <w:pPr>
              <w:rPr>
                <w:rFonts w:hint="eastAsia"/>
                <w:color w:val="000000"/>
                <w:highlight w:val="none"/>
              </w:rPr>
            </w:pPr>
            <w:r>
              <w:rPr>
                <w:rFonts w:hint="eastAsia"/>
                <w:color w:val="000000"/>
                <w:highlight w:val="none"/>
              </w:rPr>
              <w:t>（</w:t>
            </w:r>
            <w:r>
              <w:rPr>
                <w:rFonts w:hint="eastAsia"/>
                <w:color w:val="000000"/>
                <w:highlight w:val="none"/>
                <w:lang w:val="en-US" w:eastAsia="zh-CN"/>
              </w:rPr>
              <w:t>4</w:t>
            </w:r>
            <w:r>
              <w:rPr>
                <w:rFonts w:hint="eastAsia"/>
                <w:color w:val="000000"/>
                <w:highlight w:val="none"/>
              </w:rPr>
              <w:t>）根据采购人要求对服务人员进行从业资格审查，审查结果向采购人报备。</w:t>
            </w:r>
          </w:p>
        </w:tc>
      </w:tr>
      <w:tr w14:paraId="3A1E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20983B49">
            <w:pPr>
              <w:rPr>
                <w:rFonts w:hint="eastAsia"/>
                <w:color w:val="000000"/>
                <w:highlight w:val="none"/>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top"/>
          </w:tcPr>
          <w:p w14:paraId="08EFF4B8">
            <w:pPr>
              <w:rPr>
                <w:rFonts w:hint="eastAsia"/>
                <w:color w:val="000000"/>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7836450E">
            <w:pPr>
              <w:rPr>
                <w:rFonts w:hint="eastAsia"/>
                <w:color w:val="000000"/>
                <w:highlight w:val="none"/>
              </w:rPr>
            </w:pPr>
            <w:r>
              <w:rPr>
                <w:rFonts w:hint="eastAsia"/>
                <w:color w:val="000000"/>
                <w:highlight w:val="none"/>
              </w:rPr>
              <w:t>（</w:t>
            </w:r>
            <w:r>
              <w:rPr>
                <w:rFonts w:hint="eastAsia"/>
                <w:color w:val="000000"/>
                <w:highlight w:val="none"/>
                <w:lang w:val="en-US" w:eastAsia="zh-CN"/>
              </w:rPr>
              <w:t>5</w:t>
            </w:r>
            <w:r>
              <w:rPr>
                <w:rFonts w:hint="eastAsia"/>
                <w:color w:val="000000"/>
                <w:highlight w:val="none"/>
              </w:rPr>
              <w:t>）每季度至少开展1次岗位技能、职业素质、服务意识等教育培训，并进行适当形式的考核。接受采购人或相关主管部门对</w:t>
            </w:r>
            <w:r>
              <w:rPr>
                <w:rFonts w:hint="eastAsia"/>
                <w:color w:val="000000"/>
                <w:highlight w:val="none"/>
                <w:lang w:eastAsia="zh-CN"/>
              </w:rPr>
              <w:t>中标人</w:t>
            </w:r>
            <w:r>
              <w:rPr>
                <w:rFonts w:hint="eastAsia"/>
                <w:color w:val="000000"/>
                <w:highlight w:val="none"/>
              </w:rPr>
              <w:t>进行的检查、监督。</w:t>
            </w:r>
          </w:p>
        </w:tc>
      </w:tr>
      <w:tr w14:paraId="6C71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5CB97CAD">
            <w:pPr>
              <w:rPr>
                <w:color w:val="000000"/>
                <w:highlight w:val="none"/>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top"/>
          </w:tcPr>
          <w:p w14:paraId="4B4848A4">
            <w:pPr>
              <w:rPr>
                <w:color w:val="000000"/>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3FB40071">
            <w:pPr>
              <w:rPr>
                <w:color w:val="000000"/>
                <w:highlight w:val="none"/>
              </w:rPr>
            </w:pPr>
            <w:r>
              <w:rPr>
                <w:rFonts w:hint="eastAsia"/>
                <w:color w:val="000000"/>
                <w:highlight w:val="none"/>
              </w:rPr>
              <w:t>（</w:t>
            </w:r>
            <w:r>
              <w:rPr>
                <w:rFonts w:hint="eastAsia"/>
                <w:color w:val="000000"/>
                <w:highlight w:val="none"/>
                <w:lang w:val="en-US" w:eastAsia="zh-CN"/>
              </w:rPr>
              <w:t>6</w:t>
            </w:r>
            <w:r>
              <w:rPr>
                <w:rFonts w:hint="eastAsia"/>
                <w:color w:val="000000"/>
                <w:highlight w:val="none"/>
              </w:rPr>
              <w:t>）如采购人认为服务人员不适应岗位要求或存在其他影响工作的，可要求供应商进行调换。如因供应商原因对服务人员进行调换，应当经采购人同意，更换比例不得超过本项目服务人员总数的20%。</w:t>
            </w:r>
          </w:p>
        </w:tc>
      </w:tr>
      <w:tr w14:paraId="5E43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391E0FAD">
            <w:pPr>
              <w:rPr>
                <w:color w:val="000000"/>
                <w:highlight w:val="none"/>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top"/>
          </w:tcPr>
          <w:p w14:paraId="47AE8D22">
            <w:pPr>
              <w:rPr>
                <w:color w:val="000000"/>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646D50D7">
            <w:pPr>
              <w:rPr>
                <w:color w:val="000000"/>
                <w:highlight w:val="none"/>
              </w:rPr>
            </w:pPr>
            <w:r>
              <w:rPr>
                <w:rFonts w:hint="eastAsia"/>
                <w:color w:val="000000"/>
                <w:highlight w:val="none"/>
              </w:rPr>
              <w:t>（</w:t>
            </w:r>
            <w:r>
              <w:rPr>
                <w:rFonts w:hint="eastAsia"/>
                <w:color w:val="000000"/>
                <w:highlight w:val="none"/>
                <w:lang w:val="en-US" w:eastAsia="zh-CN"/>
              </w:rPr>
              <w:t>7</w:t>
            </w:r>
            <w:r>
              <w:rPr>
                <w:rFonts w:hint="eastAsia"/>
                <w:color w:val="000000"/>
                <w:highlight w:val="none"/>
              </w:rPr>
              <w:t>）各类管理服务人员按岗位统一着装，佩戴标志牌（人员服装配备按国家标准服装为要求）并根据岗位情况至少每年进行更换。言行规范、文明用语、礼貌待人。</w:t>
            </w:r>
          </w:p>
        </w:tc>
      </w:tr>
      <w:tr w14:paraId="4250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770" w:type="dxa"/>
            <w:vMerge w:val="restart"/>
            <w:tcBorders>
              <w:top w:val="single" w:color="auto" w:sz="4" w:space="0"/>
              <w:left w:val="single" w:color="auto" w:sz="4" w:space="0"/>
              <w:bottom w:val="single" w:color="auto" w:sz="4" w:space="0"/>
              <w:right w:val="single" w:color="auto" w:sz="4" w:space="0"/>
            </w:tcBorders>
            <w:noWrap w:val="0"/>
            <w:vAlign w:val="top"/>
          </w:tcPr>
          <w:p w14:paraId="7AB32645">
            <w:pPr>
              <w:rPr>
                <w:color w:val="000000"/>
                <w:highlight w:val="none"/>
              </w:rPr>
            </w:pPr>
            <w:r>
              <w:rPr>
                <w:rFonts w:hint="eastAsia"/>
                <w:color w:val="000000"/>
                <w:highlight w:val="none"/>
              </w:rPr>
              <w:t>3</w:t>
            </w:r>
          </w:p>
        </w:tc>
        <w:tc>
          <w:tcPr>
            <w:tcW w:w="1766" w:type="dxa"/>
            <w:vMerge w:val="restart"/>
            <w:tcBorders>
              <w:top w:val="single" w:color="auto" w:sz="4" w:space="0"/>
              <w:left w:val="single" w:color="auto" w:sz="4" w:space="0"/>
              <w:bottom w:val="single" w:color="auto" w:sz="4" w:space="0"/>
              <w:right w:val="single" w:color="auto" w:sz="4" w:space="0"/>
            </w:tcBorders>
            <w:noWrap w:val="0"/>
            <w:vAlign w:val="top"/>
          </w:tcPr>
          <w:p w14:paraId="58DF21E6">
            <w:pPr>
              <w:rPr>
                <w:color w:val="000000"/>
                <w:highlight w:val="none"/>
              </w:rPr>
            </w:pPr>
            <w:r>
              <w:rPr>
                <w:rFonts w:hint="eastAsia"/>
                <w:color w:val="000000"/>
                <w:highlight w:val="none"/>
              </w:rPr>
              <w:t>保密和思想政治教育</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34C69505">
            <w:pPr>
              <w:rPr>
                <w:color w:val="000000"/>
                <w:highlight w:val="none"/>
              </w:rPr>
            </w:pPr>
            <w:r>
              <w:rPr>
                <w:rFonts w:hint="eastAsia"/>
                <w:color w:val="000000"/>
                <w:highlight w:val="none"/>
              </w:rPr>
              <w:t>（1）建立保密管理制度。制度内容应当包括但不限于：①明确重点要害岗位保密职责。②对涉密工作岗位的保密要求等。</w:t>
            </w:r>
          </w:p>
        </w:tc>
      </w:tr>
      <w:tr w14:paraId="4197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386F6562">
            <w:pPr>
              <w:rPr>
                <w:color w:val="000000"/>
                <w:highlight w:val="none"/>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top"/>
          </w:tcPr>
          <w:p w14:paraId="797E4E61">
            <w:pPr>
              <w:rPr>
                <w:color w:val="000000"/>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3897321B">
            <w:pPr>
              <w:rPr>
                <w:color w:val="000000"/>
                <w:highlight w:val="none"/>
              </w:rPr>
            </w:pPr>
            <w:r>
              <w:rPr>
                <w:rFonts w:hint="eastAsia"/>
                <w:color w:val="000000"/>
                <w:highlight w:val="none"/>
              </w:rPr>
              <w:t>（2）根据采购人要求与涉密工作岗位的服务人员签订保密协议。保密协议应当向采购人报备。</w:t>
            </w:r>
          </w:p>
        </w:tc>
      </w:tr>
      <w:tr w14:paraId="4751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521926DE">
            <w:pPr>
              <w:rPr>
                <w:color w:val="000000"/>
                <w:highlight w:val="none"/>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top"/>
          </w:tcPr>
          <w:p w14:paraId="666EBB5B">
            <w:pPr>
              <w:rPr>
                <w:color w:val="000000"/>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35208BFC">
            <w:pPr>
              <w:rPr>
                <w:color w:val="000000"/>
                <w:highlight w:val="none"/>
              </w:rPr>
            </w:pPr>
            <w:r>
              <w:rPr>
                <w:rFonts w:hint="eastAsia"/>
                <w:color w:val="000000"/>
                <w:highlight w:val="none"/>
              </w:rPr>
              <w:t>（3）每季度至少开展 1 次对服务人员进行保密、思想政治教育的培训，提高服务人员保密意识和思想政治意识。新入职员工应当接受保密、思想政治教育培训，进行必要的人员经历审查，合格 后签订保密协议方可上岗。</w:t>
            </w:r>
          </w:p>
        </w:tc>
      </w:tr>
      <w:tr w14:paraId="5F0D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57BAE24A">
            <w:pPr>
              <w:rPr>
                <w:color w:val="000000"/>
                <w:highlight w:val="none"/>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top"/>
          </w:tcPr>
          <w:p w14:paraId="5AFFA576">
            <w:pPr>
              <w:rPr>
                <w:color w:val="000000"/>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63CC7107">
            <w:pPr>
              <w:rPr>
                <w:color w:val="000000"/>
                <w:highlight w:val="none"/>
              </w:rPr>
            </w:pPr>
            <w:r>
              <w:rPr>
                <w:rFonts w:hint="eastAsia"/>
                <w:color w:val="000000"/>
                <w:highlight w:val="none"/>
              </w:rPr>
              <w:t>（4）发现服务人员违法违规或重大过失，及时报告采购人，并采取必要补救措施。</w:t>
            </w:r>
          </w:p>
        </w:tc>
      </w:tr>
      <w:tr w14:paraId="35AA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770" w:type="dxa"/>
            <w:vMerge w:val="restart"/>
            <w:tcBorders>
              <w:top w:val="single" w:color="auto" w:sz="4" w:space="0"/>
              <w:left w:val="single" w:color="auto" w:sz="4" w:space="0"/>
              <w:bottom w:val="single" w:color="auto" w:sz="4" w:space="0"/>
              <w:right w:val="single" w:color="auto" w:sz="4" w:space="0"/>
            </w:tcBorders>
            <w:noWrap w:val="0"/>
            <w:vAlign w:val="top"/>
          </w:tcPr>
          <w:p w14:paraId="6D897EB9">
            <w:pPr>
              <w:rPr>
                <w:color w:val="000000"/>
                <w:highlight w:val="none"/>
              </w:rPr>
            </w:pPr>
            <w:r>
              <w:rPr>
                <w:rFonts w:hint="eastAsia"/>
                <w:color w:val="000000"/>
                <w:highlight w:val="none"/>
              </w:rPr>
              <w:t>4</w:t>
            </w:r>
          </w:p>
        </w:tc>
        <w:tc>
          <w:tcPr>
            <w:tcW w:w="1766" w:type="dxa"/>
            <w:vMerge w:val="restart"/>
            <w:tcBorders>
              <w:top w:val="single" w:color="auto" w:sz="4" w:space="0"/>
              <w:left w:val="single" w:color="auto" w:sz="4" w:space="0"/>
              <w:bottom w:val="single" w:color="auto" w:sz="4" w:space="0"/>
              <w:right w:val="single" w:color="auto" w:sz="4" w:space="0"/>
            </w:tcBorders>
            <w:noWrap w:val="0"/>
            <w:vAlign w:val="top"/>
          </w:tcPr>
          <w:p w14:paraId="79DB19F2">
            <w:pPr>
              <w:rPr>
                <w:color w:val="000000"/>
                <w:highlight w:val="none"/>
              </w:rPr>
            </w:pPr>
            <w:r>
              <w:rPr>
                <w:rFonts w:hint="eastAsia"/>
                <w:color w:val="000000"/>
                <w:highlight w:val="none"/>
              </w:rPr>
              <w:t>档案管理</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758A0162">
            <w:pPr>
              <w:rPr>
                <w:color w:val="000000"/>
                <w:highlight w:val="none"/>
              </w:rPr>
            </w:pPr>
            <w:r>
              <w:rPr>
                <w:rFonts w:hint="eastAsia"/>
                <w:color w:val="000000"/>
                <w:highlight w:val="none"/>
              </w:rPr>
              <w:t>（1）建立物业信息，准确、及时地对文件资料和服务记录进行归档保存，并确保其物理安全。</w:t>
            </w:r>
          </w:p>
        </w:tc>
      </w:tr>
      <w:tr w14:paraId="3765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453BD919">
            <w:pPr>
              <w:rPr>
                <w:color w:val="000000"/>
                <w:highlight w:val="none"/>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top"/>
          </w:tcPr>
          <w:p w14:paraId="39EB4725">
            <w:pPr>
              <w:rPr>
                <w:color w:val="000000"/>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0A0D344C">
            <w:pPr>
              <w:rPr>
                <w:color w:val="000000"/>
                <w:highlight w:val="none"/>
              </w:rPr>
            </w:pPr>
            <w:r>
              <w:rPr>
                <w:rFonts w:hint="eastAsia"/>
                <w:color w:val="000000"/>
                <w:highlight w:val="none"/>
              </w:rPr>
              <w:t>（2）档案和记录齐全，包括但不限于：①采购人建议与投诉等。教育培训和考核记录。保密、 思想政治教育培训记录。②房屋维护服务：房屋台账、使用说明、房屋装修、维保记录等。③公用设施设备维护服务：设备台账、设备卡、使用 说明、维保记录、巡查记录、设施设备安全运行、设施设备定期巡检、维护保养、维修档案等。④ 保安服务：监控记录、突发事件演习与处置记录等。⑤保洁服务：工作日志、清洁检查表、用品 清单、客户反馈表等。⑥绿化服务：绿化总平面 图、清洁整改记录、消杀记录等。⑦其他：客户信息、财务明细、合同协议、信报信息登记、大件物品进出登记等。</w:t>
            </w:r>
          </w:p>
        </w:tc>
      </w:tr>
      <w:tr w14:paraId="7C07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5852574F">
            <w:pPr>
              <w:rPr>
                <w:color w:val="000000"/>
                <w:highlight w:val="none"/>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top"/>
          </w:tcPr>
          <w:p w14:paraId="5B641A68">
            <w:pPr>
              <w:rPr>
                <w:color w:val="000000"/>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422AFAE5">
            <w:pPr>
              <w:rPr>
                <w:color w:val="000000"/>
                <w:highlight w:val="none"/>
              </w:rPr>
            </w:pPr>
            <w:r>
              <w:rPr>
                <w:rFonts w:hint="eastAsia"/>
                <w:color w:val="000000"/>
                <w:highlight w:val="none"/>
              </w:rPr>
              <w:t>（3）遵守采购人的信息、档案资料保密要求，未经许可，不得将建筑物平面图等资料转作其他用途或向其他单位、个人提供。</w:t>
            </w:r>
          </w:p>
        </w:tc>
      </w:tr>
      <w:tr w14:paraId="7B38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4DA68960">
            <w:pPr>
              <w:rPr>
                <w:color w:val="000000"/>
                <w:highlight w:val="none"/>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top"/>
          </w:tcPr>
          <w:p w14:paraId="478D08DC">
            <w:pPr>
              <w:rPr>
                <w:color w:val="000000"/>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04A9E2A4">
            <w:pPr>
              <w:rPr>
                <w:color w:val="000000"/>
                <w:highlight w:val="none"/>
              </w:rPr>
            </w:pPr>
            <w:r>
              <w:rPr>
                <w:rFonts w:hint="eastAsia"/>
                <w:color w:val="000000"/>
                <w:highlight w:val="none"/>
              </w:rPr>
              <w:t>（4）履约结束后，相关资料交还采购人，采购人按政府采购相关规定存档。</w:t>
            </w:r>
          </w:p>
        </w:tc>
      </w:tr>
      <w:tr w14:paraId="5889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restart"/>
            <w:tcBorders>
              <w:top w:val="single" w:color="auto" w:sz="4" w:space="0"/>
              <w:left w:val="single" w:color="auto" w:sz="4" w:space="0"/>
              <w:bottom w:val="single" w:color="auto" w:sz="4" w:space="0"/>
              <w:right w:val="single" w:color="auto" w:sz="4" w:space="0"/>
            </w:tcBorders>
            <w:noWrap w:val="0"/>
            <w:vAlign w:val="top"/>
          </w:tcPr>
          <w:p w14:paraId="036C4DF4">
            <w:pPr>
              <w:rPr>
                <w:rFonts w:hint="eastAsia" w:eastAsia="宋体"/>
                <w:color w:val="000000"/>
                <w:highlight w:val="none"/>
                <w:lang w:val="en-US" w:eastAsia="zh-CN"/>
              </w:rPr>
            </w:pPr>
            <w:r>
              <w:rPr>
                <w:rFonts w:hint="eastAsia"/>
                <w:color w:val="000000"/>
                <w:highlight w:val="none"/>
                <w:lang w:val="en-US" w:eastAsia="zh-CN"/>
              </w:rPr>
              <w:t>5</w:t>
            </w:r>
          </w:p>
        </w:tc>
        <w:tc>
          <w:tcPr>
            <w:tcW w:w="1766" w:type="dxa"/>
            <w:vMerge w:val="restart"/>
            <w:tcBorders>
              <w:top w:val="single" w:color="auto" w:sz="4" w:space="0"/>
              <w:left w:val="single" w:color="auto" w:sz="4" w:space="0"/>
              <w:bottom w:val="single" w:color="auto" w:sz="4" w:space="0"/>
              <w:right w:val="single" w:color="auto" w:sz="4" w:space="0"/>
            </w:tcBorders>
            <w:noWrap w:val="0"/>
            <w:vAlign w:val="top"/>
          </w:tcPr>
          <w:p w14:paraId="31893F23">
            <w:pPr>
              <w:rPr>
                <w:color w:val="000000"/>
                <w:highlight w:val="none"/>
              </w:rPr>
            </w:pPr>
            <w:r>
              <w:rPr>
                <w:rFonts w:hint="eastAsia"/>
                <w:color w:val="000000"/>
                <w:highlight w:val="none"/>
              </w:rPr>
              <w:t>服务改进</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32E191B0">
            <w:pPr>
              <w:rPr>
                <w:color w:val="000000"/>
                <w:highlight w:val="none"/>
              </w:rPr>
            </w:pPr>
            <w:r>
              <w:rPr>
                <w:rFonts w:hint="eastAsia"/>
                <w:color w:val="000000"/>
                <w:highlight w:val="none"/>
              </w:rPr>
              <w:t>（1）明确负责人，定期对物业服务过程进行自查，结合反馈意见与评价结果采取改进措施，持续提升管理与服务水平。</w:t>
            </w:r>
          </w:p>
        </w:tc>
      </w:tr>
      <w:tr w14:paraId="3E80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7373680D">
            <w:pPr>
              <w:rPr>
                <w:color w:val="000000"/>
                <w:highlight w:val="none"/>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top"/>
          </w:tcPr>
          <w:p w14:paraId="679681F0">
            <w:pPr>
              <w:rPr>
                <w:color w:val="000000"/>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570B8D80">
            <w:pPr>
              <w:rPr>
                <w:color w:val="000000"/>
                <w:highlight w:val="none"/>
              </w:rPr>
            </w:pPr>
            <w:r>
              <w:rPr>
                <w:rFonts w:hint="eastAsia"/>
                <w:color w:val="000000"/>
                <w:highlight w:val="none"/>
              </w:rPr>
              <w:t>（2）对不合格服务进行控制，对不合格服务的原因进行识别和分析，及时采取纠正措施，消除不合格的原因，防止不合格再发生。</w:t>
            </w:r>
          </w:p>
        </w:tc>
      </w:tr>
      <w:tr w14:paraId="4CBA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3BF8E749">
            <w:pPr>
              <w:rPr>
                <w:color w:val="000000"/>
                <w:highlight w:val="none"/>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top"/>
          </w:tcPr>
          <w:p w14:paraId="607DDD8E">
            <w:pPr>
              <w:rPr>
                <w:color w:val="000000"/>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12B27D03">
            <w:pPr>
              <w:rPr>
                <w:color w:val="000000"/>
                <w:highlight w:val="none"/>
              </w:rPr>
            </w:pPr>
            <w:r>
              <w:rPr>
                <w:rFonts w:hint="eastAsia"/>
                <w:color w:val="000000"/>
                <w:highlight w:val="none"/>
              </w:rPr>
              <w:t>（3）需整改问题及时整改完成。</w:t>
            </w:r>
          </w:p>
        </w:tc>
      </w:tr>
      <w:tr w14:paraId="78ED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770" w:type="dxa"/>
            <w:vMerge w:val="restart"/>
            <w:tcBorders>
              <w:top w:val="single" w:color="auto" w:sz="4" w:space="0"/>
              <w:left w:val="single" w:color="auto" w:sz="4" w:space="0"/>
              <w:bottom w:val="single" w:color="auto" w:sz="4" w:space="0"/>
              <w:right w:val="single" w:color="auto" w:sz="4" w:space="0"/>
            </w:tcBorders>
            <w:noWrap w:val="0"/>
            <w:vAlign w:val="top"/>
          </w:tcPr>
          <w:p w14:paraId="4E6B3C4B">
            <w:pPr>
              <w:rPr>
                <w:rFonts w:hint="eastAsia" w:eastAsia="宋体"/>
                <w:color w:val="000000"/>
                <w:highlight w:val="none"/>
                <w:lang w:eastAsia="zh-CN"/>
              </w:rPr>
            </w:pPr>
            <w:r>
              <w:rPr>
                <w:rFonts w:hint="eastAsia"/>
                <w:color w:val="000000"/>
                <w:highlight w:val="none"/>
                <w:lang w:val="en-US" w:eastAsia="zh-CN"/>
              </w:rPr>
              <w:t>6</w:t>
            </w:r>
          </w:p>
        </w:tc>
        <w:tc>
          <w:tcPr>
            <w:tcW w:w="1766" w:type="dxa"/>
            <w:vMerge w:val="restart"/>
            <w:tcBorders>
              <w:top w:val="single" w:color="auto" w:sz="4" w:space="0"/>
              <w:left w:val="single" w:color="auto" w:sz="4" w:space="0"/>
              <w:bottom w:val="single" w:color="auto" w:sz="4" w:space="0"/>
              <w:right w:val="single" w:color="auto" w:sz="4" w:space="0"/>
            </w:tcBorders>
            <w:noWrap w:val="0"/>
            <w:vAlign w:val="top"/>
          </w:tcPr>
          <w:p w14:paraId="7EA857FB">
            <w:pPr>
              <w:rPr>
                <w:color w:val="000000"/>
                <w:highlight w:val="none"/>
              </w:rPr>
            </w:pPr>
            <w:r>
              <w:rPr>
                <w:rFonts w:hint="eastAsia" w:ascii="Times New Roman" w:hAnsi="Times New Roman" w:eastAsia="宋体" w:cs="Times New Roman"/>
                <w:color w:val="000000"/>
                <w:sz w:val="21"/>
                <w:highlight w:val="none"/>
              </w:rPr>
              <w:t>重大活动后勤 保障</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4D3D173F">
            <w:pPr>
              <w:rPr>
                <w:color w:val="000000"/>
                <w:highlight w:val="none"/>
              </w:rPr>
            </w:pPr>
            <w:r>
              <w:rPr>
                <w:rFonts w:hint="eastAsia"/>
                <w:color w:val="000000"/>
                <w:highlight w:val="none"/>
              </w:rPr>
              <w:t>（1）制订流程。配合采购人制订重大活动后勤保障工作流程，需对任务进行详细了解，并根据工作安排制定详细的后勤保障计划。</w:t>
            </w:r>
          </w:p>
        </w:tc>
      </w:tr>
      <w:tr w14:paraId="4D47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19072D8A">
            <w:pPr>
              <w:rPr>
                <w:color w:val="000000"/>
                <w:highlight w:val="none"/>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top"/>
          </w:tcPr>
          <w:p w14:paraId="268B6C32">
            <w:pPr>
              <w:rPr>
                <w:color w:val="000000"/>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31A422C2">
            <w:pPr>
              <w:rPr>
                <w:color w:val="000000"/>
                <w:highlight w:val="none"/>
              </w:rPr>
            </w:pPr>
            <w:r>
              <w:rPr>
                <w:rFonts w:hint="eastAsia"/>
                <w:color w:val="000000"/>
                <w:highlight w:val="none"/>
              </w:rPr>
              <w:t>（2）实施保障。按计划在关键区域和重点部位进行部署，确保任务顺利进行，对活动区域进行全面安全检查，发现并排除安全隐患，对车辆进 行有序引导和管理，确保交通安全</w:t>
            </w:r>
            <w:r>
              <w:rPr>
                <w:rFonts w:hint="eastAsia"/>
                <w:color w:val="000000"/>
              </w:rPr>
              <w:t>畅通</w:t>
            </w:r>
            <w:r>
              <w:rPr>
                <w:rFonts w:hint="eastAsia"/>
                <w:color w:val="000000"/>
                <w:highlight w:val="none"/>
              </w:rPr>
              <w:t>，以礼貌、专业的态度对待来宾，展现良好形象。</w:t>
            </w:r>
          </w:p>
        </w:tc>
      </w:tr>
      <w:tr w14:paraId="0DBC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78C41DE3">
            <w:pPr>
              <w:rPr>
                <w:rFonts w:ascii="宋体" w:hAnsi="宋体" w:cs="宋体"/>
                <w:color w:val="000000"/>
                <w:sz w:val="24"/>
                <w:highlight w:val="none"/>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top"/>
          </w:tcPr>
          <w:p w14:paraId="49F0286C">
            <w:pPr>
              <w:rPr>
                <w:rFonts w:ascii="宋体" w:hAnsi="宋体" w:cs="宋体"/>
                <w:color w:val="000000"/>
                <w:sz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5111F5D2">
            <w:pPr>
              <w:rPr>
                <w:color w:val="000000"/>
                <w:highlight w:val="none"/>
              </w:rPr>
            </w:pPr>
            <w:r>
              <w:rPr>
                <w:rFonts w:hint="eastAsia"/>
                <w:color w:val="000000"/>
                <w:highlight w:val="none"/>
              </w:rPr>
              <w:t>（3）收尾工作。对现场进行检查，做好清理工作。</w:t>
            </w:r>
          </w:p>
        </w:tc>
      </w:tr>
      <w:tr w14:paraId="12DD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vMerge w:val="restart"/>
            <w:tcBorders>
              <w:top w:val="single" w:color="auto" w:sz="4" w:space="0"/>
              <w:left w:val="single" w:color="auto" w:sz="4" w:space="0"/>
              <w:bottom w:val="single" w:color="auto" w:sz="4" w:space="0"/>
              <w:right w:val="single" w:color="auto" w:sz="4" w:space="0"/>
            </w:tcBorders>
            <w:noWrap w:val="0"/>
            <w:vAlign w:val="top"/>
          </w:tcPr>
          <w:p w14:paraId="7DD46D97">
            <w:pP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7</w:t>
            </w:r>
          </w:p>
        </w:tc>
        <w:tc>
          <w:tcPr>
            <w:tcW w:w="1766" w:type="dxa"/>
            <w:vMerge w:val="restart"/>
            <w:tcBorders>
              <w:top w:val="single" w:color="auto" w:sz="4" w:space="0"/>
              <w:left w:val="single" w:color="auto" w:sz="4" w:space="0"/>
              <w:bottom w:val="single" w:color="auto" w:sz="4" w:space="0"/>
              <w:right w:val="single" w:color="auto" w:sz="4" w:space="0"/>
            </w:tcBorders>
            <w:noWrap w:val="0"/>
            <w:vAlign w:val="top"/>
          </w:tcPr>
          <w:p w14:paraId="74689204">
            <w:pPr>
              <w:rPr>
                <w:rFonts w:ascii="宋体" w:hAnsi="宋体" w:cs="宋体"/>
                <w:color w:val="000000"/>
                <w:sz w:val="24"/>
                <w:highlight w:val="none"/>
              </w:rPr>
            </w:pPr>
            <w:r>
              <w:rPr>
                <w:rFonts w:hint="eastAsia" w:ascii="Times New Roman" w:hAnsi="Times New Roman" w:eastAsia="宋体" w:cs="Times New Roman"/>
                <w:color w:val="000000"/>
                <w:sz w:val="21"/>
                <w:highlight w:val="none"/>
              </w:rPr>
              <w:t>应急保障预案</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1CC09714">
            <w:pPr>
              <w:rPr>
                <w:color w:val="000000"/>
                <w:highlight w:val="none"/>
              </w:rPr>
            </w:pPr>
            <w:r>
              <w:rPr>
                <w:rFonts w:hint="eastAsia"/>
                <w:color w:val="000000"/>
                <w:highlight w:val="none"/>
              </w:rPr>
              <w:t>（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14:paraId="1CD1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2C0682BE">
            <w:pPr>
              <w:rPr>
                <w:color w:val="000000"/>
                <w:highlight w:val="none"/>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top"/>
          </w:tcPr>
          <w:p w14:paraId="48810488">
            <w:pPr>
              <w:rPr>
                <w:color w:val="000000"/>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5665498A">
            <w:pPr>
              <w:rPr>
                <w:color w:val="000000"/>
                <w:highlight w:val="none"/>
              </w:rPr>
            </w:pPr>
            <w:r>
              <w:rPr>
                <w:rFonts w:hint="eastAsia"/>
                <w:color w:val="000000"/>
                <w:highlight w:val="none"/>
              </w:rPr>
              <w:t>（2）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tc>
      </w:tr>
      <w:tr w14:paraId="0865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171BC3FB">
            <w:pPr>
              <w:rPr>
                <w:rFonts w:ascii="宋体" w:hAnsi="宋体" w:cs="宋体"/>
                <w:color w:val="000000"/>
                <w:sz w:val="24"/>
                <w:highlight w:val="none"/>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top"/>
          </w:tcPr>
          <w:p w14:paraId="64972004">
            <w:pPr>
              <w:rPr>
                <w:rFonts w:ascii="宋体" w:hAnsi="宋体" w:cs="宋体"/>
                <w:color w:val="000000"/>
                <w:sz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0C47FA12">
            <w:pPr>
              <w:rPr>
                <w:color w:val="000000"/>
                <w:highlight w:val="none"/>
              </w:rPr>
            </w:pPr>
            <w:r>
              <w:rPr>
                <w:rFonts w:hint="eastAsia"/>
                <w:color w:val="000000"/>
                <w:highlight w:val="none"/>
              </w:rPr>
              <w:t>（3）应急预案的培训和演练。应急预案定期培训和演练，组织相关岗位每半年至少开展一次专项应急预案演练；留存培训及演练记录和影像资料，并对预案进行评价，确保与实际情况相结合。</w:t>
            </w:r>
          </w:p>
        </w:tc>
      </w:tr>
      <w:tr w14:paraId="00CF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07290D9F">
            <w:pPr>
              <w:rPr>
                <w:rFonts w:ascii="宋体" w:hAnsi="宋体" w:cs="宋体"/>
                <w:color w:val="000000"/>
                <w:sz w:val="24"/>
                <w:highlight w:val="none"/>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top"/>
          </w:tcPr>
          <w:p w14:paraId="1E012B26">
            <w:pPr>
              <w:rPr>
                <w:rFonts w:ascii="宋体" w:hAnsi="宋体" w:cs="宋体"/>
                <w:color w:val="000000"/>
                <w:sz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6F1CCF1C">
            <w:pPr>
              <w:rPr>
                <w:color w:val="000000"/>
                <w:highlight w:val="none"/>
              </w:rPr>
            </w:pPr>
            <w:r>
              <w:rPr>
                <w:rFonts w:hint="eastAsia"/>
                <w:color w:val="000000"/>
                <w:highlight w:val="none"/>
              </w:rPr>
              <w:t>（4）应急物资的管理。根据专项预案中的应对需要、必要的应急物资，建立清单或台账，并由专人定期对应急物资进行检查，如有应急物资不足，及时购置齐全，确保能够随时正常使用。</w:t>
            </w:r>
          </w:p>
        </w:tc>
      </w:tr>
      <w:tr w14:paraId="4BD4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770" w:type="dxa"/>
            <w:vMerge w:val="restart"/>
            <w:tcBorders>
              <w:top w:val="single" w:color="auto" w:sz="4" w:space="0"/>
              <w:left w:val="single" w:color="auto" w:sz="4" w:space="0"/>
              <w:bottom w:val="single" w:color="auto" w:sz="4" w:space="0"/>
              <w:right w:val="single" w:color="auto" w:sz="4" w:space="0"/>
            </w:tcBorders>
            <w:noWrap w:val="0"/>
            <w:vAlign w:val="top"/>
          </w:tcPr>
          <w:p w14:paraId="0850FBE8">
            <w:pPr>
              <w:rPr>
                <w:rFonts w:hint="eastAsia" w:ascii="宋体" w:hAnsi="宋体" w:eastAsia="宋体" w:cs="宋体"/>
                <w:color w:val="000000"/>
                <w:sz w:val="24"/>
                <w:highlight w:val="none"/>
                <w:lang w:eastAsia="zh-CN"/>
              </w:rPr>
            </w:pPr>
            <w:bookmarkStart w:id="215" w:name="OLE_LINK6"/>
            <w:bookmarkStart w:id="216" w:name="OLE_LINK5"/>
            <w:r>
              <w:rPr>
                <w:rFonts w:hint="eastAsia" w:ascii="宋体" w:hAnsi="宋体" w:cs="宋体"/>
                <w:color w:val="000000"/>
                <w:sz w:val="24"/>
                <w:highlight w:val="none"/>
                <w:lang w:val="en-US" w:eastAsia="zh-CN"/>
              </w:rPr>
              <w:t>8</w:t>
            </w:r>
          </w:p>
        </w:tc>
        <w:tc>
          <w:tcPr>
            <w:tcW w:w="1766" w:type="dxa"/>
            <w:vMerge w:val="restart"/>
            <w:tcBorders>
              <w:top w:val="single" w:color="auto" w:sz="4" w:space="0"/>
              <w:left w:val="single" w:color="auto" w:sz="4" w:space="0"/>
              <w:bottom w:val="single" w:color="auto" w:sz="4" w:space="0"/>
              <w:right w:val="single" w:color="auto" w:sz="4" w:space="0"/>
            </w:tcBorders>
            <w:noWrap w:val="0"/>
            <w:vAlign w:val="top"/>
          </w:tcPr>
          <w:p w14:paraId="66FEA47C">
            <w:pPr>
              <w:rPr>
                <w:rFonts w:ascii="宋体" w:hAnsi="宋体" w:cs="宋体"/>
                <w:color w:val="000000"/>
                <w:sz w:val="24"/>
                <w:highlight w:val="none"/>
              </w:rPr>
            </w:pPr>
            <w:r>
              <w:rPr>
                <w:rFonts w:hint="eastAsia" w:ascii="Times New Roman" w:hAnsi="Times New Roman" w:eastAsia="宋体" w:cs="Times New Roman"/>
                <w:color w:val="000000"/>
                <w:sz w:val="21"/>
                <w:highlight w:val="none"/>
              </w:rPr>
              <w:t>服务方案及工 作制度</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360AABAD">
            <w:pPr>
              <w:rPr>
                <w:color w:val="000000"/>
                <w:highlight w:val="none"/>
              </w:rPr>
            </w:pPr>
            <w:r>
              <w:rPr>
                <w:rFonts w:hint="eastAsia"/>
                <w:color w:val="000000"/>
                <w:highlight w:val="none"/>
              </w:rPr>
              <w:t>（1）制定工作制度，主要包括：人员录用制度、档案管理制度、物业服务管理制度、公用设施设备相关管理制度等。</w:t>
            </w:r>
          </w:p>
        </w:tc>
      </w:tr>
      <w:tr w14:paraId="2838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0BFD0888">
            <w:pPr>
              <w:rPr>
                <w:color w:val="000000"/>
                <w:highlight w:val="none"/>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top"/>
          </w:tcPr>
          <w:p w14:paraId="49ED140D">
            <w:pPr>
              <w:rPr>
                <w:color w:val="000000"/>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3BD91EF6">
            <w:pPr>
              <w:rPr>
                <w:color w:val="000000"/>
                <w:highlight w:val="none"/>
              </w:rPr>
            </w:pPr>
            <w:r>
              <w:rPr>
                <w:rFonts w:hint="eastAsia"/>
                <w:color w:val="000000"/>
                <w:highlight w:val="none"/>
              </w:rPr>
              <w:t>（2）制定项目实施方案，主要包括：交接方案、人员培训方案、人员稳定性方案、保密方案等。</w:t>
            </w:r>
          </w:p>
        </w:tc>
      </w:tr>
      <w:tr w14:paraId="7E79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43E180EB">
            <w:pPr>
              <w:rPr>
                <w:rFonts w:ascii="宋体" w:hAnsi="宋体" w:cs="宋体"/>
                <w:color w:val="000000"/>
                <w:sz w:val="24"/>
                <w:highlight w:val="none"/>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top"/>
          </w:tcPr>
          <w:p w14:paraId="15D229B8">
            <w:pPr>
              <w:rPr>
                <w:rFonts w:ascii="宋体" w:hAnsi="宋体" w:cs="宋体"/>
                <w:color w:val="000000"/>
                <w:sz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32AA4401">
            <w:pPr>
              <w:rPr>
                <w:color w:val="000000"/>
                <w:highlight w:val="none"/>
              </w:rPr>
            </w:pPr>
            <w:r>
              <w:rPr>
                <w:rFonts w:hint="eastAsia"/>
                <w:color w:val="000000"/>
                <w:highlight w:val="none"/>
              </w:rPr>
              <w:t>（3）制定物业服务方案，主要包括：房屋维护服务方案、公用设施设备维护服务方案、绿化服务方案、保洁服务方案、保安服务方案等。</w:t>
            </w:r>
            <w:bookmarkEnd w:id="211"/>
            <w:bookmarkEnd w:id="212"/>
          </w:p>
        </w:tc>
      </w:tr>
      <w:tr w14:paraId="1915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restart"/>
            <w:tcBorders>
              <w:top w:val="single" w:color="auto" w:sz="4" w:space="0"/>
              <w:left w:val="single" w:color="auto" w:sz="4" w:space="0"/>
              <w:bottom w:val="single" w:color="auto" w:sz="4" w:space="0"/>
              <w:right w:val="single" w:color="auto" w:sz="4" w:space="0"/>
            </w:tcBorders>
            <w:noWrap w:val="0"/>
            <w:vAlign w:val="top"/>
          </w:tcPr>
          <w:p w14:paraId="2463E3FF">
            <w:pP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9</w:t>
            </w:r>
          </w:p>
        </w:tc>
        <w:tc>
          <w:tcPr>
            <w:tcW w:w="1766" w:type="dxa"/>
            <w:vMerge w:val="restart"/>
            <w:tcBorders>
              <w:top w:val="single" w:color="auto" w:sz="4" w:space="0"/>
              <w:left w:val="single" w:color="auto" w:sz="4" w:space="0"/>
              <w:bottom w:val="single" w:color="auto" w:sz="4" w:space="0"/>
              <w:right w:val="single" w:color="auto" w:sz="4" w:space="0"/>
            </w:tcBorders>
            <w:noWrap w:val="0"/>
            <w:vAlign w:val="top"/>
          </w:tcPr>
          <w:p w14:paraId="4E2B24BB">
            <w:pPr>
              <w:rPr>
                <w:color w:val="000000"/>
                <w:highlight w:val="none"/>
              </w:rPr>
            </w:pPr>
            <w:r>
              <w:rPr>
                <w:rFonts w:hint="eastAsia"/>
                <w:color w:val="000000"/>
                <w:highlight w:val="none"/>
              </w:rPr>
              <w:t>信报服务</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58DC47A0">
            <w:pPr>
              <w:rPr>
                <w:color w:val="000000"/>
                <w:highlight w:val="none"/>
              </w:rPr>
            </w:pPr>
            <w:r>
              <w:rPr>
                <w:rFonts w:hint="eastAsia"/>
                <w:color w:val="000000"/>
                <w:highlight w:val="none"/>
              </w:rPr>
              <w:t>（1）对邮件、包裹和挂号信等进行正确分理、 安全检查和防疫卫生检查。</w:t>
            </w:r>
          </w:p>
        </w:tc>
      </w:tr>
      <w:tr w14:paraId="10EF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30F768D1">
            <w:pPr>
              <w:rPr>
                <w:color w:val="000000"/>
                <w:highlight w:val="none"/>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top"/>
          </w:tcPr>
          <w:p w14:paraId="63CEDD57">
            <w:pPr>
              <w:rPr>
                <w:color w:val="000000"/>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1C3BF539">
            <w:pPr>
              <w:rPr>
                <w:color w:val="000000"/>
                <w:highlight w:val="none"/>
              </w:rPr>
            </w:pPr>
            <w:r>
              <w:rPr>
                <w:rFonts w:hint="eastAsia"/>
                <w:color w:val="000000"/>
                <w:highlight w:val="none"/>
              </w:rPr>
              <w:t>（2）及时投送或通知收件人领取。</w:t>
            </w:r>
          </w:p>
        </w:tc>
      </w:tr>
      <w:tr w14:paraId="1BE4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44D25EA6">
            <w:pPr>
              <w:rPr>
                <w:color w:val="000000"/>
                <w:highlight w:val="none"/>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top"/>
          </w:tcPr>
          <w:p w14:paraId="13123C69">
            <w:pPr>
              <w:rPr>
                <w:color w:val="000000"/>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722D67AC">
            <w:pPr>
              <w:rPr>
                <w:color w:val="000000"/>
                <w:highlight w:val="none"/>
              </w:rPr>
            </w:pPr>
            <w:r>
              <w:rPr>
                <w:rFonts w:hint="eastAsia"/>
                <w:color w:val="000000"/>
                <w:highlight w:val="none"/>
              </w:rPr>
              <w:t>（3）大件物品出入向采购人报告，待采购人确认无误后放行。</w:t>
            </w:r>
          </w:p>
        </w:tc>
      </w:tr>
      <w:tr w14:paraId="4A58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770" w:type="dxa"/>
            <w:vMerge w:val="restart"/>
            <w:tcBorders>
              <w:top w:val="single" w:color="auto" w:sz="4" w:space="0"/>
              <w:left w:val="single" w:color="auto" w:sz="4" w:space="0"/>
              <w:bottom w:val="single" w:color="auto" w:sz="4" w:space="0"/>
              <w:right w:val="single" w:color="auto" w:sz="4" w:space="0"/>
            </w:tcBorders>
            <w:noWrap w:val="0"/>
            <w:vAlign w:val="top"/>
          </w:tcPr>
          <w:p w14:paraId="37A6A2AC">
            <w:pPr>
              <w:rPr>
                <w:color w:val="000000"/>
                <w:highlight w:val="none"/>
              </w:rPr>
            </w:pPr>
            <w:r>
              <w:rPr>
                <w:rFonts w:hint="eastAsia"/>
                <w:color w:val="000000"/>
                <w:highlight w:val="none"/>
              </w:rPr>
              <w:t>1</w:t>
            </w:r>
            <w:r>
              <w:rPr>
                <w:rFonts w:hint="eastAsia"/>
                <w:color w:val="000000"/>
                <w:highlight w:val="none"/>
                <w:lang w:val="en-US" w:eastAsia="zh-CN"/>
              </w:rPr>
              <w:t>0</w:t>
            </w:r>
          </w:p>
        </w:tc>
        <w:tc>
          <w:tcPr>
            <w:tcW w:w="1766" w:type="dxa"/>
            <w:vMerge w:val="restart"/>
            <w:tcBorders>
              <w:top w:val="single" w:color="auto" w:sz="4" w:space="0"/>
              <w:left w:val="single" w:color="auto" w:sz="4" w:space="0"/>
              <w:bottom w:val="single" w:color="auto" w:sz="4" w:space="0"/>
              <w:right w:val="single" w:color="auto" w:sz="4" w:space="0"/>
            </w:tcBorders>
            <w:noWrap w:val="0"/>
            <w:vAlign w:val="top"/>
          </w:tcPr>
          <w:p w14:paraId="44AE5A6C">
            <w:pPr>
              <w:rPr>
                <w:color w:val="000000"/>
                <w:highlight w:val="none"/>
              </w:rPr>
            </w:pPr>
            <w:r>
              <w:rPr>
                <w:rFonts w:hint="eastAsia"/>
                <w:color w:val="000000"/>
                <w:highlight w:val="none"/>
              </w:rPr>
              <w:t>服务热线及紧 急维修</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7291585B">
            <w:pPr>
              <w:rPr>
                <w:color w:val="000000"/>
                <w:highlight w:val="none"/>
              </w:rPr>
            </w:pPr>
            <w:r>
              <w:rPr>
                <w:rFonts w:hint="eastAsia"/>
                <w:color w:val="000000"/>
                <w:highlight w:val="none"/>
              </w:rPr>
              <w:t>（1）设置 24 小时报修服务热线。</w:t>
            </w:r>
          </w:p>
        </w:tc>
      </w:tr>
      <w:tr w14:paraId="5DAC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6BDD35E0">
            <w:pPr>
              <w:rPr>
                <w:color w:val="000000"/>
                <w:highlight w:val="none"/>
              </w:rPr>
            </w:pPr>
          </w:p>
        </w:tc>
        <w:tc>
          <w:tcPr>
            <w:tcW w:w="1766" w:type="dxa"/>
            <w:vMerge w:val="continue"/>
            <w:tcBorders>
              <w:top w:val="single" w:color="auto" w:sz="4" w:space="0"/>
              <w:left w:val="single" w:color="auto" w:sz="4" w:space="0"/>
              <w:bottom w:val="single" w:color="auto" w:sz="4" w:space="0"/>
              <w:right w:val="single" w:color="auto" w:sz="4" w:space="0"/>
            </w:tcBorders>
            <w:noWrap w:val="0"/>
            <w:vAlign w:val="top"/>
          </w:tcPr>
          <w:p w14:paraId="3E4E4E9E">
            <w:pPr>
              <w:rPr>
                <w:color w:val="000000"/>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01A04A9F">
            <w:pPr>
              <w:rPr>
                <w:color w:val="000000"/>
                <w:highlight w:val="none"/>
              </w:rPr>
            </w:pPr>
            <w:r>
              <w:rPr>
                <w:rFonts w:hint="eastAsia"/>
                <w:color w:val="000000"/>
                <w:highlight w:val="none"/>
              </w:rPr>
              <w:t>（2）紧急维修应当 15 分钟内到达现场，不间断维修直至修复。</w:t>
            </w:r>
          </w:p>
        </w:tc>
      </w:tr>
    </w:tbl>
    <w:p w14:paraId="55E99D17">
      <w:pPr>
        <w:rPr>
          <w:b/>
          <w:bCs/>
          <w:color w:val="000000"/>
          <w:highlight w:val="none"/>
        </w:rPr>
      </w:pPr>
    </w:p>
    <w:p w14:paraId="0ADCD95B">
      <w:pPr>
        <w:outlineLvl w:val="2"/>
        <w:rPr>
          <w:b/>
          <w:bCs/>
          <w:color w:val="000000"/>
          <w:highlight w:val="none"/>
        </w:rPr>
      </w:pPr>
      <w:bookmarkStart w:id="217" w:name="_Toc3104"/>
      <w:r>
        <w:rPr>
          <w:rFonts w:hint="eastAsia"/>
          <w:b/>
          <w:bCs/>
          <w:color w:val="000000"/>
          <w:highlight w:val="none"/>
        </w:rPr>
        <w:t>3.2房屋维护服务</w:t>
      </w:r>
      <w:bookmarkEnd w:id="213"/>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742"/>
        <w:gridCol w:w="6106"/>
      </w:tblGrid>
      <w:tr w14:paraId="5520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7" w:type="dxa"/>
            <w:tcBorders>
              <w:top w:val="single" w:color="auto" w:sz="4" w:space="0"/>
              <w:left w:val="single" w:color="auto" w:sz="4" w:space="0"/>
              <w:bottom w:val="single" w:color="auto" w:sz="4" w:space="0"/>
              <w:right w:val="single" w:color="auto" w:sz="4" w:space="0"/>
            </w:tcBorders>
            <w:noWrap w:val="0"/>
            <w:vAlign w:val="top"/>
          </w:tcPr>
          <w:p w14:paraId="7B8AADC2">
            <w:pPr>
              <w:jc w:val="center"/>
              <w:rPr>
                <w:color w:val="000000"/>
                <w:highlight w:val="none"/>
              </w:rPr>
            </w:pPr>
            <w:r>
              <w:rPr>
                <w:rFonts w:hint="eastAsia"/>
                <w:color w:val="000000"/>
                <w:highlight w:val="none"/>
              </w:rPr>
              <w:t>序号</w:t>
            </w:r>
          </w:p>
        </w:tc>
        <w:tc>
          <w:tcPr>
            <w:tcW w:w="1742" w:type="dxa"/>
            <w:tcBorders>
              <w:top w:val="single" w:color="auto" w:sz="4" w:space="0"/>
              <w:left w:val="single" w:color="auto" w:sz="4" w:space="0"/>
              <w:bottom w:val="single" w:color="auto" w:sz="4" w:space="0"/>
              <w:right w:val="single" w:color="auto" w:sz="4" w:space="0"/>
            </w:tcBorders>
            <w:noWrap w:val="0"/>
            <w:vAlign w:val="top"/>
          </w:tcPr>
          <w:p w14:paraId="04C6A3BC">
            <w:pPr>
              <w:rPr>
                <w:color w:val="000000"/>
                <w:highlight w:val="none"/>
              </w:rPr>
            </w:pPr>
            <w:r>
              <w:rPr>
                <w:rFonts w:hint="eastAsia"/>
                <w:color w:val="000000"/>
                <w:highlight w:val="none"/>
              </w:rPr>
              <w:t>服务内容</w:t>
            </w:r>
          </w:p>
        </w:tc>
        <w:tc>
          <w:tcPr>
            <w:tcW w:w="6106" w:type="dxa"/>
            <w:tcBorders>
              <w:top w:val="single" w:color="auto" w:sz="4" w:space="0"/>
              <w:left w:val="single" w:color="auto" w:sz="4" w:space="0"/>
              <w:bottom w:val="single" w:color="auto" w:sz="4" w:space="0"/>
              <w:right w:val="single" w:color="auto" w:sz="4" w:space="0"/>
            </w:tcBorders>
            <w:noWrap w:val="0"/>
            <w:vAlign w:val="top"/>
          </w:tcPr>
          <w:p w14:paraId="4D7FDAF0">
            <w:pPr>
              <w:rPr>
                <w:color w:val="000000"/>
                <w:highlight w:val="none"/>
              </w:rPr>
            </w:pPr>
            <w:r>
              <w:rPr>
                <w:rFonts w:hint="eastAsia"/>
                <w:color w:val="000000"/>
                <w:highlight w:val="none"/>
              </w:rPr>
              <w:t>服务标准</w:t>
            </w:r>
          </w:p>
        </w:tc>
      </w:tr>
      <w:tr w14:paraId="4D5B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537" w:type="dxa"/>
            <w:vMerge w:val="restart"/>
            <w:tcBorders>
              <w:top w:val="single" w:color="auto" w:sz="4" w:space="0"/>
              <w:left w:val="single" w:color="auto" w:sz="4" w:space="0"/>
              <w:bottom w:val="single" w:color="auto" w:sz="4" w:space="0"/>
              <w:right w:val="single" w:color="auto" w:sz="4" w:space="0"/>
            </w:tcBorders>
            <w:noWrap w:val="0"/>
            <w:vAlign w:val="top"/>
          </w:tcPr>
          <w:p w14:paraId="0212C11E">
            <w:pPr>
              <w:jc w:val="center"/>
              <w:rPr>
                <w:color w:val="000000"/>
                <w:highlight w:val="none"/>
              </w:rPr>
            </w:pPr>
            <w:r>
              <w:rPr>
                <w:rFonts w:hint="eastAsia"/>
                <w:color w:val="000000"/>
                <w:highlight w:val="none"/>
              </w:rPr>
              <w:t>1</w:t>
            </w:r>
          </w:p>
        </w:tc>
        <w:tc>
          <w:tcPr>
            <w:tcW w:w="1742" w:type="dxa"/>
            <w:vMerge w:val="restart"/>
            <w:tcBorders>
              <w:top w:val="single" w:color="auto" w:sz="4" w:space="0"/>
              <w:left w:val="single" w:color="auto" w:sz="4" w:space="0"/>
              <w:bottom w:val="single" w:color="auto" w:sz="4" w:space="0"/>
              <w:right w:val="single" w:color="auto" w:sz="4" w:space="0"/>
            </w:tcBorders>
            <w:noWrap w:val="0"/>
            <w:vAlign w:val="top"/>
          </w:tcPr>
          <w:p w14:paraId="544BD3F0">
            <w:pPr>
              <w:rPr>
                <w:color w:val="000000"/>
                <w:highlight w:val="none"/>
              </w:rPr>
            </w:pPr>
            <w:r>
              <w:rPr>
                <w:rFonts w:hint="eastAsia"/>
                <w:color w:val="000000"/>
                <w:highlight w:val="none"/>
              </w:rPr>
              <w:t>主体结构、围护结构、部品部件</w:t>
            </w:r>
          </w:p>
        </w:tc>
        <w:tc>
          <w:tcPr>
            <w:tcW w:w="6106" w:type="dxa"/>
            <w:tcBorders>
              <w:top w:val="single" w:color="auto" w:sz="4" w:space="0"/>
              <w:left w:val="single" w:color="auto" w:sz="4" w:space="0"/>
              <w:bottom w:val="single" w:color="auto" w:sz="4" w:space="0"/>
              <w:right w:val="single" w:color="auto" w:sz="4" w:space="0"/>
            </w:tcBorders>
            <w:noWrap w:val="0"/>
            <w:vAlign w:val="top"/>
          </w:tcPr>
          <w:p w14:paraId="2447C119">
            <w:pPr>
              <w:rPr>
                <w:color w:val="000000"/>
                <w:highlight w:val="none"/>
              </w:rPr>
            </w:pPr>
            <w:r>
              <w:rPr>
                <w:rFonts w:hint="eastAsia"/>
                <w:color w:val="000000"/>
                <w:highlight w:val="none"/>
              </w:rPr>
              <w:t>（1）每季度至少开展1次房屋结构安全巡视， 发现外观有变形、开裂等现象，及时建议采购人申请房屋安全鉴定，并采取必要的避险和防护措施。</w:t>
            </w:r>
            <w:r>
              <w:rPr>
                <w:rFonts w:hint="eastAsia"/>
                <w:color w:val="000000"/>
                <w:highlight w:val="none"/>
                <w:lang w:eastAsia="zh-CN"/>
              </w:rPr>
              <w:t>涉及结构维修由采购人协调相应房屋业主负责。</w:t>
            </w:r>
          </w:p>
        </w:tc>
      </w:tr>
      <w:tr w14:paraId="3BA5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537" w:type="dxa"/>
            <w:vMerge w:val="continue"/>
            <w:tcBorders>
              <w:top w:val="single" w:color="auto" w:sz="4" w:space="0"/>
              <w:left w:val="single" w:color="auto" w:sz="4" w:space="0"/>
              <w:bottom w:val="single" w:color="auto" w:sz="4" w:space="0"/>
              <w:right w:val="single" w:color="auto" w:sz="4" w:space="0"/>
            </w:tcBorders>
            <w:noWrap w:val="0"/>
            <w:vAlign w:val="top"/>
          </w:tcPr>
          <w:p w14:paraId="2379E024">
            <w:pPr>
              <w:jc w:val="center"/>
              <w:rPr>
                <w:color w:val="000000"/>
                <w:highlight w:val="none"/>
              </w:rPr>
            </w:pPr>
          </w:p>
        </w:tc>
        <w:tc>
          <w:tcPr>
            <w:tcW w:w="1742" w:type="dxa"/>
            <w:vMerge w:val="continue"/>
            <w:tcBorders>
              <w:top w:val="single" w:color="auto" w:sz="4" w:space="0"/>
              <w:left w:val="single" w:color="auto" w:sz="4" w:space="0"/>
              <w:bottom w:val="single" w:color="auto" w:sz="4" w:space="0"/>
              <w:right w:val="single" w:color="auto" w:sz="4" w:space="0"/>
            </w:tcBorders>
            <w:noWrap w:val="0"/>
            <w:vAlign w:val="top"/>
          </w:tcPr>
          <w:p w14:paraId="6F835627">
            <w:pPr>
              <w:rPr>
                <w:color w:val="000000"/>
                <w:highlight w:val="none"/>
              </w:rPr>
            </w:pPr>
          </w:p>
        </w:tc>
        <w:tc>
          <w:tcPr>
            <w:tcW w:w="6106" w:type="dxa"/>
            <w:tcBorders>
              <w:top w:val="single" w:color="auto" w:sz="4" w:space="0"/>
              <w:left w:val="single" w:color="auto" w:sz="4" w:space="0"/>
              <w:bottom w:val="single" w:color="auto" w:sz="4" w:space="0"/>
              <w:right w:val="single" w:color="auto" w:sz="4" w:space="0"/>
            </w:tcBorders>
            <w:noWrap w:val="0"/>
            <w:vAlign w:val="top"/>
          </w:tcPr>
          <w:p w14:paraId="34446B5A">
            <w:pPr>
              <w:rPr>
                <w:color w:val="000000"/>
                <w:highlight w:val="none"/>
              </w:rPr>
            </w:pPr>
            <w:r>
              <w:rPr>
                <w:rFonts w:hint="eastAsia"/>
                <w:color w:val="000000"/>
                <w:highlight w:val="none"/>
              </w:rPr>
              <w:t>（2）每季度至少开展1次外墙贴饰面、幕墙玻 璃、雨篷、散水、空调室外机支撑构件等检查，发现破损，及时向采购人报告，按采购人要求出具维修方案，待采购人同意后按维修方案实施维修。</w:t>
            </w:r>
          </w:p>
        </w:tc>
      </w:tr>
      <w:tr w14:paraId="4244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537" w:type="dxa"/>
            <w:vMerge w:val="continue"/>
            <w:tcBorders>
              <w:top w:val="single" w:color="auto" w:sz="4" w:space="0"/>
              <w:left w:val="single" w:color="auto" w:sz="4" w:space="0"/>
              <w:bottom w:val="single" w:color="auto" w:sz="4" w:space="0"/>
              <w:right w:val="single" w:color="auto" w:sz="4" w:space="0"/>
            </w:tcBorders>
            <w:noWrap w:val="0"/>
            <w:vAlign w:val="top"/>
          </w:tcPr>
          <w:p w14:paraId="1811E5EF">
            <w:pPr>
              <w:jc w:val="center"/>
              <w:rPr>
                <w:color w:val="000000"/>
                <w:highlight w:val="none"/>
              </w:rPr>
            </w:pPr>
          </w:p>
        </w:tc>
        <w:tc>
          <w:tcPr>
            <w:tcW w:w="1742" w:type="dxa"/>
            <w:vMerge w:val="continue"/>
            <w:tcBorders>
              <w:top w:val="single" w:color="auto" w:sz="4" w:space="0"/>
              <w:left w:val="single" w:color="auto" w:sz="4" w:space="0"/>
              <w:bottom w:val="single" w:color="auto" w:sz="4" w:space="0"/>
              <w:right w:val="single" w:color="auto" w:sz="4" w:space="0"/>
            </w:tcBorders>
            <w:noWrap w:val="0"/>
            <w:vAlign w:val="top"/>
          </w:tcPr>
          <w:p w14:paraId="79B397CB">
            <w:pPr>
              <w:rPr>
                <w:color w:val="000000"/>
                <w:highlight w:val="none"/>
              </w:rPr>
            </w:pPr>
          </w:p>
        </w:tc>
        <w:tc>
          <w:tcPr>
            <w:tcW w:w="6106" w:type="dxa"/>
            <w:tcBorders>
              <w:top w:val="single" w:color="auto" w:sz="4" w:space="0"/>
              <w:left w:val="single" w:color="auto" w:sz="4" w:space="0"/>
              <w:bottom w:val="single" w:color="auto" w:sz="4" w:space="0"/>
              <w:right w:val="single" w:color="auto" w:sz="4" w:space="0"/>
            </w:tcBorders>
            <w:noWrap w:val="0"/>
            <w:vAlign w:val="top"/>
          </w:tcPr>
          <w:p w14:paraId="5CC6CE35">
            <w:pPr>
              <w:rPr>
                <w:color w:val="000000"/>
                <w:highlight w:val="none"/>
              </w:rPr>
            </w:pPr>
            <w:r>
              <w:rPr>
                <w:rFonts w:hint="eastAsia"/>
                <w:color w:val="000000"/>
                <w:highlight w:val="none"/>
              </w:rPr>
              <w:t>（3）每半月至少开展1次公用部位的门、窗、楼梯、通风道、室内地面、墙面、吊顶和室外屋面等巡查，发现破损，及时向采购人报告，按采购人要求出具维修方案，待采购人同意后按维修方案实施维修。</w:t>
            </w:r>
          </w:p>
        </w:tc>
      </w:tr>
      <w:tr w14:paraId="6925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537" w:type="dxa"/>
            <w:vMerge w:val="continue"/>
            <w:tcBorders>
              <w:top w:val="single" w:color="auto" w:sz="4" w:space="0"/>
              <w:left w:val="single" w:color="auto" w:sz="4" w:space="0"/>
              <w:bottom w:val="single" w:color="auto" w:sz="4" w:space="0"/>
              <w:right w:val="single" w:color="auto" w:sz="4" w:space="0"/>
            </w:tcBorders>
            <w:noWrap w:val="0"/>
            <w:vAlign w:val="top"/>
          </w:tcPr>
          <w:p w14:paraId="12AB5674">
            <w:pPr>
              <w:jc w:val="center"/>
              <w:rPr>
                <w:color w:val="000000"/>
                <w:highlight w:val="none"/>
              </w:rPr>
            </w:pPr>
          </w:p>
        </w:tc>
        <w:tc>
          <w:tcPr>
            <w:tcW w:w="1742" w:type="dxa"/>
            <w:vMerge w:val="continue"/>
            <w:tcBorders>
              <w:top w:val="single" w:color="auto" w:sz="4" w:space="0"/>
              <w:left w:val="single" w:color="auto" w:sz="4" w:space="0"/>
              <w:bottom w:val="single" w:color="auto" w:sz="4" w:space="0"/>
              <w:right w:val="single" w:color="auto" w:sz="4" w:space="0"/>
            </w:tcBorders>
            <w:noWrap w:val="0"/>
            <w:vAlign w:val="top"/>
          </w:tcPr>
          <w:p w14:paraId="314005C1">
            <w:pPr>
              <w:rPr>
                <w:color w:val="000000"/>
                <w:highlight w:val="none"/>
              </w:rPr>
            </w:pPr>
          </w:p>
        </w:tc>
        <w:tc>
          <w:tcPr>
            <w:tcW w:w="6106" w:type="dxa"/>
            <w:tcBorders>
              <w:top w:val="single" w:color="auto" w:sz="4" w:space="0"/>
              <w:left w:val="single" w:color="auto" w:sz="4" w:space="0"/>
              <w:bottom w:val="single" w:color="auto" w:sz="4" w:space="0"/>
              <w:right w:val="single" w:color="auto" w:sz="4" w:space="0"/>
            </w:tcBorders>
            <w:noWrap w:val="0"/>
            <w:vAlign w:val="top"/>
          </w:tcPr>
          <w:p w14:paraId="344C2567">
            <w:pPr>
              <w:rPr>
                <w:color w:val="000000"/>
                <w:highlight w:val="none"/>
              </w:rPr>
            </w:pPr>
            <w:r>
              <w:rPr>
                <w:rFonts w:hint="eastAsia"/>
                <w:color w:val="000000"/>
                <w:highlight w:val="none"/>
              </w:rPr>
              <w:t>（4）每年强降雨天气前后、雨雪季节检查屋面防水和雨落管等，发现破损</w:t>
            </w:r>
            <w:r>
              <w:rPr>
                <w:rFonts w:hint="eastAsia"/>
                <w:color w:val="000000"/>
                <w:highlight w:val="none"/>
                <w:lang w:eastAsia="zh-CN"/>
              </w:rPr>
              <w:t>、渗漏</w:t>
            </w:r>
            <w:r>
              <w:rPr>
                <w:rFonts w:hint="eastAsia"/>
                <w:color w:val="000000"/>
                <w:highlight w:val="none"/>
              </w:rPr>
              <w:t>，及时向采购人报告，按采购人要求出具维修方案，待采购人同意后按维修方案实施维修。</w:t>
            </w:r>
          </w:p>
        </w:tc>
      </w:tr>
      <w:tr w14:paraId="1F50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537" w:type="dxa"/>
            <w:vMerge w:val="continue"/>
            <w:tcBorders>
              <w:top w:val="single" w:color="auto" w:sz="4" w:space="0"/>
              <w:left w:val="single" w:color="auto" w:sz="4" w:space="0"/>
              <w:bottom w:val="single" w:color="auto" w:sz="4" w:space="0"/>
              <w:right w:val="single" w:color="auto" w:sz="4" w:space="0"/>
            </w:tcBorders>
            <w:noWrap w:val="0"/>
            <w:vAlign w:val="top"/>
          </w:tcPr>
          <w:p w14:paraId="56767E6A">
            <w:pPr>
              <w:jc w:val="center"/>
              <w:rPr>
                <w:color w:val="000000"/>
                <w:highlight w:val="none"/>
              </w:rPr>
            </w:pPr>
          </w:p>
        </w:tc>
        <w:tc>
          <w:tcPr>
            <w:tcW w:w="1742" w:type="dxa"/>
            <w:vMerge w:val="continue"/>
            <w:tcBorders>
              <w:top w:val="single" w:color="auto" w:sz="4" w:space="0"/>
              <w:left w:val="single" w:color="auto" w:sz="4" w:space="0"/>
              <w:bottom w:val="single" w:color="auto" w:sz="4" w:space="0"/>
              <w:right w:val="single" w:color="auto" w:sz="4" w:space="0"/>
            </w:tcBorders>
            <w:noWrap w:val="0"/>
            <w:vAlign w:val="top"/>
          </w:tcPr>
          <w:p w14:paraId="75CC610D">
            <w:pPr>
              <w:rPr>
                <w:color w:val="000000"/>
                <w:highlight w:val="none"/>
              </w:rPr>
            </w:pPr>
          </w:p>
        </w:tc>
        <w:tc>
          <w:tcPr>
            <w:tcW w:w="6106" w:type="dxa"/>
            <w:tcBorders>
              <w:top w:val="single" w:color="auto" w:sz="4" w:space="0"/>
              <w:left w:val="single" w:color="auto" w:sz="4" w:space="0"/>
              <w:bottom w:val="single" w:color="auto" w:sz="4" w:space="0"/>
              <w:right w:val="single" w:color="auto" w:sz="4" w:space="0"/>
            </w:tcBorders>
            <w:noWrap w:val="0"/>
            <w:vAlign w:val="top"/>
          </w:tcPr>
          <w:p w14:paraId="1CEB8C84">
            <w:pPr>
              <w:rPr>
                <w:color w:val="000000"/>
                <w:highlight w:val="none"/>
              </w:rPr>
            </w:pPr>
            <w:r>
              <w:rPr>
                <w:rFonts w:hint="eastAsia"/>
                <w:color w:val="000000"/>
                <w:highlight w:val="none"/>
              </w:rPr>
              <w:t>（5）办公楼外观完好，建筑装饰面无脱落、无破损、无污渍，玻璃幕墙清洁明亮、无破损。</w:t>
            </w:r>
          </w:p>
        </w:tc>
      </w:tr>
      <w:tr w14:paraId="27A9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537" w:type="dxa"/>
            <w:vMerge w:val="continue"/>
            <w:tcBorders>
              <w:top w:val="single" w:color="auto" w:sz="4" w:space="0"/>
              <w:left w:val="single" w:color="auto" w:sz="4" w:space="0"/>
              <w:bottom w:val="single" w:color="auto" w:sz="4" w:space="0"/>
              <w:right w:val="single" w:color="auto" w:sz="4" w:space="0"/>
            </w:tcBorders>
            <w:noWrap w:val="0"/>
            <w:vAlign w:val="top"/>
          </w:tcPr>
          <w:p w14:paraId="0C26DCD8">
            <w:pPr>
              <w:jc w:val="center"/>
              <w:rPr>
                <w:color w:val="000000"/>
                <w:highlight w:val="none"/>
              </w:rPr>
            </w:pPr>
          </w:p>
        </w:tc>
        <w:tc>
          <w:tcPr>
            <w:tcW w:w="1742" w:type="dxa"/>
            <w:vMerge w:val="continue"/>
            <w:tcBorders>
              <w:top w:val="single" w:color="auto" w:sz="4" w:space="0"/>
              <w:left w:val="single" w:color="auto" w:sz="4" w:space="0"/>
              <w:bottom w:val="single" w:color="auto" w:sz="4" w:space="0"/>
              <w:right w:val="single" w:color="auto" w:sz="4" w:space="0"/>
            </w:tcBorders>
            <w:noWrap w:val="0"/>
            <w:vAlign w:val="top"/>
          </w:tcPr>
          <w:p w14:paraId="51C97D01">
            <w:pPr>
              <w:rPr>
                <w:color w:val="000000"/>
                <w:highlight w:val="none"/>
              </w:rPr>
            </w:pPr>
          </w:p>
        </w:tc>
        <w:tc>
          <w:tcPr>
            <w:tcW w:w="6106" w:type="dxa"/>
            <w:tcBorders>
              <w:top w:val="single" w:color="auto" w:sz="4" w:space="0"/>
              <w:left w:val="single" w:color="auto" w:sz="4" w:space="0"/>
              <w:bottom w:val="single" w:color="auto" w:sz="4" w:space="0"/>
              <w:right w:val="single" w:color="auto" w:sz="4" w:space="0"/>
            </w:tcBorders>
            <w:noWrap w:val="0"/>
            <w:vAlign w:val="top"/>
          </w:tcPr>
          <w:p w14:paraId="786F5AE0">
            <w:pPr>
              <w:rPr>
                <w:color w:val="000000"/>
                <w:highlight w:val="none"/>
              </w:rPr>
            </w:pPr>
            <w:r>
              <w:rPr>
                <w:rFonts w:hint="eastAsia"/>
                <w:color w:val="000000"/>
                <w:highlight w:val="none"/>
              </w:rPr>
              <w:t>（6）通道、楼梯、门窗等设施的完好和正常使用。</w:t>
            </w:r>
          </w:p>
        </w:tc>
      </w:tr>
      <w:tr w14:paraId="55CA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537" w:type="dxa"/>
            <w:vMerge w:val="continue"/>
            <w:tcBorders>
              <w:top w:val="single" w:color="auto" w:sz="4" w:space="0"/>
              <w:left w:val="single" w:color="auto" w:sz="4" w:space="0"/>
              <w:bottom w:val="single" w:color="auto" w:sz="4" w:space="0"/>
              <w:right w:val="single" w:color="auto" w:sz="4" w:space="0"/>
            </w:tcBorders>
            <w:noWrap w:val="0"/>
            <w:vAlign w:val="top"/>
          </w:tcPr>
          <w:p w14:paraId="37B4E70B">
            <w:pPr>
              <w:jc w:val="center"/>
              <w:rPr>
                <w:color w:val="000000"/>
                <w:highlight w:val="none"/>
              </w:rPr>
            </w:pPr>
          </w:p>
        </w:tc>
        <w:tc>
          <w:tcPr>
            <w:tcW w:w="1742" w:type="dxa"/>
            <w:vMerge w:val="continue"/>
            <w:tcBorders>
              <w:top w:val="single" w:color="auto" w:sz="4" w:space="0"/>
              <w:left w:val="single" w:color="auto" w:sz="4" w:space="0"/>
              <w:bottom w:val="single" w:color="auto" w:sz="4" w:space="0"/>
              <w:right w:val="single" w:color="auto" w:sz="4" w:space="0"/>
            </w:tcBorders>
            <w:noWrap w:val="0"/>
            <w:vAlign w:val="top"/>
          </w:tcPr>
          <w:p w14:paraId="34059849">
            <w:pPr>
              <w:rPr>
                <w:color w:val="000000"/>
                <w:highlight w:val="none"/>
              </w:rPr>
            </w:pPr>
          </w:p>
        </w:tc>
        <w:tc>
          <w:tcPr>
            <w:tcW w:w="6106" w:type="dxa"/>
            <w:tcBorders>
              <w:top w:val="single" w:color="auto" w:sz="4" w:space="0"/>
              <w:left w:val="single" w:color="auto" w:sz="4" w:space="0"/>
              <w:bottom w:val="single" w:color="auto" w:sz="4" w:space="0"/>
              <w:right w:val="single" w:color="auto" w:sz="4" w:space="0"/>
            </w:tcBorders>
            <w:noWrap w:val="0"/>
            <w:vAlign w:val="top"/>
          </w:tcPr>
          <w:p w14:paraId="1B03BC11">
            <w:pPr>
              <w:rPr>
                <w:color w:val="000000"/>
                <w:highlight w:val="none"/>
              </w:rPr>
            </w:pPr>
            <w:r>
              <w:rPr>
                <w:rFonts w:hint="eastAsia"/>
                <w:b w:val="0"/>
                <w:bCs w:val="0"/>
                <w:color w:val="000000"/>
                <w:highlight w:val="none"/>
              </w:rPr>
              <w:t>（7）</w:t>
            </w:r>
            <w:r>
              <w:rPr>
                <w:rFonts w:hint="eastAsia"/>
                <w:b w:val="0"/>
                <w:bCs w:val="0"/>
                <w:color w:val="000000"/>
                <w:highlight w:val="none"/>
                <w:lang w:eastAsia="zh-CN"/>
              </w:rPr>
              <w:t>房屋日常维修（除房屋结构以外的维修项目）由中标人负责，费用</w:t>
            </w:r>
            <w:r>
              <w:rPr>
                <w:rFonts w:hint="eastAsia"/>
                <w:b w:val="0"/>
                <w:bCs w:val="0"/>
                <w:color w:val="000000"/>
                <w:highlight w:val="none"/>
                <w:lang w:val="en-US" w:eastAsia="zh-CN"/>
              </w:rPr>
              <w:t>从报价明细表中相应项目经费支出</w:t>
            </w:r>
            <w:r>
              <w:rPr>
                <w:rFonts w:hint="eastAsia" w:hAnsi="宋体"/>
                <w:b w:val="0"/>
                <w:bCs w:val="0"/>
                <w:color w:val="000000"/>
                <w:szCs w:val="21"/>
                <w:highlight w:val="none"/>
                <w:lang w:eastAsia="zh-CN"/>
              </w:rPr>
              <w:t>。</w:t>
            </w:r>
          </w:p>
        </w:tc>
      </w:tr>
      <w:tr w14:paraId="37C3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37" w:type="dxa"/>
            <w:vMerge w:val="restart"/>
            <w:tcBorders>
              <w:top w:val="single" w:color="auto" w:sz="4" w:space="0"/>
              <w:left w:val="single" w:color="auto" w:sz="4" w:space="0"/>
              <w:bottom w:val="single" w:color="auto" w:sz="4" w:space="0"/>
              <w:right w:val="single" w:color="auto" w:sz="4" w:space="0"/>
            </w:tcBorders>
            <w:noWrap w:val="0"/>
            <w:vAlign w:val="top"/>
          </w:tcPr>
          <w:p w14:paraId="4B43BCFE">
            <w:pPr>
              <w:jc w:val="center"/>
              <w:rPr>
                <w:color w:val="000000"/>
                <w:highlight w:val="none"/>
              </w:rPr>
            </w:pPr>
            <w:r>
              <w:rPr>
                <w:rFonts w:hint="eastAsia"/>
                <w:color w:val="000000"/>
                <w:highlight w:val="none"/>
              </w:rPr>
              <w:t>2</w:t>
            </w:r>
          </w:p>
        </w:tc>
        <w:tc>
          <w:tcPr>
            <w:tcW w:w="1742" w:type="dxa"/>
            <w:vMerge w:val="restart"/>
            <w:tcBorders>
              <w:top w:val="single" w:color="auto" w:sz="4" w:space="0"/>
              <w:left w:val="single" w:color="auto" w:sz="4" w:space="0"/>
              <w:bottom w:val="single" w:color="auto" w:sz="4" w:space="0"/>
              <w:right w:val="single" w:color="auto" w:sz="4" w:space="0"/>
            </w:tcBorders>
            <w:noWrap w:val="0"/>
            <w:vAlign w:val="top"/>
          </w:tcPr>
          <w:p w14:paraId="34AAD273">
            <w:pPr>
              <w:rPr>
                <w:color w:val="000000"/>
                <w:highlight w:val="none"/>
              </w:rPr>
            </w:pPr>
            <w:r>
              <w:rPr>
                <w:rFonts w:hint="eastAsia"/>
                <w:color w:val="000000"/>
                <w:highlight w:val="none"/>
              </w:rPr>
              <w:t>其他设施</w:t>
            </w:r>
          </w:p>
        </w:tc>
        <w:tc>
          <w:tcPr>
            <w:tcW w:w="6106" w:type="dxa"/>
            <w:tcBorders>
              <w:top w:val="single" w:color="auto" w:sz="4" w:space="0"/>
              <w:left w:val="single" w:color="auto" w:sz="4" w:space="0"/>
              <w:bottom w:val="single" w:color="auto" w:sz="4" w:space="0"/>
              <w:right w:val="single" w:color="auto" w:sz="4" w:space="0"/>
            </w:tcBorders>
            <w:noWrap w:val="0"/>
            <w:vAlign w:val="top"/>
          </w:tcPr>
          <w:p w14:paraId="095BAA73">
            <w:pPr>
              <w:rPr>
                <w:color w:val="000000"/>
                <w:highlight w:val="none"/>
              </w:rPr>
            </w:pPr>
            <w:r>
              <w:rPr>
                <w:rFonts w:hint="eastAsia"/>
                <w:color w:val="000000"/>
                <w:highlight w:val="none"/>
              </w:rPr>
              <w:t>（1）每半月至少开展 1 次大门、围墙、道路、场地、管井、沟渠等巡查，每半月至少检查 1 次雨污水管井、化粪池等巡查，发现破损，及时维修。</w:t>
            </w:r>
          </w:p>
        </w:tc>
      </w:tr>
      <w:tr w14:paraId="7A93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37" w:type="dxa"/>
            <w:vMerge w:val="continue"/>
            <w:tcBorders>
              <w:top w:val="single" w:color="auto" w:sz="4" w:space="0"/>
              <w:left w:val="single" w:color="auto" w:sz="4" w:space="0"/>
              <w:bottom w:val="single" w:color="auto" w:sz="4" w:space="0"/>
              <w:right w:val="single" w:color="auto" w:sz="4" w:space="0"/>
            </w:tcBorders>
            <w:noWrap w:val="0"/>
            <w:vAlign w:val="top"/>
          </w:tcPr>
          <w:p w14:paraId="11192EBB">
            <w:pPr>
              <w:jc w:val="center"/>
              <w:rPr>
                <w:color w:val="000000"/>
                <w:highlight w:val="none"/>
              </w:rPr>
            </w:pPr>
          </w:p>
        </w:tc>
        <w:tc>
          <w:tcPr>
            <w:tcW w:w="1742" w:type="dxa"/>
            <w:vMerge w:val="continue"/>
            <w:tcBorders>
              <w:top w:val="single" w:color="auto" w:sz="4" w:space="0"/>
              <w:left w:val="single" w:color="auto" w:sz="4" w:space="0"/>
              <w:bottom w:val="single" w:color="auto" w:sz="4" w:space="0"/>
              <w:right w:val="single" w:color="auto" w:sz="4" w:space="0"/>
            </w:tcBorders>
            <w:noWrap w:val="0"/>
            <w:vAlign w:val="top"/>
          </w:tcPr>
          <w:p w14:paraId="78E8184F">
            <w:pPr>
              <w:rPr>
                <w:color w:val="000000"/>
                <w:highlight w:val="none"/>
              </w:rPr>
            </w:pPr>
          </w:p>
        </w:tc>
        <w:tc>
          <w:tcPr>
            <w:tcW w:w="6106" w:type="dxa"/>
            <w:tcBorders>
              <w:top w:val="single" w:color="auto" w:sz="4" w:space="0"/>
              <w:left w:val="single" w:color="auto" w:sz="4" w:space="0"/>
              <w:bottom w:val="single" w:color="auto" w:sz="4" w:space="0"/>
              <w:right w:val="single" w:color="auto" w:sz="4" w:space="0"/>
            </w:tcBorders>
            <w:noWrap w:val="0"/>
            <w:vAlign w:val="top"/>
          </w:tcPr>
          <w:p w14:paraId="479D4E79">
            <w:pPr>
              <w:rPr>
                <w:color w:val="000000"/>
                <w:highlight w:val="none"/>
              </w:rPr>
            </w:pPr>
            <w:r>
              <w:rPr>
                <w:rFonts w:hint="eastAsia"/>
                <w:color w:val="000000"/>
                <w:highlight w:val="none"/>
              </w:rPr>
              <w:t>（2）每年至少开展1次防雷装置检测，发现失效，及时向采购人报告，按采购人要求出具维修方案，待采购人同意后按维修方案实施维修。</w:t>
            </w:r>
          </w:p>
        </w:tc>
      </w:tr>
      <w:tr w14:paraId="3E64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37" w:type="dxa"/>
            <w:vMerge w:val="continue"/>
            <w:tcBorders>
              <w:top w:val="single" w:color="auto" w:sz="4" w:space="0"/>
              <w:left w:val="single" w:color="auto" w:sz="4" w:space="0"/>
              <w:bottom w:val="single" w:color="auto" w:sz="4" w:space="0"/>
              <w:right w:val="single" w:color="auto" w:sz="4" w:space="0"/>
            </w:tcBorders>
            <w:noWrap w:val="0"/>
            <w:vAlign w:val="top"/>
          </w:tcPr>
          <w:p w14:paraId="5C4CD37C">
            <w:pPr>
              <w:jc w:val="center"/>
              <w:rPr>
                <w:rFonts w:ascii="宋体" w:hAnsi="宋体" w:cs="宋体"/>
                <w:color w:val="000000"/>
                <w:sz w:val="24"/>
                <w:highlight w:val="none"/>
              </w:rPr>
            </w:pPr>
          </w:p>
        </w:tc>
        <w:tc>
          <w:tcPr>
            <w:tcW w:w="1742" w:type="dxa"/>
            <w:vMerge w:val="continue"/>
            <w:tcBorders>
              <w:top w:val="single" w:color="auto" w:sz="4" w:space="0"/>
              <w:left w:val="single" w:color="auto" w:sz="4" w:space="0"/>
              <w:bottom w:val="single" w:color="auto" w:sz="4" w:space="0"/>
              <w:right w:val="single" w:color="auto" w:sz="4" w:space="0"/>
            </w:tcBorders>
            <w:noWrap w:val="0"/>
            <w:vAlign w:val="top"/>
          </w:tcPr>
          <w:p w14:paraId="325F444F">
            <w:pPr>
              <w:rPr>
                <w:rFonts w:ascii="宋体" w:hAnsi="宋体" w:cs="宋体"/>
                <w:color w:val="000000"/>
                <w:sz w:val="24"/>
                <w:highlight w:val="none"/>
              </w:rPr>
            </w:pPr>
          </w:p>
        </w:tc>
        <w:tc>
          <w:tcPr>
            <w:tcW w:w="6106" w:type="dxa"/>
            <w:tcBorders>
              <w:top w:val="single" w:color="auto" w:sz="4" w:space="0"/>
              <w:left w:val="single" w:color="auto" w:sz="4" w:space="0"/>
              <w:bottom w:val="single" w:color="auto" w:sz="4" w:space="0"/>
              <w:right w:val="single" w:color="auto" w:sz="4" w:space="0"/>
            </w:tcBorders>
            <w:noWrap w:val="0"/>
            <w:vAlign w:val="top"/>
          </w:tcPr>
          <w:p w14:paraId="23943C1A">
            <w:pPr>
              <w:rPr>
                <w:color w:val="000000"/>
                <w:highlight w:val="none"/>
              </w:rPr>
            </w:pPr>
            <w:r>
              <w:rPr>
                <w:rFonts w:hint="eastAsia"/>
                <w:color w:val="000000"/>
                <w:highlight w:val="none"/>
              </w:rPr>
              <w:t>（3）路面状态良好，地漏通畅不堵塞；井盖无缺损、无丢失，路面井盖不影响车辆和行人通行。</w:t>
            </w:r>
          </w:p>
        </w:tc>
      </w:tr>
      <w:tr w14:paraId="7CF5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37" w:type="dxa"/>
            <w:vMerge w:val="continue"/>
            <w:tcBorders>
              <w:top w:val="single" w:color="auto" w:sz="4" w:space="0"/>
              <w:left w:val="single" w:color="auto" w:sz="4" w:space="0"/>
              <w:bottom w:val="single" w:color="auto" w:sz="4" w:space="0"/>
              <w:right w:val="single" w:color="auto" w:sz="4" w:space="0"/>
            </w:tcBorders>
            <w:noWrap w:val="0"/>
            <w:vAlign w:val="top"/>
          </w:tcPr>
          <w:p w14:paraId="3E112F0A">
            <w:pPr>
              <w:jc w:val="center"/>
              <w:rPr>
                <w:rFonts w:ascii="宋体" w:hAnsi="宋体" w:cs="宋体"/>
                <w:color w:val="000000"/>
                <w:sz w:val="24"/>
                <w:highlight w:val="none"/>
              </w:rPr>
            </w:pPr>
          </w:p>
        </w:tc>
        <w:tc>
          <w:tcPr>
            <w:tcW w:w="1742" w:type="dxa"/>
            <w:vMerge w:val="continue"/>
            <w:tcBorders>
              <w:top w:val="single" w:color="auto" w:sz="4" w:space="0"/>
              <w:left w:val="single" w:color="auto" w:sz="4" w:space="0"/>
              <w:bottom w:val="single" w:color="auto" w:sz="4" w:space="0"/>
              <w:right w:val="single" w:color="auto" w:sz="4" w:space="0"/>
            </w:tcBorders>
            <w:noWrap w:val="0"/>
            <w:vAlign w:val="top"/>
          </w:tcPr>
          <w:p w14:paraId="748541E6">
            <w:pPr>
              <w:rPr>
                <w:rFonts w:ascii="宋体" w:hAnsi="宋体" w:cs="宋体"/>
                <w:color w:val="000000"/>
                <w:sz w:val="24"/>
                <w:highlight w:val="none"/>
              </w:rPr>
            </w:pPr>
          </w:p>
        </w:tc>
        <w:tc>
          <w:tcPr>
            <w:tcW w:w="6106" w:type="dxa"/>
            <w:tcBorders>
              <w:top w:val="single" w:color="auto" w:sz="4" w:space="0"/>
              <w:left w:val="single" w:color="auto" w:sz="4" w:space="0"/>
              <w:bottom w:val="single" w:color="auto" w:sz="4" w:space="0"/>
              <w:right w:val="single" w:color="auto" w:sz="4" w:space="0"/>
            </w:tcBorders>
            <w:noWrap w:val="0"/>
            <w:vAlign w:val="top"/>
          </w:tcPr>
          <w:p w14:paraId="34F84A74">
            <w:pPr>
              <w:spacing w:line="380" w:lineRule="exact"/>
              <w:rPr>
                <w:color w:val="000000"/>
                <w:highlight w:val="none"/>
              </w:rPr>
            </w:pPr>
            <w:r>
              <w:rPr>
                <w:rFonts w:hint="eastAsia"/>
                <w:color w:val="000000"/>
                <w:highlight w:val="none"/>
              </w:rPr>
              <w:t>（4）公共雨、污水管道、房顶：保证</w:t>
            </w:r>
            <w:r>
              <w:rPr>
                <w:rFonts w:hint="eastAsia"/>
                <w:color w:val="000000"/>
              </w:rPr>
              <w:t>畅通</w:t>
            </w:r>
            <w:r>
              <w:rPr>
                <w:rFonts w:hint="eastAsia"/>
                <w:color w:val="000000"/>
                <w:highlight w:val="none"/>
              </w:rPr>
              <w:t>无堵，疏通每年不少于一次。</w:t>
            </w:r>
          </w:p>
        </w:tc>
      </w:tr>
      <w:tr w14:paraId="75AB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37" w:type="dxa"/>
            <w:vMerge w:val="continue"/>
            <w:tcBorders>
              <w:top w:val="single" w:color="auto" w:sz="4" w:space="0"/>
              <w:left w:val="single" w:color="auto" w:sz="4" w:space="0"/>
              <w:bottom w:val="single" w:color="auto" w:sz="4" w:space="0"/>
              <w:right w:val="single" w:color="auto" w:sz="4" w:space="0"/>
            </w:tcBorders>
            <w:noWrap w:val="0"/>
            <w:vAlign w:val="top"/>
          </w:tcPr>
          <w:p w14:paraId="637ED5D8">
            <w:pPr>
              <w:jc w:val="center"/>
              <w:rPr>
                <w:rFonts w:ascii="宋体" w:hAnsi="宋体" w:cs="宋体"/>
                <w:color w:val="000000"/>
                <w:sz w:val="24"/>
                <w:highlight w:val="none"/>
              </w:rPr>
            </w:pPr>
          </w:p>
        </w:tc>
        <w:tc>
          <w:tcPr>
            <w:tcW w:w="1742" w:type="dxa"/>
            <w:vMerge w:val="continue"/>
            <w:tcBorders>
              <w:top w:val="single" w:color="auto" w:sz="4" w:space="0"/>
              <w:left w:val="single" w:color="auto" w:sz="4" w:space="0"/>
              <w:bottom w:val="single" w:color="auto" w:sz="4" w:space="0"/>
              <w:right w:val="single" w:color="auto" w:sz="4" w:space="0"/>
            </w:tcBorders>
            <w:noWrap w:val="0"/>
            <w:vAlign w:val="top"/>
          </w:tcPr>
          <w:p w14:paraId="46CD9FB3">
            <w:pPr>
              <w:rPr>
                <w:rFonts w:ascii="宋体" w:hAnsi="宋体" w:cs="宋体"/>
                <w:color w:val="000000"/>
                <w:sz w:val="24"/>
                <w:highlight w:val="none"/>
              </w:rPr>
            </w:pPr>
          </w:p>
        </w:tc>
        <w:tc>
          <w:tcPr>
            <w:tcW w:w="6106" w:type="dxa"/>
            <w:tcBorders>
              <w:top w:val="single" w:color="auto" w:sz="4" w:space="0"/>
              <w:left w:val="single" w:color="auto" w:sz="4" w:space="0"/>
              <w:bottom w:val="single" w:color="auto" w:sz="4" w:space="0"/>
              <w:right w:val="single" w:color="auto" w:sz="4" w:space="0"/>
            </w:tcBorders>
            <w:noWrap w:val="0"/>
            <w:vAlign w:val="top"/>
          </w:tcPr>
          <w:p w14:paraId="2A36BF8F">
            <w:pPr>
              <w:keepNext w:val="0"/>
              <w:keepLines w:val="0"/>
              <w:pageBreakBefore w:val="0"/>
              <w:widowControl w:val="0"/>
              <w:bidi w:val="0"/>
              <w:spacing w:line="240" w:lineRule="auto"/>
              <w:ind w:left="0" w:right="0" w:firstLine="0"/>
              <w:jc w:val="both"/>
              <w:outlineLvl w:val="9"/>
              <w:rPr>
                <w:rFonts w:hint="eastAsia"/>
                <w:color w:val="000000"/>
                <w:highlight w:val="none"/>
              </w:rPr>
            </w:pPr>
            <w:r>
              <w:rPr>
                <w:rFonts w:hint="eastAsia"/>
                <w:color w:val="000000"/>
                <w:highlight w:val="none"/>
              </w:rPr>
              <w:t>（</w:t>
            </w:r>
            <w:r>
              <w:rPr>
                <w:rFonts w:hint="eastAsia"/>
                <w:color w:val="000000"/>
                <w:highlight w:val="none"/>
                <w:lang w:val="en-US" w:eastAsia="zh-CN"/>
              </w:rPr>
              <w:t>5</w:t>
            </w:r>
            <w:r>
              <w:rPr>
                <w:rFonts w:hint="eastAsia"/>
                <w:color w:val="000000"/>
                <w:highlight w:val="none"/>
              </w:rPr>
              <w:t>）化粪池：保持通畅、无堵塞、无满溢，适时清掏，清掏每年不少于6次。</w:t>
            </w:r>
          </w:p>
        </w:tc>
      </w:tr>
      <w:tr w14:paraId="0200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37" w:type="dxa"/>
            <w:vMerge w:val="continue"/>
            <w:tcBorders>
              <w:top w:val="single" w:color="auto" w:sz="4" w:space="0"/>
              <w:left w:val="single" w:color="auto" w:sz="4" w:space="0"/>
              <w:bottom w:val="single" w:color="auto" w:sz="4" w:space="0"/>
              <w:right w:val="single" w:color="auto" w:sz="4" w:space="0"/>
            </w:tcBorders>
            <w:noWrap w:val="0"/>
            <w:vAlign w:val="top"/>
          </w:tcPr>
          <w:p w14:paraId="181E0F0A">
            <w:pPr>
              <w:jc w:val="center"/>
              <w:rPr>
                <w:rFonts w:ascii="宋体" w:hAnsi="宋体" w:cs="宋体"/>
                <w:color w:val="000000"/>
                <w:sz w:val="24"/>
                <w:highlight w:val="none"/>
              </w:rPr>
            </w:pPr>
          </w:p>
        </w:tc>
        <w:tc>
          <w:tcPr>
            <w:tcW w:w="1742" w:type="dxa"/>
            <w:vMerge w:val="continue"/>
            <w:tcBorders>
              <w:top w:val="single" w:color="auto" w:sz="4" w:space="0"/>
              <w:left w:val="single" w:color="auto" w:sz="4" w:space="0"/>
              <w:bottom w:val="single" w:color="auto" w:sz="4" w:space="0"/>
              <w:right w:val="single" w:color="auto" w:sz="4" w:space="0"/>
            </w:tcBorders>
            <w:noWrap w:val="0"/>
            <w:vAlign w:val="top"/>
          </w:tcPr>
          <w:p w14:paraId="3042169A">
            <w:pPr>
              <w:rPr>
                <w:rFonts w:ascii="宋体" w:hAnsi="宋体" w:cs="宋体"/>
                <w:color w:val="000000"/>
                <w:sz w:val="24"/>
                <w:highlight w:val="none"/>
              </w:rPr>
            </w:pPr>
          </w:p>
        </w:tc>
        <w:tc>
          <w:tcPr>
            <w:tcW w:w="6106" w:type="dxa"/>
            <w:tcBorders>
              <w:top w:val="single" w:color="auto" w:sz="4" w:space="0"/>
              <w:left w:val="single" w:color="auto" w:sz="4" w:space="0"/>
              <w:bottom w:val="single" w:color="auto" w:sz="4" w:space="0"/>
              <w:right w:val="single" w:color="auto" w:sz="4" w:space="0"/>
            </w:tcBorders>
            <w:noWrap w:val="0"/>
            <w:vAlign w:val="top"/>
          </w:tcPr>
          <w:p w14:paraId="69F0A2C4">
            <w:pPr>
              <w:spacing w:line="380" w:lineRule="exact"/>
              <w:rPr>
                <w:rFonts w:hint="eastAsia"/>
                <w:color w:val="000000"/>
                <w:highlight w:val="none"/>
              </w:rPr>
            </w:pPr>
            <w:r>
              <w:rPr>
                <w:rFonts w:hint="eastAsia"/>
                <w:color w:val="000000"/>
                <w:highlight w:val="none"/>
              </w:rPr>
              <w:t>（</w:t>
            </w:r>
            <w:r>
              <w:rPr>
                <w:rFonts w:hint="eastAsia"/>
                <w:color w:val="000000"/>
                <w:highlight w:val="none"/>
                <w:lang w:val="en-US" w:eastAsia="zh-CN"/>
              </w:rPr>
              <w:t>6</w:t>
            </w:r>
            <w:r>
              <w:rPr>
                <w:rFonts w:hint="eastAsia"/>
                <w:color w:val="000000"/>
                <w:highlight w:val="none"/>
              </w:rPr>
              <w:t>）窨井、窨沟、排水沟、集水井：管道通畅，无堵塞外溢现象。</w:t>
            </w:r>
          </w:p>
        </w:tc>
      </w:tr>
      <w:tr w14:paraId="3161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37" w:type="dxa"/>
            <w:vMerge w:val="continue"/>
            <w:tcBorders>
              <w:top w:val="single" w:color="auto" w:sz="4" w:space="0"/>
              <w:left w:val="single" w:color="auto" w:sz="4" w:space="0"/>
              <w:bottom w:val="single" w:color="auto" w:sz="4" w:space="0"/>
              <w:right w:val="single" w:color="auto" w:sz="4" w:space="0"/>
            </w:tcBorders>
            <w:noWrap w:val="0"/>
            <w:vAlign w:val="top"/>
          </w:tcPr>
          <w:p w14:paraId="12F4A5E5">
            <w:pPr>
              <w:jc w:val="center"/>
              <w:rPr>
                <w:rFonts w:ascii="宋体" w:hAnsi="宋体" w:cs="宋体"/>
                <w:color w:val="000000"/>
                <w:sz w:val="24"/>
                <w:highlight w:val="none"/>
              </w:rPr>
            </w:pPr>
          </w:p>
        </w:tc>
        <w:tc>
          <w:tcPr>
            <w:tcW w:w="1742" w:type="dxa"/>
            <w:vMerge w:val="continue"/>
            <w:tcBorders>
              <w:top w:val="single" w:color="auto" w:sz="4" w:space="0"/>
              <w:left w:val="single" w:color="auto" w:sz="4" w:space="0"/>
              <w:bottom w:val="single" w:color="auto" w:sz="4" w:space="0"/>
              <w:right w:val="single" w:color="auto" w:sz="4" w:space="0"/>
            </w:tcBorders>
            <w:noWrap w:val="0"/>
            <w:vAlign w:val="top"/>
          </w:tcPr>
          <w:p w14:paraId="5A9E1FB0">
            <w:pPr>
              <w:rPr>
                <w:rFonts w:ascii="宋体" w:hAnsi="宋体" w:cs="宋体"/>
                <w:color w:val="000000"/>
                <w:sz w:val="24"/>
                <w:highlight w:val="none"/>
              </w:rPr>
            </w:pPr>
          </w:p>
        </w:tc>
        <w:tc>
          <w:tcPr>
            <w:tcW w:w="6106" w:type="dxa"/>
            <w:tcBorders>
              <w:top w:val="single" w:color="auto" w:sz="4" w:space="0"/>
              <w:left w:val="single" w:color="auto" w:sz="4" w:space="0"/>
              <w:bottom w:val="single" w:color="auto" w:sz="4" w:space="0"/>
              <w:right w:val="single" w:color="auto" w:sz="4" w:space="0"/>
            </w:tcBorders>
            <w:noWrap w:val="0"/>
            <w:vAlign w:val="top"/>
          </w:tcPr>
          <w:p w14:paraId="685E96E1">
            <w:pPr>
              <w:spacing w:line="380" w:lineRule="exact"/>
              <w:rPr>
                <w:rFonts w:hint="eastAsia"/>
                <w:color w:val="000000"/>
                <w:highlight w:val="none"/>
              </w:rPr>
            </w:pPr>
            <w:r>
              <w:rPr>
                <w:rFonts w:hint="eastAsia"/>
                <w:color w:val="000000"/>
                <w:highlight w:val="none"/>
              </w:rPr>
              <w:t>（</w:t>
            </w:r>
            <w:r>
              <w:rPr>
                <w:rFonts w:hint="eastAsia"/>
                <w:color w:val="000000"/>
                <w:highlight w:val="none"/>
                <w:lang w:val="en-US" w:eastAsia="zh-CN"/>
              </w:rPr>
              <w:t>7</w:t>
            </w:r>
            <w:r>
              <w:rPr>
                <w:rFonts w:hint="eastAsia"/>
                <w:color w:val="000000"/>
                <w:highlight w:val="none"/>
              </w:rPr>
              <w:t>）水管、水龙头：保证水管、水龙头的正常使用，无滴漏现象。</w:t>
            </w:r>
          </w:p>
        </w:tc>
      </w:tr>
      <w:tr w14:paraId="2330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37" w:type="dxa"/>
            <w:vMerge w:val="continue"/>
            <w:tcBorders>
              <w:top w:val="single" w:color="auto" w:sz="4" w:space="0"/>
              <w:left w:val="single" w:color="auto" w:sz="4" w:space="0"/>
              <w:bottom w:val="single" w:color="auto" w:sz="4" w:space="0"/>
              <w:right w:val="single" w:color="auto" w:sz="4" w:space="0"/>
            </w:tcBorders>
            <w:noWrap w:val="0"/>
            <w:vAlign w:val="top"/>
          </w:tcPr>
          <w:p w14:paraId="7CDCCB57">
            <w:pPr>
              <w:jc w:val="center"/>
              <w:rPr>
                <w:rFonts w:ascii="宋体" w:hAnsi="宋体" w:cs="宋体"/>
                <w:color w:val="000000"/>
                <w:sz w:val="24"/>
                <w:highlight w:val="none"/>
              </w:rPr>
            </w:pPr>
          </w:p>
        </w:tc>
        <w:tc>
          <w:tcPr>
            <w:tcW w:w="1742" w:type="dxa"/>
            <w:vMerge w:val="continue"/>
            <w:tcBorders>
              <w:top w:val="single" w:color="auto" w:sz="4" w:space="0"/>
              <w:left w:val="single" w:color="auto" w:sz="4" w:space="0"/>
              <w:bottom w:val="single" w:color="auto" w:sz="4" w:space="0"/>
              <w:right w:val="single" w:color="auto" w:sz="4" w:space="0"/>
            </w:tcBorders>
            <w:noWrap w:val="0"/>
            <w:vAlign w:val="top"/>
          </w:tcPr>
          <w:p w14:paraId="21AE40BD">
            <w:pPr>
              <w:rPr>
                <w:rFonts w:ascii="宋体" w:hAnsi="宋体" w:cs="宋体"/>
                <w:color w:val="000000"/>
                <w:sz w:val="24"/>
                <w:highlight w:val="none"/>
              </w:rPr>
            </w:pPr>
          </w:p>
        </w:tc>
        <w:tc>
          <w:tcPr>
            <w:tcW w:w="6106" w:type="dxa"/>
            <w:tcBorders>
              <w:top w:val="single" w:color="auto" w:sz="4" w:space="0"/>
              <w:left w:val="single" w:color="auto" w:sz="4" w:space="0"/>
              <w:bottom w:val="single" w:color="auto" w:sz="4" w:space="0"/>
              <w:right w:val="single" w:color="auto" w:sz="4" w:space="0"/>
            </w:tcBorders>
            <w:noWrap w:val="0"/>
            <w:vAlign w:val="top"/>
          </w:tcPr>
          <w:p w14:paraId="23F6DFAF">
            <w:pPr>
              <w:spacing w:line="380" w:lineRule="exact"/>
              <w:rPr>
                <w:rFonts w:hint="eastAsia"/>
                <w:color w:val="000000"/>
                <w:highlight w:val="none"/>
              </w:rPr>
            </w:pPr>
            <w:r>
              <w:rPr>
                <w:rFonts w:hint="eastAsia"/>
                <w:color w:val="000000"/>
                <w:highlight w:val="none"/>
              </w:rPr>
              <w:t>（</w:t>
            </w:r>
            <w:r>
              <w:rPr>
                <w:rFonts w:hint="eastAsia"/>
                <w:color w:val="000000"/>
                <w:highlight w:val="none"/>
                <w:lang w:val="en-US" w:eastAsia="zh-CN"/>
              </w:rPr>
              <w:t>8</w:t>
            </w:r>
            <w:r>
              <w:rPr>
                <w:rFonts w:hint="eastAsia"/>
                <w:color w:val="000000"/>
                <w:highlight w:val="none"/>
              </w:rPr>
              <w:t>）总配电箱：每年保养，无积尘，接头无松动现象。公共使用的照明、指示灯具线路、开关要保证完好；</w:t>
            </w:r>
            <w:r>
              <w:rPr>
                <w:rFonts w:hint="eastAsia"/>
                <w:color w:val="000000"/>
                <w:highlight w:val="none"/>
                <w:lang w:eastAsia="zh-CN"/>
              </w:rPr>
              <w:t>出现故障及时修复。</w:t>
            </w:r>
            <w:r>
              <w:rPr>
                <w:rFonts w:hint="eastAsia"/>
                <w:color w:val="000000"/>
                <w:highlight w:val="none"/>
              </w:rPr>
              <w:t>路灯、楼道灯、亮灯率不低于98﹪。</w:t>
            </w:r>
          </w:p>
        </w:tc>
      </w:tr>
      <w:tr w14:paraId="2A6A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37" w:type="dxa"/>
            <w:vMerge w:val="continue"/>
            <w:tcBorders>
              <w:top w:val="single" w:color="auto" w:sz="4" w:space="0"/>
              <w:left w:val="single" w:color="auto" w:sz="4" w:space="0"/>
              <w:bottom w:val="single" w:color="auto" w:sz="4" w:space="0"/>
              <w:right w:val="single" w:color="auto" w:sz="4" w:space="0"/>
            </w:tcBorders>
            <w:noWrap w:val="0"/>
            <w:vAlign w:val="top"/>
          </w:tcPr>
          <w:p w14:paraId="55750FB5">
            <w:pPr>
              <w:jc w:val="center"/>
              <w:rPr>
                <w:rFonts w:ascii="宋体" w:hAnsi="宋体" w:cs="宋体"/>
                <w:color w:val="000000"/>
                <w:sz w:val="24"/>
                <w:highlight w:val="none"/>
              </w:rPr>
            </w:pPr>
          </w:p>
        </w:tc>
        <w:tc>
          <w:tcPr>
            <w:tcW w:w="1742" w:type="dxa"/>
            <w:vMerge w:val="continue"/>
            <w:tcBorders>
              <w:top w:val="single" w:color="auto" w:sz="4" w:space="0"/>
              <w:left w:val="single" w:color="auto" w:sz="4" w:space="0"/>
              <w:bottom w:val="single" w:color="auto" w:sz="4" w:space="0"/>
              <w:right w:val="single" w:color="auto" w:sz="4" w:space="0"/>
            </w:tcBorders>
            <w:noWrap w:val="0"/>
            <w:vAlign w:val="top"/>
          </w:tcPr>
          <w:p w14:paraId="6D697E69">
            <w:pPr>
              <w:rPr>
                <w:rFonts w:ascii="宋体" w:hAnsi="宋体" w:cs="宋体"/>
                <w:color w:val="000000"/>
                <w:sz w:val="24"/>
                <w:highlight w:val="none"/>
              </w:rPr>
            </w:pPr>
          </w:p>
        </w:tc>
        <w:tc>
          <w:tcPr>
            <w:tcW w:w="6106" w:type="dxa"/>
            <w:tcBorders>
              <w:top w:val="single" w:color="auto" w:sz="4" w:space="0"/>
              <w:left w:val="single" w:color="auto" w:sz="4" w:space="0"/>
              <w:bottom w:val="single" w:color="auto" w:sz="4" w:space="0"/>
              <w:right w:val="single" w:color="auto" w:sz="4" w:space="0"/>
            </w:tcBorders>
            <w:noWrap w:val="0"/>
            <w:vAlign w:val="top"/>
          </w:tcPr>
          <w:p w14:paraId="552DECF5">
            <w:pPr>
              <w:rPr>
                <w:color w:val="000000"/>
                <w:highlight w:val="none"/>
              </w:rPr>
            </w:pPr>
            <w:r>
              <w:rPr>
                <w:rFonts w:hint="eastAsia"/>
                <w:b w:val="0"/>
                <w:bCs w:val="0"/>
                <w:color w:val="000000"/>
                <w:highlight w:val="none"/>
              </w:rPr>
              <w:t>（</w:t>
            </w:r>
            <w:r>
              <w:rPr>
                <w:rFonts w:hint="eastAsia"/>
                <w:b w:val="0"/>
                <w:bCs w:val="0"/>
                <w:color w:val="000000"/>
                <w:highlight w:val="none"/>
                <w:lang w:val="en-US" w:eastAsia="zh-CN"/>
              </w:rPr>
              <w:t>9</w:t>
            </w:r>
            <w:r>
              <w:rPr>
                <w:rFonts w:hint="eastAsia"/>
                <w:b w:val="0"/>
                <w:bCs w:val="0"/>
                <w:color w:val="000000"/>
                <w:highlight w:val="none"/>
              </w:rPr>
              <w:t>）</w:t>
            </w:r>
            <w:r>
              <w:rPr>
                <w:rFonts w:hint="eastAsia"/>
                <w:b w:val="0"/>
                <w:bCs w:val="0"/>
                <w:color w:val="000000"/>
                <w:highlight w:val="none"/>
                <w:lang w:eastAsia="zh-CN"/>
              </w:rPr>
              <w:t>公共区域水电和其他设施维修由中标人负责，费用</w:t>
            </w:r>
            <w:r>
              <w:rPr>
                <w:rFonts w:hint="eastAsia"/>
                <w:b w:val="0"/>
                <w:bCs w:val="0"/>
                <w:color w:val="000000"/>
                <w:highlight w:val="none"/>
                <w:lang w:val="en-US" w:eastAsia="zh-CN"/>
              </w:rPr>
              <w:t>从报价明细表中相应项目经费支出</w:t>
            </w:r>
            <w:r>
              <w:rPr>
                <w:rFonts w:hint="eastAsia" w:hAnsi="宋体"/>
                <w:b w:val="0"/>
                <w:bCs w:val="0"/>
                <w:color w:val="000000"/>
                <w:szCs w:val="21"/>
                <w:highlight w:val="none"/>
                <w:lang w:eastAsia="zh-CN"/>
              </w:rPr>
              <w:t>。</w:t>
            </w:r>
          </w:p>
        </w:tc>
      </w:tr>
      <w:tr w14:paraId="360B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537" w:type="dxa"/>
            <w:vMerge w:val="restart"/>
            <w:tcBorders>
              <w:top w:val="single" w:color="auto" w:sz="4" w:space="0"/>
              <w:left w:val="single" w:color="auto" w:sz="4" w:space="0"/>
              <w:bottom w:val="single" w:color="auto" w:sz="4" w:space="0"/>
              <w:right w:val="single" w:color="auto" w:sz="4" w:space="0"/>
            </w:tcBorders>
            <w:noWrap w:val="0"/>
            <w:vAlign w:val="top"/>
          </w:tcPr>
          <w:p w14:paraId="217FB9B6">
            <w:pPr>
              <w:jc w:val="center"/>
              <w:rPr>
                <w:color w:val="000000"/>
                <w:highlight w:val="none"/>
              </w:rPr>
            </w:pPr>
            <w:r>
              <w:rPr>
                <w:rFonts w:hint="eastAsia"/>
                <w:color w:val="000000"/>
                <w:highlight w:val="none"/>
              </w:rPr>
              <w:t>3</w:t>
            </w:r>
          </w:p>
        </w:tc>
        <w:tc>
          <w:tcPr>
            <w:tcW w:w="1742" w:type="dxa"/>
            <w:vMerge w:val="restart"/>
            <w:tcBorders>
              <w:top w:val="single" w:color="auto" w:sz="4" w:space="0"/>
              <w:left w:val="single" w:color="auto" w:sz="4" w:space="0"/>
              <w:bottom w:val="single" w:color="auto" w:sz="4" w:space="0"/>
              <w:right w:val="single" w:color="auto" w:sz="4" w:space="0"/>
            </w:tcBorders>
            <w:noWrap w:val="0"/>
            <w:vAlign w:val="top"/>
          </w:tcPr>
          <w:p w14:paraId="6F6A0212">
            <w:pPr>
              <w:rPr>
                <w:color w:val="000000"/>
                <w:highlight w:val="none"/>
              </w:rPr>
            </w:pPr>
            <w:r>
              <w:rPr>
                <w:rFonts w:hint="eastAsia"/>
                <w:color w:val="000000"/>
                <w:highlight w:val="none"/>
              </w:rPr>
              <w:t>装饰装修监督 管理</w:t>
            </w:r>
          </w:p>
        </w:tc>
        <w:tc>
          <w:tcPr>
            <w:tcW w:w="6106" w:type="dxa"/>
            <w:tcBorders>
              <w:top w:val="single" w:color="auto" w:sz="4" w:space="0"/>
              <w:left w:val="single" w:color="auto" w:sz="4" w:space="0"/>
              <w:bottom w:val="single" w:color="auto" w:sz="4" w:space="0"/>
              <w:right w:val="single" w:color="auto" w:sz="4" w:space="0"/>
            </w:tcBorders>
            <w:noWrap w:val="0"/>
            <w:vAlign w:val="top"/>
          </w:tcPr>
          <w:p w14:paraId="14EA838F">
            <w:pPr>
              <w:rPr>
                <w:color w:val="000000"/>
                <w:highlight w:val="none"/>
              </w:rPr>
            </w:pPr>
            <w:r>
              <w:rPr>
                <w:rFonts w:hint="eastAsia"/>
                <w:color w:val="000000"/>
                <w:highlight w:val="none"/>
              </w:rPr>
              <w:t>（1）装饰装修前，</w:t>
            </w:r>
            <w:r>
              <w:rPr>
                <w:rFonts w:hint="eastAsia"/>
                <w:color w:val="000000"/>
                <w:highlight w:val="none"/>
                <w:lang w:eastAsia="zh-CN"/>
              </w:rPr>
              <w:t>申请单位提交施工申请表交</w:t>
            </w:r>
            <w:r>
              <w:rPr>
                <w:rFonts w:hint="eastAsia"/>
                <w:color w:val="000000"/>
                <w:lang w:eastAsia="zh-CN"/>
              </w:rPr>
              <w:t>中标</w:t>
            </w:r>
            <w:r>
              <w:rPr>
                <w:rFonts w:hint="eastAsia"/>
                <w:color w:val="000000"/>
                <w:lang w:val="en-US" w:eastAsia="zh-CN"/>
              </w:rPr>
              <w:t>人</w:t>
            </w:r>
            <w:r>
              <w:rPr>
                <w:rFonts w:hint="eastAsia"/>
                <w:color w:val="000000"/>
                <w:highlight w:val="none"/>
                <w:lang w:eastAsia="zh-CN"/>
              </w:rPr>
              <w:t>。由</w:t>
            </w:r>
            <w:r>
              <w:rPr>
                <w:rFonts w:hint="eastAsia"/>
                <w:color w:val="000000"/>
                <w:lang w:eastAsia="zh-CN"/>
              </w:rPr>
              <w:t>中标</w:t>
            </w:r>
            <w:r>
              <w:rPr>
                <w:rFonts w:hint="eastAsia"/>
                <w:color w:val="000000"/>
                <w:lang w:val="en-US" w:eastAsia="zh-CN"/>
              </w:rPr>
              <w:t>人</w:t>
            </w:r>
            <w:r>
              <w:rPr>
                <w:rFonts w:hint="eastAsia"/>
                <w:color w:val="000000"/>
                <w:highlight w:val="none"/>
                <w:lang w:eastAsia="zh-CN"/>
              </w:rPr>
              <w:t>审核并</w:t>
            </w:r>
            <w:r>
              <w:rPr>
                <w:rFonts w:hint="eastAsia"/>
                <w:color w:val="000000"/>
                <w:highlight w:val="none"/>
              </w:rPr>
              <w:t>告知装饰装修须知，并对装饰装修过程进行管理服务。</w:t>
            </w:r>
          </w:p>
        </w:tc>
      </w:tr>
      <w:tr w14:paraId="24F3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537" w:type="dxa"/>
            <w:vMerge w:val="continue"/>
            <w:tcBorders>
              <w:top w:val="single" w:color="auto" w:sz="4" w:space="0"/>
              <w:left w:val="single" w:color="auto" w:sz="4" w:space="0"/>
              <w:bottom w:val="single" w:color="auto" w:sz="4" w:space="0"/>
              <w:right w:val="single" w:color="auto" w:sz="4" w:space="0"/>
            </w:tcBorders>
            <w:noWrap w:val="0"/>
            <w:vAlign w:val="top"/>
          </w:tcPr>
          <w:p w14:paraId="37EA1701">
            <w:pPr>
              <w:jc w:val="center"/>
              <w:rPr>
                <w:color w:val="000000"/>
                <w:highlight w:val="none"/>
              </w:rPr>
            </w:pPr>
          </w:p>
        </w:tc>
        <w:tc>
          <w:tcPr>
            <w:tcW w:w="1742" w:type="dxa"/>
            <w:vMerge w:val="continue"/>
            <w:tcBorders>
              <w:top w:val="single" w:color="auto" w:sz="4" w:space="0"/>
              <w:left w:val="single" w:color="auto" w:sz="4" w:space="0"/>
              <w:bottom w:val="single" w:color="auto" w:sz="4" w:space="0"/>
              <w:right w:val="single" w:color="auto" w:sz="4" w:space="0"/>
            </w:tcBorders>
            <w:noWrap w:val="0"/>
            <w:vAlign w:val="top"/>
          </w:tcPr>
          <w:p w14:paraId="72C70EA6">
            <w:pPr>
              <w:rPr>
                <w:color w:val="000000"/>
                <w:highlight w:val="none"/>
              </w:rPr>
            </w:pPr>
          </w:p>
        </w:tc>
        <w:tc>
          <w:tcPr>
            <w:tcW w:w="6106" w:type="dxa"/>
            <w:tcBorders>
              <w:top w:val="single" w:color="auto" w:sz="4" w:space="0"/>
              <w:left w:val="single" w:color="auto" w:sz="4" w:space="0"/>
              <w:bottom w:val="single" w:color="auto" w:sz="4" w:space="0"/>
              <w:right w:val="single" w:color="auto" w:sz="4" w:space="0"/>
            </w:tcBorders>
            <w:noWrap w:val="0"/>
            <w:vAlign w:val="top"/>
          </w:tcPr>
          <w:p w14:paraId="313A1D3B">
            <w:pPr>
              <w:rPr>
                <w:color w:val="000000"/>
                <w:highlight w:val="none"/>
              </w:rPr>
            </w:pPr>
            <w:r>
              <w:rPr>
                <w:rFonts w:hint="eastAsia"/>
                <w:color w:val="000000"/>
                <w:highlight w:val="none"/>
              </w:rPr>
              <w:t>（2）做好装修垃圾临时堆放</w:t>
            </w:r>
            <w:r>
              <w:rPr>
                <w:rFonts w:hint="eastAsia"/>
                <w:color w:val="000000"/>
                <w:highlight w:val="none"/>
                <w:lang w:eastAsia="zh-CN"/>
              </w:rPr>
              <w:t>、</w:t>
            </w:r>
            <w:r>
              <w:rPr>
                <w:rFonts w:hint="eastAsia"/>
                <w:color w:val="000000"/>
                <w:highlight w:val="none"/>
              </w:rPr>
              <w:t>清运等。</w:t>
            </w:r>
          </w:p>
        </w:tc>
      </w:tr>
      <w:tr w14:paraId="2042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537" w:type="dxa"/>
            <w:vMerge w:val="continue"/>
            <w:tcBorders>
              <w:top w:val="single" w:color="auto" w:sz="4" w:space="0"/>
              <w:left w:val="single" w:color="auto" w:sz="4" w:space="0"/>
              <w:bottom w:val="single" w:color="auto" w:sz="4" w:space="0"/>
              <w:right w:val="single" w:color="auto" w:sz="4" w:space="0"/>
            </w:tcBorders>
            <w:noWrap w:val="0"/>
            <w:vAlign w:val="top"/>
          </w:tcPr>
          <w:p w14:paraId="3E6EED39">
            <w:pPr>
              <w:jc w:val="center"/>
              <w:rPr>
                <w:color w:val="000000"/>
                <w:highlight w:val="none"/>
              </w:rPr>
            </w:pPr>
          </w:p>
        </w:tc>
        <w:tc>
          <w:tcPr>
            <w:tcW w:w="1742" w:type="dxa"/>
            <w:vMerge w:val="continue"/>
            <w:tcBorders>
              <w:top w:val="single" w:color="auto" w:sz="4" w:space="0"/>
              <w:left w:val="single" w:color="auto" w:sz="4" w:space="0"/>
              <w:bottom w:val="single" w:color="auto" w:sz="4" w:space="0"/>
              <w:right w:val="single" w:color="auto" w:sz="4" w:space="0"/>
            </w:tcBorders>
            <w:noWrap w:val="0"/>
            <w:vAlign w:val="top"/>
          </w:tcPr>
          <w:p w14:paraId="7DCEB1B9">
            <w:pPr>
              <w:rPr>
                <w:color w:val="000000"/>
                <w:highlight w:val="none"/>
              </w:rPr>
            </w:pPr>
          </w:p>
        </w:tc>
        <w:tc>
          <w:tcPr>
            <w:tcW w:w="6106" w:type="dxa"/>
            <w:tcBorders>
              <w:top w:val="single" w:color="auto" w:sz="4" w:space="0"/>
              <w:left w:val="single" w:color="auto" w:sz="4" w:space="0"/>
              <w:bottom w:val="single" w:color="auto" w:sz="4" w:space="0"/>
              <w:right w:val="single" w:color="auto" w:sz="4" w:space="0"/>
            </w:tcBorders>
            <w:noWrap w:val="0"/>
            <w:vAlign w:val="top"/>
          </w:tcPr>
          <w:p w14:paraId="5A49D99E">
            <w:pPr>
              <w:rPr>
                <w:color w:val="000000"/>
                <w:highlight w:val="none"/>
              </w:rPr>
            </w:pPr>
            <w:r>
              <w:rPr>
                <w:rFonts w:hint="eastAsia"/>
                <w:color w:val="000000"/>
                <w:highlight w:val="none"/>
              </w:rPr>
              <w:t>（3）受采购人委托对房屋内装修进行严格的监督管理，发现问题及时上报，确保不因装修而危及大楼结构安全、人身安全和影响正常办公秩序。</w:t>
            </w:r>
          </w:p>
        </w:tc>
      </w:tr>
      <w:tr w14:paraId="32D6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1537" w:type="dxa"/>
            <w:vMerge w:val="restart"/>
            <w:tcBorders>
              <w:top w:val="single" w:color="auto" w:sz="4" w:space="0"/>
              <w:left w:val="single" w:color="auto" w:sz="4" w:space="0"/>
              <w:bottom w:val="single" w:color="auto" w:sz="4" w:space="0"/>
              <w:right w:val="single" w:color="auto" w:sz="4" w:space="0"/>
            </w:tcBorders>
            <w:noWrap w:val="0"/>
            <w:vAlign w:val="top"/>
          </w:tcPr>
          <w:p w14:paraId="193C9A01">
            <w:pPr>
              <w:jc w:val="center"/>
              <w:rPr>
                <w:color w:val="000000"/>
                <w:highlight w:val="none"/>
              </w:rPr>
            </w:pPr>
            <w:r>
              <w:rPr>
                <w:rFonts w:hint="eastAsia"/>
                <w:color w:val="000000"/>
                <w:highlight w:val="none"/>
              </w:rPr>
              <w:t>4</w:t>
            </w:r>
          </w:p>
        </w:tc>
        <w:tc>
          <w:tcPr>
            <w:tcW w:w="1742" w:type="dxa"/>
            <w:vMerge w:val="restart"/>
            <w:tcBorders>
              <w:top w:val="single" w:color="auto" w:sz="4" w:space="0"/>
              <w:left w:val="single" w:color="auto" w:sz="4" w:space="0"/>
              <w:bottom w:val="single" w:color="auto" w:sz="4" w:space="0"/>
              <w:right w:val="single" w:color="auto" w:sz="4" w:space="0"/>
            </w:tcBorders>
            <w:noWrap w:val="0"/>
            <w:vAlign w:val="top"/>
          </w:tcPr>
          <w:p w14:paraId="3753E373">
            <w:pPr>
              <w:rPr>
                <w:color w:val="000000"/>
                <w:highlight w:val="none"/>
              </w:rPr>
            </w:pPr>
            <w:r>
              <w:rPr>
                <w:rFonts w:hint="eastAsia"/>
                <w:color w:val="000000"/>
                <w:highlight w:val="none"/>
              </w:rPr>
              <w:t>标识标牌</w:t>
            </w:r>
          </w:p>
        </w:tc>
        <w:tc>
          <w:tcPr>
            <w:tcW w:w="6106" w:type="dxa"/>
            <w:tcBorders>
              <w:top w:val="single" w:color="auto" w:sz="4" w:space="0"/>
              <w:left w:val="single" w:color="auto" w:sz="4" w:space="0"/>
              <w:bottom w:val="single" w:color="auto" w:sz="4" w:space="0"/>
              <w:right w:val="single" w:color="auto" w:sz="4" w:space="0"/>
            </w:tcBorders>
            <w:noWrap w:val="0"/>
            <w:vAlign w:val="top"/>
          </w:tcPr>
          <w:p w14:paraId="0D61BAD0">
            <w:pPr>
              <w:rPr>
                <w:color w:val="000000"/>
                <w:highlight w:val="none"/>
              </w:rPr>
            </w:pPr>
            <w:r>
              <w:rPr>
                <w:rFonts w:hint="eastAsia"/>
                <w:color w:val="000000"/>
                <w:highlight w:val="none"/>
              </w:rPr>
              <w:t>（1）标识标牌符合《公共信息图形符号 第1部分：通用符号》（GB/T 10001.1）的相关要求，消防与安全标识符合《安全标志及其使用导则》 （GB2894）、《消防安全标志第1部分：标志》 （GB13495.1）的相关要求。</w:t>
            </w:r>
          </w:p>
        </w:tc>
      </w:tr>
      <w:tr w14:paraId="4743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1537" w:type="dxa"/>
            <w:vMerge w:val="continue"/>
            <w:tcBorders>
              <w:top w:val="single" w:color="auto" w:sz="4" w:space="0"/>
              <w:left w:val="single" w:color="auto" w:sz="4" w:space="0"/>
              <w:bottom w:val="single" w:color="auto" w:sz="4" w:space="0"/>
              <w:right w:val="single" w:color="auto" w:sz="4" w:space="0"/>
            </w:tcBorders>
            <w:noWrap w:val="0"/>
            <w:vAlign w:val="top"/>
          </w:tcPr>
          <w:p w14:paraId="577B88EA">
            <w:pPr>
              <w:jc w:val="center"/>
              <w:rPr>
                <w:color w:val="000000"/>
                <w:highlight w:val="none"/>
              </w:rPr>
            </w:pPr>
          </w:p>
        </w:tc>
        <w:tc>
          <w:tcPr>
            <w:tcW w:w="1742" w:type="dxa"/>
            <w:vMerge w:val="continue"/>
            <w:tcBorders>
              <w:top w:val="single" w:color="auto" w:sz="4" w:space="0"/>
              <w:left w:val="single" w:color="auto" w:sz="4" w:space="0"/>
              <w:bottom w:val="single" w:color="auto" w:sz="4" w:space="0"/>
              <w:right w:val="single" w:color="auto" w:sz="4" w:space="0"/>
            </w:tcBorders>
            <w:noWrap w:val="0"/>
            <w:vAlign w:val="top"/>
          </w:tcPr>
          <w:p w14:paraId="33BD76BD">
            <w:pPr>
              <w:rPr>
                <w:color w:val="000000"/>
                <w:highlight w:val="none"/>
              </w:rPr>
            </w:pPr>
          </w:p>
        </w:tc>
        <w:tc>
          <w:tcPr>
            <w:tcW w:w="6106" w:type="dxa"/>
            <w:tcBorders>
              <w:top w:val="single" w:color="auto" w:sz="4" w:space="0"/>
              <w:left w:val="single" w:color="auto" w:sz="4" w:space="0"/>
              <w:bottom w:val="single" w:color="auto" w:sz="4" w:space="0"/>
              <w:right w:val="single" w:color="auto" w:sz="4" w:space="0"/>
            </w:tcBorders>
            <w:noWrap w:val="0"/>
            <w:vAlign w:val="top"/>
          </w:tcPr>
          <w:p w14:paraId="46150A60">
            <w:pPr>
              <w:rPr>
                <w:color w:val="000000"/>
                <w:highlight w:val="none"/>
              </w:rPr>
            </w:pPr>
            <w:r>
              <w:rPr>
                <w:rFonts w:hint="eastAsia"/>
                <w:color w:val="000000"/>
                <w:highlight w:val="none"/>
              </w:rPr>
              <w:t>（2）每月至少检查 1 次标识标牌和消防与安全标识。应当规范清晰、路线指引正确、安装稳固。</w:t>
            </w:r>
          </w:p>
        </w:tc>
      </w:tr>
    </w:tbl>
    <w:p w14:paraId="55322F40">
      <w:pPr>
        <w:rPr>
          <w:b/>
          <w:bCs/>
          <w:color w:val="000000"/>
          <w:highlight w:val="none"/>
        </w:rPr>
      </w:pPr>
    </w:p>
    <w:p w14:paraId="3B7C27A6">
      <w:pPr>
        <w:outlineLvl w:val="2"/>
        <w:rPr>
          <w:b/>
          <w:bCs/>
          <w:color w:val="000000"/>
          <w:highlight w:val="none"/>
        </w:rPr>
      </w:pPr>
      <w:bookmarkStart w:id="218" w:name="_Toc22671"/>
      <w:r>
        <w:rPr>
          <w:rFonts w:hint="eastAsia"/>
          <w:b/>
          <w:bCs/>
          <w:color w:val="000000"/>
          <w:highlight w:val="none"/>
        </w:rPr>
        <w:t>3.3公用设施设备维护服务</w:t>
      </w:r>
      <w:bookmarkEnd w:id="214"/>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777"/>
        <w:gridCol w:w="6811"/>
      </w:tblGrid>
      <w:tr w14:paraId="3A3F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tcBorders>
              <w:top w:val="single" w:color="auto" w:sz="4" w:space="0"/>
              <w:left w:val="single" w:color="auto" w:sz="4" w:space="0"/>
              <w:bottom w:val="single" w:color="auto" w:sz="4" w:space="0"/>
              <w:right w:val="single" w:color="auto" w:sz="4" w:space="0"/>
            </w:tcBorders>
            <w:noWrap w:val="0"/>
            <w:vAlign w:val="top"/>
          </w:tcPr>
          <w:p w14:paraId="3756674E">
            <w:pPr>
              <w:rPr>
                <w:color w:val="000000"/>
                <w:highlight w:val="none"/>
              </w:rPr>
            </w:pPr>
            <w:r>
              <w:rPr>
                <w:rFonts w:hint="eastAsia"/>
                <w:color w:val="000000"/>
                <w:highlight w:val="none"/>
              </w:rPr>
              <w:t>序号</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0D8FCFBB">
            <w:pPr>
              <w:rPr>
                <w:color w:val="000000"/>
                <w:highlight w:val="none"/>
              </w:rPr>
            </w:pPr>
            <w:r>
              <w:rPr>
                <w:rFonts w:hint="eastAsia"/>
                <w:color w:val="000000"/>
                <w:highlight w:val="none"/>
              </w:rPr>
              <w:t>服务内容</w:t>
            </w:r>
          </w:p>
        </w:tc>
        <w:tc>
          <w:tcPr>
            <w:tcW w:w="6811" w:type="dxa"/>
            <w:tcBorders>
              <w:top w:val="single" w:color="auto" w:sz="4" w:space="0"/>
              <w:left w:val="single" w:color="auto" w:sz="4" w:space="0"/>
              <w:bottom w:val="single" w:color="auto" w:sz="4" w:space="0"/>
              <w:right w:val="single" w:color="auto" w:sz="4" w:space="0"/>
            </w:tcBorders>
            <w:noWrap w:val="0"/>
            <w:vAlign w:val="top"/>
          </w:tcPr>
          <w:p w14:paraId="2A587E4E">
            <w:pPr>
              <w:rPr>
                <w:color w:val="000000"/>
                <w:highlight w:val="none"/>
              </w:rPr>
            </w:pPr>
            <w:r>
              <w:rPr>
                <w:rFonts w:hint="eastAsia"/>
                <w:color w:val="000000"/>
                <w:highlight w:val="none"/>
              </w:rPr>
              <w:t>服务标准</w:t>
            </w:r>
          </w:p>
        </w:tc>
      </w:tr>
      <w:tr w14:paraId="3F46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70" w:type="dxa"/>
            <w:vMerge w:val="restart"/>
            <w:tcBorders>
              <w:top w:val="single" w:color="auto" w:sz="4" w:space="0"/>
              <w:left w:val="single" w:color="auto" w:sz="4" w:space="0"/>
              <w:bottom w:val="single" w:color="auto" w:sz="4" w:space="0"/>
              <w:right w:val="single" w:color="auto" w:sz="4" w:space="0"/>
            </w:tcBorders>
            <w:noWrap w:val="0"/>
            <w:vAlign w:val="top"/>
          </w:tcPr>
          <w:p w14:paraId="4DBE82EC">
            <w:pPr>
              <w:rPr>
                <w:color w:val="000000"/>
                <w:highlight w:val="none"/>
              </w:rPr>
            </w:pPr>
            <w:r>
              <w:rPr>
                <w:rFonts w:hint="eastAsia"/>
                <w:color w:val="000000"/>
                <w:highlight w:val="none"/>
              </w:rPr>
              <w:t>1</w:t>
            </w:r>
          </w:p>
        </w:tc>
        <w:tc>
          <w:tcPr>
            <w:tcW w:w="1777" w:type="dxa"/>
            <w:vMerge w:val="restart"/>
            <w:tcBorders>
              <w:top w:val="single" w:color="auto" w:sz="4" w:space="0"/>
              <w:left w:val="single" w:color="auto" w:sz="4" w:space="0"/>
              <w:bottom w:val="single" w:color="auto" w:sz="4" w:space="0"/>
              <w:right w:val="single" w:color="auto" w:sz="4" w:space="0"/>
            </w:tcBorders>
            <w:noWrap w:val="0"/>
            <w:vAlign w:val="top"/>
          </w:tcPr>
          <w:p w14:paraId="7F9D29B2">
            <w:pPr>
              <w:rPr>
                <w:color w:val="000000"/>
                <w:highlight w:val="none"/>
              </w:rPr>
            </w:pPr>
            <w:r>
              <w:rPr>
                <w:rFonts w:hint="eastAsia"/>
                <w:color w:val="000000"/>
                <w:highlight w:val="none"/>
              </w:rPr>
              <w:t>基本要求</w:t>
            </w:r>
          </w:p>
        </w:tc>
        <w:tc>
          <w:tcPr>
            <w:tcW w:w="6811" w:type="dxa"/>
            <w:tcBorders>
              <w:top w:val="single" w:color="auto" w:sz="4" w:space="0"/>
              <w:left w:val="single" w:color="auto" w:sz="4" w:space="0"/>
              <w:bottom w:val="single" w:color="auto" w:sz="4" w:space="0"/>
              <w:right w:val="single" w:color="auto" w:sz="4" w:space="0"/>
            </w:tcBorders>
            <w:noWrap w:val="0"/>
            <w:vAlign w:val="top"/>
          </w:tcPr>
          <w:p w14:paraId="4142317A">
            <w:pPr>
              <w:rPr>
                <w:color w:val="000000"/>
                <w:highlight w:val="none"/>
              </w:rPr>
            </w:pPr>
            <w:r>
              <w:rPr>
                <w:rFonts w:hint="eastAsia"/>
                <w:color w:val="000000"/>
                <w:highlight w:val="none"/>
              </w:rPr>
              <w:t>（1）重大节假日及恶劣天气前后，组织系统巡检 1 次。</w:t>
            </w:r>
          </w:p>
        </w:tc>
      </w:tr>
      <w:tr w14:paraId="375F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21474FB7">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68526F2E">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09AC6769">
            <w:pPr>
              <w:rPr>
                <w:color w:val="000000"/>
                <w:highlight w:val="none"/>
              </w:rPr>
            </w:pPr>
            <w:r>
              <w:rPr>
                <w:rFonts w:hint="eastAsia"/>
                <w:color w:val="000000"/>
                <w:highlight w:val="none"/>
              </w:rPr>
              <w:t>（2）具备设施设备安全、稳定运行的环境和场所（含有限空间），温湿度、照度、粉尘和烟雾浓度等符合相关安全规范。</w:t>
            </w:r>
          </w:p>
        </w:tc>
      </w:tr>
      <w:tr w14:paraId="7D6C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770" w:type="dxa"/>
            <w:vMerge w:val="restart"/>
            <w:tcBorders>
              <w:top w:val="single" w:color="auto" w:sz="4" w:space="0"/>
              <w:left w:val="single" w:color="auto" w:sz="4" w:space="0"/>
              <w:bottom w:val="single" w:color="auto" w:sz="4" w:space="0"/>
              <w:right w:val="single" w:color="auto" w:sz="4" w:space="0"/>
            </w:tcBorders>
            <w:noWrap w:val="0"/>
            <w:vAlign w:val="top"/>
          </w:tcPr>
          <w:p w14:paraId="6D328E8F">
            <w:pPr>
              <w:rPr>
                <w:color w:val="000000"/>
                <w:highlight w:val="none"/>
              </w:rPr>
            </w:pPr>
            <w:r>
              <w:rPr>
                <w:rFonts w:hint="eastAsia"/>
                <w:color w:val="000000"/>
                <w:highlight w:val="none"/>
              </w:rPr>
              <w:t>2</w:t>
            </w:r>
          </w:p>
        </w:tc>
        <w:tc>
          <w:tcPr>
            <w:tcW w:w="1777" w:type="dxa"/>
            <w:vMerge w:val="restart"/>
            <w:tcBorders>
              <w:top w:val="single" w:color="auto" w:sz="4" w:space="0"/>
              <w:left w:val="single" w:color="auto" w:sz="4" w:space="0"/>
              <w:bottom w:val="single" w:color="auto" w:sz="4" w:space="0"/>
              <w:right w:val="single" w:color="auto" w:sz="4" w:space="0"/>
            </w:tcBorders>
            <w:noWrap w:val="0"/>
            <w:vAlign w:val="top"/>
          </w:tcPr>
          <w:p w14:paraId="7D8F8FDB">
            <w:pPr>
              <w:rPr>
                <w:color w:val="000000"/>
                <w:highlight w:val="none"/>
              </w:rPr>
            </w:pPr>
            <w:r>
              <w:rPr>
                <w:rFonts w:hint="eastAsia"/>
                <w:color w:val="000000"/>
                <w:highlight w:val="none"/>
              </w:rPr>
              <w:t>设备机房</w:t>
            </w:r>
          </w:p>
        </w:tc>
        <w:tc>
          <w:tcPr>
            <w:tcW w:w="6811" w:type="dxa"/>
            <w:tcBorders>
              <w:top w:val="single" w:color="auto" w:sz="4" w:space="0"/>
              <w:left w:val="single" w:color="auto" w:sz="4" w:space="0"/>
              <w:bottom w:val="single" w:color="auto" w:sz="4" w:space="0"/>
              <w:right w:val="single" w:color="auto" w:sz="4" w:space="0"/>
            </w:tcBorders>
            <w:noWrap w:val="0"/>
            <w:vAlign w:val="top"/>
          </w:tcPr>
          <w:p w14:paraId="7FE8B316">
            <w:pPr>
              <w:rPr>
                <w:color w:val="000000"/>
                <w:highlight w:val="none"/>
              </w:rPr>
            </w:pPr>
            <w:r>
              <w:rPr>
                <w:rFonts w:hint="eastAsia"/>
                <w:color w:val="000000"/>
                <w:highlight w:val="none"/>
              </w:rPr>
              <w:t>（1）设备机房门口有机房类别及安全标志。 落实各类机房责任人、督查人，且设备系统图、应急预案流程图、管理制度、特种作业人员资格证书等上墙文件或证书符合各设备机房国家标准规范要求，机房巡视及外来人员记录清晰完整，标识统一。</w:t>
            </w:r>
          </w:p>
        </w:tc>
      </w:tr>
      <w:tr w14:paraId="6C76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682D5866">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008ED14A">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26EEF460">
            <w:pPr>
              <w:rPr>
                <w:color w:val="000000"/>
                <w:highlight w:val="none"/>
              </w:rPr>
            </w:pPr>
            <w:r>
              <w:rPr>
                <w:rFonts w:hint="eastAsia"/>
                <w:color w:val="000000"/>
                <w:highlight w:val="none"/>
              </w:rPr>
              <w:t>（2）设备机房门窗、锁具应当完好、有效。</w:t>
            </w:r>
          </w:p>
        </w:tc>
      </w:tr>
      <w:tr w14:paraId="443F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7919F37F">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717A5961">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11B6D440">
            <w:pPr>
              <w:rPr>
                <w:color w:val="000000"/>
                <w:highlight w:val="none"/>
              </w:rPr>
            </w:pPr>
            <w:r>
              <w:rPr>
                <w:rFonts w:hint="eastAsia"/>
                <w:color w:val="000000"/>
                <w:highlight w:val="none"/>
              </w:rPr>
              <w:t>（3）每半月至少开展1次清洁，整洁有序、无杂物、无积尘、无鼠、无虫害，温湿度符合设备运行要求。</w:t>
            </w:r>
          </w:p>
        </w:tc>
      </w:tr>
      <w:tr w14:paraId="2359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588995FF">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02FD8D32">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2A364C93">
            <w:pPr>
              <w:rPr>
                <w:color w:val="000000"/>
                <w:highlight w:val="none"/>
              </w:rPr>
            </w:pPr>
            <w:r>
              <w:rPr>
                <w:rFonts w:hint="eastAsia"/>
                <w:color w:val="000000"/>
                <w:highlight w:val="none"/>
              </w:rPr>
              <w:t>（4）按各设备机房国家标准规范规定维护/保管消防、通风、应急照明，防止小动物进入。</w:t>
            </w:r>
          </w:p>
        </w:tc>
      </w:tr>
      <w:tr w14:paraId="1879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292EC1C3">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75DF47D9">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251269F6">
            <w:pPr>
              <w:rPr>
                <w:color w:val="000000"/>
                <w:highlight w:val="none"/>
              </w:rPr>
            </w:pPr>
            <w:r>
              <w:rPr>
                <w:rFonts w:hint="eastAsia"/>
                <w:color w:val="000000"/>
                <w:highlight w:val="none"/>
              </w:rPr>
              <w:t>（5）安全防护用具配置齐全，检验合格。</w:t>
            </w:r>
          </w:p>
        </w:tc>
      </w:tr>
      <w:tr w14:paraId="60F1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60A16120">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4D7F32C2">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0C921360">
            <w:pPr>
              <w:rPr>
                <w:color w:val="000000"/>
                <w:highlight w:val="none"/>
              </w:rPr>
            </w:pPr>
            <w:r>
              <w:rPr>
                <w:rFonts w:hint="eastAsia"/>
                <w:color w:val="000000"/>
                <w:highlight w:val="none"/>
              </w:rPr>
              <w:t>（6）应急设施设备用品应当齐全、完备，可随时启用。</w:t>
            </w:r>
          </w:p>
        </w:tc>
      </w:tr>
      <w:tr w14:paraId="3DBD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770" w:type="dxa"/>
            <w:vMerge w:val="restart"/>
            <w:tcBorders>
              <w:top w:val="single" w:color="auto" w:sz="4" w:space="0"/>
              <w:left w:val="single" w:color="auto" w:sz="4" w:space="0"/>
              <w:bottom w:val="single" w:color="auto" w:sz="4" w:space="0"/>
              <w:right w:val="single" w:color="auto" w:sz="4" w:space="0"/>
            </w:tcBorders>
            <w:noWrap w:val="0"/>
            <w:vAlign w:val="top"/>
          </w:tcPr>
          <w:p w14:paraId="24B4E731">
            <w:pPr>
              <w:rPr>
                <w:color w:val="000000"/>
                <w:highlight w:val="none"/>
              </w:rPr>
            </w:pPr>
            <w:r>
              <w:rPr>
                <w:rFonts w:hint="eastAsia"/>
                <w:color w:val="000000"/>
                <w:highlight w:val="none"/>
              </w:rPr>
              <w:t>3</w:t>
            </w:r>
          </w:p>
        </w:tc>
        <w:tc>
          <w:tcPr>
            <w:tcW w:w="1777" w:type="dxa"/>
            <w:vMerge w:val="restart"/>
            <w:tcBorders>
              <w:top w:val="single" w:color="auto" w:sz="4" w:space="0"/>
              <w:left w:val="single" w:color="auto" w:sz="4" w:space="0"/>
              <w:bottom w:val="single" w:color="auto" w:sz="4" w:space="0"/>
              <w:right w:val="single" w:color="auto" w:sz="4" w:space="0"/>
            </w:tcBorders>
            <w:noWrap w:val="0"/>
            <w:vAlign w:val="top"/>
          </w:tcPr>
          <w:p w14:paraId="61FD33BC">
            <w:pPr>
              <w:rPr>
                <w:color w:val="000000"/>
                <w:highlight w:val="none"/>
              </w:rPr>
            </w:pPr>
            <w:r>
              <w:rPr>
                <w:rFonts w:hint="eastAsia"/>
                <w:color w:val="000000"/>
                <w:highlight w:val="none"/>
              </w:rPr>
              <w:t>电梯系统</w:t>
            </w:r>
          </w:p>
        </w:tc>
        <w:tc>
          <w:tcPr>
            <w:tcW w:w="6811" w:type="dxa"/>
            <w:tcBorders>
              <w:top w:val="single" w:color="auto" w:sz="4" w:space="0"/>
              <w:left w:val="single" w:color="auto" w:sz="4" w:space="0"/>
              <w:bottom w:val="single" w:color="auto" w:sz="4" w:space="0"/>
              <w:right w:val="single" w:color="auto" w:sz="4" w:space="0"/>
            </w:tcBorders>
            <w:noWrap w:val="0"/>
            <w:vAlign w:val="top"/>
          </w:tcPr>
          <w:p w14:paraId="4E2224CC">
            <w:pPr>
              <w:rPr>
                <w:color w:val="000000"/>
                <w:highlight w:val="none"/>
              </w:rPr>
            </w:pPr>
            <w:r>
              <w:rPr>
                <w:rFonts w:hint="eastAsia"/>
                <w:color w:val="000000"/>
                <w:highlight w:val="none"/>
              </w:rPr>
              <w:t>（1）电梯运行</w:t>
            </w:r>
            <w:r>
              <w:rPr>
                <w:rFonts w:hint="eastAsia"/>
                <w:color w:val="000000"/>
              </w:rPr>
              <w:t>平稳</w:t>
            </w:r>
            <w:r>
              <w:rPr>
                <w:rFonts w:hint="eastAsia"/>
                <w:color w:val="000000"/>
                <w:highlight w:val="none"/>
              </w:rPr>
              <w:t>、无异响、平层、开关正常。每天巡逻检查两次，记录电梯日常使用状况</w:t>
            </w:r>
            <w:r>
              <w:rPr>
                <w:rFonts w:hint="eastAsia"/>
                <w:color w:val="000000"/>
                <w:highlight w:val="none"/>
                <w:lang w:eastAsia="zh-CN"/>
              </w:rPr>
              <w:t>。</w:t>
            </w:r>
          </w:p>
        </w:tc>
      </w:tr>
      <w:tr w14:paraId="7929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48CE585E">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5294183E">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624C0AB7">
            <w:pPr>
              <w:rPr>
                <w:color w:val="000000"/>
                <w:highlight w:val="none"/>
              </w:rPr>
            </w:pPr>
            <w:r>
              <w:rPr>
                <w:rFonts w:hint="eastAsia"/>
                <w:color w:val="000000"/>
                <w:highlight w:val="none"/>
              </w:rPr>
              <w:t>（2）电梯准用证、年检合格证等证件齐全。 相关证件、紧急救援电话和乘客注意事项置于轿厢醒目位置。</w:t>
            </w:r>
          </w:p>
        </w:tc>
      </w:tr>
      <w:tr w14:paraId="7381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43E8A884">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5D8F10D5">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16624C17">
            <w:pPr>
              <w:rPr>
                <w:color w:val="000000"/>
                <w:highlight w:val="none"/>
              </w:rPr>
            </w:pPr>
            <w:r>
              <w:rPr>
                <w:rFonts w:hint="eastAsia"/>
                <w:color w:val="000000"/>
                <w:highlight w:val="none"/>
              </w:rPr>
              <w:t>（3）每年至少开展1次对电梯的全面检测，并出具检测报告，核发电梯使用标志。</w:t>
            </w:r>
          </w:p>
        </w:tc>
      </w:tr>
      <w:tr w14:paraId="0B18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75D928A6">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7AB57E8B">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5140EAD5">
            <w:pPr>
              <w:rPr>
                <w:color w:val="000000"/>
                <w:highlight w:val="none"/>
              </w:rPr>
            </w:pPr>
            <w:r>
              <w:rPr>
                <w:rFonts w:hint="eastAsia"/>
                <w:color w:val="000000"/>
                <w:highlight w:val="none"/>
              </w:rPr>
              <w:t>（4）电梯维保应当符合《电梯维护保养规则》 （TSG T5002）的有关要求。</w:t>
            </w:r>
          </w:p>
        </w:tc>
      </w:tr>
      <w:tr w14:paraId="2D76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0C63ADA9">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518B3A2F">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3637C680">
            <w:pPr>
              <w:rPr>
                <w:color w:val="000000"/>
                <w:highlight w:val="none"/>
              </w:rPr>
            </w:pPr>
            <w:r>
              <w:rPr>
                <w:rFonts w:hint="eastAsia"/>
                <w:color w:val="000000"/>
                <w:highlight w:val="none"/>
              </w:rPr>
              <w:t>（5）电梯使用应当符合《特种设备使用管理 规则》（TSG 08）的有关要求。</w:t>
            </w:r>
          </w:p>
        </w:tc>
      </w:tr>
      <w:tr w14:paraId="153C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742F8AA6">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47F745CE">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5DAD80A5">
            <w:pPr>
              <w:rPr>
                <w:color w:val="000000"/>
                <w:highlight w:val="none"/>
              </w:rPr>
            </w:pPr>
            <w:r>
              <w:rPr>
                <w:rFonts w:hint="eastAsia"/>
                <w:color w:val="000000"/>
                <w:highlight w:val="none"/>
              </w:rPr>
              <w:t>（6）有电梯突发事件或事故的应急措施与救援预案，每年至少开展演练1次。电梯出现故障，物业服务人员 10 分钟内到场应急处理，维保专业人员</w:t>
            </w:r>
            <w:r>
              <w:rPr>
                <w:rFonts w:hint="eastAsia"/>
                <w:color w:val="000000"/>
                <w:highlight w:val="none"/>
                <w:lang w:val="en-US" w:eastAsia="zh-CN"/>
              </w:rPr>
              <w:t>15</w:t>
            </w:r>
            <w:r>
              <w:rPr>
                <w:rFonts w:hint="eastAsia"/>
                <w:color w:val="000000"/>
                <w:highlight w:val="none"/>
              </w:rPr>
              <w:t xml:space="preserve"> 分钟内到场应急处理。</w:t>
            </w:r>
          </w:p>
        </w:tc>
      </w:tr>
      <w:tr w14:paraId="2E9C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636DBDAB">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7D244945">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4CEF1D8E">
            <w:pPr>
              <w:rPr>
                <w:color w:val="000000"/>
                <w:highlight w:val="none"/>
              </w:rPr>
            </w:pPr>
            <w:r>
              <w:rPr>
                <w:rFonts w:hint="eastAsia"/>
                <w:color w:val="000000"/>
                <w:highlight w:val="none"/>
              </w:rPr>
              <w:t>（7）到场进行救助和排除故障。电梯紧急电话保持</w:t>
            </w:r>
            <w:r>
              <w:rPr>
                <w:rFonts w:hint="eastAsia"/>
                <w:color w:val="000000"/>
              </w:rPr>
              <w:t>畅通</w:t>
            </w:r>
            <w:r>
              <w:rPr>
                <w:rFonts w:hint="eastAsia"/>
                <w:color w:val="000000"/>
                <w:highlight w:val="none"/>
              </w:rPr>
              <w:t>。</w:t>
            </w:r>
          </w:p>
        </w:tc>
      </w:tr>
      <w:tr w14:paraId="0CF4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1490434A">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01ACA9DC">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22FF653B">
            <w:pPr>
              <w:rPr>
                <w:color w:val="000000"/>
                <w:highlight w:val="none"/>
              </w:rPr>
            </w:pPr>
            <w:r>
              <w:rPr>
                <w:rFonts w:hint="eastAsia"/>
                <w:color w:val="000000"/>
                <w:highlight w:val="none"/>
              </w:rPr>
              <w:t>（8）电梯维修、保养时在现场设置提示标识和防护围栏。</w:t>
            </w:r>
          </w:p>
        </w:tc>
      </w:tr>
      <w:tr w14:paraId="4C9F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5ED7C4AA">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00ECB61B">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0F4DB7B4">
            <w:pPr>
              <w:rPr>
                <w:color w:val="000000"/>
                <w:highlight w:val="none"/>
              </w:rPr>
            </w:pPr>
            <w:r>
              <w:rPr>
                <w:rFonts w:hint="eastAsia"/>
                <w:color w:val="000000"/>
                <w:highlight w:val="none"/>
              </w:rPr>
              <w:t>（9）根据采购人需求，合理设置电梯开启的数量、时间。</w:t>
            </w:r>
          </w:p>
        </w:tc>
      </w:tr>
      <w:tr w14:paraId="42B7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12653B24">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4DEAC0C7">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44433392">
            <w:pPr>
              <w:rPr>
                <w:rFonts w:hint="eastAsia"/>
                <w:color w:val="000000"/>
                <w:highlight w:val="none"/>
              </w:rPr>
            </w:pPr>
            <w:r>
              <w:rPr>
                <w:rFonts w:hint="eastAsia"/>
                <w:b w:val="0"/>
                <w:bCs w:val="0"/>
                <w:color w:val="000000"/>
                <w:highlight w:val="none"/>
                <w:lang w:eastAsia="zh-CN"/>
              </w:rPr>
              <w:t>（</w:t>
            </w:r>
            <w:r>
              <w:rPr>
                <w:rFonts w:hint="eastAsia"/>
                <w:b w:val="0"/>
                <w:bCs w:val="0"/>
                <w:color w:val="000000"/>
                <w:highlight w:val="none"/>
                <w:lang w:val="en-US" w:eastAsia="zh-CN"/>
              </w:rPr>
              <w:t>10</w:t>
            </w:r>
            <w:r>
              <w:rPr>
                <w:rFonts w:hint="eastAsia"/>
                <w:b w:val="0"/>
                <w:bCs w:val="0"/>
                <w:color w:val="000000"/>
                <w:highlight w:val="none"/>
                <w:lang w:eastAsia="zh-CN"/>
              </w:rPr>
              <w:t>）电梯日常维修维保</w:t>
            </w:r>
            <w:r>
              <w:rPr>
                <w:rFonts w:hint="eastAsia"/>
                <w:b w:val="0"/>
                <w:bCs w:val="0"/>
                <w:color w:val="000000"/>
                <w:highlight w:val="none"/>
                <w:lang w:val="en-US" w:eastAsia="zh-CN"/>
              </w:rPr>
              <w:t>由中标人负责，费用从报价明细表中相应项目经费支出</w:t>
            </w:r>
            <w:r>
              <w:rPr>
                <w:rFonts w:hint="eastAsia" w:hAnsi="宋体"/>
                <w:b w:val="0"/>
                <w:bCs w:val="0"/>
                <w:color w:val="000000"/>
                <w:szCs w:val="21"/>
                <w:highlight w:val="none"/>
                <w:lang w:eastAsia="zh-CN"/>
              </w:rPr>
              <w:t>。</w:t>
            </w:r>
          </w:p>
        </w:tc>
      </w:tr>
      <w:tr w14:paraId="35B4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70" w:type="dxa"/>
            <w:vMerge w:val="restart"/>
            <w:tcBorders>
              <w:top w:val="single" w:color="auto" w:sz="4" w:space="0"/>
              <w:left w:val="single" w:color="auto" w:sz="4" w:space="0"/>
              <w:bottom w:val="single" w:color="auto" w:sz="4" w:space="0"/>
              <w:right w:val="single" w:color="auto" w:sz="4" w:space="0"/>
            </w:tcBorders>
            <w:noWrap w:val="0"/>
            <w:vAlign w:val="top"/>
          </w:tcPr>
          <w:p w14:paraId="095101C6">
            <w:pPr>
              <w:rPr>
                <w:color w:val="000000"/>
                <w:highlight w:val="none"/>
              </w:rPr>
            </w:pPr>
            <w:r>
              <w:rPr>
                <w:rFonts w:hint="eastAsia"/>
                <w:color w:val="000000"/>
                <w:highlight w:val="none"/>
              </w:rPr>
              <w:t>4</w:t>
            </w:r>
          </w:p>
        </w:tc>
        <w:tc>
          <w:tcPr>
            <w:tcW w:w="1777" w:type="dxa"/>
            <w:vMerge w:val="restart"/>
            <w:tcBorders>
              <w:top w:val="single" w:color="auto" w:sz="4" w:space="0"/>
              <w:left w:val="single" w:color="auto" w:sz="4" w:space="0"/>
              <w:bottom w:val="single" w:color="auto" w:sz="4" w:space="0"/>
              <w:right w:val="single" w:color="auto" w:sz="4" w:space="0"/>
            </w:tcBorders>
            <w:noWrap w:val="0"/>
            <w:vAlign w:val="top"/>
          </w:tcPr>
          <w:p w14:paraId="290BB1F4">
            <w:pPr>
              <w:rPr>
                <w:color w:val="000000"/>
                <w:highlight w:val="none"/>
              </w:rPr>
            </w:pPr>
            <w:r>
              <w:rPr>
                <w:rFonts w:hint="eastAsia"/>
                <w:color w:val="000000"/>
                <w:highlight w:val="none"/>
              </w:rPr>
              <w:t>空调系统</w:t>
            </w:r>
          </w:p>
        </w:tc>
        <w:tc>
          <w:tcPr>
            <w:tcW w:w="6811" w:type="dxa"/>
            <w:tcBorders>
              <w:top w:val="single" w:color="auto" w:sz="4" w:space="0"/>
              <w:left w:val="single" w:color="auto" w:sz="4" w:space="0"/>
              <w:bottom w:val="single" w:color="auto" w:sz="4" w:space="0"/>
              <w:right w:val="single" w:color="auto" w:sz="4" w:space="0"/>
            </w:tcBorders>
            <w:noWrap w:val="0"/>
            <w:vAlign w:val="top"/>
          </w:tcPr>
          <w:p w14:paraId="5E894DC8">
            <w:pPr>
              <w:rPr>
                <w:color w:val="000000"/>
                <w:highlight w:val="none"/>
              </w:rPr>
            </w:pPr>
            <w:r>
              <w:rPr>
                <w:rFonts w:hint="eastAsia"/>
                <w:color w:val="000000"/>
                <w:highlight w:val="none"/>
              </w:rPr>
              <w:t>（1）空调通风系统运行管理符合《空调通风系统运行管理标准》（GB50365）的相关要求。</w:t>
            </w:r>
          </w:p>
        </w:tc>
      </w:tr>
      <w:tr w14:paraId="4808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25126C00">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02F401E6">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21D9BBBE">
            <w:pPr>
              <w:rPr>
                <w:color w:val="000000"/>
                <w:highlight w:val="none"/>
              </w:rPr>
            </w:pPr>
            <w:r>
              <w:rPr>
                <w:rFonts w:hint="eastAsia"/>
                <w:color w:val="000000"/>
                <w:highlight w:val="none"/>
              </w:rPr>
              <w:t>（2）办公楼内温湿度、空气质量等符合《室内空气质量标准》（GB/T18883）的相关要求。</w:t>
            </w:r>
          </w:p>
        </w:tc>
      </w:tr>
      <w:tr w14:paraId="4810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37AA7969">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686C2514">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3EF415AA">
            <w:pPr>
              <w:rPr>
                <w:color w:val="000000"/>
                <w:highlight w:val="none"/>
              </w:rPr>
            </w:pPr>
            <w:r>
              <w:rPr>
                <w:rFonts w:hint="eastAsia"/>
                <w:color w:val="000000"/>
                <w:highlight w:val="none"/>
              </w:rPr>
              <w:t>（3）定期维保并做好记录，保证空调设施设备处于良好状态。</w:t>
            </w:r>
          </w:p>
        </w:tc>
      </w:tr>
      <w:tr w14:paraId="1A44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0401F994">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49F49009">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5B7DDC8D">
            <w:pPr>
              <w:rPr>
                <w:color w:val="000000"/>
                <w:highlight w:val="none"/>
              </w:rPr>
            </w:pPr>
            <w:r>
              <w:rPr>
                <w:rFonts w:hint="eastAsia"/>
                <w:color w:val="000000"/>
                <w:highlight w:val="none"/>
              </w:rPr>
              <w:t>（4）中央空调运行前对冷水机组、循环水泵、冷却塔、风机等设施设备进行系统检查，运行期间每日至少开展1次运行情况巡查。</w:t>
            </w:r>
          </w:p>
        </w:tc>
      </w:tr>
      <w:tr w14:paraId="5D40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0F287917">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46552E9E">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7C884202">
            <w:pPr>
              <w:rPr>
                <w:color w:val="000000"/>
                <w:highlight w:val="none"/>
              </w:rPr>
            </w:pPr>
            <w:r>
              <w:rPr>
                <w:rFonts w:hint="eastAsia"/>
                <w:color w:val="000000"/>
                <w:highlight w:val="none"/>
              </w:rPr>
              <w:t>（5）每半年至少开展1次管道、阀门检查并除锈。</w:t>
            </w:r>
          </w:p>
        </w:tc>
      </w:tr>
      <w:tr w14:paraId="1882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6A29FF37">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7EFF8FA3">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6C71416C">
            <w:pPr>
              <w:rPr>
                <w:color w:val="000000"/>
                <w:highlight w:val="none"/>
              </w:rPr>
            </w:pPr>
            <w:r>
              <w:rPr>
                <w:rFonts w:hint="eastAsia"/>
                <w:color w:val="000000"/>
                <w:highlight w:val="none"/>
              </w:rPr>
              <w:t>（6）每年至少开展1次系统整体性维修养护，检验1次压力容器、仪表及冷却塔噪声。</w:t>
            </w:r>
          </w:p>
        </w:tc>
      </w:tr>
      <w:tr w14:paraId="3239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7AFF5DBD">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2FF0E2B5">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4A247E36">
            <w:pPr>
              <w:rPr>
                <w:color w:val="000000"/>
                <w:highlight w:val="none"/>
              </w:rPr>
            </w:pPr>
            <w:r>
              <w:rPr>
                <w:rFonts w:hint="eastAsia"/>
                <w:color w:val="000000"/>
                <w:highlight w:val="none"/>
              </w:rPr>
              <w:t>（7）每年至少开展 1 次新风机、空气处理机滤网等清洗消毒；每 2 年至少开展 1 次风管清洗消毒。</w:t>
            </w:r>
          </w:p>
        </w:tc>
      </w:tr>
      <w:tr w14:paraId="5B7E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1D2A6DC6">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6A52FFCA">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4E5219A6">
            <w:pPr>
              <w:rPr>
                <w:color w:val="000000"/>
                <w:highlight w:val="none"/>
              </w:rPr>
            </w:pPr>
            <w:r>
              <w:rPr>
                <w:rFonts w:hint="eastAsia"/>
                <w:color w:val="000000"/>
                <w:highlight w:val="none"/>
              </w:rPr>
              <w:t>（8）每月至少开展1 次挂机和室外支架稳固性巡查。</w:t>
            </w:r>
          </w:p>
        </w:tc>
      </w:tr>
      <w:tr w14:paraId="32F2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262C930F">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48E56B7B">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7F41161B">
            <w:pPr>
              <w:rPr>
                <w:color w:val="000000"/>
                <w:highlight w:val="none"/>
              </w:rPr>
            </w:pPr>
            <w:r>
              <w:rPr>
                <w:rFonts w:hint="eastAsia"/>
                <w:color w:val="000000"/>
                <w:highlight w:val="none"/>
              </w:rPr>
              <w:t>（9）制冷、供暖系统温度设定及启用时间符合节能要求。</w:t>
            </w:r>
          </w:p>
        </w:tc>
      </w:tr>
      <w:tr w14:paraId="7213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45FBC319">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152A9012">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4C295BE3">
            <w:pPr>
              <w:rPr>
                <w:color w:val="000000"/>
                <w:highlight w:val="none"/>
              </w:rPr>
            </w:pPr>
            <w:r>
              <w:rPr>
                <w:rFonts w:hint="eastAsia"/>
                <w:color w:val="000000"/>
                <w:highlight w:val="none"/>
              </w:rPr>
              <w:t>（10）发现故障或损坏应当在30分钟内到场，紧急维修应当在 15分钟内到达现场，在12小时内维修完毕。</w:t>
            </w:r>
          </w:p>
        </w:tc>
      </w:tr>
      <w:tr w14:paraId="7689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4B68BDB3">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065D4D9E">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5B86EB22">
            <w:pPr>
              <w:rPr>
                <w:rFonts w:hint="eastAsia"/>
                <w:color w:val="000000"/>
                <w:highlight w:val="none"/>
              </w:rPr>
            </w:pPr>
            <w:r>
              <w:rPr>
                <w:rFonts w:hint="eastAsia"/>
                <w:color w:val="000000"/>
                <w:highlight w:val="none"/>
              </w:rPr>
              <w:t>（11）</w:t>
            </w:r>
            <w:r>
              <w:rPr>
                <w:rFonts w:hint="eastAsia"/>
                <w:color w:val="000000"/>
                <w:highlight w:val="none"/>
                <w:lang w:eastAsia="zh-CN"/>
              </w:rPr>
              <w:t>每日早晨7：00开机、18:00关机并填写《空调机房工作日志》。</w:t>
            </w:r>
          </w:p>
        </w:tc>
      </w:tr>
      <w:tr w14:paraId="5169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026D0343">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1C2000C4">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55E83962">
            <w:pPr>
              <w:rPr>
                <w:rFonts w:hint="eastAsia"/>
                <w:color w:val="000000"/>
                <w:highlight w:val="none"/>
              </w:rPr>
            </w:pPr>
            <w:r>
              <w:rPr>
                <w:rFonts w:hint="eastAsia"/>
                <w:color w:val="000000"/>
                <w:highlight w:val="none"/>
              </w:rPr>
              <w:t>（1</w:t>
            </w:r>
            <w:r>
              <w:rPr>
                <w:rFonts w:hint="eastAsia"/>
                <w:color w:val="000000"/>
                <w:highlight w:val="none"/>
                <w:lang w:val="en-US" w:eastAsia="zh-CN"/>
              </w:rPr>
              <w:t>2</w:t>
            </w:r>
            <w:r>
              <w:rPr>
                <w:rFonts w:hint="eastAsia"/>
                <w:color w:val="000000"/>
                <w:highlight w:val="none"/>
              </w:rPr>
              <w:t>）</w:t>
            </w:r>
            <w:r>
              <w:rPr>
                <w:rFonts w:hint="eastAsia"/>
                <w:color w:val="000000"/>
                <w:highlight w:val="none"/>
                <w:lang w:eastAsia="zh-CN"/>
              </w:rPr>
              <w:t>每日8:00之前清理机房地面、设备卫生及控制室卫生等。期间9:00、11:00、13:00及15:00四个时间段对热泵机组或冷水机组进行数据采集。</w:t>
            </w:r>
          </w:p>
        </w:tc>
      </w:tr>
      <w:tr w14:paraId="3B7A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0AB86992">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101AE4B9">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6F4EE74A">
            <w:pPr>
              <w:rPr>
                <w:rFonts w:hint="eastAsia"/>
                <w:color w:val="000000"/>
                <w:highlight w:val="none"/>
              </w:rPr>
            </w:pPr>
            <w:r>
              <w:rPr>
                <w:rFonts w:hint="eastAsia"/>
                <w:color w:val="000000"/>
                <w:highlight w:val="none"/>
              </w:rPr>
              <w:t>（1</w:t>
            </w:r>
            <w:r>
              <w:rPr>
                <w:rFonts w:hint="eastAsia"/>
                <w:color w:val="000000"/>
                <w:highlight w:val="none"/>
                <w:lang w:val="en-US" w:eastAsia="zh-CN"/>
              </w:rPr>
              <w:t>3</w:t>
            </w:r>
            <w:r>
              <w:rPr>
                <w:rFonts w:hint="eastAsia"/>
                <w:color w:val="000000"/>
                <w:highlight w:val="none"/>
              </w:rPr>
              <w:t>）</w:t>
            </w:r>
            <w:r>
              <w:rPr>
                <w:rFonts w:hint="eastAsia"/>
                <w:color w:val="000000"/>
                <w:highlight w:val="none"/>
                <w:lang w:eastAsia="zh-CN"/>
              </w:rPr>
              <w:t>制冷期间，</w:t>
            </w:r>
            <w:r>
              <w:rPr>
                <w:rFonts w:hint="eastAsia"/>
                <w:color w:val="000000"/>
                <w:highlight w:val="none"/>
              </w:rPr>
              <w:t>室内温度维持在</w:t>
            </w:r>
            <w:r>
              <w:rPr>
                <w:rFonts w:hint="eastAsia"/>
                <w:color w:val="000000"/>
                <w:highlight w:val="none"/>
                <w:lang w:eastAsia="zh-CN"/>
              </w:rPr>
              <w:t>不低于</w:t>
            </w:r>
            <w:r>
              <w:rPr>
                <w:rFonts w:hint="eastAsia"/>
                <w:color w:val="000000"/>
                <w:highlight w:val="none"/>
              </w:rPr>
              <w:t>26摄氏度；</w:t>
            </w:r>
            <w:r>
              <w:rPr>
                <w:rFonts w:hint="eastAsia"/>
                <w:color w:val="000000"/>
                <w:highlight w:val="none"/>
                <w:lang w:eastAsia="zh-CN"/>
              </w:rPr>
              <w:t>制热期间</w:t>
            </w:r>
            <w:r>
              <w:rPr>
                <w:rFonts w:hint="eastAsia"/>
                <w:color w:val="000000"/>
                <w:highlight w:val="none"/>
              </w:rPr>
              <w:t>室内温度不</w:t>
            </w:r>
            <w:r>
              <w:rPr>
                <w:rFonts w:hint="eastAsia"/>
                <w:color w:val="000000"/>
                <w:highlight w:val="none"/>
                <w:lang w:eastAsia="zh-CN"/>
              </w:rPr>
              <w:t>高</w:t>
            </w:r>
            <w:r>
              <w:rPr>
                <w:rFonts w:hint="eastAsia"/>
                <w:color w:val="000000"/>
                <w:highlight w:val="none"/>
              </w:rPr>
              <w:t>于</w:t>
            </w:r>
            <w:r>
              <w:rPr>
                <w:rFonts w:hint="eastAsia"/>
                <w:color w:val="000000"/>
                <w:highlight w:val="none"/>
                <w:lang w:val="en-US" w:eastAsia="zh-CN"/>
              </w:rPr>
              <w:t>20</w:t>
            </w:r>
            <w:r>
              <w:rPr>
                <w:rFonts w:hint="eastAsia"/>
                <w:color w:val="000000"/>
                <w:highlight w:val="none"/>
              </w:rPr>
              <w:t>摄氏度。</w:t>
            </w:r>
          </w:p>
        </w:tc>
      </w:tr>
      <w:tr w14:paraId="425B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17E638CD">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03314C8D">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3CF82764">
            <w:pPr>
              <w:rPr>
                <w:rFonts w:hint="eastAsia"/>
                <w:color w:val="000000"/>
                <w:highlight w:val="none"/>
                <w:lang w:eastAsia="zh-CN"/>
              </w:rPr>
            </w:pPr>
            <w:r>
              <w:rPr>
                <w:rFonts w:hint="eastAsia"/>
                <w:color w:val="000000"/>
                <w:highlight w:val="none"/>
              </w:rPr>
              <w:t>（1</w:t>
            </w:r>
            <w:r>
              <w:rPr>
                <w:rFonts w:hint="eastAsia"/>
                <w:color w:val="000000"/>
                <w:highlight w:val="none"/>
                <w:lang w:val="en-US" w:eastAsia="zh-CN"/>
              </w:rPr>
              <w:t>4</w:t>
            </w:r>
            <w:r>
              <w:rPr>
                <w:rFonts w:hint="eastAsia"/>
                <w:color w:val="000000"/>
                <w:highlight w:val="none"/>
              </w:rPr>
              <w:t>）</w:t>
            </w:r>
            <w:r>
              <w:rPr>
                <w:rFonts w:hint="eastAsia"/>
                <w:color w:val="000000"/>
                <w:highlight w:val="none"/>
                <w:lang w:val="en-US" w:eastAsia="zh-CN"/>
              </w:rPr>
              <w:t>空调机房工作人员要求24小时值班，节假日休息日随时待命。</w:t>
            </w:r>
          </w:p>
        </w:tc>
      </w:tr>
      <w:tr w14:paraId="1F01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75EB4FE2">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6DB4BA34">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429F8F9E">
            <w:pPr>
              <w:rPr>
                <w:rFonts w:hint="eastAsia"/>
                <w:color w:val="000000"/>
                <w:highlight w:val="none"/>
              </w:rPr>
            </w:pPr>
            <w:r>
              <w:rPr>
                <w:rFonts w:hint="eastAsia"/>
                <w:b w:val="0"/>
                <w:bCs w:val="0"/>
                <w:color w:val="000000"/>
                <w:highlight w:val="none"/>
              </w:rPr>
              <w:t>（1</w:t>
            </w:r>
            <w:r>
              <w:rPr>
                <w:rFonts w:hint="eastAsia"/>
                <w:b w:val="0"/>
                <w:bCs w:val="0"/>
                <w:color w:val="000000"/>
                <w:highlight w:val="none"/>
                <w:lang w:val="en-US" w:eastAsia="zh-CN"/>
              </w:rPr>
              <w:t>5</w:t>
            </w:r>
            <w:r>
              <w:rPr>
                <w:rFonts w:hint="eastAsia"/>
                <w:b w:val="0"/>
                <w:bCs w:val="0"/>
                <w:color w:val="000000"/>
                <w:highlight w:val="none"/>
              </w:rPr>
              <w:t>）</w:t>
            </w:r>
            <w:r>
              <w:rPr>
                <w:rFonts w:hint="eastAsia"/>
                <w:b w:val="0"/>
                <w:bCs w:val="0"/>
                <w:color w:val="000000"/>
                <w:highlight w:val="none"/>
                <w:lang w:eastAsia="zh-CN"/>
              </w:rPr>
              <w:t>空调日常维修维保</w:t>
            </w:r>
            <w:r>
              <w:rPr>
                <w:rFonts w:hint="eastAsia"/>
                <w:b w:val="0"/>
                <w:bCs w:val="0"/>
                <w:color w:val="000000"/>
                <w:highlight w:val="none"/>
                <w:lang w:val="en-US" w:eastAsia="zh-CN"/>
              </w:rPr>
              <w:t>由中标人负责，费用从报价明细表中相应项目经费支出</w:t>
            </w:r>
            <w:r>
              <w:rPr>
                <w:rFonts w:hint="eastAsia" w:hAnsi="宋体"/>
                <w:b w:val="0"/>
                <w:bCs w:val="0"/>
                <w:color w:val="000000"/>
                <w:szCs w:val="21"/>
                <w:highlight w:val="none"/>
                <w:lang w:eastAsia="zh-CN"/>
              </w:rPr>
              <w:t>。</w:t>
            </w:r>
          </w:p>
        </w:tc>
      </w:tr>
      <w:tr w14:paraId="526E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70" w:type="dxa"/>
            <w:vMerge w:val="restart"/>
            <w:tcBorders>
              <w:top w:val="single" w:color="auto" w:sz="4" w:space="0"/>
              <w:left w:val="single" w:color="auto" w:sz="4" w:space="0"/>
              <w:bottom w:val="single" w:color="auto" w:sz="4" w:space="0"/>
              <w:right w:val="single" w:color="auto" w:sz="4" w:space="0"/>
            </w:tcBorders>
            <w:noWrap w:val="0"/>
            <w:vAlign w:val="top"/>
          </w:tcPr>
          <w:p w14:paraId="2B7929FC">
            <w:pPr>
              <w:rPr>
                <w:color w:val="000000"/>
                <w:highlight w:val="none"/>
              </w:rPr>
            </w:pPr>
            <w:r>
              <w:rPr>
                <w:rFonts w:hint="eastAsia"/>
                <w:color w:val="000000"/>
                <w:highlight w:val="none"/>
              </w:rPr>
              <w:t>5</w:t>
            </w:r>
          </w:p>
        </w:tc>
        <w:tc>
          <w:tcPr>
            <w:tcW w:w="1777" w:type="dxa"/>
            <w:vMerge w:val="restart"/>
            <w:tcBorders>
              <w:top w:val="single" w:color="auto" w:sz="4" w:space="0"/>
              <w:left w:val="single" w:color="auto" w:sz="4" w:space="0"/>
              <w:bottom w:val="single" w:color="auto" w:sz="4" w:space="0"/>
              <w:right w:val="single" w:color="auto" w:sz="4" w:space="0"/>
            </w:tcBorders>
            <w:noWrap w:val="0"/>
            <w:vAlign w:val="top"/>
          </w:tcPr>
          <w:p w14:paraId="4A865F35">
            <w:pPr>
              <w:rPr>
                <w:color w:val="000000"/>
                <w:highlight w:val="none"/>
              </w:rPr>
            </w:pPr>
            <w:r>
              <w:rPr>
                <w:rFonts w:hint="eastAsia"/>
                <w:color w:val="000000"/>
                <w:highlight w:val="none"/>
              </w:rPr>
              <w:t>消防系统</w:t>
            </w:r>
          </w:p>
        </w:tc>
        <w:tc>
          <w:tcPr>
            <w:tcW w:w="6811" w:type="dxa"/>
            <w:tcBorders>
              <w:top w:val="single" w:color="auto" w:sz="4" w:space="0"/>
              <w:left w:val="single" w:color="auto" w:sz="4" w:space="0"/>
              <w:bottom w:val="single" w:color="auto" w:sz="4" w:space="0"/>
              <w:right w:val="single" w:color="auto" w:sz="4" w:space="0"/>
            </w:tcBorders>
            <w:noWrap w:val="0"/>
            <w:vAlign w:val="top"/>
          </w:tcPr>
          <w:p w14:paraId="7F9E4579">
            <w:pPr>
              <w:rPr>
                <w:color w:val="000000"/>
                <w:highlight w:val="none"/>
              </w:rPr>
            </w:pPr>
            <w:r>
              <w:rPr>
                <w:rFonts w:hint="eastAsia"/>
                <w:color w:val="000000"/>
                <w:highlight w:val="none"/>
              </w:rPr>
              <w:t>（1）消防设施的维护管理符合《建筑消防设施的维护管理》（GB25201）的相关要求。</w:t>
            </w:r>
          </w:p>
        </w:tc>
      </w:tr>
      <w:tr w14:paraId="04BA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679F4C0D">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0B9E735F">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49F91CA7">
            <w:pPr>
              <w:rPr>
                <w:color w:val="000000"/>
                <w:highlight w:val="none"/>
              </w:rPr>
            </w:pPr>
            <w:r>
              <w:rPr>
                <w:rFonts w:hint="eastAsia"/>
                <w:color w:val="000000"/>
                <w:highlight w:val="none"/>
              </w:rPr>
              <w:t>（2）消防设备检测符合《建筑消防设施检测技术规程》（XF503）的相关要求。</w:t>
            </w:r>
          </w:p>
        </w:tc>
      </w:tr>
      <w:tr w14:paraId="085E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45FDD862">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1F7F699E">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3C972639">
            <w:pPr>
              <w:rPr>
                <w:color w:val="000000"/>
                <w:highlight w:val="none"/>
              </w:rPr>
            </w:pPr>
            <w:r>
              <w:rPr>
                <w:rFonts w:hint="eastAsia"/>
                <w:color w:val="000000"/>
                <w:highlight w:val="none"/>
              </w:rPr>
              <w:t>（3）消防设施平面图、火警疏散示意图、防火分区图等按幢设置在楼层醒目位置。</w:t>
            </w:r>
          </w:p>
        </w:tc>
      </w:tr>
      <w:tr w14:paraId="36B5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262B7253">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0A364662">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253B0884">
            <w:pPr>
              <w:rPr>
                <w:color w:val="000000"/>
                <w:highlight w:val="none"/>
              </w:rPr>
            </w:pPr>
            <w:r>
              <w:rPr>
                <w:rFonts w:hint="eastAsia"/>
                <w:color w:val="000000"/>
                <w:highlight w:val="none"/>
              </w:rPr>
              <w:t>（4）消防系统各设施设备使用说明清晰，宜图文结合。</w:t>
            </w:r>
          </w:p>
        </w:tc>
      </w:tr>
      <w:tr w14:paraId="5C63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341DD213">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18541907">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6B55BD89">
            <w:pPr>
              <w:rPr>
                <w:color w:val="000000"/>
                <w:highlight w:val="none"/>
              </w:rPr>
            </w:pPr>
            <w:r>
              <w:rPr>
                <w:rFonts w:hint="eastAsia"/>
                <w:color w:val="000000"/>
                <w:highlight w:val="none"/>
              </w:rPr>
              <w:t>（5）消防供配电、消防供水设施、火灾自动报警系统，自动喷淋系统，消火栓系统、灭火器、气体灭火系统、应急照明及疏散指示标志、防排烟系统、消防电梯等系统运行正常。</w:t>
            </w:r>
          </w:p>
        </w:tc>
      </w:tr>
      <w:tr w14:paraId="0BC1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0C0BD0E7">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74E577D4">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5CDEC1B4">
            <w:pPr>
              <w:rPr>
                <w:color w:val="000000"/>
                <w:highlight w:val="none"/>
              </w:rPr>
            </w:pPr>
            <w:r>
              <w:rPr>
                <w:rFonts w:hint="eastAsia"/>
                <w:color w:val="000000"/>
                <w:highlight w:val="none"/>
              </w:rPr>
              <w:t>（6）消防监控系统运行良好，自动和手动报警设施启动正常</w:t>
            </w:r>
            <w:r>
              <w:rPr>
                <w:rFonts w:hint="eastAsia"/>
                <w:color w:val="000000"/>
                <w:highlight w:val="none"/>
                <w:lang w:eastAsia="zh-CN"/>
              </w:rPr>
              <w:t>。</w:t>
            </w:r>
          </w:p>
        </w:tc>
      </w:tr>
      <w:tr w14:paraId="6C90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4585D23E">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152D9A9B">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4D5887C0">
            <w:pPr>
              <w:rPr>
                <w:color w:val="000000"/>
                <w:highlight w:val="none"/>
              </w:rPr>
            </w:pPr>
            <w:r>
              <w:rPr>
                <w:rFonts w:hint="eastAsia"/>
                <w:color w:val="000000"/>
                <w:highlight w:val="none"/>
              </w:rPr>
              <w:t>（7）消防管理人员必须具有消防相关证件，并定期进行培训。</w:t>
            </w:r>
          </w:p>
        </w:tc>
      </w:tr>
      <w:tr w14:paraId="2E96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4983761F">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06683B20">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5BAA7C1D">
            <w:pPr>
              <w:rPr>
                <w:rFonts w:hint="eastAsia"/>
                <w:color w:val="000000"/>
                <w:highlight w:val="none"/>
              </w:rPr>
            </w:pPr>
            <w:r>
              <w:rPr>
                <w:rFonts w:hint="eastAsia" w:ascii="Times New Roman" w:hAnsi="Times New Roman"/>
                <w:color w:val="000000"/>
                <w:sz w:val="21"/>
                <w:szCs w:val="24"/>
                <w:highlight w:val="none"/>
                <w:lang w:val="en-US" w:eastAsia="zh-CN" w:bidi="ar-SA"/>
              </w:rPr>
              <w:t>（8）</w:t>
            </w:r>
            <w:r>
              <w:rPr>
                <w:rFonts w:hint="eastAsia"/>
                <w:color w:val="000000"/>
                <w:highlight w:val="none"/>
                <w:lang w:val="en-US" w:eastAsia="zh-CN"/>
              </w:rPr>
              <w:t>消防控制室工作人员实行24小时值班。</w:t>
            </w:r>
          </w:p>
        </w:tc>
      </w:tr>
      <w:tr w14:paraId="42AB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00C59011">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197BFD16">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7BB0B8B1">
            <w:pPr>
              <w:rPr>
                <w:rFonts w:hint="eastAsia" w:ascii="Times New Roman" w:hAnsi="Times New Roman"/>
                <w:color w:val="000000"/>
                <w:sz w:val="21"/>
                <w:szCs w:val="24"/>
                <w:highlight w:val="none"/>
                <w:lang w:val="en-US" w:eastAsia="zh-CN" w:bidi="ar-SA"/>
              </w:rPr>
            </w:pPr>
            <w:r>
              <w:rPr>
                <w:rFonts w:hint="eastAsia"/>
                <w:b w:val="0"/>
                <w:bCs w:val="0"/>
                <w:color w:val="000000"/>
                <w:highlight w:val="none"/>
                <w:lang w:val="en-US" w:eastAsia="zh-CN"/>
              </w:rPr>
              <w:t>（9）消防系统</w:t>
            </w:r>
            <w:r>
              <w:rPr>
                <w:rFonts w:hint="eastAsia"/>
                <w:b w:val="0"/>
                <w:bCs w:val="0"/>
                <w:color w:val="000000"/>
                <w:highlight w:val="none"/>
                <w:lang w:eastAsia="zh-CN"/>
              </w:rPr>
              <w:t>日常维修维保</w:t>
            </w:r>
            <w:r>
              <w:rPr>
                <w:rFonts w:hint="eastAsia"/>
                <w:b w:val="0"/>
                <w:bCs w:val="0"/>
                <w:color w:val="000000"/>
                <w:highlight w:val="none"/>
                <w:lang w:val="en-US" w:eastAsia="zh-CN"/>
              </w:rPr>
              <w:t>由中标人负责，费用从报价明细表中相应项目经费支出</w:t>
            </w:r>
            <w:r>
              <w:rPr>
                <w:rFonts w:hint="eastAsia" w:hAnsi="宋体"/>
                <w:b w:val="0"/>
                <w:bCs w:val="0"/>
                <w:color w:val="000000"/>
                <w:szCs w:val="21"/>
                <w:highlight w:val="none"/>
                <w:lang w:eastAsia="zh-CN"/>
              </w:rPr>
              <w:t>。</w:t>
            </w:r>
          </w:p>
        </w:tc>
      </w:tr>
      <w:tr w14:paraId="3058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770" w:type="dxa"/>
            <w:vMerge w:val="restart"/>
            <w:tcBorders>
              <w:top w:val="single" w:color="auto" w:sz="4" w:space="0"/>
              <w:left w:val="single" w:color="auto" w:sz="4" w:space="0"/>
              <w:bottom w:val="single" w:color="auto" w:sz="4" w:space="0"/>
              <w:right w:val="single" w:color="auto" w:sz="4" w:space="0"/>
            </w:tcBorders>
            <w:noWrap w:val="0"/>
            <w:vAlign w:val="top"/>
          </w:tcPr>
          <w:p w14:paraId="70F1CDE2">
            <w:pPr>
              <w:rPr>
                <w:color w:val="000000"/>
                <w:highlight w:val="none"/>
              </w:rPr>
            </w:pPr>
            <w:r>
              <w:rPr>
                <w:rFonts w:hint="eastAsia"/>
                <w:color w:val="000000"/>
                <w:highlight w:val="none"/>
              </w:rPr>
              <w:t>6</w:t>
            </w:r>
          </w:p>
        </w:tc>
        <w:tc>
          <w:tcPr>
            <w:tcW w:w="1777" w:type="dxa"/>
            <w:vMerge w:val="restart"/>
            <w:tcBorders>
              <w:top w:val="single" w:color="auto" w:sz="4" w:space="0"/>
              <w:left w:val="single" w:color="auto" w:sz="4" w:space="0"/>
              <w:bottom w:val="single" w:color="auto" w:sz="4" w:space="0"/>
              <w:right w:val="single" w:color="auto" w:sz="4" w:space="0"/>
            </w:tcBorders>
            <w:noWrap w:val="0"/>
            <w:vAlign w:val="top"/>
          </w:tcPr>
          <w:p w14:paraId="4C8A2400">
            <w:pPr>
              <w:rPr>
                <w:color w:val="000000"/>
                <w:highlight w:val="none"/>
              </w:rPr>
            </w:pPr>
            <w:r>
              <w:rPr>
                <w:rFonts w:hint="eastAsia"/>
                <w:color w:val="000000"/>
                <w:highlight w:val="none"/>
              </w:rPr>
              <w:t>供配电系统</w:t>
            </w:r>
          </w:p>
        </w:tc>
        <w:tc>
          <w:tcPr>
            <w:tcW w:w="6811" w:type="dxa"/>
            <w:tcBorders>
              <w:top w:val="single" w:color="auto" w:sz="4" w:space="0"/>
              <w:left w:val="single" w:color="auto" w:sz="4" w:space="0"/>
              <w:bottom w:val="single" w:color="auto" w:sz="4" w:space="0"/>
              <w:right w:val="single" w:color="auto" w:sz="4" w:space="0"/>
            </w:tcBorders>
            <w:noWrap w:val="0"/>
            <w:vAlign w:val="top"/>
          </w:tcPr>
          <w:p w14:paraId="1557A6A4">
            <w:pPr>
              <w:rPr>
                <w:color w:val="000000"/>
                <w:highlight w:val="none"/>
              </w:rPr>
            </w:pPr>
            <w:r>
              <w:rPr>
                <w:rFonts w:hint="eastAsia"/>
                <w:color w:val="000000"/>
                <w:highlight w:val="none"/>
              </w:rPr>
              <w:t>（1）</w:t>
            </w:r>
            <w:r>
              <w:rPr>
                <w:rFonts w:hint="eastAsia" w:ascii="宋体" w:hAnsi="宋体" w:cs="宋体"/>
                <w:color w:val="000000"/>
                <w:szCs w:val="21"/>
                <w:highlight w:val="none"/>
                <w:lang w:eastAsia="zh-CN"/>
              </w:rPr>
              <w:t>岗位</w:t>
            </w:r>
            <w:r>
              <w:rPr>
                <w:rFonts w:hint="eastAsia" w:ascii="宋体" w:hAnsi="宋体" w:cs="宋体"/>
                <w:color w:val="000000"/>
                <w:szCs w:val="21"/>
                <w:highlight w:val="none"/>
              </w:rPr>
              <w:t>人员必须持有对应的从业资格证，工作认真负责并定期接受培训</w:t>
            </w:r>
            <w:r>
              <w:rPr>
                <w:rFonts w:hint="eastAsia"/>
                <w:color w:val="000000"/>
                <w:highlight w:val="none"/>
              </w:rPr>
              <w:t>。</w:t>
            </w:r>
          </w:p>
        </w:tc>
      </w:tr>
      <w:tr w14:paraId="7420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7199A984">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6510CDA4">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5EB8B9FD">
            <w:pPr>
              <w:rPr>
                <w:color w:val="000000"/>
                <w:highlight w:val="none"/>
              </w:rPr>
            </w:pPr>
            <w:r>
              <w:rPr>
                <w:rFonts w:hint="eastAsia"/>
                <w:color w:val="000000"/>
                <w:highlight w:val="none"/>
              </w:rPr>
              <w:t>（2）对供电范围内的电气设备定期巡视维护，加强高低压配电柜、配电箱、控制柜及线路等重点部位监测。</w:t>
            </w:r>
          </w:p>
        </w:tc>
      </w:tr>
      <w:tr w14:paraId="551B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503CBFD1">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3AAE8799">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6630ABF4">
            <w:pPr>
              <w:rPr>
                <w:color w:val="000000"/>
                <w:highlight w:val="none"/>
              </w:rPr>
            </w:pPr>
            <w:r>
              <w:rPr>
                <w:rFonts w:hint="eastAsia"/>
                <w:color w:val="000000"/>
                <w:highlight w:val="none"/>
              </w:rPr>
              <w:t>（3）公共使用的照明、指示灯具线路、开关、接地等保持完好，确保用电安全。</w:t>
            </w:r>
          </w:p>
        </w:tc>
      </w:tr>
      <w:tr w14:paraId="78B6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63B969CB">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0AF70B15">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34CDE5C6">
            <w:pPr>
              <w:rPr>
                <w:color w:val="000000"/>
                <w:highlight w:val="none"/>
              </w:rPr>
            </w:pPr>
            <w:r>
              <w:rPr>
                <w:rFonts w:hint="eastAsia"/>
                <w:color w:val="000000"/>
                <w:highlight w:val="none"/>
              </w:rPr>
              <w:t>（4）核心部位用电建立高可控用电保障和配 备应急发电设备，定期维护应急发电设备。</w:t>
            </w:r>
          </w:p>
        </w:tc>
      </w:tr>
      <w:tr w14:paraId="2927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024A4E07">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158A1AC4">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67C45AA0">
            <w:pPr>
              <w:rPr>
                <w:color w:val="000000"/>
                <w:highlight w:val="none"/>
              </w:rPr>
            </w:pPr>
            <w:r>
              <w:rPr>
                <w:rFonts w:hint="eastAsia"/>
                <w:color w:val="000000"/>
                <w:highlight w:val="none"/>
              </w:rPr>
              <w:t>（5）发生非计划性停电的，应当在事件发生后1</w:t>
            </w:r>
            <w:r>
              <w:rPr>
                <w:rFonts w:hint="eastAsia"/>
                <w:color w:val="000000"/>
                <w:highlight w:val="none"/>
                <w:lang w:val="en-US" w:eastAsia="zh-CN"/>
              </w:rPr>
              <w:t>0</w:t>
            </w:r>
            <w:r>
              <w:rPr>
                <w:rFonts w:hint="eastAsia"/>
                <w:color w:val="000000"/>
                <w:highlight w:val="none"/>
              </w:rPr>
              <w:t>分钟内通知采购人，快速恢复或启用应急电源，并做好应急事件上报及处理工作。</w:t>
            </w:r>
          </w:p>
        </w:tc>
      </w:tr>
      <w:tr w14:paraId="71F0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46332326">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1D493526">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452C0EF5">
            <w:pPr>
              <w:rPr>
                <w:color w:val="000000"/>
                <w:highlight w:val="none"/>
              </w:rPr>
            </w:pPr>
            <w:r>
              <w:rPr>
                <w:rFonts w:hint="eastAsia"/>
                <w:color w:val="000000"/>
                <w:highlight w:val="none"/>
              </w:rPr>
              <w:t>（6）复杂故障涉及供电部门维修处置的1</w:t>
            </w:r>
            <w:r>
              <w:rPr>
                <w:rFonts w:hint="eastAsia"/>
                <w:color w:val="000000"/>
                <w:highlight w:val="none"/>
                <w:lang w:val="en-US" w:eastAsia="zh-CN"/>
              </w:rPr>
              <w:t>0</w:t>
            </w:r>
            <w:r>
              <w:rPr>
                <w:rFonts w:hint="eastAsia"/>
                <w:color w:val="000000"/>
                <w:highlight w:val="none"/>
              </w:rPr>
              <w:t>分钟内与供电部门联系，并向采购人报告。</w:t>
            </w:r>
          </w:p>
        </w:tc>
      </w:tr>
      <w:tr w14:paraId="74BB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2529659F">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0222CDB3">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54EC4D70">
            <w:pPr>
              <w:rPr>
                <w:rFonts w:hint="eastAsia"/>
                <w:color w:val="000000"/>
                <w:highlight w:val="none"/>
              </w:rPr>
            </w:pPr>
            <w:r>
              <w:rPr>
                <w:rFonts w:hint="eastAsia"/>
                <w:color w:val="000000"/>
                <w:highlight w:val="none"/>
              </w:rPr>
              <w:t>（</w:t>
            </w:r>
            <w:r>
              <w:rPr>
                <w:rFonts w:hint="eastAsia"/>
                <w:color w:val="000000"/>
                <w:highlight w:val="none"/>
                <w:lang w:val="en-US" w:eastAsia="zh-CN"/>
              </w:rPr>
              <w:t>7</w:t>
            </w:r>
            <w:r>
              <w:rPr>
                <w:rFonts w:hint="eastAsia"/>
                <w:color w:val="000000"/>
                <w:highlight w:val="none"/>
              </w:rPr>
              <w:t>）配电机房每天巡查四次，记录配电柜日常使用情况。</w:t>
            </w:r>
          </w:p>
        </w:tc>
      </w:tr>
      <w:tr w14:paraId="69FF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155E52FF">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21383671">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6629AF6C">
            <w:pPr>
              <w:rPr>
                <w:rFonts w:hint="eastAsia"/>
                <w:color w:val="000000"/>
                <w:highlight w:val="none"/>
              </w:rPr>
            </w:pPr>
            <w:r>
              <w:rPr>
                <w:rFonts w:hint="eastAsia"/>
                <w:color w:val="000000"/>
                <w:highlight w:val="none"/>
              </w:rPr>
              <w:t>（</w:t>
            </w:r>
            <w:r>
              <w:rPr>
                <w:rFonts w:hint="eastAsia"/>
                <w:color w:val="000000"/>
                <w:highlight w:val="none"/>
                <w:lang w:val="en-US" w:eastAsia="zh-CN"/>
              </w:rPr>
              <w:t>8</w:t>
            </w:r>
            <w:r>
              <w:rPr>
                <w:rFonts w:hint="eastAsia"/>
                <w:color w:val="000000"/>
                <w:highlight w:val="none"/>
              </w:rPr>
              <w:t>）</w:t>
            </w:r>
            <w:r>
              <w:rPr>
                <w:rFonts w:hint="eastAsia"/>
                <w:color w:val="000000"/>
                <w:highlight w:val="none"/>
                <w:lang w:eastAsia="zh-CN"/>
              </w:rPr>
              <w:t>出现故障</w:t>
            </w:r>
            <w:r>
              <w:rPr>
                <w:rFonts w:hint="eastAsia"/>
                <w:color w:val="000000"/>
                <w:highlight w:val="none"/>
              </w:rPr>
              <w:t>及时处理</w:t>
            </w:r>
            <w:r>
              <w:rPr>
                <w:rFonts w:hint="eastAsia"/>
                <w:color w:val="000000"/>
                <w:highlight w:val="none"/>
                <w:lang w:eastAsia="zh-CN"/>
              </w:rPr>
              <w:t>，</w:t>
            </w:r>
            <w:r>
              <w:rPr>
                <w:rFonts w:hint="eastAsia"/>
                <w:color w:val="000000"/>
                <w:highlight w:val="none"/>
              </w:rPr>
              <w:t>维修人员在1</w:t>
            </w:r>
            <w:r>
              <w:rPr>
                <w:rFonts w:hint="eastAsia"/>
                <w:color w:val="000000"/>
                <w:highlight w:val="none"/>
                <w:lang w:val="en-US" w:eastAsia="zh-CN"/>
              </w:rPr>
              <w:t>0</w:t>
            </w:r>
            <w:r>
              <w:rPr>
                <w:rFonts w:hint="eastAsia"/>
                <w:color w:val="000000"/>
                <w:highlight w:val="none"/>
              </w:rPr>
              <w:t>分钟内到达现场维修，在</w:t>
            </w:r>
            <w:r>
              <w:rPr>
                <w:rFonts w:hint="eastAsia"/>
                <w:color w:val="000000"/>
                <w:highlight w:val="none"/>
                <w:lang w:val="en-US" w:eastAsia="zh-CN"/>
              </w:rPr>
              <w:t>2</w:t>
            </w:r>
            <w:r>
              <w:rPr>
                <w:rFonts w:hint="eastAsia"/>
                <w:color w:val="000000"/>
                <w:highlight w:val="none"/>
              </w:rPr>
              <w:t>小时内维修完毕。</w:t>
            </w:r>
            <w:r>
              <w:rPr>
                <w:rFonts w:hint="eastAsia"/>
                <w:color w:val="000000"/>
                <w:highlight w:val="none"/>
                <w:lang w:eastAsia="zh-CN"/>
              </w:rPr>
              <w:t>故障期间启动应急电源保障。</w:t>
            </w:r>
          </w:p>
        </w:tc>
      </w:tr>
      <w:tr w14:paraId="5600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30A80C1D">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46D57277">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3647F966">
            <w:pPr>
              <w:rPr>
                <w:rFonts w:hint="eastAsia"/>
                <w:color w:val="000000"/>
                <w:highlight w:val="none"/>
              </w:rPr>
            </w:pPr>
            <w:r>
              <w:rPr>
                <w:rFonts w:hint="eastAsia"/>
                <w:color w:val="000000"/>
                <w:highlight w:val="none"/>
              </w:rPr>
              <w:t>（</w:t>
            </w:r>
            <w:r>
              <w:rPr>
                <w:rFonts w:hint="eastAsia"/>
                <w:color w:val="000000"/>
                <w:highlight w:val="none"/>
                <w:lang w:val="en-US" w:eastAsia="zh-CN"/>
              </w:rPr>
              <w:t>9</w:t>
            </w:r>
            <w:r>
              <w:rPr>
                <w:rFonts w:hint="eastAsia"/>
                <w:color w:val="000000"/>
                <w:highlight w:val="none"/>
              </w:rPr>
              <w:t>）建立24小时运行值班监控制度</w:t>
            </w:r>
            <w:r>
              <w:rPr>
                <w:rFonts w:hint="eastAsia"/>
                <w:color w:val="000000"/>
                <w:highlight w:val="none"/>
                <w:lang w:eastAsia="zh-CN"/>
              </w:rPr>
              <w:t>。</w:t>
            </w:r>
          </w:p>
        </w:tc>
      </w:tr>
      <w:tr w14:paraId="1D78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3E8F9FD1">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5177E9A2">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5DD8D33A">
            <w:pPr>
              <w:rPr>
                <w:rFonts w:hint="eastAsia"/>
                <w:color w:val="000000"/>
                <w:highlight w:val="none"/>
              </w:rPr>
            </w:pPr>
            <w:r>
              <w:rPr>
                <w:rFonts w:hint="eastAsia"/>
                <w:b w:val="0"/>
                <w:bCs w:val="0"/>
                <w:color w:val="000000"/>
                <w:highlight w:val="none"/>
                <w:lang w:eastAsia="zh-CN"/>
              </w:rPr>
              <w:t>（</w:t>
            </w:r>
            <w:r>
              <w:rPr>
                <w:rFonts w:hint="eastAsia"/>
                <w:b w:val="0"/>
                <w:bCs w:val="0"/>
                <w:color w:val="000000"/>
                <w:highlight w:val="none"/>
                <w:lang w:val="en-US" w:eastAsia="zh-CN"/>
              </w:rPr>
              <w:t>10</w:t>
            </w:r>
            <w:r>
              <w:rPr>
                <w:rFonts w:hint="eastAsia"/>
                <w:b w:val="0"/>
                <w:bCs w:val="0"/>
                <w:color w:val="000000"/>
                <w:highlight w:val="none"/>
                <w:lang w:eastAsia="zh-CN"/>
              </w:rPr>
              <w:t>）供配电系统日常维修维保</w:t>
            </w:r>
            <w:r>
              <w:rPr>
                <w:rFonts w:hint="eastAsia"/>
                <w:b w:val="0"/>
                <w:bCs w:val="0"/>
                <w:color w:val="000000"/>
                <w:highlight w:val="none"/>
                <w:lang w:val="en-US" w:eastAsia="zh-CN"/>
              </w:rPr>
              <w:t>由中标人负责，费用从报价明细表中相应项目经费支出</w:t>
            </w:r>
            <w:r>
              <w:rPr>
                <w:rFonts w:hint="eastAsia" w:hAnsi="宋体"/>
                <w:b w:val="0"/>
                <w:bCs w:val="0"/>
                <w:color w:val="000000"/>
                <w:szCs w:val="21"/>
                <w:highlight w:val="none"/>
                <w:lang w:eastAsia="zh-CN"/>
              </w:rPr>
              <w:t>。</w:t>
            </w:r>
          </w:p>
        </w:tc>
      </w:tr>
      <w:tr w14:paraId="512D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70" w:type="dxa"/>
            <w:vMerge w:val="restart"/>
            <w:tcBorders>
              <w:top w:val="single" w:color="auto" w:sz="4" w:space="0"/>
              <w:left w:val="single" w:color="auto" w:sz="4" w:space="0"/>
              <w:bottom w:val="single" w:color="auto" w:sz="4" w:space="0"/>
              <w:right w:val="single" w:color="auto" w:sz="4" w:space="0"/>
            </w:tcBorders>
            <w:noWrap w:val="0"/>
            <w:vAlign w:val="top"/>
          </w:tcPr>
          <w:p w14:paraId="3B28E5F2">
            <w:pPr>
              <w:rPr>
                <w:color w:val="000000"/>
                <w:highlight w:val="none"/>
              </w:rPr>
            </w:pPr>
            <w:r>
              <w:rPr>
                <w:rFonts w:hint="eastAsia"/>
                <w:color w:val="000000"/>
                <w:highlight w:val="none"/>
              </w:rPr>
              <w:t>7</w:t>
            </w:r>
          </w:p>
        </w:tc>
        <w:tc>
          <w:tcPr>
            <w:tcW w:w="1777" w:type="dxa"/>
            <w:vMerge w:val="restart"/>
            <w:tcBorders>
              <w:top w:val="single" w:color="auto" w:sz="4" w:space="0"/>
              <w:left w:val="single" w:color="auto" w:sz="4" w:space="0"/>
              <w:bottom w:val="single" w:color="auto" w:sz="4" w:space="0"/>
              <w:right w:val="single" w:color="auto" w:sz="4" w:space="0"/>
            </w:tcBorders>
            <w:noWrap w:val="0"/>
            <w:vAlign w:val="top"/>
          </w:tcPr>
          <w:p w14:paraId="01008003">
            <w:pPr>
              <w:rPr>
                <w:color w:val="000000"/>
                <w:highlight w:val="none"/>
              </w:rPr>
            </w:pPr>
            <w:r>
              <w:rPr>
                <w:rFonts w:hint="eastAsia"/>
                <w:color w:val="000000"/>
                <w:highlight w:val="none"/>
              </w:rPr>
              <w:t>弱电系统</w:t>
            </w:r>
          </w:p>
        </w:tc>
        <w:tc>
          <w:tcPr>
            <w:tcW w:w="6811" w:type="dxa"/>
            <w:tcBorders>
              <w:top w:val="single" w:color="auto" w:sz="4" w:space="0"/>
              <w:left w:val="single" w:color="auto" w:sz="4" w:space="0"/>
              <w:bottom w:val="single" w:color="auto" w:sz="4" w:space="0"/>
              <w:right w:val="single" w:color="auto" w:sz="4" w:space="0"/>
            </w:tcBorders>
            <w:noWrap w:val="0"/>
            <w:vAlign w:val="top"/>
          </w:tcPr>
          <w:p w14:paraId="7477CFC0">
            <w:pPr>
              <w:rPr>
                <w:color w:val="000000"/>
                <w:highlight w:val="none"/>
              </w:rPr>
            </w:pPr>
            <w:r>
              <w:rPr>
                <w:rFonts w:hint="eastAsia"/>
                <w:color w:val="000000"/>
                <w:highlight w:val="none"/>
              </w:rPr>
              <w:t>（1）安全防范系统维护保养符合《安全防范系统维护保养规范》（GA/T 1081）的相关要求。</w:t>
            </w:r>
          </w:p>
        </w:tc>
      </w:tr>
      <w:tr w14:paraId="7269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4D93618A">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6DEC8DC7">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4046B708">
            <w:pPr>
              <w:rPr>
                <w:color w:val="000000"/>
                <w:highlight w:val="none"/>
              </w:rPr>
            </w:pPr>
            <w:r>
              <w:rPr>
                <w:rFonts w:hint="eastAsia"/>
                <w:color w:val="000000"/>
                <w:highlight w:val="none"/>
              </w:rPr>
              <w:t>（2）保持监控系统、门禁系统、安全防范系统等运行正常，有故障及时排除。</w:t>
            </w:r>
          </w:p>
        </w:tc>
      </w:tr>
      <w:tr w14:paraId="59AC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7AB473B6">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3FD64D63">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55352F3D">
            <w:pPr>
              <w:rPr>
                <w:color w:val="000000"/>
                <w:highlight w:val="none"/>
              </w:rPr>
            </w:pPr>
            <w:r>
              <w:rPr>
                <w:rFonts w:hint="eastAsia"/>
                <w:b w:val="0"/>
                <w:bCs w:val="0"/>
                <w:color w:val="000000"/>
                <w:highlight w:val="none"/>
                <w:lang w:eastAsia="zh-CN"/>
              </w:rPr>
              <w:t>（</w:t>
            </w:r>
            <w:r>
              <w:rPr>
                <w:rFonts w:hint="eastAsia"/>
                <w:b w:val="0"/>
                <w:bCs w:val="0"/>
                <w:color w:val="000000"/>
                <w:highlight w:val="none"/>
              </w:rPr>
              <w:t>3）</w:t>
            </w:r>
            <w:r>
              <w:rPr>
                <w:rFonts w:hint="eastAsia"/>
                <w:b w:val="0"/>
                <w:bCs w:val="0"/>
                <w:color w:val="000000"/>
                <w:highlight w:val="none"/>
                <w:lang w:eastAsia="zh-CN"/>
              </w:rPr>
              <w:t>弱电系统日常维修维保</w:t>
            </w:r>
            <w:r>
              <w:rPr>
                <w:rFonts w:hint="eastAsia"/>
                <w:b w:val="0"/>
                <w:bCs w:val="0"/>
                <w:color w:val="000000"/>
                <w:highlight w:val="none"/>
                <w:lang w:val="en-US" w:eastAsia="zh-CN"/>
              </w:rPr>
              <w:t>由中标人负责，费用从报价明细表中相应项目经费支出</w:t>
            </w:r>
            <w:r>
              <w:rPr>
                <w:rFonts w:hint="eastAsia" w:hAnsi="宋体"/>
                <w:b w:val="0"/>
                <w:bCs w:val="0"/>
                <w:color w:val="000000"/>
                <w:szCs w:val="21"/>
                <w:highlight w:val="none"/>
                <w:lang w:eastAsia="zh-CN"/>
              </w:rPr>
              <w:t>。</w:t>
            </w:r>
          </w:p>
        </w:tc>
      </w:tr>
      <w:tr w14:paraId="4203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restart"/>
            <w:tcBorders>
              <w:top w:val="single" w:color="auto" w:sz="4" w:space="0"/>
              <w:left w:val="single" w:color="auto" w:sz="4" w:space="0"/>
              <w:bottom w:val="single" w:color="auto" w:sz="4" w:space="0"/>
              <w:right w:val="single" w:color="auto" w:sz="4" w:space="0"/>
            </w:tcBorders>
            <w:noWrap w:val="0"/>
            <w:vAlign w:val="top"/>
          </w:tcPr>
          <w:p w14:paraId="58615846">
            <w:pPr>
              <w:rPr>
                <w:color w:val="000000"/>
                <w:highlight w:val="none"/>
              </w:rPr>
            </w:pPr>
            <w:r>
              <w:rPr>
                <w:rFonts w:hint="eastAsia"/>
                <w:color w:val="000000"/>
                <w:highlight w:val="none"/>
              </w:rPr>
              <w:t>8</w:t>
            </w:r>
          </w:p>
        </w:tc>
        <w:tc>
          <w:tcPr>
            <w:tcW w:w="1777" w:type="dxa"/>
            <w:vMerge w:val="restart"/>
            <w:tcBorders>
              <w:top w:val="single" w:color="auto" w:sz="4" w:space="0"/>
              <w:left w:val="single" w:color="auto" w:sz="4" w:space="0"/>
              <w:bottom w:val="single" w:color="auto" w:sz="4" w:space="0"/>
              <w:right w:val="single" w:color="auto" w:sz="4" w:space="0"/>
            </w:tcBorders>
            <w:noWrap w:val="0"/>
            <w:vAlign w:val="top"/>
          </w:tcPr>
          <w:p w14:paraId="13F290A8">
            <w:pPr>
              <w:rPr>
                <w:color w:val="000000"/>
                <w:highlight w:val="none"/>
              </w:rPr>
            </w:pPr>
            <w:r>
              <w:rPr>
                <w:rFonts w:hint="eastAsia"/>
                <w:color w:val="000000"/>
                <w:highlight w:val="none"/>
              </w:rPr>
              <w:t>照明系统</w:t>
            </w:r>
          </w:p>
        </w:tc>
        <w:tc>
          <w:tcPr>
            <w:tcW w:w="6811" w:type="dxa"/>
            <w:tcBorders>
              <w:top w:val="single" w:color="auto" w:sz="4" w:space="0"/>
              <w:left w:val="single" w:color="auto" w:sz="4" w:space="0"/>
              <w:bottom w:val="single" w:color="auto" w:sz="4" w:space="0"/>
              <w:right w:val="single" w:color="auto" w:sz="4" w:space="0"/>
            </w:tcBorders>
            <w:noWrap w:val="0"/>
            <w:vAlign w:val="top"/>
          </w:tcPr>
          <w:p w14:paraId="2DFFE866">
            <w:pPr>
              <w:rPr>
                <w:color w:val="000000"/>
                <w:highlight w:val="none"/>
              </w:rPr>
            </w:pPr>
            <w:r>
              <w:rPr>
                <w:rFonts w:hint="eastAsia"/>
                <w:color w:val="000000"/>
                <w:highlight w:val="none"/>
              </w:rPr>
              <w:t>（1）外观整洁无缺损、无松落。</w:t>
            </w:r>
          </w:p>
        </w:tc>
      </w:tr>
      <w:tr w14:paraId="5BB0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7C8FA86B">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719439E5">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0BD0E400">
            <w:pPr>
              <w:rPr>
                <w:color w:val="000000"/>
                <w:highlight w:val="none"/>
              </w:rPr>
            </w:pPr>
            <w:r>
              <w:rPr>
                <w:rFonts w:hint="eastAsia"/>
                <w:color w:val="000000"/>
                <w:highlight w:val="none"/>
              </w:rPr>
              <w:t>（2）更换的照明灯具应当选用节能环保产品，亮度与更换前保持一致。</w:t>
            </w:r>
          </w:p>
        </w:tc>
      </w:tr>
      <w:tr w14:paraId="73F8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35697A5F">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5EA040C7">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2A85E515">
            <w:pPr>
              <w:rPr>
                <w:color w:val="000000"/>
                <w:highlight w:val="none"/>
              </w:rPr>
            </w:pPr>
            <w:r>
              <w:rPr>
                <w:rFonts w:hint="eastAsia"/>
                <w:color w:val="000000"/>
                <w:highlight w:val="none"/>
              </w:rPr>
              <w:t>（3）每周至少开展 1 次公共区域照明设备巡视。</w:t>
            </w:r>
          </w:p>
        </w:tc>
      </w:tr>
      <w:tr w14:paraId="0E73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7F8EF427">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7E8024DD">
            <w:pPr>
              <w:rPr>
                <w:color w:val="000000"/>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21174183">
            <w:pPr>
              <w:rPr>
                <w:color w:val="000000"/>
                <w:highlight w:val="none"/>
              </w:rPr>
            </w:pPr>
            <w:r>
              <w:rPr>
                <w:rFonts w:hint="eastAsia"/>
                <w:b w:val="0"/>
                <w:bCs w:val="0"/>
                <w:color w:val="000000"/>
                <w:highlight w:val="none"/>
              </w:rPr>
              <w:t>（4）</w:t>
            </w:r>
            <w:r>
              <w:rPr>
                <w:rFonts w:hint="eastAsia"/>
                <w:b w:val="0"/>
                <w:bCs w:val="0"/>
                <w:color w:val="000000"/>
                <w:highlight w:val="none"/>
                <w:lang w:eastAsia="zh-CN"/>
              </w:rPr>
              <w:t>照明系统日常维修维保</w:t>
            </w:r>
            <w:r>
              <w:rPr>
                <w:rFonts w:hint="eastAsia"/>
                <w:b w:val="0"/>
                <w:bCs w:val="0"/>
                <w:color w:val="000000"/>
                <w:highlight w:val="none"/>
                <w:lang w:val="en-US" w:eastAsia="zh-CN"/>
              </w:rPr>
              <w:t>由中标人负责，费用从报价明细表中相应项目经费支出</w:t>
            </w:r>
            <w:r>
              <w:rPr>
                <w:rFonts w:hint="eastAsia" w:hAnsi="宋体"/>
                <w:b w:val="0"/>
                <w:bCs w:val="0"/>
                <w:color w:val="000000"/>
                <w:szCs w:val="21"/>
                <w:highlight w:val="none"/>
                <w:lang w:eastAsia="zh-CN"/>
              </w:rPr>
              <w:t>。</w:t>
            </w:r>
          </w:p>
        </w:tc>
      </w:tr>
      <w:tr w14:paraId="1B83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restart"/>
            <w:tcBorders>
              <w:top w:val="single" w:color="auto" w:sz="4" w:space="0"/>
              <w:left w:val="single" w:color="auto" w:sz="4" w:space="0"/>
              <w:bottom w:val="single" w:color="auto" w:sz="4" w:space="0"/>
              <w:right w:val="single" w:color="auto" w:sz="4" w:space="0"/>
            </w:tcBorders>
            <w:noWrap w:val="0"/>
            <w:vAlign w:val="top"/>
          </w:tcPr>
          <w:p w14:paraId="6EBAC402">
            <w:pPr>
              <w:keepNext w:val="0"/>
              <w:keepLines w:val="0"/>
              <w:pageBreakBefore w:val="0"/>
              <w:bidi w:val="0"/>
              <w:spacing w:line="240" w:lineRule="auto"/>
              <w:ind w:firstLine="0"/>
              <w:outlineLvl w:val="9"/>
              <w:rPr>
                <w:rFonts w:hint="eastAsia" w:eastAsia="宋体"/>
                <w:color w:val="000000"/>
                <w:highlight w:val="none"/>
                <w:lang w:eastAsia="zh-CN"/>
              </w:rPr>
            </w:pPr>
            <w:bookmarkStart w:id="219" w:name="OLE_LINK20"/>
            <w:bookmarkStart w:id="220" w:name="OLE_LINK19"/>
            <w:r>
              <w:rPr>
                <w:rFonts w:hint="eastAsia"/>
                <w:color w:val="000000"/>
                <w:highlight w:val="none"/>
                <w:lang w:val="en-US" w:eastAsia="zh-CN"/>
              </w:rPr>
              <w:t>9</w:t>
            </w:r>
          </w:p>
        </w:tc>
        <w:tc>
          <w:tcPr>
            <w:tcW w:w="1777" w:type="dxa"/>
            <w:vMerge w:val="restart"/>
            <w:tcBorders>
              <w:top w:val="single" w:color="auto" w:sz="4" w:space="0"/>
              <w:left w:val="single" w:color="auto" w:sz="4" w:space="0"/>
              <w:bottom w:val="single" w:color="auto" w:sz="4" w:space="0"/>
              <w:right w:val="single" w:color="auto" w:sz="4" w:space="0"/>
            </w:tcBorders>
            <w:noWrap w:val="0"/>
            <w:vAlign w:val="top"/>
          </w:tcPr>
          <w:p w14:paraId="5A4C8319">
            <w:pPr>
              <w:keepNext w:val="0"/>
              <w:keepLines w:val="0"/>
              <w:pageBreakBefore w:val="0"/>
              <w:bidi w:val="0"/>
              <w:spacing w:line="240" w:lineRule="auto"/>
              <w:ind w:right="113"/>
              <w:outlineLvl w:val="9"/>
              <w:rPr>
                <w:rFonts w:ascii="宋体" w:hAnsi="宋体" w:cs="宋体"/>
                <w:color w:val="000000"/>
                <w:szCs w:val="21"/>
                <w:highlight w:val="none"/>
              </w:rPr>
            </w:pPr>
            <w:r>
              <w:rPr>
                <w:rFonts w:hint="eastAsia" w:ascii="宋体" w:hAnsi="宋体" w:cs="宋体"/>
                <w:color w:val="000000"/>
                <w:szCs w:val="21"/>
                <w:highlight w:val="none"/>
              </w:rPr>
              <w:t>发电机房管理</w:t>
            </w:r>
          </w:p>
          <w:p w14:paraId="7AD2ADC9">
            <w:pPr>
              <w:keepNext w:val="0"/>
              <w:keepLines w:val="0"/>
              <w:pageBreakBefore w:val="0"/>
              <w:bidi w:val="0"/>
              <w:spacing w:line="240" w:lineRule="auto"/>
              <w:ind w:firstLine="0"/>
              <w:outlineLvl w:val="9"/>
              <w:rPr>
                <w:rFonts w:ascii="宋体" w:hAnsi="宋体" w:cs="宋体"/>
                <w:color w:val="000000"/>
                <w:szCs w:val="21"/>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6BFDB015">
            <w:pPr>
              <w:keepNext w:val="0"/>
              <w:keepLines w:val="0"/>
              <w:pageBreakBefore w:val="0"/>
              <w:bidi w:val="0"/>
              <w:spacing w:line="240" w:lineRule="auto"/>
              <w:ind w:firstLine="0"/>
              <w:outlineLvl w:val="9"/>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 xml:space="preserve"> 发电机房管理及操作人员需具有</w:t>
            </w:r>
            <w:r>
              <w:rPr>
                <w:rFonts w:hint="eastAsia"/>
              </w:rPr>
              <w:t>特种作业操作证（低压电工作业）</w:t>
            </w:r>
            <w:r>
              <w:rPr>
                <w:rFonts w:hint="eastAsia" w:ascii="宋体" w:hAnsi="宋体" w:cs="宋体"/>
                <w:color w:val="000000"/>
                <w:szCs w:val="21"/>
                <w:highlight w:val="none"/>
                <w:lang w:val="en-US" w:eastAsia="zh-CN"/>
              </w:rPr>
              <w:t>，经过发电机启动专业培训并定期进行停电应急演练。</w:t>
            </w:r>
            <w:r>
              <w:rPr>
                <w:rFonts w:hint="eastAsia" w:ascii="宋体" w:hAnsi="宋体" w:cs="宋体"/>
                <w:color w:val="000000"/>
                <w:szCs w:val="21"/>
                <w:highlight w:val="none"/>
              </w:rPr>
              <w:t>发电机实行定人定机操作</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非值班人员进入机房须经相关管理部门许可。</w:t>
            </w:r>
          </w:p>
        </w:tc>
      </w:tr>
      <w:tr w14:paraId="76B9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6FBC3EF9">
            <w:pPr>
              <w:keepNext w:val="0"/>
              <w:keepLines w:val="0"/>
              <w:pageBreakBefore w:val="0"/>
              <w:bidi w:val="0"/>
              <w:spacing w:line="240" w:lineRule="auto"/>
              <w:ind w:firstLine="0"/>
              <w:outlineLvl w:val="9"/>
              <w:rPr>
                <w:rFonts w:hint="eastAsia"/>
                <w:color w:val="000000"/>
                <w:highlight w:val="none"/>
                <w:lang w:val="en-US" w:eastAsia="zh-CN"/>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67286B47">
            <w:pPr>
              <w:keepNext w:val="0"/>
              <w:keepLines w:val="0"/>
              <w:pageBreakBefore w:val="0"/>
              <w:bidi w:val="0"/>
              <w:spacing w:line="240" w:lineRule="auto"/>
              <w:ind w:firstLine="0"/>
              <w:outlineLvl w:val="9"/>
              <w:rPr>
                <w:rFonts w:ascii="宋体" w:hAnsi="宋体" w:cs="宋体"/>
                <w:color w:val="000000"/>
                <w:szCs w:val="21"/>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69E12284">
            <w:pPr>
              <w:keepNext w:val="0"/>
              <w:keepLines w:val="0"/>
              <w:pageBreakBefore w:val="0"/>
              <w:bidi w:val="0"/>
              <w:spacing w:line="240" w:lineRule="auto"/>
              <w:ind w:firstLine="0"/>
              <w:outlineLvl w:val="9"/>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市电系统停电</w:t>
            </w:r>
            <w:r>
              <w:rPr>
                <w:rFonts w:hint="eastAsia" w:ascii="宋体" w:hAnsi="宋体" w:cs="宋体"/>
                <w:color w:val="000000"/>
                <w:szCs w:val="21"/>
                <w:lang w:val="en-US" w:eastAsia="zh-CN"/>
              </w:rPr>
              <w:t>第一时间</w:t>
            </w:r>
            <w:r>
              <w:rPr>
                <w:rFonts w:hint="eastAsia" w:ascii="宋体" w:hAnsi="宋体" w:cs="宋体"/>
                <w:color w:val="000000"/>
                <w:szCs w:val="21"/>
                <w:highlight w:val="none"/>
                <w:lang w:val="en-US" w:eastAsia="zh-CN"/>
              </w:rPr>
              <w:t>启动发电机组，如果发电机组不能自动启动要确保在5分钟内启动发电机并供电。启动完成后要检查各路电源是否都已成功输出，发现有没输出的回路</w:t>
            </w:r>
            <w:r>
              <w:rPr>
                <w:rFonts w:hint="eastAsia" w:ascii="宋体" w:hAnsi="宋体" w:cs="宋体"/>
                <w:color w:val="000000"/>
                <w:szCs w:val="21"/>
                <w:lang w:val="en-US" w:eastAsia="zh-CN"/>
              </w:rPr>
              <w:t>马上</w:t>
            </w:r>
            <w:r>
              <w:rPr>
                <w:rFonts w:hint="eastAsia" w:ascii="宋体" w:hAnsi="宋体" w:cs="宋体"/>
                <w:color w:val="000000"/>
                <w:szCs w:val="21"/>
                <w:highlight w:val="none"/>
                <w:lang w:val="en-US" w:eastAsia="zh-CN"/>
              </w:rPr>
              <w:t>手动进行合闸</w:t>
            </w:r>
            <w:r>
              <w:rPr>
                <w:rFonts w:hint="eastAsia" w:ascii="宋体" w:hAnsi="宋体" w:cs="宋体"/>
                <w:color w:val="000000"/>
                <w:szCs w:val="21"/>
                <w:highlight w:val="none"/>
              </w:rPr>
              <w:t>。</w:t>
            </w:r>
          </w:p>
        </w:tc>
      </w:tr>
      <w:tr w14:paraId="6E09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6B7EA79B">
            <w:pPr>
              <w:pStyle w:val="203"/>
              <w:keepNext w:val="0"/>
              <w:keepLines w:val="0"/>
              <w:pageBreakBefore w:val="0"/>
              <w:bidi w:val="0"/>
              <w:spacing w:line="240" w:lineRule="auto"/>
              <w:ind w:firstLine="0"/>
              <w:outlineLvl w:val="9"/>
              <w:rPr>
                <w:rFonts w:hint="eastAsia"/>
                <w:color w:val="000000"/>
                <w:highlight w:val="none"/>
                <w:lang w:val="en-US" w:eastAsia="zh-CN"/>
              </w:rPr>
            </w:pPr>
          </w:p>
          <w:p w14:paraId="7955E114">
            <w:pPr>
              <w:pStyle w:val="203"/>
              <w:keepNext w:val="0"/>
              <w:keepLines w:val="0"/>
              <w:pageBreakBefore w:val="0"/>
              <w:bidi w:val="0"/>
              <w:spacing w:line="240" w:lineRule="auto"/>
              <w:ind w:firstLine="0"/>
              <w:outlineLvl w:val="9"/>
              <w:rPr>
                <w:rFonts w:hint="eastAsia"/>
                <w:color w:val="000000"/>
                <w:highlight w:val="none"/>
                <w:lang w:val="en-US" w:eastAsia="zh-CN"/>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069EB607">
            <w:pPr>
              <w:keepNext w:val="0"/>
              <w:keepLines w:val="0"/>
              <w:pageBreakBefore w:val="0"/>
              <w:bidi w:val="0"/>
              <w:spacing w:line="240" w:lineRule="auto"/>
              <w:ind w:firstLine="0"/>
              <w:outlineLvl w:val="9"/>
              <w:rPr>
                <w:rFonts w:ascii="宋体" w:hAnsi="宋体" w:cs="宋体"/>
                <w:color w:val="000000"/>
                <w:szCs w:val="21"/>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55476A6F">
            <w:pPr>
              <w:keepNext w:val="0"/>
              <w:keepLines w:val="0"/>
              <w:pageBreakBefore w:val="0"/>
              <w:bidi w:val="0"/>
              <w:spacing w:line="240" w:lineRule="auto"/>
              <w:ind w:firstLine="0"/>
              <w:outlineLvl w:val="9"/>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发电机处于自动状态，蓄电池处于浮充电状态，须定期进行充放电。</w:t>
            </w:r>
          </w:p>
        </w:tc>
      </w:tr>
      <w:tr w14:paraId="21B9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233CBB48">
            <w:pPr>
              <w:pStyle w:val="203"/>
              <w:keepNext w:val="0"/>
              <w:keepLines w:val="0"/>
              <w:pageBreakBefore w:val="0"/>
              <w:bidi w:val="0"/>
              <w:spacing w:line="240" w:lineRule="auto"/>
              <w:ind w:firstLine="0"/>
              <w:outlineLvl w:val="9"/>
              <w:rPr>
                <w:rFonts w:hint="eastAsia"/>
                <w:color w:val="000000"/>
                <w:highlight w:val="none"/>
                <w:lang w:val="en-US" w:eastAsia="zh-CN"/>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22EF82F8">
            <w:pPr>
              <w:keepNext w:val="0"/>
              <w:keepLines w:val="0"/>
              <w:pageBreakBefore w:val="0"/>
              <w:bidi w:val="0"/>
              <w:spacing w:line="240" w:lineRule="auto"/>
              <w:ind w:firstLine="0"/>
              <w:outlineLvl w:val="9"/>
              <w:rPr>
                <w:rFonts w:ascii="宋体" w:hAnsi="宋体" w:cs="宋体"/>
                <w:color w:val="000000"/>
                <w:szCs w:val="21"/>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0694DEBA">
            <w:pPr>
              <w:keepNext w:val="0"/>
              <w:keepLines w:val="0"/>
              <w:pageBreakBefore w:val="0"/>
              <w:bidi w:val="0"/>
              <w:spacing w:line="240" w:lineRule="auto"/>
              <w:ind w:firstLine="0"/>
              <w:outlineLvl w:val="9"/>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发电机运行时，须专人值班。</w:t>
            </w:r>
          </w:p>
        </w:tc>
      </w:tr>
      <w:tr w14:paraId="0938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36C852F0">
            <w:pPr>
              <w:pStyle w:val="203"/>
              <w:keepNext w:val="0"/>
              <w:keepLines w:val="0"/>
              <w:pageBreakBefore w:val="0"/>
              <w:bidi w:val="0"/>
              <w:spacing w:line="240" w:lineRule="auto"/>
              <w:ind w:firstLine="0"/>
              <w:outlineLvl w:val="9"/>
              <w:rPr>
                <w:rFonts w:hint="eastAsia"/>
                <w:color w:val="000000"/>
                <w:highlight w:val="none"/>
                <w:lang w:val="en-US" w:eastAsia="zh-CN"/>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3031B186">
            <w:pPr>
              <w:keepNext w:val="0"/>
              <w:keepLines w:val="0"/>
              <w:pageBreakBefore w:val="0"/>
              <w:bidi w:val="0"/>
              <w:spacing w:line="240" w:lineRule="auto"/>
              <w:ind w:firstLine="0"/>
              <w:outlineLvl w:val="9"/>
              <w:rPr>
                <w:rFonts w:ascii="宋体" w:hAnsi="宋体" w:cs="宋体"/>
                <w:color w:val="000000"/>
                <w:szCs w:val="21"/>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6B7FC807">
            <w:pPr>
              <w:keepNext w:val="0"/>
              <w:keepLines w:val="0"/>
              <w:pageBreakBefore w:val="0"/>
              <w:bidi w:val="0"/>
              <w:spacing w:line="240" w:lineRule="auto"/>
              <w:ind w:firstLine="0"/>
              <w:outlineLvl w:val="9"/>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每月起动机组两次，每次运转检查十五分钟，确保机组正常自动投入。</w:t>
            </w:r>
          </w:p>
        </w:tc>
      </w:tr>
      <w:tr w14:paraId="5314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48AA45D8">
            <w:pPr>
              <w:pStyle w:val="203"/>
              <w:keepNext w:val="0"/>
              <w:keepLines w:val="0"/>
              <w:pageBreakBefore w:val="0"/>
              <w:bidi w:val="0"/>
              <w:spacing w:line="240" w:lineRule="auto"/>
              <w:ind w:firstLine="0"/>
              <w:outlineLvl w:val="9"/>
              <w:rPr>
                <w:rFonts w:hint="eastAsia"/>
                <w:color w:val="000000"/>
                <w:highlight w:val="none"/>
                <w:lang w:val="en-US" w:eastAsia="zh-CN"/>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6E7C2D26">
            <w:pPr>
              <w:keepNext w:val="0"/>
              <w:keepLines w:val="0"/>
              <w:pageBreakBefore w:val="0"/>
              <w:bidi w:val="0"/>
              <w:spacing w:line="240" w:lineRule="auto"/>
              <w:ind w:firstLine="0"/>
              <w:outlineLvl w:val="9"/>
              <w:rPr>
                <w:rFonts w:ascii="宋体" w:hAnsi="宋体" w:cs="宋体"/>
                <w:color w:val="000000"/>
                <w:szCs w:val="21"/>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771D6667">
            <w:pPr>
              <w:keepNext w:val="0"/>
              <w:keepLines w:val="0"/>
              <w:pageBreakBefore w:val="0"/>
              <w:bidi w:val="0"/>
              <w:spacing w:line="240" w:lineRule="auto"/>
              <w:ind w:firstLine="0"/>
              <w:outlineLvl w:val="9"/>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发电机油箱内储备8小时满负荷用油量。</w:t>
            </w:r>
          </w:p>
        </w:tc>
      </w:tr>
      <w:tr w14:paraId="4298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03D7D030">
            <w:pPr>
              <w:keepNext w:val="0"/>
              <w:keepLines w:val="0"/>
              <w:pageBreakBefore w:val="0"/>
              <w:bidi w:val="0"/>
              <w:spacing w:line="240" w:lineRule="auto"/>
              <w:ind w:firstLine="0"/>
              <w:outlineLvl w:val="9"/>
              <w:rPr>
                <w:rFonts w:hint="eastAsia"/>
                <w:color w:val="000000"/>
                <w:highlight w:val="none"/>
                <w:lang w:val="en-US" w:eastAsia="zh-CN"/>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029BCDE1">
            <w:pPr>
              <w:keepNext w:val="0"/>
              <w:keepLines w:val="0"/>
              <w:pageBreakBefore w:val="0"/>
              <w:bidi w:val="0"/>
              <w:spacing w:line="240" w:lineRule="auto"/>
              <w:ind w:firstLine="0"/>
              <w:outlineLvl w:val="9"/>
              <w:rPr>
                <w:rFonts w:ascii="宋体" w:hAnsi="宋体" w:cs="宋体"/>
                <w:color w:val="000000"/>
                <w:szCs w:val="21"/>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4A165D8C">
            <w:pPr>
              <w:keepNext w:val="0"/>
              <w:keepLines w:val="0"/>
              <w:pageBreakBefore w:val="0"/>
              <w:bidi w:val="0"/>
              <w:spacing w:line="240" w:lineRule="auto"/>
              <w:ind w:firstLine="0"/>
              <w:outlineLvl w:val="9"/>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有干湿温度计，并不高出环境温度40度。</w:t>
            </w:r>
          </w:p>
        </w:tc>
      </w:tr>
      <w:tr w14:paraId="4430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49982458">
            <w:pPr>
              <w:keepNext w:val="0"/>
              <w:keepLines w:val="0"/>
              <w:pageBreakBefore w:val="0"/>
              <w:bidi w:val="0"/>
              <w:spacing w:line="240" w:lineRule="auto"/>
              <w:ind w:firstLine="0"/>
              <w:outlineLvl w:val="9"/>
              <w:rPr>
                <w:rFonts w:hint="eastAsia"/>
                <w:color w:val="000000"/>
                <w:highlight w:val="none"/>
                <w:lang w:val="en-US" w:eastAsia="zh-CN"/>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1657837C">
            <w:pPr>
              <w:keepNext w:val="0"/>
              <w:keepLines w:val="0"/>
              <w:pageBreakBefore w:val="0"/>
              <w:bidi w:val="0"/>
              <w:spacing w:line="240" w:lineRule="auto"/>
              <w:ind w:firstLine="0"/>
              <w:outlineLvl w:val="9"/>
              <w:rPr>
                <w:rFonts w:ascii="宋体" w:hAnsi="宋体" w:cs="宋体"/>
                <w:color w:val="000000"/>
                <w:szCs w:val="21"/>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4B70A3BA">
            <w:pPr>
              <w:keepNext w:val="0"/>
              <w:keepLines w:val="0"/>
              <w:pageBreakBefore w:val="0"/>
              <w:bidi w:val="0"/>
              <w:spacing w:line="240" w:lineRule="auto"/>
              <w:ind w:firstLine="0"/>
              <w:outlineLvl w:val="9"/>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发电机实行定人定机操作、保养和每月周期运行检查。</w:t>
            </w:r>
          </w:p>
        </w:tc>
      </w:tr>
      <w:tr w14:paraId="1F1C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699900A5">
            <w:pPr>
              <w:keepNext w:val="0"/>
              <w:keepLines w:val="0"/>
              <w:pageBreakBefore w:val="0"/>
              <w:bidi w:val="0"/>
              <w:spacing w:line="240" w:lineRule="auto"/>
              <w:ind w:firstLine="0"/>
              <w:outlineLvl w:val="9"/>
              <w:rPr>
                <w:rFonts w:hint="eastAsia"/>
                <w:color w:val="000000"/>
                <w:highlight w:val="none"/>
                <w:lang w:val="en-US" w:eastAsia="zh-CN"/>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370E7D50">
            <w:pPr>
              <w:keepNext w:val="0"/>
              <w:keepLines w:val="0"/>
              <w:pageBreakBefore w:val="0"/>
              <w:bidi w:val="0"/>
              <w:spacing w:line="240" w:lineRule="auto"/>
              <w:ind w:firstLine="0"/>
              <w:outlineLvl w:val="9"/>
              <w:rPr>
                <w:rFonts w:ascii="宋体" w:hAnsi="宋体" w:cs="宋体"/>
                <w:color w:val="000000"/>
                <w:szCs w:val="21"/>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31F37B28">
            <w:pPr>
              <w:keepNext w:val="0"/>
              <w:keepLines w:val="0"/>
              <w:pageBreakBefore w:val="0"/>
              <w:bidi w:val="0"/>
              <w:spacing w:line="240" w:lineRule="auto"/>
              <w:ind w:firstLine="0"/>
              <w:outlineLvl w:val="9"/>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有《发电机运行记录》，该记录安挂在门口附近墙壁。</w:t>
            </w:r>
          </w:p>
        </w:tc>
      </w:tr>
      <w:tr w14:paraId="58C5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6182DD00">
            <w:pPr>
              <w:keepNext w:val="0"/>
              <w:keepLines w:val="0"/>
              <w:pageBreakBefore w:val="0"/>
              <w:bidi w:val="0"/>
              <w:spacing w:line="240" w:lineRule="auto"/>
              <w:ind w:firstLine="0"/>
              <w:outlineLvl w:val="9"/>
              <w:rPr>
                <w:rFonts w:hint="eastAsia"/>
                <w:color w:val="000000"/>
                <w:highlight w:val="none"/>
                <w:lang w:val="en-US" w:eastAsia="zh-CN"/>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27D409B9">
            <w:pPr>
              <w:keepNext w:val="0"/>
              <w:keepLines w:val="0"/>
              <w:pageBreakBefore w:val="0"/>
              <w:bidi w:val="0"/>
              <w:spacing w:line="240" w:lineRule="auto"/>
              <w:ind w:firstLine="0"/>
              <w:outlineLvl w:val="9"/>
              <w:rPr>
                <w:rFonts w:ascii="宋体" w:hAnsi="宋体" w:cs="宋体"/>
                <w:color w:val="000000"/>
                <w:szCs w:val="21"/>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4F1AC113">
            <w:pPr>
              <w:keepNext w:val="0"/>
              <w:keepLines w:val="0"/>
              <w:pageBreakBefore w:val="0"/>
              <w:bidi w:val="0"/>
              <w:spacing w:line="240" w:lineRule="auto"/>
              <w:ind w:firstLine="0"/>
              <w:outlineLvl w:val="9"/>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机房及油库内消防设施完好、有效。</w:t>
            </w:r>
          </w:p>
        </w:tc>
      </w:tr>
      <w:tr w14:paraId="33E7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0E25CE82">
            <w:pPr>
              <w:keepNext w:val="0"/>
              <w:keepLines w:val="0"/>
              <w:pageBreakBefore w:val="0"/>
              <w:bidi w:val="0"/>
              <w:spacing w:line="240" w:lineRule="auto"/>
              <w:ind w:firstLine="0"/>
              <w:outlineLvl w:val="9"/>
              <w:rPr>
                <w:rFonts w:hint="eastAsia"/>
                <w:color w:val="000000"/>
                <w:highlight w:val="none"/>
                <w:lang w:val="en-US" w:eastAsia="zh-CN"/>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2D89E45E">
            <w:pPr>
              <w:keepNext w:val="0"/>
              <w:keepLines w:val="0"/>
              <w:pageBreakBefore w:val="0"/>
              <w:bidi w:val="0"/>
              <w:spacing w:line="240" w:lineRule="auto"/>
              <w:ind w:firstLine="0"/>
              <w:outlineLvl w:val="9"/>
              <w:rPr>
                <w:rFonts w:ascii="宋体" w:hAnsi="宋体" w:cs="宋体"/>
                <w:color w:val="000000"/>
                <w:szCs w:val="21"/>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307195D7">
            <w:pPr>
              <w:keepNext w:val="0"/>
              <w:keepLines w:val="0"/>
              <w:pageBreakBefore w:val="0"/>
              <w:bidi w:val="0"/>
              <w:spacing w:line="240" w:lineRule="auto"/>
              <w:ind w:firstLine="0"/>
              <w:outlineLvl w:val="9"/>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机房门口有机房名称标牌、设备责任人标识。</w:t>
            </w:r>
          </w:p>
        </w:tc>
      </w:tr>
      <w:tr w14:paraId="485A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1E54F97D">
            <w:pPr>
              <w:keepNext w:val="0"/>
              <w:keepLines w:val="0"/>
              <w:pageBreakBefore w:val="0"/>
              <w:bidi w:val="0"/>
              <w:spacing w:line="240" w:lineRule="auto"/>
              <w:ind w:firstLine="0"/>
              <w:outlineLvl w:val="9"/>
              <w:rPr>
                <w:rFonts w:hint="eastAsia"/>
                <w:color w:val="000000"/>
                <w:highlight w:val="none"/>
                <w:lang w:val="en-US" w:eastAsia="zh-CN"/>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2F0888BD">
            <w:pPr>
              <w:keepNext w:val="0"/>
              <w:keepLines w:val="0"/>
              <w:pageBreakBefore w:val="0"/>
              <w:bidi w:val="0"/>
              <w:spacing w:line="240" w:lineRule="auto"/>
              <w:ind w:firstLine="0"/>
              <w:outlineLvl w:val="9"/>
              <w:rPr>
                <w:rFonts w:ascii="宋体" w:hAnsi="宋体" w:cs="宋体"/>
                <w:color w:val="000000"/>
                <w:szCs w:val="21"/>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55FE0B25">
            <w:pPr>
              <w:keepNext w:val="0"/>
              <w:keepLines w:val="0"/>
              <w:pageBreakBefore w:val="0"/>
              <w:bidi w:val="0"/>
              <w:spacing w:line="240" w:lineRule="auto"/>
              <w:ind w:firstLine="0"/>
              <w:outlineLvl w:val="9"/>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lang w:eastAsia="zh-CN"/>
              </w:rPr>
              <w:t>）保持</w:t>
            </w:r>
            <w:r>
              <w:rPr>
                <w:rFonts w:hint="eastAsia" w:ascii="宋体" w:hAnsi="宋体" w:cs="宋体"/>
                <w:color w:val="000000"/>
                <w:szCs w:val="21"/>
                <w:highlight w:val="none"/>
              </w:rPr>
              <w:t>机房及机组的清洁卫生</w:t>
            </w:r>
            <w:r>
              <w:rPr>
                <w:rFonts w:hint="eastAsia" w:ascii="宋体" w:hAnsi="宋体" w:cs="宋体"/>
                <w:color w:val="000000"/>
                <w:szCs w:val="21"/>
                <w:highlight w:val="none"/>
                <w:lang w:eastAsia="zh-CN"/>
              </w:rPr>
              <w:t>，设置档鼠板并保证完好</w:t>
            </w:r>
            <w:r>
              <w:rPr>
                <w:rFonts w:hint="eastAsia" w:ascii="宋体" w:hAnsi="宋体" w:cs="宋体"/>
                <w:color w:val="000000"/>
                <w:szCs w:val="21"/>
                <w:highlight w:val="none"/>
              </w:rPr>
              <w:t>。</w:t>
            </w:r>
          </w:p>
        </w:tc>
      </w:tr>
      <w:tr w14:paraId="0110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671BCF78">
            <w:pPr>
              <w:keepNext w:val="0"/>
              <w:keepLines w:val="0"/>
              <w:pageBreakBefore w:val="0"/>
              <w:bidi w:val="0"/>
              <w:spacing w:line="240" w:lineRule="auto"/>
              <w:ind w:firstLine="0"/>
              <w:outlineLvl w:val="9"/>
              <w:rPr>
                <w:rFonts w:hint="eastAsia"/>
                <w:color w:val="000000"/>
                <w:highlight w:val="none"/>
                <w:lang w:val="en-US" w:eastAsia="zh-CN"/>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49C419E5">
            <w:pPr>
              <w:keepNext w:val="0"/>
              <w:keepLines w:val="0"/>
              <w:pageBreakBefore w:val="0"/>
              <w:bidi w:val="0"/>
              <w:spacing w:line="240" w:lineRule="auto"/>
              <w:ind w:firstLine="0"/>
              <w:outlineLvl w:val="9"/>
              <w:rPr>
                <w:rFonts w:ascii="宋体" w:hAnsi="宋体" w:cs="宋体"/>
                <w:color w:val="000000"/>
                <w:szCs w:val="21"/>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19074C34">
            <w:pPr>
              <w:keepNext w:val="0"/>
              <w:keepLines w:val="0"/>
              <w:pageBreakBefore w:val="0"/>
              <w:bidi w:val="0"/>
              <w:spacing w:line="240" w:lineRule="auto"/>
              <w:ind w:firstLine="0"/>
              <w:outlineLvl w:val="9"/>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13</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机房内禁止存放易燃、易爆物品，严禁吸烟。</w:t>
            </w:r>
          </w:p>
        </w:tc>
      </w:tr>
      <w:tr w14:paraId="50AB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6F425181">
            <w:pPr>
              <w:keepNext w:val="0"/>
              <w:keepLines w:val="0"/>
              <w:pageBreakBefore w:val="0"/>
              <w:bidi w:val="0"/>
              <w:spacing w:line="240" w:lineRule="auto"/>
              <w:ind w:firstLine="0"/>
              <w:outlineLvl w:val="9"/>
              <w:rPr>
                <w:rFonts w:hint="eastAsia"/>
                <w:color w:val="000000"/>
                <w:highlight w:val="none"/>
                <w:lang w:val="en-US" w:eastAsia="zh-CN"/>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7A8920EB">
            <w:pPr>
              <w:keepNext w:val="0"/>
              <w:keepLines w:val="0"/>
              <w:pageBreakBefore w:val="0"/>
              <w:bidi w:val="0"/>
              <w:spacing w:line="240" w:lineRule="auto"/>
              <w:ind w:firstLine="0"/>
              <w:outlineLvl w:val="9"/>
              <w:rPr>
                <w:rFonts w:ascii="宋体" w:hAnsi="宋体" w:cs="宋体"/>
                <w:color w:val="000000"/>
                <w:szCs w:val="21"/>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216EF756">
            <w:pPr>
              <w:keepNext w:val="0"/>
              <w:keepLines w:val="0"/>
              <w:pageBreakBefore w:val="0"/>
              <w:bidi w:val="0"/>
              <w:spacing w:line="240" w:lineRule="auto"/>
              <w:ind w:firstLine="0"/>
              <w:outlineLvl w:val="9"/>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14</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非值班人员进入机房须经相关管理部门许可。</w:t>
            </w:r>
          </w:p>
        </w:tc>
      </w:tr>
      <w:tr w14:paraId="17B1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restart"/>
            <w:tcBorders>
              <w:top w:val="single" w:color="auto" w:sz="4" w:space="0"/>
              <w:left w:val="single" w:color="auto" w:sz="4" w:space="0"/>
              <w:bottom w:val="single" w:color="auto" w:sz="4" w:space="0"/>
              <w:right w:val="single" w:color="auto" w:sz="4" w:space="0"/>
            </w:tcBorders>
            <w:noWrap w:val="0"/>
            <w:vAlign w:val="top"/>
          </w:tcPr>
          <w:p w14:paraId="6AAB5CFB">
            <w:pPr>
              <w:keepNext w:val="0"/>
              <w:keepLines w:val="0"/>
              <w:pageBreakBefore w:val="0"/>
              <w:bidi w:val="0"/>
              <w:spacing w:line="240" w:lineRule="auto"/>
              <w:ind w:firstLine="0"/>
              <w:outlineLvl w:val="9"/>
              <w:rPr>
                <w:color w:val="000000"/>
                <w:highlight w:val="none"/>
              </w:rPr>
            </w:pPr>
            <w:r>
              <w:rPr>
                <w:rFonts w:hint="eastAsia"/>
                <w:color w:val="000000"/>
                <w:highlight w:val="none"/>
              </w:rPr>
              <w:t>1</w:t>
            </w:r>
            <w:r>
              <w:rPr>
                <w:rFonts w:hint="eastAsia"/>
                <w:color w:val="000000"/>
                <w:highlight w:val="none"/>
                <w:lang w:val="en-US" w:eastAsia="zh-CN"/>
              </w:rPr>
              <w:t>0</w:t>
            </w:r>
          </w:p>
        </w:tc>
        <w:tc>
          <w:tcPr>
            <w:tcW w:w="1777" w:type="dxa"/>
            <w:vMerge w:val="restart"/>
            <w:tcBorders>
              <w:top w:val="single" w:color="auto" w:sz="4" w:space="0"/>
              <w:left w:val="single" w:color="auto" w:sz="4" w:space="0"/>
              <w:bottom w:val="single" w:color="auto" w:sz="4" w:space="0"/>
              <w:right w:val="single" w:color="auto" w:sz="4" w:space="0"/>
            </w:tcBorders>
            <w:noWrap w:val="0"/>
            <w:vAlign w:val="top"/>
          </w:tcPr>
          <w:p w14:paraId="1C053A59">
            <w:pPr>
              <w:keepNext w:val="0"/>
              <w:keepLines w:val="0"/>
              <w:pageBreakBefore w:val="0"/>
              <w:bidi w:val="0"/>
              <w:spacing w:line="240" w:lineRule="auto"/>
              <w:ind w:right="113"/>
              <w:outlineLvl w:val="9"/>
              <w:rPr>
                <w:rFonts w:ascii="宋体" w:hAnsi="宋体" w:cs="宋体"/>
                <w:color w:val="000000"/>
                <w:szCs w:val="21"/>
                <w:highlight w:val="none"/>
              </w:rPr>
            </w:pPr>
            <w:r>
              <w:rPr>
                <w:rFonts w:hint="eastAsia" w:ascii="宋体" w:hAnsi="宋体" w:cs="宋体"/>
                <w:color w:val="000000"/>
                <w:szCs w:val="21"/>
                <w:highlight w:val="none"/>
              </w:rPr>
              <w:t>水泵房管理</w:t>
            </w:r>
          </w:p>
        </w:tc>
        <w:tc>
          <w:tcPr>
            <w:tcW w:w="6811" w:type="dxa"/>
            <w:tcBorders>
              <w:top w:val="single" w:color="auto" w:sz="4" w:space="0"/>
              <w:left w:val="single" w:color="auto" w:sz="4" w:space="0"/>
              <w:bottom w:val="single" w:color="auto" w:sz="4" w:space="0"/>
              <w:right w:val="single" w:color="auto" w:sz="4" w:space="0"/>
            </w:tcBorders>
            <w:noWrap w:val="0"/>
            <w:vAlign w:val="top"/>
          </w:tcPr>
          <w:p w14:paraId="66D42A23">
            <w:pPr>
              <w:keepNext w:val="0"/>
              <w:keepLines w:val="0"/>
              <w:pageBreakBefore w:val="0"/>
              <w:widowControl/>
              <w:bidi w:val="0"/>
              <w:spacing w:line="240" w:lineRule="auto"/>
              <w:ind w:firstLine="0"/>
              <w:jc w:val="left"/>
              <w:outlineLvl w:val="9"/>
              <w:rPr>
                <w:rFonts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水泵房设备必须由专人负责操作和保养。</w:t>
            </w:r>
          </w:p>
        </w:tc>
      </w:tr>
      <w:tr w14:paraId="2170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56595505">
            <w:pPr>
              <w:keepNext w:val="0"/>
              <w:keepLines w:val="0"/>
              <w:pageBreakBefore w:val="0"/>
              <w:bidi w:val="0"/>
              <w:spacing w:line="240" w:lineRule="auto"/>
              <w:ind w:firstLine="0"/>
              <w:outlineLvl w:val="9"/>
              <w:rPr>
                <w:rFonts w:hint="eastAsia"/>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3F332748">
            <w:pPr>
              <w:keepNext w:val="0"/>
              <w:keepLines w:val="0"/>
              <w:pageBreakBefore w:val="0"/>
              <w:bidi w:val="0"/>
              <w:spacing w:line="240" w:lineRule="auto"/>
              <w:ind w:left="113" w:right="113" w:firstLine="0"/>
              <w:outlineLvl w:val="9"/>
              <w:rPr>
                <w:rFonts w:hint="eastAsia" w:ascii="宋体" w:hAnsi="宋体" w:cs="宋体"/>
                <w:color w:val="000000"/>
                <w:szCs w:val="21"/>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2F36DC7A">
            <w:pPr>
              <w:keepNext w:val="0"/>
              <w:keepLines w:val="0"/>
              <w:pageBreakBefore w:val="0"/>
              <w:widowControl/>
              <w:bidi w:val="0"/>
              <w:spacing w:line="240" w:lineRule="auto"/>
              <w:ind w:firstLine="0"/>
              <w:jc w:val="left"/>
              <w:outlineLvl w:val="9"/>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蓄水箱严禁未经许可的人员在水箱区域内活动或进入水箱内部。水箱区应设置隔离设施与警示标识，安排</w:t>
            </w:r>
            <w:r>
              <w:rPr>
                <w:rFonts w:hint="eastAsia" w:ascii="宋体" w:hAnsi="宋体" w:cs="宋体"/>
                <w:color w:val="000000"/>
                <w:szCs w:val="21"/>
                <w:highlight w:val="none"/>
                <w:lang w:eastAsia="zh-CN"/>
              </w:rPr>
              <w:t>保安</w:t>
            </w:r>
            <w:r>
              <w:rPr>
                <w:rFonts w:hint="eastAsia" w:ascii="宋体" w:hAnsi="宋体" w:cs="宋体"/>
                <w:color w:val="000000"/>
                <w:szCs w:val="21"/>
                <w:highlight w:val="none"/>
              </w:rPr>
              <w:t>人员定期巡查，防止无关人员进入</w:t>
            </w:r>
          </w:p>
        </w:tc>
      </w:tr>
      <w:tr w14:paraId="6794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35EF3560">
            <w:pPr>
              <w:keepNext w:val="0"/>
              <w:keepLines w:val="0"/>
              <w:pageBreakBefore w:val="0"/>
              <w:bidi w:val="0"/>
              <w:spacing w:line="240" w:lineRule="auto"/>
              <w:ind w:firstLine="0"/>
              <w:outlineLvl w:val="9"/>
              <w:rPr>
                <w:rFonts w:hint="eastAsia"/>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06604699">
            <w:pPr>
              <w:keepNext w:val="0"/>
              <w:keepLines w:val="0"/>
              <w:pageBreakBefore w:val="0"/>
              <w:bidi w:val="0"/>
              <w:spacing w:line="240" w:lineRule="auto"/>
              <w:ind w:left="113" w:right="113" w:firstLine="0"/>
              <w:outlineLvl w:val="9"/>
              <w:rPr>
                <w:rFonts w:hint="eastAsia" w:ascii="宋体" w:hAnsi="宋体" w:cs="宋体"/>
                <w:color w:val="000000"/>
                <w:szCs w:val="21"/>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5D339132">
            <w:pPr>
              <w:keepNext w:val="0"/>
              <w:keepLines w:val="0"/>
              <w:pageBreakBefore w:val="0"/>
              <w:widowControl/>
              <w:bidi w:val="0"/>
              <w:spacing w:line="240" w:lineRule="auto"/>
              <w:ind w:firstLine="0"/>
              <w:jc w:val="left"/>
              <w:outlineLvl w:val="9"/>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水箱间卫生与维护要求</w:t>
            </w:r>
          </w:p>
          <w:p w14:paraId="59F64880">
            <w:pPr>
              <w:keepNext w:val="0"/>
              <w:keepLines w:val="0"/>
              <w:pageBreakBefore w:val="0"/>
              <w:widowControl/>
              <w:bidi w:val="0"/>
              <w:spacing w:line="240" w:lineRule="auto"/>
              <w:ind w:firstLine="0"/>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卫生清洁：水箱间需保持整洁，每日进行清扫，及时清除灰尘、杂物等。严禁在水箱间堆放垃圾、易燃易爆物品及其他杂物。</w:t>
            </w:r>
          </w:p>
          <w:p w14:paraId="427A8AED">
            <w:pPr>
              <w:keepNext w:val="0"/>
              <w:keepLines w:val="0"/>
              <w:pageBreakBefore w:val="0"/>
              <w:widowControl/>
              <w:bidi w:val="0"/>
              <w:spacing w:line="240" w:lineRule="auto"/>
              <w:ind w:firstLine="0"/>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水箱维护：定期对水箱进行防腐、除锈处理，根据水箱材质和使用年限，制定合理的维护计划。维护工作应由专业人员进行，确保处理效果符合标准。</w:t>
            </w:r>
          </w:p>
          <w:p w14:paraId="14936DC7">
            <w:pPr>
              <w:keepNext w:val="0"/>
              <w:keepLines w:val="0"/>
              <w:pageBreakBefore w:val="0"/>
              <w:widowControl/>
              <w:bidi w:val="0"/>
              <w:spacing w:line="240" w:lineRule="auto"/>
              <w:ind w:firstLine="0"/>
              <w:jc w:val="left"/>
              <w:outlineLvl w:val="9"/>
              <w:rPr>
                <w:rFonts w:hint="eastAsia" w:ascii="宋体" w:hAnsi="宋体" w:cs="宋体"/>
                <w:color w:val="000000"/>
                <w:szCs w:val="21"/>
                <w:highlight w:val="none"/>
              </w:rPr>
            </w:pPr>
            <w:r>
              <w:rPr>
                <w:rFonts w:hint="eastAsia" w:ascii="宋体" w:hAnsi="宋体" w:cs="宋体"/>
                <w:color w:val="000000"/>
                <w:szCs w:val="21"/>
                <w:highlight w:val="none"/>
                <w:lang w:val="en-US" w:eastAsia="zh-CN"/>
              </w:rPr>
              <w:t>水箱</w:t>
            </w:r>
            <w:r>
              <w:rPr>
                <w:rFonts w:hint="eastAsia" w:ascii="宋体" w:hAnsi="宋体" w:cs="宋体"/>
                <w:color w:val="000000"/>
                <w:szCs w:val="21"/>
                <w:highlight w:val="none"/>
              </w:rPr>
              <w:t>盖应配备牢固的锁具，并定期检查锁具的完好性。安排专人每</w:t>
            </w:r>
            <w:r>
              <w:rPr>
                <w:rFonts w:hint="eastAsia" w:ascii="宋体" w:hAnsi="宋体" w:cs="宋体"/>
                <w:color w:val="000000"/>
                <w:szCs w:val="21"/>
                <w:highlight w:val="none"/>
                <w:lang w:eastAsia="zh-CN"/>
              </w:rPr>
              <w:t>天</w:t>
            </w:r>
            <w:r>
              <w:rPr>
                <w:rFonts w:hint="eastAsia" w:ascii="宋体" w:hAnsi="宋体" w:cs="宋体"/>
                <w:color w:val="000000"/>
                <w:szCs w:val="21"/>
                <w:highlight w:val="none"/>
              </w:rPr>
              <w:t>至少检查</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次水箱盖的加锁情况，确保水箱密封良好，防止外界污染。</w:t>
            </w:r>
          </w:p>
        </w:tc>
      </w:tr>
      <w:tr w14:paraId="24FB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083DCF91">
            <w:pPr>
              <w:keepNext w:val="0"/>
              <w:keepLines w:val="0"/>
              <w:pageBreakBefore w:val="0"/>
              <w:bidi w:val="0"/>
              <w:spacing w:line="240" w:lineRule="auto"/>
              <w:ind w:firstLine="0"/>
              <w:outlineLvl w:val="9"/>
              <w:rPr>
                <w:rFonts w:hint="eastAsia"/>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02F41393">
            <w:pPr>
              <w:keepNext w:val="0"/>
              <w:keepLines w:val="0"/>
              <w:pageBreakBefore w:val="0"/>
              <w:bidi w:val="0"/>
              <w:spacing w:line="240" w:lineRule="auto"/>
              <w:ind w:left="113" w:right="113" w:firstLine="0"/>
              <w:outlineLvl w:val="9"/>
              <w:rPr>
                <w:rFonts w:hint="eastAsia" w:ascii="宋体" w:hAnsi="宋体" w:cs="宋体"/>
                <w:color w:val="000000"/>
                <w:szCs w:val="21"/>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6074EB9D">
            <w:pPr>
              <w:keepNext w:val="0"/>
              <w:keepLines w:val="0"/>
              <w:pageBreakBefore w:val="0"/>
              <w:widowControl/>
              <w:bidi w:val="0"/>
              <w:spacing w:line="240" w:lineRule="auto"/>
              <w:ind w:firstLine="0"/>
              <w:jc w:val="left"/>
              <w:outlineLvl w:val="9"/>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供水《卫生许可证》应按规定固定在水箱间显眼墙面上，不得随意挪动或遮挡。项目负责人需关注证件有效期，提前办理年审或换证手续，确保供水活动合法合规。</w:t>
            </w:r>
          </w:p>
        </w:tc>
      </w:tr>
      <w:tr w14:paraId="2F71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22751472">
            <w:pPr>
              <w:keepNext w:val="0"/>
              <w:keepLines w:val="0"/>
              <w:pageBreakBefore w:val="0"/>
              <w:bidi w:val="0"/>
              <w:spacing w:line="240" w:lineRule="auto"/>
              <w:ind w:firstLine="0"/>
              <w:outlineLvl w:val="9"/>
              <w:rPr>
                <w:rFonts w:hint="eastAsia"/>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51752080">
            <w:pPr>
              <w:keepNext w:val="0"/>
              <w:keepLines w:val="0"/>
              <w:pageBreakBefore w:val="0"/>
              <w:bidi w:val="0"/>
              <w:spacing w:line="240" w:lineRule="auto"/>
              <w:ind w:left="113" w:right="113" w:firstLine="0"/>
              <w:outlineLvl w:val="9"/>
              <w:rPr>
                <w:rFonts w:hint="eastAsia" w:ascii="宋体" w:hAnsi="宋体" w:cs="宋体"/>
                <w:color w:val="000000"/>
                <w:szCs w:val="21"/>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3753B0E8">
            <w:pPr>
              <w:keepNext w:val="0"/>
              <w:keepLines w:val="0"/>
              <w:pageBreakBefore w:val="0"/>
              <w:widowControl/>
              <w:bidi w:val="0"/>
              <w:spacing w:line="240" w:lineRule="auto"/>
              <w:ind w:firstLine="0"/>
              <w:jc w:val="left"/>
              <w:outlineLvl w:val="9"/>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进水阀检查与维护</w:t>
            </w:r>
          </w:p>
          <w:p w14:paraId="4866D0B6">
            <w:pPr>
              <w:keepNext w:val="0"/>
              <w:keepLines w:val="0"/>
              <w:pageBreakBefore w:val="0"/>
              <w:widowControl/>
              <w:bidi w:val="0"/>
              <w:spacing w:line="240" w:lineRule="auto"/>
              <w:ind w:firstLine="0"/>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日常检查：进水阀的自动控制功能纳入每日巡检内容，检查其运行是否正常，有无漏水、失灵等情况。</w:t>
            </w:r>
          </w:p>
          <w:p w14:paraId="1D79BBB9">
            <w:pPr>
              <w:keepNext w:val="0"/>
              <w:keepLines w:val="0"/>
              <w:pageBreakBefore w:val="0"/>
              <w:widowControl/>
              <w:bidi w:val="0"/>
              <w:spacing w:line="240" w:lineRule="auto"/>
              <w:ind w:firstLine="0"/>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故障处理：如发现进水阀失灵，应立即查明原因，尝试排除故障。若无法自行解决，应及时通知专业维修人员，并记录故障发生时间、现象及处理过程。</w:t>
            </w:r>
          </w:p>
          <w:p w14:paraId="2F4E35C4">
            <w:pPr>
              <w:keepNext w:val="0"/>
              <w:keepLines w:val="0"/>
              <w:pageBreakBefore w:val="0"/>
              <w:widowControl/>
              <w:bidi w:val="0"/>
              <w:spacing w:line="240" w:lineRule="auto"/>
              <w:ind w:firstLine="0"/>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轮换使用：为保证进水阀的灵活性和可靠性，应定期对其进行轮换使用，并做好轮换记录。</w:t>
            </w:r>
          </w:p>
        </w:tc>
      </w:tr>
      <w:tr w14:paraId="5B19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66F2601A">
            <w:pPr>
              <w:pStyle w:val="203"/>
              <w:keepNext w:val="0"/>
              <w:keepLines w:val="0"/>
              <w:pageBreakBefore w:val="0"/>
              <w:bidi w:val="0"/>
              <w:spacing w:line="240" w:lineRule="auto"/>
              <w:ind w:left="0" w:firstLine="0"/>
              <w:outlineLvl w:val="9"/>
              <w:rPr>
                <w:rFonts w:hint="eastAsia"/>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53E843A6">
            <w:pPr>
              <w:keepNext w:val="0"/>
              <w:keepLines w:val="0"/>
              <w:pageBreakBefore w:val="0"/>
              <w:bidi w:val="0"/>
              <w:spacing w:line="240" w:lineRule="auto"/>
              <w:ind w:left="113" w:right="113" w:firstLine="0"/>
              <w:outlineLvl w:val="9"/>
              <w:rPr>
                <w:rFonts w:hint="eastAsia" w:ascii="宋体" w:hAnsi="宋体" w:cs="宋体"/>
                <w:color w:val="000000"/>
                <w:szCs w:val="21"/>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1C0D7B96">
            <w:pPr>
              <w:keepNext w:val="0"/>
              <w:keepLines w:val="0"/>
              <w:pageBreakBefore w:val="0"/>
              <w:widowControl/>
              <w:bidi w:val="0"/>
              <w:spacing w:line="240" w:lineRule="auto"/>
              <w:ind w:firstLine="0"/>
              <w:jc w:val="left"/>
              <w:outlineLvl w:val="9"/>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水泵房每天巡视1次，保持室内照明、通风良好。泵房内包括电动泵、管道和环境应每周一次保洁，以保持设备和泵房的环境清洁。</w:t>
            </w:r>
          </w:p>
        </w:tc>
      </w:tr>
      <w:tr w14:paraId="1F2D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57A5D2F5">
            <w:pPr>
              <w:keepNext w:val="0"/>
              <w:keepLines w:val="0"/>
              <w:pageBreakBefore w:val="0"/>
              <w:bidi w:val="0"/>
              <w:spacing w:line="240" w:lineRule="auto"/>
              <w:ind w:firstLine="0"/>
              <w:outlineLvl w:val="9"/>
              <w:rPr>
                <w:rFonts w:hint="eastAsia"/>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7E25E5B6">
            <w:pPr>
              <w:keepNext w:val="0"/>
              <w:keepLines w:val="0"/>
              <w:pageBreakBefore w:val="0"/>
              <w:bidi w:val="0"/>
              <w:spacing w:line="240" w:lineRule="auto"/>
              <w:ind w:left="113" w:right="113" w:firstLine="0"/>
              <w:outlineLvl w:val="9"/>
              <w:rPr>
                <w:rFonts w:hint="eastAsia" w:ascii="宋体" w:hAnsi="宋体" w:cs="宋体"/>
                <w:color w:val="000000"/>
                <w:szCs w:val="21"/>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414120FC">
            <w:pPr>
              <w:keepNext w:val="0"/>
              <w:keepLines w:val="0"/>
              <w:pageBreakBefore w:val="0"/>
              <w:widowControl/>
              <w:bidi w:val="0"/>
              <w:spacing w:line="240" w:lineRule="auto"/>
              <w:ind w:firstLine="0"/>
              <w:jc w:val="left"/>
              <w:outlineLvl w:val="9"/>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水泵房消防设施完备、定点照明，通风良好。禁止存放易燃、易爆及无关物品。</w:t>
            </w:r>
          </w:p>
        </w:tc>
      </w:tr>
      <w:tr w14:paraId="50CB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791B802B">
            <w:pPr>
              <w:keepNext w:val="0"/>
              <w:keepLines w:val="0"/>
              <w:pageBreakBefore w:val="0"/>
              <w:bidi w:val="0"/>
              <w:spacing w:line="240" w:lineRule="auto"/>
              <w:ind w:firstLine="0"/>
              <w:outlineLvl w:val="9"/>
              <w:rPr>
                <w:rFonts w:hint="eastAsia"/>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29251C56">
            <w:pPr>
              <w:keepNext w:val="0"/>
              <w:keepLines w:val="0"/>
              <w:pageBreakBefore w:val="0"/>
              <w:bidi w:val="0"/>
              <w:spacing w:line="240" w:lineRule="auto"/>
              <w:ind w:left="113" w:right="113" w:firstLine="0"/>
              <w:outlineLvl w:val="9"/>
              <w:rPr>
                <w:rFonts w:hint="eastAsia" w:ascii="宋体" w:hAnsi="宋体" w:cs="宋体"/>
                <w:color w:val="000000"/>
                <w:szCs w:val="21"/>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0B360504">
            <w:pPr>
              <w:keepNext w:val="0"/>
              <w:keepLines w:val="0"/>
              <w:pageBreakBefore w:val="0"/>
              <w:widowControl/>
              <w:bidi w:val="0"/>
              <w:spacing w:line="240" w:lineRule="auto"/>
              <w:ind w:firstLine="0"/>
              <w:jc w:val="left"/>
              <w:outlineLvl w:val="9"/>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水位监控与管理</w:t>
            </w:r>
          </w:p>
          <w:p w14:paraId="4FB5C91C">
            <w:pPr>
              <w:keepNext w:val="0"/>
              <w:keepLines w:val="0"/>
              <w:pageBreakBefore w:val="0"/>
              <w:widowControl/>
              <w:bidi w:val="0"/>
              <w:spacing w:line="240" w:lineRule="auto"/>
              <w:ind w:firstLine="0"/>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日常观测：安排专人每日多次观察水箱水位，通过室内水标尺准确记录水位变化。重点关注消防水位和溢水水位，确保水位在正常范围内。</w:t>
            </w:r>
          </w:p>
          <w:p w14:paraId="3E02EA80">
            <w:pPr>
              <w:keepNext w:val="0"/>
              <w:keepLines w:val="0"/>
              <w:pageBreakBefore w:val="0"/>
              <w:widowControl/>
              <w:bidi w:val="0"/>
              <w:spacing w:line="240" w:lineRule="auto"/>
              <w:ind w:firstLine="0"/>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水位限制：除消防用途外，严禁动用消防储备水（最低水位线以下的水箱储水）。水箱水位不得超过最高水位，若发生溢水情况，当班人员应立即采取措施处理，并按照责任事故处理规定承担相应责任。</w:t>
            </w:r>
          </w:p>
        </w:tc>
      </w:tr>
      <w:tr w14:paraId="4649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2BEAC103">
            <w:pPr>
              <w:keepNext w:val="0"/>
              <w:keepLines w:val="0"/>
              <w:pageBreakBefore w:val="0"/>
              <w:bidi w:val="0"/>
              <w:spacing w:line="240" w:lineRule="auto"/>
              <w:ind w:firstLine="0"/>
              <w:outlineLvl w:val="9"/>
              <w:rPr>
                <w:rFonts w:hint="eastAsia"/>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01EBAF8D">
            <w:pPr>
              <w:keepNext w:val="0"/>
              <w:keepLines w:val="0"/>
              <w:pageBreakBefore w:val="0"/>
              <w:bidi w:val="0"/>
              <w:spacing w:line="240" w:lineRule="auto"/>
              <w:ind w:left="113" w:right="113" w:firstLine="0"/>
              <w:outlineLvl w:val="9"/>
              <w:rPr>
                <w:rFonts w:hint="eastAsia" w:ascii="宋体" w:hAnsi="宋体" w:cs="宋体"/>
                <w:color w:val="000000"/>
                <w:szCs w:val="21"/>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1DFE326C">
            <w:pPr>
              <w:keepNext w:val="0"/>
              <w:keepLines w:val="0"/>
              <w:pageBreakBefore w:val="0"/>
              <w:widowControl/>
              <w:bidi w:val="0"/>
              <w:spacing w:line="240" w:lineRule="auto"/>
              <w:ind w:firstLine="0"/>
              <w:jc w:val="left"/>
              <w:outlineLvl w:val="9"/>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水箱清洗消毒制度</w:t>
            </w:r>
          </w:p>
          <w:p w14:paraId="254ED3D1">
            <w:pPr>
              <w:keepNext w:val="0"/>
              <w:keepLines w:val="0"/>
              <w:pageBreakBefore w:val="0"/>
              <w:widowControl/>
              <w:bidi w:val="0"/>
              <w:spacing w:line="240" w:lineRule="auto"/>
              <w:ind w:firstLine="0"/>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清洗频率：水箱每年应进行</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次全面清洗消毒，清洗时间应避开用水高峰期。</w:t>
            </w:r>
          </w:p>
          <w:p w14:paraId="2F55B8E2">
            <w:pPr>
              <w:keepNext w:val="0"/>
              <w:keepLines w:val="0"/>
              <w:pageBreakBefore w:val="0"/>
              <w:widowControl/>
              <w:bidi w:val="0"/>
              <w:spacing w:line="240" w:lineRule="auto"/>
              <w:ind w:firstLine="0"/>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清洗操作：清洗工作应严格按照操作规程进行，清洗人员需佩戴防护装备，使用合格的清洗剂和消毒剂。</w:t>
            </w:r>
          </w:p>
          <w:p w14:paraId="6D2F8E4C">
            <w:pPr>
              <w:keepNext w:val="0"/>
              <w:keepLines w:val="0"/>
              <w:pageBreakBefore w:val="0"/>
              <w:widowControl/>
              <w:bidi w:val="0"/>
              <w:spacing w:line="240" w:lineRule="auto"/>
              <w:ind w:firstLine="0"/>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记录存档：清洗完成后，及时填写《水池（箱）清洗消毒记录表》，详细记录清洗时间、人员、过程、使用的药剂及清洗效果等信息，记录表应妥善存档备查。</w:t>
            </w:r>
          </w:p>
        </w:tc>
      </w:tr>
      <w:tr w14:paraId="73A2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0401063E">
            <w:pPr>
              <w:keepNext w:val="0"/>
              <w:keepLines w:val="0"/>
              <w:pageBreakBefore w:val="0"/>
              <w:bidi w:val="0"/>
              <w:spacing w:line="240" w:lineRule="auto"/>
              <w:ind w:firstLine="0"/>
              <w:outlineLvl w:val="9"/>
              <w:rPr>
                <w:rFonts w:hint="eastAsia"/>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25395318">
            <w:pPr>
              <w:keepNext w:val="0"/>
              <w:keepLines w:val="0"/>
              <w:pageBreakBefore w:val="0"/>
              <w:bidi w:val="0"/>
              <w:spacing w:line="240" w:lineRule="auto"/>
              <w:ind w:left="113" w:right="113" w:firstLine="0"/>
              <w:outlineLvl w:val="9"/>
              <w:rPr>
                <w:rFonts w:hint="eastAsia" w:ascii="宋体" w:hAnsi="宋体" w:cs="宋体"/>
                <w:color w:val="000000"/>
                <w:szCs w:val="21"/>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08EB50B1">
            <w:pPr>
              <w:keepNext w:val="0"/>
              <w:keepLines w:val="0"/>
              <w:pageBreakBefore w:val="0"/>
              <w:widowControl/>
              <w:bidi w:val="0"/>
              <w:spacing w:line="240" w:lineRule="auto"/>
              <w:ind w:firstLine="0"/>
              <w:jc w:val="left"/>
              <w:outlineLvl w:val="9"/>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水质检测与管理流程</w:t>
            </w:r>
          </w:p>
          <w:p w14:paraId="0EB0D482">
            <w:pPr>
              <w:keepNext w:val="0"/>
              <w:keepLines w:val="0"/>
              <w:pageBreakBefore w:val="0"/>
              <w:widowControl/>
              <w:bidi w:val="0"/>
              <w:spacing w:line="240" w:lineRule="auto"/>
              <w:ind w:firstLine="0"/>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水样采集与检验：工程主管负责通知当地水质检测部门定期到现场取水样进行检验，检验项目应涵盖国家生活饮用水卫生标准规定的各项指标。</w:t>
            </w:r>
          </w:p>
          <w:p w14:paraId="03706DDA">
            <w:pPr>
              <w:keepNext w:val="0"/>
              <w:keepLines w:val="0"/>
              <w:pageBreakBefore w:val="0"/>
              <w:widowControl/>
              <w:bidi w:val="0"/>
              <w:spacing w:line="240" w:lineRule="auto"/>
              <w:ind w:firstLine="0"/>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记录与证明管理：做好水箱清洗消杀记录，指定专人负责获取卫生防疫部门的水质化验证明。所有水质检测相关文件整理成册，统一存档。</w:t>
            </w:r>
          </w:p>
          <w:p w14:paraId="6C98D19F">
            <w:pPr>
              <w:keepNext w:val="0"/>
              <w:keepLines w:val="0"/>
              <w:pageBreakBefore w:val="0"/>
              <w:widowControl/>
              <w:bidi w:val="0"/>
              <w:spacing w:line="240" w:lineRule="auto"/>
              <w:ind w:firstLine="0"/>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根据清洗时间安排，上报</w:t>
            </w:r>
            <w:r>
              <w:rPr>
                <w:rFonts w:hint="eastAsia" w:ascii="宋体" w:hAnsi="宋体" w:cs="宋体"/>
                <w:color w:val="000000"/>
                <w:szCs w:val="21"/>
                <w:highlight w:val="none"/>
                <w:lang w:eastAsia="zh-CN"/>
              </w:rPr>
              <w:t>采购人</w:t>
            </w:r>
            <w:r>
              <w:rPr>
                <w:rFonts w:hint="eastAsia" w:ascii="宋体" w:hAnsi="宋体" w:cs="宋体"/>
                <w:color w:val="000000"/>
                <w:szCs w:val="21"/>
                <w:highlight w:val="none"/>
              </w:rPr>
              <w:t>审批水箱清洗、消毒方案，并提前一周前出示停水通知，告知各单位（部门）做好相互配合工作</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并告知预计恢复供水时间。</w:t>
            </w:r>
          </w:p>
          <w:p w14:paraId="1E6F5F50">
            <w:pPr>
              <w:keepNext w:val="0"/>
              <w:keepLines w:val="0"/>
              <w:pageBreakBefore w:val="0"/>
              <w:widowControl/>
              <w:bidi w:val="0"/>
              <w:spacing w:line="240" w:lineRule="auto"/>
              <w:ind w:firstLine="0"/>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规定二次供水设备每</w:t>
            </w:r>
            <w:r>
              <w:rPr>
                <w:rFonts w:hint="eastAsia" w:ascii="宋体" w:hAnsi="宋体" w:cs="宋体"/>
                <w:color w:val="000000"/>
                <w:szCs w:val="21"/>
                <w:highlight w:val="none"/>
                <w:lang w:eastAsia="zh-CN"/>
              </w:rPr>
              <w:t>月进行</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次保养工作，由设备责任人负责实施，并填写《二次供水设备保养记录》。</w:t>
            </w:r>
          </w:p>
          <w:p w14:paraId="209CF9AB">
            <w:pPr>
              <w:keepNext w:val="0"/>
              <w:keepLines w:val="0"/>
              <w:pageBreakBefore w:val="0"/>
              <w:widowControl/>
              <w:bidi w:val="0"/>
              <w:spacing w:line="240" w:lineRule="auto"/>
              <w:ind w:firstLine="0"/>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工程主管需每月对水池（箱）、水泵等供水设施设备进行检查，将检查情况</w:t>
            </w:r>
            <w:r>
              <w:rPr>
                <w:rFonts w:hint="eastAsia" w:ascii="宋体" w:hAnsi="宋体" w:cs="宋体"/>
                <w:color w:val="000000"/>
                <w:szCs w:val="21"/>
                <w:highlight w:val="none"/>
                <w:lang w:eastAsia="zh-CN"/>
              </w:rPr>
              <w:t>完整登记</w:t>
            </w:r>
            <w:r>
              <w:rPr>
                <w:rFonts w:hint="eastAsia" w:ascii="宋体" w:hAnsi="宋体" w:cs="宋体"/>
                <w:color w:val="000000"/>
                <w:szCs w:val="21"/>
              </w:rPr>
              <w:t>。</w:t>
            </w:r>
          </w:p>
        </w:tc>
      </w:tr>
      <w:tr w14:paraId="259C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top"/>
          </w:tcPr>
          <w:p w14:paraId="04829EE2">
            <w:pPr>
              <w:keepNext w:val="0"/>
              <w:keepLines w:val="0"/>
              <w:pageBreakBefore w:val="0"/>
              <w:bidi w:val="0"/>
              <w:spacing w:line="240" w:lineRule="auto"/>
              <w:ind w:firstLine="0"/>
              <w:outlineLvl w:val="9"/>
              <w:rPr>
                <w:rFonts w:hint="eastAsia"/>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3EEAA909">
            <w:pPr>
              <w:keepNext w:val="0"/>
              <w:keepLines w:val="0"/>
              <w:pageBreakBefore w:val="0"/>
              <w:bidi w:val="0"/>
              <w:spacing w:line="240" w:lineRule="auto"/>
              <w:ind w:left="113" w:right="113" w:firstLine="0"/>
              <w:outlineLvl w:val="9"/>
              <w:rPr>
                <w:rFonts w:hint="eastAsia" w:ascii="宋体" w:hAnsi="宋体" w:cs="宋体"/>
                <w:color w:val="000000"/>
                <w:szCs w:val="21"/>
                <w:highlight w:val="none"/>
              </w:rPr>
            </w:pPr>
          </w:p>
        </w:tc>
        <w:tc>
          <w:tcPr>
            <w:tcW w:w="6811" w:type="dxa"/>
            <w:tcBorders>
              <w:top w:val="single" w:color="auto" w:sz="4" w:space="0"/>
              <w:left w:val="single" w:color="auto" w:sz="4" w:space="0"/>
              <w:bottom w:val="single" w:color="auto" w:sz="4" w:space="0"/>
              <w:right w:val="single" w:color="auto" w:sz="4" w:space="0"/>
            </w:tcBorders>
            <w:noWrap w:val="0"/>
            <w:vAlign w:val="top"/>
          </w:tcPr>
          <w:p w14:paraId="38B8916C">
            <w:pPr>
              <w:keepNext w:val="0"/>
              <w:keepLines w:val="0"/>
              <w:pageBreakBefore w:val="0"/>
              <w:widowControl/>
              <w:bidi w:val="0"/>
              <w:spacing w:line="240" w:lineRule="auto"/>
              <w:ind w:firstLine="0"/>
              <w:jc w:val="left"/>
              <w:outlineLvl w:val="9"/>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无关人员严禁进入泵房。若要进入，须经管理部门批准由设备员陪同并登记后方可进入</w:t>
            </w:r>
            <w:bookmarkEnd w:id="215"/>
            <w:bookmarkEnd w:id="216"/>
          </w:p>
        </w:tc>
      </w:tr>
    </w:tbl>
    <w:p w14:paraId="638D7173">
      <w:pPr>
        <w:rPr>
          <w:color w:val="000000"/>
          <w:highlight w:val="none"/>
        </w:rPr>
      </w:pPr>
    </w:p>
    <w:p w14:paraId="707875EF">
      <w:pPr>
        <w:outlineLvl w:val="2"/>
        <w:rPr>
          <w:b/>
          <w:bCs/>
          <w:color w:val="000000"/>
          <w:highlight w:val="none"/>
        </w:rPr>
      </w:pPr>
      <w:bookmarkStart w:id="221" w:name="_Toc22078"/>
      <w:r>
        <w:rPr>
          <w:rFonts w:hint="eastAsia"/>
          <w:b/>
          <w:bCs/>
          <w:color w:val="000000"/>
          <w:highlight w:val="none"/>
        </w:rPr>
        <w:t>3.4保洁服务</w:t>
      </w:r>
      <w:bookmarkEnd w:id="217"/>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777"/>
        <w:gridCol w:w="5986"/>
      </w:tblGrid>
      <w:tr w14:paraId="3C9D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vAlign w:val="top"/>
          </w:tcPr>
          <w:p w14:paraId="2E4E4AF7">
            <w:pPr>
              <w:rPr>
                <w:color w:val="000000"/>
                <w:highlight w:val="none"/>
              </w:rPr>
            </w:pPr>
            <w:r>
              <w:rPr>
                <w:rFonts w:hint="eastAsia"/>
                <w:color w:val="000000"/>
                <w:highlight w:val="none"/>
              </w:rPr>
              <w:t>序号</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2F82CB2B">
            <w:pPr>
              <w:rPr>
                <w:color w:val="000000"/>
                <w:highlight w:val="none"/>
              </w:rPr>
            </w:pPr>
            <w:r>
              <w:rPr>
                <w:rFonts w:hint="eastAsia"/>
                <w:color w:val="000000"/>
                <w:highlight w:val="none"/>
              </w:rPr>
              <w:t>服务内容</w:t>
            </w:r>
          </w:p>
        </w:tc>
        <w:tc>
          <w:tcPr>
            <w:tcW w:w="5986" w:type="dxa"/>
            <w:tcBorders>
              <w:top w:val="single" w:color="auto" w:sz="4" w:space="0"/>
              <w:left w:val="single" w:color="auto" w:sz="4" w:space="0"/>
              <w:bottom w:val="single" w:color="auto" w:sz="4" w:space="0"/>
              <w:right w:val="single" w:color="auto" w:sz="4" w:space="0"/>
            </w:tcBorders>
            <w:noWrap w:val="0"/>
            <w:vAlign w:val="top"/>
          </w:tcPr>
          <w:p w14:paraId="06DA57BA">
            <w:pPr>
              <w:rPr>
                <w:color w:val="000000"/>
                <w:highlight w:val="none"/>
              </w:rPr>
            </w:pPr>
            <w:r>
              <w:rPr>
                <w:rFonts w:hint="eastAsia"/>
                <w:color w:val="000000"/>
                <w:highlight w:val="none"/>
              </w:rPr>
              <w:t>服务标准</w:t>
            </w:r>
          </w:p>
        </w:tc>
      </w:tr>
      <w:tr w14:paraId="6C80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517" w:type="dxa"/>
            <w:vMerge w:val="restart"/>
            <w:tcBorders>
              <w:top w:val="single" w:color="auto" w:sz="4" w:space="0"/>
              <w:left w:val="single" w:color="auto" w:sz="4" w:space="0"/>
              <w:bottom w:val="single" w:color="auto" w:sz="4" w:space="0"/>
              <w:right w:val="single" w:color="auto" w:sz="4" w:space="0"/>
            </w:tcBorders>
            <w:noWrap w:val="0"/>
            <w:vAlign w:val="top"/>
          </w:tcPr>
          <w:p w14:paraId="739EBAE6">
            <w:pPr>
              <w:rPr>
                <w:color w:val="000000"/>
                <w:highlight w:val="none"/>
              </w:rPr>
            </w:pPr>
            <w:r>
              <w:rPr>
                <w:rFonts w:hint="eastAsia"/>
                <w:color w:val="000000"/>
                <w:highlight w:val="none"/>
              </w:rPr>
              <w:t>1</w:t>
            </w:r>
          </w:p>
        </w:tc>
        <w:tc>
          <w:tcPr>
            <w:tcW w:w="1777" w:type="dxa"/>
            <w:vMerge w:val="restart"/>
            <w:tcBorders>
              <w:top w:val="single" w:color="auto" w:sz="4" w:space="0"/>
              <w:left w:val="single" w:color="auto" w:sz="4" w:space="0"/>
              <w:bottom w:val="single" w:color="auto" w:sz="4" w:space="0"/>
              <w:right w:val="single" w:color="auto" w:sz="4" w:space="0"/>
            </w:tcBorders>
            <w:noWrap w:val="0"/>
            <w:vAlign w:val="top"/>
          </w:tcPr>
          <w:p w14:paraId="74782CC2">
            <w:pPr>
              <w:rPr>
                <w:color w:val="000000"/>
                <w:highlight w:val="none"/>
              </w:rPr>
            </w:pPr>
            <w:r>
              <w:rPr>
                <w:rFonts w:hint="eastAsia"/>
                <w:color w:val="000000"/>
                <w:highlight w:val="none"/>
              </w:rPr>
              <w:t>基本要求</w:t>
            </w:r>
          </w:p>
        </w:tc>
        <w:tc>
          <w:tcPr>
            <w:tcW w:w="5986" w:type="dxa"/>
            <w:tcBorders>
              <w:top w:val="single" w:color="auto" w:sz="4" w:space="0"/>
              <w:left w:val="single" w:color="auto" w:sz="4" w:space="0"/>
              <w:bottom w:val="single" w:color="auto" w:sz="4" w:space="0"/>
              <w:right w:val="single" w:color="auto" w:sz="4" w:space="0"/>
            </w:tcBorders>
            <w:noWrap w:val="0"/>
            <w:vAlign w:val="top"/>
          </w:tcPr>
          <w:p w14:paraId="3705C416">
            <w:pPr>
              <w:rPr>
                <w:color w:val="000000"/>
                <w:highlight w:val="none"/>
              </w:rPr>
            </w:pPr>
            <w:r>
              <w:rPr>
                <w:rFonts w:hint="eastAsia"/>
                <w:color w:val="000000"/>
                <w:highlight w:val="none"/>
              </w:rPr>
              <w:t>（1）建立保洁服务的工作制度及工作计划，并按照执行。</w:t>
            </w:r>
          </w:p>
        </w:tc>
      </w:tr>
      <w:tr w14:paraId="2F56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5AD5C656">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0C76DAE9">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7448CCBA">
            <w:pPr>
              <w:rPr>
                <w:color w:val="000000"/>
                <w:highlight w:val="none"/>
              </w:rPr>
            </w:pPr>
            <w:r>
              <w:rPr>
                <w:rFonts w:hint="eastAsia"/>
                <w:color w:val="000000"/>
                <w:highlight w:val="none"/>
              </w:rPr>
              <w:t>（2）做好保洁服务工作记录，记录填写规范、保存完好。</w:t>
            </w:r>
          </w:p>
        </w:tc>
      </w:tr>
      <w:tr w14:paraId="56A0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1E271558">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1A985E75">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354F600C">
            <w:pPr>
              <w:rPr>
                <w:color w:val="000000"/>
                <w:highlight w:val="none"/>
              </w:rPr>
            </w:pPr>
            <w:r>
              <w:rPr>
                <w:rFonts w:hint="eastAsia"/>
                <w:color w:val="000000"/>
                <w:highlight w:val="none"/>
              </w:rPr>
              <w:t>（3）作业时采取安全防护措施，防止对作业人员或他人造成伤害。相关耗材的环保、安全性等应当符合国家相关规定要求。</w:t>
            </w:r>
          </w:p>
        </w:tc>
      </w:tr>
      <w:tr w14:paraId="16F6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517" w:type="dxa"/>
            <w:vMerge w:val="restart"/>
            <w:tcBorders>
              <w:top w:val="single" w:color="auto" w:sz="4" w:space="0"/>
              <w:left w:val="single" w:color="auto" w:sz="4" w:space="0"/>
              <w:bottom w:val="single" w:color="auto" w:sz="4" w:space="0"/>
              <w:right w:val="single" w:color="auto" w:sz="4" w:space="0"/>
            </w:tcBorders>
            <w:noWrap w:val="0"/>
            <w:vAlign w:val="top"/>
          </w:tcPr>
          <w:p w14:paraId="22E146F0">
            <w:pPr>
              <w:rPr>
                <w:color w:val="000000"/>
                <w:highlight w:val="none"/>
              </w:rPr>
            </w:pPr>
            <w:r>
              <w:rPr>
                <w:rFonts w:hint="eastAsia"/>
                <w:color w:val="000000"/>
                <w:highlight w:val="none"/>
              </w:rPr>
              <w:t>2</w:t>
            </w:r>
          </w:p>
        </w:tc>
        <w:tc>
          <w:tcPr>
            <w:tcW w:w="1777" w:type="dxa"/>
            <w:vMerge w:val="restart"/>
            <w:tcBorders>
              <w:top w:val="single" w:color="auto" w:sz="4" w:space="0"/>
              <w:left w:val="single" w:color="auto" w:sz="4" w:space="0"/>
              <w:bottom w:val="single" w:color="auto" w:sz="4" w:space="0"/>
              <w:right w:val="single" w:color="auto" w:sz="4" w:space="0"/>
            </w:tcBorders>
            <w:noWrap w:val="0"/>
            <w:vAlign w:val="top"/>
          </w:tcPr>
          <w:p w14:paraId="08A496CC">
            <w:pPr>
              <w:rPr>
                <w:color w:val="000000"/>
                <w:highlight w:val="none"/>
              </w:rPr>
            </w:pPr>
            <w:r>
              <w:rPr>
                <w:rFonts w:hint="eastAsia"/>
                <w:color w:val="000000"/>
                <w:highlight w:val="none"/>
              </w:rPr>
              <w:t>办公用房区域 保洁</w:t>
            </w:r>
          </w:p>
        </w:tc>
        <w:tc>
          <w:tcPr>
            <w:tcW w:w="5986" w:type="dxa"/>
            <w:tcBorders>
              <w:top w:val="single" w:color="auto" w:sz="4" w:space="0"/>
              <w:left w:val="single" w:color="auto" w:sz="4" w:space="0"/>
              <w:bottom w:val="single" w:color="auto" w:sz="4" w:space="0"/>
              <w:right w:val="single" w:color="auto" w:sz="4" w:space="0"/>
            </w:tcBorders>
            <w:noWrap w:val="0"/>
            <w:vAlign w:val="top"/>
          </w:tcPr>
          <w:p w14:paraId="0548F291">
            <w:pPr>
              <w:rPr>
                <w:color w:val="000000"/>
                <w:highlight w:val="none"/>
              </w:rPr>
            </w:pPr>
            <w:r>
              <w:rPr>
                <w:rFonts w:hint="eastAsia"/>
                <w:color w:val="000000"/>
                <w:highlight w:val="none"/>
              </w:rPr>
              <w:t xml:space="preserve">（1）大厅、楼内公共通道： ①公共通道保持干净，无异味、无杂物、无积水，每日至少开展 </w:t>
            </w:r>
            <w:r>
              <w:rPr>
                <w:rFonts w:hint="eastAsia"/>
                <w:color w:val="000000"/>
                <w:highlight w:val="none"/>
                <w:lang w:val="en-US" w:eastAsia="zh-CN"/>
              </w:rPr>
              <w:t>2</w:t>
            </w:r>
            <w:r>
              <w:rPr>
                <w:rFonts w:hint="eastAsia"/>
                <w:color w:val="000000"/>
                <w:highlight w:val="none"/>
              </w:rPr>
              <w:t xml:space="preserve"> 次清洁作业。 ②门窗玻璃干净无尘，透光性好，每周至少开展 1 次清洁作业。 ③指示牌干净，无污渍，每日至少开展1次清洁作业。</w:t>
            </w:r>
          </w:p>
        </w:tc>
      </w:tr>
      <w:tr w14:paraId="4ECE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1949E9AA">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40925B61">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2BA0A915">
            <w:pPr>
              <w:rPr>
                <w:color w:val="000000"/>
                <w:highlight w:val="none"/>
              </w:rPr>
            </w:pPr>
            <w:r>
              <w:rPr>
                <w:rFonts w:hint="eastAsia"/>
                <w:color w:val="000000"/>
                <w:highlight w:val="none"/>
              </w:rPr>
              <w:t>（2）电器、消防等设施设备： ①配电箱、设备机房、会议室音视频设备、消防栓及开关插座等保持表面干净，无尘无污 迹，每月至少开展1次清洁作业。 ②监控摄像头、门禁系统等表面光亮，无尘、无斑点，每月至少开展1次清洁作业。</w:t>
            </w:r>
          </w:p>
        </w:tc>
      </w:tr>
      <w:tr w14:paraId="35F0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14DD100A">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7391217E">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020CFDA0">
            <w:pPr>
              <w:rPr>
                <w:color w:val="000000"/>
                <w:highlight w:val="none"/>
              </w:rPr>
            </w:pPr>
            <w:r>
              <w:rPr>
                <w:rFonts w:hint="eastAsia"/>
                <w:color w:val="000000"/>
                <w:highlight w:val="none"/>
              </w:rPr>
              <w:t xml:space="preserve">（3）楼梯及楼梯间保持干净、无异味、无杂物、无积水，每日至少开展 </w:t>
            </w:r>
            <w:r>
              <w:rPr>
                <w:rFonts w:hint="eastAsia"/>
                <w:color w:val="000000"/>
                <w:highlight w:val="none"/>
                <w:lang w:val="en-US" w:eastAsia="zh-CN"/>
              </w:rPr>
              <w:t>2</w:t>
            </w:r>
            <w:r>
              <w:rPr>
                <w:rFonts w:hint="eastAsia"/>
                <w:color w:val="000000"/>
                <w:highlight w:val="none"/>
              </w:rPr>
              <w:t xml:space="preserve"> 次清洁作业。</w:t>
            </w:r>
          </w:p>
        </w:tc>
      </w:tr>
      <w:tr w14:paraId="6541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448AF072">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5DD7BAF8">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213F76EC">
            <w:pPr>
              <w:rPr>
                <w:color w:val="000000"/>
                <w:highlight w:val="none"/>
              </w:rPr>
            </w:pPr>
            <w:r>
              <w:rPr>
                <w:rFonts w:hint="eastAsia"/>
                <w:color w:val="000000"/>
                <w:highlight w:val="none"/>
              </w:rPr>
              <w:t xml:space="preserve">（4）开水间保持干净、无异味、无杂物、无 积水，每日至少开展 </w:t>
            </w:r>
            <w:r>
              <w:rPr>
                <w:rFonts w:hint="eastAsia"/>
                <w:color w:val="000000"/>
                <w:highlight w:val="none"/>
                <w:lang w:val="en-US" w:eastAsia="zh-CN"/>
              </w:rPr>
              <w:t>2</w:t>
            </w:r>
            <w:r>
              <w:rPr>
                <w:rFonts w:hint="eastAsia"/>
                <w:color w:val="000000"/>
                <w:highlight w:val="none"/>
              </w:rPr>
              <w:t xml:space="preserve"> 次清洁作业。</w:t>
            </w:r>
          </w:p>
        </w:tc>
      </w:tr>
      <w:tr w14:paraId="215F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311A151A">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73FFE711">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190631F5">
            <w:pPr>
              <w:rPr>
                <w:color w:val="000000"/>
                <w:highlight w:val="none"/>
              </w:rPr>
            </w:pPr>
            <w:r>
              <w:rPr>
                <w:rFonts w:hint="eastAsia"/>
                <w:color w:val="000000"/>
                <w:highlight w:val="none"/>
              </w:rPr>
              <w:t>（5）作业工具间： ①保持干净，无异味、无杂物、无积水，每 日至少开展 1 次清洁作业。 ②作业工具摆放整齐有序，表面干净无渍， 每日消毒。</w:t>
            </w:r>
          </w:p>
        </w:tc>
      </w:tr>
      <w:tr w14:paraId="7D05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2BB95C69">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465F6B5D">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1B7CAEAA">
            <w:pPr>
              <w:rPr>
                <w:color w:val="000000"/>
                <w:highlight w:val="none"/>
              </w:rPr>
            </w:pPr>
            <w:r>
              <w:rPr>
                <w:rFonts w:hint="eastAsia"/>
                <w:color w:val="000000"/>
                <w:highlight w:val="none"/>
              </w:rPr>
              <w:t>（6）公共卫生间： ①保持干净，无异味，垃圾无溢出，每日至少开展</w:t>
            </w:r>
            <w:r>
              <w:rPr>
                <w:rFonts w:hint="eastAsia"/>
                <w:color w:val="000000"/>
                <w:highlight w:val="none"/>
                <w:lang w:val="en-US" w:eastAsia="zh-CN"/>
              </w:rPr>
              <w:t>2</w:t>
            </w:r>
            <w:r>
              <w:rPr>
                <w:rFonts w:hint="eastAsia"/>
                <w:color w:val="000000"/>
                <w:highlight w:val="none"/>
              </w:rPr>
              <w:t>次清洁作业。 ②及时补充厕纸等必要用品。</w:t>
            </w:r>
          </w:p>
        </w:tc>
      </w:tr>
      <w:tr w14:paraId="1DDB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33D91A55">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07D1A5F6">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27DD1567">
            <w:pPr>
              <w:rPr>
                <w:color w:val="000000"/>
                <w:highlight w:val="none"/>
              </w:rPr>
            </w:pPr>
            <w:r>
              <w:rPr>
                <w:rFonts w:hint="eastAsia"/>
                <w:color w:val="000000"/>
                <w:highlight w:val="none"/>
              </w:rPr>
              <w:t>（7）电梯轿厢： ①保持干净，无污渍、无粘贴物、无异味， 每日至少开展</w:t>
            </w:r>
            <w:r>
              <w:rPr>
                <w:rFonts w:hint="eastAsia"/>
                <w:color w:val="000000"/>
                <w:highlight w:val="none"/>
                <w:lang w:val="en-US" w:eastAsia="zh-CN"/>
              </w:rPr>
              <w:t>2</w:t>
            </w:r>
            <w:r>
              <w:rPr>
                <w:rFonts w:hint="eastAsia"/>
                <w:color w:val="000000"/>
                <w:highlight w:val="none"/>
              </w:rPr>
              <w:t>次清洁作业。 ②灯具、操作指示板明亮。</w:t>
            </w:r>
            <w:r>
              <w:rPr>
                <w:rFonts w:ascii="Calibri" w:hAnsi="Calibri" w:cs="Calibri"/>
                <w:color w:val="000000"/>
                <w:highlight w:val="none"/>
              </w:rPr>
              <w:t>③</w:t>
            </w:r>
            <w:r>
              <w:rPr>
                <w:rFonts w:hint="eastAsia"/>
                <w:color w:val="000000"/>
                <w:highlight w:val="none"/>
              </w:rPr>
              <w:t>地毯干净、无油渍、无污渍、无褪色， 每</w:t>
            </w:r>
            <w:r>
              <w:rPr>
                <w:rFonts w:hint="eastAsia"/>
                <w:color w:val="000000"/>
                <w:highlight w:val="none"/>
                <w:lang w:eastAsia="zh-CN"/>
              </w:rPr>
              <w:t>日一换</w:t>
            </w:r>
            <w:r>
              <w:rPr>
                <w:rFonts w:hint="eastAsia"/>
                <w:color w:val="000000"/>
                <w:highlight w:val="none"/>
              </w:rPr>
              <w:t>。</w:t>
            </w:r>
          </w:p>
        </w:tc>
      </w:tr>
      <w:tr w14:paraId="23EB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7A106F12">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750FE84C">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0F7CDDA5">
            <w:pPr>
              <w:rPr>
                <w:color w:val="000000"/>
                <w:highlight w:val="none"/>
              </w:rPr>
            </w:pPr>
            <w:r>
              <w:rPr>
                <w:rFonts w:hint="eastAsia"/>
                <w:color w:val="000000"/>
                <w:highlight w:val="none"/>
              </w:rPr>
              <w:t>（8）平台、屋顶、天沟保持干净，有杂物及时清扫，每月至少开展 1 次清洁作业。</w:t>
            </w:r>
          </w:p>
        </w:tc>
      </w:tr>
      <w:tr w14:paraId="7828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7C1682F9">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6072AB23">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34689585">
            <w:pPr>
              <w:rPr>
                <w:color w:val="000000"/>
                <w:highlight w:val="none"/>
              </w:rPr>
            </w:pPr>
            <w:r>
              <w:rPr>
                <w:rFonts w:hint="eastAsia"/>
                <w:color w:val="000000"/>
                <w:highlight w:val="none"/>
              </w:rPr>
              <w:t>（9）地面、内墙做好养护工作，每</w:t>
            </w:r>
            <w:r>
              <w:rPr>
                <w:rFonts w:hint="eastAsia"/>
                <w:color w:val="000000"/>
                <w:highlight w:val="none"/>
                <w:lang w:eastAsia="zh-CN"/>
              </w:rPr>
              <w:t>月</w:t>
            </w:r>
            <w:r>
              <w:rPr>
                <w:rFonts w:hint="eastAsia"/>
                <w:color w:val="000000"/>
                <w:highlight w:val="none"/>
              </w:rPr>
              <w:t>度开展 1 次清洁作业。</w:t>
            </w:r>
          </w:p>
        </w:tc>
      </w:tr>
      <w:tr w14:paraId="7EE1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517" w:type="dxa"/>
            <w:vMerge w:val="restart"/>
            <w:tcBorders>
              <w:top w:val="single" w:color="auto" w:sz="4" w:space="0"/>
              <w:left w:val="single" w:color="auto" w:sz="4" w:space="0"/>
              <w:bottom w:val="single" w:color="auto" w:sz="4" w:space="0"/>
              <w:right w:val="single" w:color="auto" w:sz="4" w:space="0"/>
            </w:tcBorders>
            <w:noWrap w:val="0"/>
            <w:vAlign w:val="top"/>
          </w:tcPr>
          <w:p w14:paraId="39E77C7C">
            <w:pPr>
              <w:rPr>
                <w:color w:val="000000"/>
                <w:highlight w:val="none"/>
              </w:rPr>
            </w:pPr>
            <w:r>
              <w:rPr>
                <w:rFonts w:hint="eastAsia"/>
                <w:color w:val="000000"/>
                <w:highlight w:val="none"/>
              </w:rPr>
              <w:t>3</w:t>
            </w:r>
          </w:p>
        </w:tc>
        <w:tc>
          <w:tcPr>
            <w:tcW w:w="1777" w:type="dxa"/>
            <w:vMerge w:val="restart"/>
            <w:tcBorders>
              <w:top w:val="single" w:color="auto" w:sz="4" w:space="0"/>
              <w:left w:val="single" w:color="auto" w:sz="4" w:space="0"/>
              <w:bottom w:val="single" w:color="auto" w:sz="4" w:space="0"/>
              <w:right w:val="single" w:color="auto" w:sz="4" w:space="0"/>
            </w:tcBorders>
            <w:noWrap w:val="0"/>
            <w:vAlign w:val="top"/>
          </w:tcPr>
          <w:p w14:paraId="08979CEE">
            <w:pPr>
              <w:rPr>
                <w:color w:val="000000"/>
                <w:highlight w:val="none"/>
              </w:rPr>
            </w:pPr>
            <w:r>
              <w:rPr>
                <w:rFonts w:hint="eastAsia"/>
                <w:color w:val="000000"/>
                <w:highlight w:val="none"/>
              </w:rPr>
              <w:t>公共场地区域 保洁</w:t>
            </w:r>
          </w:p>
        </w:tc>
        <w:tc>
          <w:tcPr>
            <w:tcW w:w="5986" w:type="dxa"/>
            <w:tcBorders>
              <w:top w:val="single" w:color="auto" w:sz="4" w:space="0"/>
              <w:left w:val="single" w:color="auto" w:sz="4" w:space="0"/>
              <w:bottom w:val="single" w:color="auto" w:sz="4" w:space="0"/>
              <w:right w:val="single" w:color="auto" w:sz="4" w:space="0"/>
            </w:tcBorders>
            <w:noWrap w:val="0"/>
            <w:vAlign w:val="top"/>
          </w:tcPr>
          <w:p w14:paraId="3E8ED6A0">
            <w:pPr>
              <w:rPr>
                <w:color w:val="000000"/>
                <w:highlight w:val="none"/>
              </w:rPr>
            </w:pPr>
            <w:r>
              <w:rPr>
                <w:rFonts w:hint="eastAsia"/>
                <w:color w:val="000000"/>
                <w:highlight w:val="none"/>
              </w:rPr>
              <w:t>（1）每日清扫道路地面、停车场等公共区域 2 次，保持干净、无杂物、无积水。</w:t>
            </w:r>
          </w:p>
        </w:tc>
      </w:tr>
      <w:tr w14:paraId="2BA0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7A543BEE">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3C7C3449">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0AFE753B">
            <w:pPr>
              <w:rPr>
                <w:color w:val="000000"/>
                <w:highlight w:val="none"/>
              </w:rPr>
            </w:pPr>
            <w:r>
              <w:rPr>
                <w:rFonts w:hint="eastAsia"/>
                <w:color w:val="000000"/>
                <w:highlight w:val="none"/>
              </w:rPr>
              <w:t>（2）强降雨、强风、冰雹等恶劣天气时及时清扫积水、 树叶，并采取安全防护措施。</w:t>
            </w:r>
          </w:p>
        </w:tc>
      </w:tr>
      <w:tr w14:paraId="4A7B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091D9B85">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54A17062">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027BEF33">
            <w:pPr>
              <w:rPr>
                <w:color w:val="000000"/>
                <w:highlight w:val="none"/>
              </w:rPr>
            </w:pPr>
            <w:r>
              <w:rPr>
                <w:rFonts w:hint="eastAsia"/>
                <w:color w:val="000000"/>
                <w:highlight w:val="none"/>
              </w:rPr>
              <w:t>（3）各种路标、宣传栏等保持干净，每月至少开展1次清洁作业。</w:t>
            </w:r>
          </w:p>
        </w:tc>
      </w:tr>
      <w:tr w14:paraId="4E4F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292D232E">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69FB47EB">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63C6E263">
            <w:pPr>
              <w:rPr>
                <w:color w:val="000000"/>
                <w:highlight w:val="none"/>
              </w:rPr>
            </w:pPr>
            <w:r>
              <w:rPr>
                <w:rFonts w:hint="eastAsia"/>
                <w:color w:val="000000"/>
                <w:highlight w:val="none"/>
              </w:rPr>
              <w:t>（4）清洁室外照明设备，每月至少开展1次清洁作业。</w:t>
            </w:r>
          </w:p>
        </w:tc>
      </w:tr>
      <w:tr w14:paraId="7D6F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3EBF9CE9">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6F0E8BD1">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298B0AE6">
            <w:pPr>
              <w:rPr>
                <w:color w:val="000000"/>
                <w:highlight w:val="none"/>
              </w:rPr>
            </w:pPr>
            <w:r>
              <w:rPr>
                <w:rFonts w:hint="eastAsia"/>
                <w:color w:val="000000"/>
                <w:highlight w:val="none"/>
              </w:rPr>
              <w:t>（5）绿地内无杂物、无改变用途和破坏、践 踏、占用现象，每天至少开展1次巡查。</w:t>
            </w:r>
          </w:p>
        </w:tc>
      </w:tr>
      <w:tr w14:paraId="2371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4DE75142">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612DC4C9">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269E12BF">
            <w:pPr>
              <w:rPr>
                <w:rFonts w:hint="eastAsia"/>
                <w:color w:val="000000"/>
                <w:highlight w:val="none"/>
              </w:rPr>
            </w:pPr>
            <w:r>
              <w:rPr>
                <w:rFonts w:hint="eastAsia"/>
                <w:color w:val="000000"/>
                <w:highlight w:val="none"/>
              </w:rPr>
              <w:t>（6）办公区外立面定期清洗2米以上外窗玻璃擦拭，每年至少开展1次清洗。</w:t>
            </w:r>
          </w:p>
        </w:tc>
      </w:tr>
      <w:tr w14:paraId="7AD7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65FD941F">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0A732D7F">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1077AF0E">
            <w:pPr>
              <w:rPr>
                <w:rFonts w:hint="eastAsia"/>
                <w:color w:val="000000"/>
                <w:highlight w:val="none"/>
              </w:rPr>
            </w:pPr>
            <w:r>
              <w:rPr>
                <w:rFonts w:hint="eastAsia"/>
                <w:color w:val="000000"/>
                <w:highlight w:val="none"/>
              </w:rPr>
              <w:t>（</w:t>
            </w:r>
            <w:r>
              <w:rPr>
                <w:rFonts w:hint="eastAsia"/>
                <w:color w:val="000000"/>
                <w:highlight w:val="none"/>
                <w:lang w:val="en-US" w:eastAsia="zh-CN"/>
              </w:rPr>
              <w:t>7</w:t>
            </w:r>
            <w:r>
              <w:rPr>
                <w:rFonts w:hint="eastAsia"/>
                <w:color w:val="000000"/>
                <w:highlight w:val="none"/>
              </w:rPr>
              <w:t>）车库地板、室内外楼梯、不锈钢扶手：每日清洁一次，无积灰、污迹、垃圾。</w:t>
            </w:r>
          </w:p>
        </w:tc>
      </w:tr>
      <w:tr w14:paraId="508F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53DE31C0">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69D60FEC">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2CA8B01E">
            <w:pPr>
              <w:rPr>
                <w:rFonts w:hint="eastAsia"/>
                <w:color w:val="000000"/>
                <w:highlight w:val="none"/>
              </w:rPr>
            </w:pPr>
            <w:r>
              <w:rPr>
                <w:rFonts w:hint="eastAsia"/>
                <w:color w:val="000000"/>
                <w:highlight w:val="none"/>
              </w:rPr>
              <w:t>（</w:t>
            </w:r>
            <w:r>
              <w:rPr>
                <w:rFonts w:hint="eastAsia"/>
                <w:color w:val="000000"/>
                <w:highlight w:val="none"/>
                <w:lang w:val="en-US" w:eastAsia="zh-CN"/>
              </w:rPr>
              <w:t>8</w:t>
            </w:r>
            <w:r>
              <w:rPr>
                <w:rFonts w:hint="eastAsia"/>
                <w:color w:val="000000"/>
                <w:highlight w:val="none"/>
              </w:rPr>
              <w:t>）可上去的屋顶和雨水沟不定期清扫，要求无积水、无垃圾。</w:t>
            </w:r>
          </w:p>
        </w:tc>
      </w:tr>
      <w:tr w14:paraId="37E7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517" w:type="dxa"/>
            <w:vMerge w:val="restart"/>
            <w:tcBorders>
              <w:top w:val="single" w:color="auto" w:sz="4" w:space="0"/>
              <w:left w:val="single" w:color="auto" w:sz="4" w:space="0"/>
              <w:bottom w:val="single" w:color="auto" w:sz="4" w:space="0"/>
              <w:right w:val="single" w:color="auto" w:sz="4" w:space="0"/>
            </w:tcBorders>
            <w:noWrap w:val="0"/>
            <w:vAlign w:val="top"/>
          </w:tcPr>
          <w:p w14:paraId="2405E51D">
            <w:pPr>
              <w:rPr>
                <w:color w:val="000000"/>
                <w:highlight w:val="none"/>
              </w:rPr>
            </w:pPr>
            <w:r>
              <w:rPr>
                <w:rFonts w:hint="eastAsia"/>
                <w:color w:val="000000"/>
                <w:highlight w:val="none"/>
              </w:rPr>
              <w:t>4</w:t>
            </w:r>
          </w:p>
        </w:tc>
        <w:tc>
          <w:tcPr>
            <w:tcW w:w="1777" w:type="dxa"/>
            <w:vMerge w:val="restart"/>
            <w:tcBorders>
              <w:top w:val="single" w:color="auto" w:sz="4" w:space="0"/>
              <w:left w:val="single" w:color="auto" w:sz="4" w:space="0"/>
              <w:bottom w:val="single" w:color="auto" w:sz="4" w:space="0"/>
              <w:right w:val="single" w:color="auto" w:sz="4" w:space="0"/>
            </w:tcBorders>
            <w:noWrap w:val="0"/>
            <w:vAlign w:val="top"/>
          </w:tcPr>
          <w:p w14:paraId="5021BB6A">
            <w:pPr>
              <w:rPr>
                <w:color w:val="000000"/>
                <w:highlight w:val="none"/>
              </w:rPr>
            </w:pPr>
            <w:r>
              <w:rPr>
                <w:rFonts w:hint="eastAsia"/>
                <w:color w:val="000000"/>
                <w:highlight w:val="none"/>
              </w:rPr>
              <w:t>垃圾处理</w:t>
            </w:r>
          </w:p>
        </w:tc>
        <w:tc>
          <w:tcPr>
            <w:tcW w:w="5986" w:type="dxa"/>
            <w:tcBorders>
              <w:top w:val="single" w:color="auto" w:sz="4" w:space="0"/>
              <w:left w:val="single" w:color="auto" w:sz="4" w:space="0"/>
              <w:bottom w:val="single" w:color="auto" w:sz="4" w:space="0"/>
              <w:right w:val="single" w:color="auto" w:sz="4" w:space="0"/>
            </w:tcBorders>
            <w:noWrap w:val="0"/>
            <w:vAlign w:val="top"/>
          </w:tcPr>
          <w:p w14:paraId="2C475828">
            <w:pPr>
              <w:rPr>
                <w:rFonts w:hint="eastAsia"/>
                <w:color w:val="000000"/>
                <w:highlight w:val="none"/>
              </w:rPr>
            </w:pPr>
            <w:r>
              <w:rPr>
                <w:rFonts w:hint="eastAsia"/>
                <w:color w:val="000000"/>
                <w:highlight w:val="none"/>
              </w:rPr>
              <w:t>（1）在指定位置摆放分类垃圾桶，并在</w:t>
            </w:r>
            <w:r>
              <w:rPr>
                <w:rFonts w:hint="eastAsia"/>
                <w:color w:val="000000"/>
              </w:rPr>
              <w:t>显著</w:t>
            </w:r>
            <w:r>
              <w:rPr>
                <w:rFonts w:hint="eastAsia"/>
                <w:color w:val="000000"/>
                <w:highlight w:val="none"/>
              </w:rPr>
              <w:t>处张贴垃圾分类标识。分类垃圾桶和垃圾分类 标识根据所在城市的要求设置。</w:t>
            </w:r>
          </w:p>
        </w:tc>
      </w:tr>
      <w:tr w14:paraId="6E9D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1B01823B">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2C8756CA">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0C3E5FAE">
            <w:pPr>
              <w:rPr>
                <w:color w:val="000000"/>
                <w:highlight w:val="none"/>
              </w:rPr>
            </w:pPr>
            <w:r>
              <w:rPr>
                <w:rFonts w:hint="eastAsia"/>
                <w:color w:val="000000"/>
                <w:highlight w:val="none"/>
              </w:rPr>
              <w:t>（2）桶身表面干净无污渍，每日开展至少1次清洁作业。</w:t>
            </w:r>
          </w:p>
        </w:tc>
      </w:tr>
      <w:tr w14:paraId="58CD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448FAD08">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56E56DFA">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14BB1BEF">
            <w:pPr>
              <w:rPr>
                <w:color w:val="000000"/>
                <w:highlight w:val="none"/>
              </w:rPr>
            </w:pPr>
            <w:r>
              <w:rPr>
                <w:rFonts w:hint="eastAsia"/>
                <w:color w:val="000000"/>
                <w:highlight w:val="none"/>
              </w:rPr>
              <w:t>（3）垃圾中转房保持整洁，无明显异味，每日至少开展1次清洁作业。</w:t>
            </w:r>
          </w:p>
        </w:tc>
      </w:tr>
      <w:tr w14:paraId="1E0C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59ADB393">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14242A6D">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3A9F6FF9">
            <w:pPr>
              <w:rPr>
                <w:color w:val="000000"/>
                <w:highlight w:val="none"/>
              </w:rPr>
            </w:pPr>
            <w:r>
              <w:rPr>
                <w:rFonts w:hint="eastAsia"/>
                <w:color w:val="000000"/>
                <w:highlight w:val="none"/>
              </w:rPr>
              <w:t>（4）化粪池清掏，无明显异味，每半年至少开展1次清洁作业。</w:t>
            </w:r>
          </w:p>
        </w:tc>
      </w:tr>
      <w:tr w14:paraId="536B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4CA219B7">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636B33AF">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28EADD24">
            <w:pPr>
              <w:rPr>
                <w:color w:val="000000"/>
                <w:highlight w:val="none"/>
              </w:rPr>
            </w:pPr>
            <w:r>
              <w:rPr>
                <w:rFonts w:hint="eastAsia"/>
                <w:color w:val="000000"/>
                <w:highlight w:val="none"/>
              </w:rPr>
              <w:t>（5）每个工作日内要对楼层产生的垃圾，进行清理分类，并运至垃圾集中堆放点。</w:t>
            </w:r>
          </w:p>
        </w:tc>
      </w:tr>
      <w:tr w14:paraId="7091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041E7DE6">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0F660912">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666BD1DB">
            <w:pPr>
              <w:rPr>
                <w:color w:val="000000"/>
                <w:highlight w:val="none"/>
              </w:rPr>
            </w:pPr>
            <w:r>
              <w:rPr>
                <w:rFonts w:hint="eastAsia"/>
                <w:color w:val="000000"/>
                <w:highlight w:val="none"/>
              </w:rPr>
              <w:t>（6）垃圾装袋，日产日清。</w:t>
            </w:r>
          </w:p>
        </w:tc>
      </w:tr>
      <w:tr w14:paraId="513F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5039235B">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24C83F3F">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47B7F31D">
            <w:pPr>
              <w:rPr>
                <w:color w:val="000000"/>
                <w:highlight w:val="none"/>
              </w:rPr>
            </w:pPr>
            <w:r>
              <w:rPr>
                <w:rFonts w:hint="eastAsia"/>
                <w:color w:val="000000"/>
                <w:highlight w:val="none"/>
              </w:rPr>
              <w:t>（7）建立垃圾清运台账，交由规范的渠道回收处理</w:t>
            </w:r>
          </w:p>
        </w:tc>
      </w:tr>
      <w:tr w14:paraId="5360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7546AE55">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069669BB">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01BBC86D">
            <w:pPr>
              <w:rPr>
                <w:color w:val="000000"/>
                <w:highlight w:val="none"/>
              </w:rPr>
            </w:pPr>
            <w:r>
              <w:rPr>
                <w:rFonts w:hint="eastAsia"/>
                <w:color w:val="000000"/>
                <w:highlight w:val="none"/>
              </w:rPr>
              <w:t>（8）做好垃圾分类管理的宣传工作，督促并引导全员参与垃圾分类投放。</w:t>
            </w:r>
          </w:p>
        </w:tc>
      </w:tr>
      <w:tr w14:paraId="430A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411D7A13">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2DF67183">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2AA429B3">
            <w:pPr>
              <w:rPr>
                <w:rFonts w:hint="eastAsia"/>
                <w:color w:val="000000"/>
                <w:highlight w:val="none"/>
              </w:rPr>
            </w:pPr>
            <w:r>
              <w:rPr>
                <w:rFonts w:hint="eastAsia"/>
                <w:color w:val="000000"/>
                <w:highlight w:val="none"/>
              </w:rPr>
              <w:t>（9）垃圾分类投放管理工作的执行标准，按所在城市的要求执行。</w:t>
            </w:r>
          </w:p>
        </w:tc>
      </w:tr>
      <w:tr w14:paraId="0164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7A9E220B">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42D91AD5">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65E73F24">
            <w:pPr>
              <w:rPr>
                <w:rFonts w:eastAsia="宋体"/>
                <w:color w:val="000000"/>
                <w:highlight w:val="none"/>
                <w:lang w:val="en-US" w:eastAsia="zh-CN"/>
              </w:rPr>
            </w:pPr>
            <w:r>
              <w:rPr>
                <w:rFonts w:hint="eastAsia"/>
                <w:color w:val="000000"/>
                <w:highlight w:val="none"/>
              </w:rPr>
              <w:t>（</w:t>
            </w:r>
            <w:r>
              <w:rPr>
                <w:rFonts w:hint="eastAsia"/>
                <w:color w:val="000000"/>
                <w:highlight w:val="none"/>
                <w:lang w:val="en-US" w:eastAsia="zh-CN"/>
              </w:rPr>
              <w:t>10</w:t>
            </w:r>
            <w:r>
              <w:rPr>
                <w:rFonts w:hint="eastAsia"/>
                <w:color w:val="000000"/>
                <w:highlight w:val="none"/>
              </w:rPr>
              <w:t>）</w:t>
            </w:r>
            <w:r>
              <w:rPr>
                <w:rFonts w:hint="eastAsia"/>
                <w:color w:val="000000"/>
                <w:highlight w:val="none"/>
                <w:lang w:val="en-US" w:eastAsia="zh-CN"/>
              </w:rPr>
              <w:t>垃圾清运费由</w:t>
            </w:r>
            <w:r>
              <w:rPr>
                <w:rFonts w:hint="eastAsia"/>
                <w:color w:val="000000"/>
                <w:lang w:val="en-US" w:eastAsia="zh-CN"/>
              </w:rPr>
              <w:t>中标人</w:t>
            </w:r>
            <w:r>
              <w:rPr>
                <w:rFonts w:hint="eastAsia"/>
                <w:color w:val="000000"/>
                <w:highlight w:val="none"/>
                <w:lang w:val="en-US" w:eastAsia="zh-CN"/>
              </w:rPr>
              <w:t>承担。</w:t>
            </w:r>
          </w:p>
        </w:tc>
      </w:tr>
      <w:tr w14:paraId="5926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517" w:type="dxa"/>
            <w:vMerge w:val="restart"/>
            <w:tcBorders>
              <w:top w:val="single" w:color="auto" w:sz="4" w:space="0"/>
              <w:left w:val="single" w:color="auto" w:sz="4" w:space="0"/>
              <w:bottom w:val="single" w:color="auto" w:sz="4" w:space="0"/>
              <w:right w:val="single" w:color="auto" w:sz="4" w:space="0"/>
            </w:tcBorders>
            <w:noWrap w:val="0"/>
            <w:vAlign w:val="top"/>
          </w:tcPr>
          <w:p w14:paraId="156E6BD7">
            <w:pPr>
              <w:rPr>
                <w:color w:val="000000"/>
                <w:highlight w:val="none"/>
              </w:rPr>
            </w:pPr>
            <w:r>
              <w:rPr>
                <w:rFonts w:hint="eastAsia"/>
                <w:color w:val="000000"/>
                <w:highlight w:val="none"/>
              </w:rPr>
              <w:t>5</w:t>
            </w:r>
          </w:p>
        </w:tc>
        <w:tc>
          <w:tcPr>
            <w:tcW w:w="1777" w:type="dxa"/>
            <w:vMerge w:val="restart"/>
            <w:tcBorders>
              <w:top w:val="single" w:color="auto" w:sz="4" w:space="0"/>
              <w:left w:val="single" w:color="auto" w:sz="4" w:space="0"/>
              <w:bottom w:val="single" w:color="auto" w:sz="4" w:space="0"/>
              <w:right w:val="single" w:color="auto" w:sz="4" w:space="0"/>
            </w:tcBorders>
            <w:noWrap w:val="0"/>
            <w:vAlign w:val="top"/>
          </w:tcPr>
          <w:p w14:paraId="02977151">
            <w:pPr>
              <w:rPr>
                <w:color w:val="000000"/>
                <w:highlight w:val="none"/>
              </w:rPr>
            </w:pPr>
            <w:r>
              <w:rPr>
                <w:rFonts w:hint="eastAsia"/>
                <w:color w:val="000000"/>
                <w:highlight w:val="none"/>
              </w:rPr>
              <w:t>卫生消毒</w:t>
            </w:r>
          </w:p>
        </w:tc>
        <w:tc>
          <w:tcPr>
            <w:tcW w:w="5986" w:type="dxa"/>
            <w:tcBorders>
              <w:top w:val="single" w:color="auto" w:sz="4" w:space="0"/>
              <w:left w:val="single" w:color="auto" w:sz="4" w:space="0"/>
              <w:bottom w:val="single" w:color="auto" w:sz="4" w:space="0"/>
              <w:right w:val="single" w:color="auto" w:sz="4" w:space="0"/>
            </w:tcBorders>
            <w:noWrap w:val="0"/>
            <w:vAlign w:val="top"/>
          </w:tcPr>
          <w:p w14:paraId="24412507">
            <w:pPr>
              <w:rPr>
                <w:color w:val="000000"/>
                <w:highlight w:val="none"/>
              </w:rPr>
            </w:pPr>
            <w:r>
              <w:rPr>
                <w:rFonts w:hint="eastAsia"/>
                <w:color w:val="000000"/>
                <w:highlight w:val="none"/>
              </w:rPr>
              <w:t>（1）办公用房区域、公共场所区域和周围环境预防性卫生消毒，消毒后及时通风，每周至少开展1次作业。</w:t>
            </w:r>
          </w:p>
        </w:tc>
      </w:tr>
      <w:tr w14:paraId="4FF3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65A817ED">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0CF857F1">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4E8D20F4">
            <w:pPr>
              <w:rPr>
                <w:color w:val="000000"/>
                <w:highlight w:val="none"/>
              </w:rPr>
            </w:pPr>
            <w:r>
              <w:rPr>
                <w:rFonts w:hint="eastAsia"/>
                <w:color w:val="000000"/>
                <w:highlight w:val="none"/>
              </w:rPr>
              <w:t>（2）采取综合措施消灭老鼠、蟑螂，控制室内外蚊虫孳生，达到基本无蝇，每季度至少开展1次作业。</w:t>
            </w:r>
          </w:p>
        </w:tc>
      </w:tr>
      <w:tr w14:paraId="20C6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517" w:type="dxa"/>
            <w:vMerge w:val="continue"/>
            <w:tcBorders>
              <w:top w:val="single" w:color="auto" w:sz="4" w:space="0"/>
              <w:left w:val="single" w:color="auto" w:sz="4" w:space="0"/>
              <w:bottom w:val="single" w:color="auto" w:sz="4" w:space="0"/>
              <w:right w:val="single" w:color="auto" w:sz="4" w:space="0"/>
            </w:tcBorders>
            <w:noWrap w:val="0"/>
            <w:vAlign w:val="top"/>
          </w:tcPr>
          <w:p w14:paraId="449D162E">
            <w:pPr>
              <w:rPr>
                <w:color w:val="000000"/>
                <w:highlight w:val="none"/>
              </w:rPr>
            </w:pPr>
          </w:p>
        </w:tc>
        <w:tc>
          <w:tcPr>
            <w:tcW w:w="1777" w:type="dxa"/>
            <w:vMerge w:val="continue"/>
            <w:tcBorders>
              <w:top w:val="single" w:color="auto" w:sz="4" w:space="0"/>
              <w:left w:val="single" w:color="auto" w:sz="4" w:space="0"/>
              <w:bottom w:val="single" w:color="auto" w:sz="4" w:space="0"/>
              <w:right w:val="single" w:color="auto" w:sz="4" w:space="0"/>
            </w:tcBorders>
            <w:noWrap w:val="0"/>
            <w:vAlign w:val="top"/>
          </w:tcPr>
          <w:p w14:paraId="094D54A8">
            <w:pPr>
              <w:rPr>
                <w:color w:val="000000"/>
                <w:highlight w:val="none"/>
              </w:rPr>
            </w:pPr>
          </w:p>
        </w:tc>
        <w:tc>
          <w:tcPr>
            <w:tcW w:w="5986" w:type="dxa"/>
            <w:tcBorders>
              <w:top w:val="single" w:color="auto" w:sz="4" w:space="0"/>
              <w:left w:val="single" w:color="auto" w:sz="4" w:space="0"/>
              <w:bottom w:val="single" w:color="auto" w:sz="4" w:space="0"/>
              <w:right w:val="single" w:color="auto" w:sz="4" w:space="0"/>
            </w:tcBorders>
            <w:noWrap w:val="0"/>
            <w:vAlign w:val="top"/>
          </w:tcPr>
          <w:p w14:paraId="185AE43C">
            <w:pPr>
              <w:rPr>
                <w:color w:val="000000"/>
                <w:highlight w:val="none"/>
              </w:rPr>
            </w:pPr>
            <w:r>
              <w:rPr>
                <w:rFonts w:hint="eastAsia"/>
                <w:color w:val="000000"/>
                <w:highlight w:val="none"/>
              </w:rPr>
              <w:t>（3）发生公共卫生事件时，邀请专业单位开展消毒、检测等工作。</w:t>
            </w:r>
          </w:p>
        </w:tc>
      </w:tr>
      <w:tr w14:paraId="2D47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exact"/>
          <w:jc w:val="center"/>
        </w:trPr>
        <w:tc>
          <w:tcPr>
            <w:tcW w:w="1517" w:type="dxa"/>
            <w:tcBorders>
              <w:top w:val="single" w:color="auto" w:sz="4" w:space="0"/>
              <w:left w:val="single" w:color="auto" w:sz="4" w:space="0"/>
              <w:bottom w:val="single" w:color="auto" w:sz="4" w:space="0"/>
              <w:right w:val="single" w:color="auto" w:sz="4" w:space="0"/>
            </w:tcBorders>
            <w:noWrap w:val="0"/>
            <w:vAlign w:val="top"/>
          </w:tcPr>
          <w:p w14:paraId="7E92C043">
            <w:pPr>
              <w:spacing w:line="380" w:lineRule="exact"/>
              <w:rPr>
                <w:color w:val="000000"/>
                <w:highlight w:val="none"/>
              </w:rPr>
            </w:pPr>
            <w:r>
              <w:rPr>
                <w:rFonts w:hint="eastAsia"/>
                <w:color w:val="000000"/>
                <w:highlight w:val="none"/>
              </w:rPr>
              <w:t>6</w:t>
            </w:r>
          </w:p>
          <w:p w14:paraId="46EA98B5">
            <w:pPr>
              <w:spacing w:line="380" w:lineRule="exact"/>
              <w:rPr>
                <w:color w:val="000000"/>
                <w:highlight w:val="none"/>
              </w:rPr>
            </w:pPr>
          </w:p>
          <w:p w14:paraId="22B632F2">
            <w:pPr>
              <w:spacing w:line="380" w:lineRule="exact"/>
              <w:rPr>
                <w:color w:val="000000"/>
                <w:highlight w:val="none"/>
              </w:rPr>
            </w:pPr>
          </w:p>
          <w:p w14:paraId="6FD365BB">
            <w:pPr>
              <w:spacing w:line="380" w:lineRule="exact"/>
              <w:rPr>
                <w:color w:val="000000"/>
                <w:highlight w:val="none"/>
              </w:rPr>
            </w:pPr>
          </w:p>
        </w:tc>
        <w:tc>
          <w:tcPr>
            <w:tcW w:w="1777" w:type="dxa"/>
            <w:tcBorders>
              <w:top w:val="single" w:color="auto" w:sz="4" w:space="0"/>
              <w:left w:val="single" w:color="auto" w:sz="4" w:space="0"/>
              <w:bottom w:val="single" w:color="auto" w:sz="4" w:space="0"/>
              <w:right w:val="single" w:color="auto" w:sz="4" w:space="0"/>
            </w:tcBorders>
            <w:noWrap w:val="0"/>
            <w:vAlign w:val="top"/>
          </w:tcPr>
          <w:p w14:paraId="210CD2CC">
            <w:pPr>
              <w:spacing w:line="380" w:lineRule="exact"/>
              <w:rPr>
                <w:color w:val="000000"/>
                <w:highlight w:val="none"/>
              </w:rPr>
            </w:pPr>
            <w:r>
              <w:rPr>
                <w:rFonts w:hint="eastAsia"/>
                <w:color w:val="000000"/>
                <w:highlight w:val="none"/>
              </w:rPr>
              <w:t>其他要求</w:t>
            </w:r>
          </w:p>
        </w:tc>
        <w:tc>
          <w:tcPr>
            <w:tcW w:w="5986" w:type="dxa"/>
            <w:tcBorders>
              <w:top w:val="single" w:color="auto" w:sz="4" w:space="0"/>
              <w:left w:val="single" w:color="auto" w:sz="4" w:space="0"/>
              <w:bottom w:val="single" w:color="auto" w:sz="4" w:space="0"/>
              <w:right w:val="single" w:color="auto" w:sz="4" w:space="0"/>
            </w:tcBorders>
            <w:noWrap w:val="0"/>
            <w:vAlign w:val="top"/>
          </w:tcPr>
          <w:p w14:paraId="4FC94ED3">
            <w:pPr>
              <w:keepNext w:val="0"/>
              <w:keepLines w:val="0"/>
              <w:pageBreakBefore w:val="0"/>
              <w:widowControl w:val="0"/>
              <w:bidi w:val="0"/>
              <w:spacing w:line="240" w:lineRule="auto"/>
              <w:ind w:left="0" w:right="0" w:firstLine="0"/>
              <w:jc w:val="both"/>
              <w:outlineLvl w:val="9"/>
              <w:rPr>
                <w:rFonts w:ascii="宋体" w:hAnsi="宋体" w:cs="宋体"/>
                <w:color w:val="000000"/>
                <w:szCs w:val="21"/>
                <w:highlight w:val="none"/>
              </w:rPr>
            </w:pPr>
            <w:bookmarkStart w:id="222" w:name="OLE_LINK3"/>
            <w:bookmarkStart w:id="223" w:name="OLE_LINK4"/>
            <w:r>
              <w:rPr>
                <w:rFonts w:hint="eastAsia" w:ascii="宋体" w:hAnsi="宋体" w:cs="宋体"/>
                <w:color w:val="000000"/>
                <w:szCs w:val="21"/>
                <w:highlight w:val="none"/>
                <w:lang w:eastAsia="zh-CN"/>
              </w:rPr>
              <w:t>保洁员服装</w:t>
            </w:r>
            <w:r>
              <w:rPr>
                <w:rFonts w:hint="eastAsia" w:ascii="宋体" w:hAnsi="宋体" w:cs="宋体"/>
                <w:color w:val="000000"/>
                <w:szCs w:val="21"/>
                <w:highlight w:val="none"/>
              </w:rPr>
              <w:t>：每</w:t>
            </w:r>
            <w:r>
              <w:rPr>
                <w:rFonts w:hint="eastAsia" w:ascii="宋体" w:hAnsi="宋体" w:cs="宋体"/>
                <w:color w:val="000000"/>
                <w:szCs w:val="21"/>
                <w:highlight w:val="none"/>
                <w:lang w:eastAsia="zh-CN"/>
              </w:rPr>
              <w:t>人</w:t>
            </w:r>
            <w:r>
              <w:rPr>
                <w:rFonts w:hint="eastAsia" w:ascii="宋体" w:hAnsi="宋体" w:cs="宋体"/>
                <w:color w:val="000000"/>
                <w:szCs w:val="21"/>
                <w:highlight w:val="none"/>
              </w:rPr>
              <w:t>配春秋装 2 套、夏装 2 套、冬装 2 套、冬天大衣一件、防晒帽一顶、</w:t>
            </w:r>
            <w:r>
              <w:rPr>
                <w:rFonts w:hint="eastAsia" w:ascii="宋体" w:hAnsi="宋体" w:cs="宋体"/>
                <w:color w:val="000000"/>
                <w:szCs w:val="21"/>
                <w:highlight w:val="none"/>
                <w:lang w:eastAsia="zh-CN"/>
              </w:rPr>
              <w:t>工作</w:t>
            </w:r>
            <w:r>
              <w:rPr>
                <w:rFonts w:hint="eastAsia" w:ascii="宋体" w:hAnsi="宋体" w:cs="宋体"/>
                <w:color w:val="000000"/>
                <w:szCs w:val="21"/>
                <w:highlight w:val="none"/>
              </w:rPr>
              <w:t>鞋两双、水鞋一双。</w:t>
            </w:r>
          </w:p>
          <w:p w14:paraId="5476721C">
            <w:pPr>
              <w:keepNext w:val="0"/>
              <w:keepLines w:val="0"/>
              <w:pageBreakBefore w:val="0"/>
              <w:widowControl w:val="0"/>
              <w:bidi w:val="0"/>
              <w:spacing w:line="240" w:lineRule="auto"/>
              <w:ind w:left="0" w:right="0" w:firstLine="0"/>
              <w:jc w:val="both"/>
              <w:outlineLvl w:val="9"/>
              <w:rPr>
                <w:color w:val="000000"/>
                <w:highlight w:val="none"/>
              </w:rPr>
            </w:pPr>
            <w:r>
              <w:rPr>
                <w:rFonts w:hint="eastAsia" w:ascii="宋体" w:hAnsi="宋体" w:cs="宋体"/>
                <w:color w:val="000000"/>
                <w:szCs w:val="21"/>
                <w:highlight w:val="none"/>
              </w:rPr>
              <w:t>垃圾桶：公共区域一百米内放置一个，每个楼层需不少于 4 个。</w:t>
            </w:r>
            <w:bookmarkEnd w:id="218"/>
            <w:bookmarkEnd w:id="219"/>
          </w:p>
        </w:tc>
      </w:tr>
    </w:tbl>
    <w:p w14:paraId="5882624E">
      <w:pPr>
        <w:spacing w:line="380" w:lineRule="exact"/>
        <w:rPr>
          <w:color w:val="000000"/>
          <w:highlight w:val="none"/>
        </w:rPr>
      </w:pPr>
    </w:p>
    <w:p w14:paraId="276D246C">
      <w:pPr>
        <w:outlineLvl w:val="2"/>
        <w:rPr>
          <w:b/>
          <w:bCs/>
          <w:color w:val="000000"/>
          <w:highlight w:val="none"/>
        </w:rPr>
      </w:pPr>
      <w:bookmarkStart w:id="224" w:name="_Toc32684"/>
      <w:r>
        <w:rPr>
          <w:rFonts w:hint="eastAsia"/>
          <w:b/>
          <w:bCs/>
          <w:color w:val="000000"/>
          <w:highlight w:val="none"/>
        </w:rPr>
        <w:t>3.5绿化服务</w:t>
      </w:r>
      <w:bookmarkEnd w:id="220"/>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765"/>
        <w:gridCol w:w="5998"/>
      </w:tblGrid>
      <w:tr w14:paraId="757D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1" w:type="dxa"/>
            <w:tcBorders>
              <w:top w:val="single" w:color="auto" w:sz="4" w:space="0"/>
              <w:left w:val="single" w:color="auto" w:sz="4" w:space="0"/>
              <w:bottom w:val="single" w:color="auto" w:sz="4" w:space="0"/>
              <w:right w:val="single" w:color="auto" w:sz="4" w:space="0"/>
            </w:tcBorders>
            <w:noWrap w:val="0"/>
            <w:vAlign w:val="top"/>
          </w:tcPr>
          <w:p w14:paraId="3082BF94">
            <w:pPr>
              <w:rPr>
                <w:color w:val="000000"/>
                <w:highlight w:val="none"/>
              </w:rPr>
            </w:pPr>
            <w:r>
              <w:rPr>
                <w:rFonts w:hint="eastAsia"/>
                <w:color w:val="000000"/>
                <w:highlight w:val="none"/>
              </w:rPr>
              <w:t>序号</w:t>
            </w:r>
          </w:p>
        </w:tc>
        <w:tc>
          <w:tcPr>
            <w:tcW w:w="1765" w:type="dxa"/>
            <w:tcBorders>
              <w:top w:val="single" w:color="auto" w:sz="4" w:space="0"/>
              <w:left w:val="single" w:color="auto" w:sz="4" w:space="0"/>
              <w:bottom w:val="single" w:color="auto" w:sz="4" w:space="0"/>
              <w:right w:val="single" w:color="auto" w:sz="4" w:space="0"/>
            </w:tcBorders>
            <w:noWrap w:val="0"/>
            <w:vAlign w:val="top"/>
          </w:tcPr>
          <w:p w14:paraId="7F8E7AE0">
            <w:pPr>
              <w:rPr>
                <w:color w:val="000000"/>
                <w:highlight w:val="none"/>
              </w:rPr>
            </w:pPr>
            <w:r>
              <w:rPr>
                <w:rFonts w:hint="eastAsia"/>
                <w:color w:val="000000"/>
                <w:highlight w:val="none"/>
              </w:rPr>
              <w:t>服务内容</w:t>
            </w:r>
          </w:p>
        </w:tc>
        <w:tc>
          <w:tcPr>
            <w:tcW w:w="5998" w:type="dxa"/>
            <w:tcBorders>
              <w:top w:val="single" w:color="auto" w:sz="4" w:space="0"/>
              <w:left w:val="single" w:color="auto" w:sz="4" w:space="0"/>
              <w:bottom w:val="single" w:color="auto" w:sz="4" w:space="0"/>
              <w:right w:val="single" w:color="auto" w:sz="4" w:space="0"/>
            </w:tcBorders>
            <w:noWrap w:val="0"/>
            <w:vAlign w:val="top"/>
          </w:tcPr>
          <w:p w14:paraId="71E6817B">
            <w:pPr>
              <w:rPr>
                <w:color w:val="000000"/>
                <w:highlight w:val="none"/>
              </w:rPr>
            </w:pPr>
            <w:r>
              <w:rPr>
                <w:rFonts w:hint="eastAsia"/>
                <w:color w:val="000000"/>
                <w:highlight w:val="none"/>
              </w:rPr>
              <w:t>服务标准</w:t>
            </w:r>
          </w:p>
        </w:tc>
      </w:tr>
      <w:tr w14:paraId="0D21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551" w:type="dxa"/>
            <w:vMerge w:val="restart"/>
            <w:tcBorders>
              <w:top w:val="single" w:color="auto" w:sz="4" w:space="0"/>
              <w:left w:val="single" w:color="auto" w:sz="4" w:space="0"/>
              <w:bottom w:val="single" w:color="auto" w:sz="4" w:space="0"/>
              <w:right w:val="single" w:color="auto" w:sz="4" w:space="0"/>
            </w:tcBorders>
            <w:noWrap w:val="0"/>
            <w:vAlign w:val="top"/>
          </w:tcPr>
          <w:p w14:paraId="53EF9C6C">
            <w:pPr>
              <w:rPr>
                <w:color w:val="000000"/>
                <w:highlight w:val="none"/>
              </w:rPr>
            </w:pPr>
            <w:r>
              <w:rPr>
                <w:rFonts w:hint="eastAsia"/>
                <w:color w:val="000000"/>
                <w:highlight w:val="none"/>
              </w:rPr>
              <w:t>1</w:t>
            </w:r>
          </w:p>
        </w:tc>
        <w:tc>
          <w:tcPr>
            <w:tcW w:w="1765" w:type="dxa"/>
            <w:vMerge w:val="restart"/>
            <w:tcBorders>
              <w:top w:val="single" w:color="auto" w:sz="4" w:space="0"/>
              <w:left w:val="single" w:color="auto" w:sz="4" w:space="0"/>
              <w:bottom w:val="single" w:color="auto" w:sz="4" w:space="0"/>
              <w:right w:val="single" w:color="auto" w:sz="4" w:space="0"/>
            </w:tcBorders>
            <w:noWrap w:val="0"/>
            <w:vAlign w:val="top"/>
          </w:tcPr>
          <w:p w14:paraId="52E4E2D5">
            <w:pPr>
              <w:rPr>
                <w:color w:val="000000"/>
                <w:highlight w:val="none"/>
              </w:rPr>
            </w:pPr>
            <w:r>
              <w:rPr>
                <w:rFonts w:hint="eastAsia"/>
                <w:color w:val="000000"/>
                <w:highlight w:val="none"/>
              </w:rPr>
              <w:t>基本要求</w:t>
            </w:r>
          </w:p>
        </w:tc>
        <w:tc>
          <w:tcPr>
            <w:tcW w:w="5998" w:type="dxa"/>
            <w:tcBorders>
              <w:top w:val="single" w:color="auto" w:sz="4" w:space="0"/>
              <w:left w:val="single" w:color="auto" w:sz="4" w:space="0"/>
              <w:bottom w:val="single" w:color="auto" w:sz="4" w:space="0"/>
              <w:right w:val="single" w:color="auto" w:sz="4" w:space="0"/>
            </w:tcBorders>
            <w:noWrap w:val="0"/>
            <w:vAlign w:val="top"/>
          </w:tcPr>
          <w:p w14:paraId="63E840BB">
            <w:pPr>
              <w:rPr>
                <w:color w:val="000000"/>
                <w:highlight w:val="none"/>
              </w:rPr>
            </w:pPr>
            <w:r>
              <w:rPr>
                <w:rFonts w:hint="eastAsia"/>
                <w:color w:val="000000"/>
                <w:highlight w:val="none"/>
              </w:rPr>
              <w:t>（1）制定绿化服务的工作制度及工作计划，并按照执行。</w:t>
            </w:r>
          </w:p>
        </w:tc>
      </w:tr>
      <w:tr w14:paraId="322C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551" w:type="dxa"/>
            <w:vMerge w:val="continue"/>
            <w:tcBorders>
              <w:top w:val="single" w:color="auto" w:sz="4" w:space="0"/>
              <w:left w:val="single" w:color="auto" w:sz="4" w:space="0"/>
              <w:bottom w:val="single" w:color="auto" w:sz="4" w:space="0"/>
              <w:right w:val="single" w:color="auto" w:sz="4" w:space="0"/>
            </w:tcBorders>
            <w:noWrap w:val="0"/>
            <w:vAlign w:val="top"/>
          </w:tcPr>
          <w:p w14:paraId="66A23DE0">
            <w:pPr>
              <w:rPr>
                <w:color w:val="000000"/>
                <w:highlight w:val="none"/>
              </w:rPr>
            </w:pPr>
          </w:p>
        </w:tc>
        <w:tc>
          <w:tcPr>
            <w:tcW w:w="1765" w:type="dxa"/>
            <w:vMerge w:val="continue"/>
            <w:tcBorders>
              <w:top w:val="single" w:color="auto" w:sz="4" w:space="0"/>
              <w:left w:val="single" w:color="auto" w:sz="4" w:space="0"/>
              <w:bottom w:val="single" w:color="auto" w:sz="4" w:space="0"/>
              <w:right w:val="single" w:color="auto" w:sz="4" w:space="0"/>
            </w:tcBorders>
            <w:noWrap w:val="0"/>
            <w:vAlign w:val="top"/>
          </w:tcPr>
          <w:p w14:paraId="1CEF9022">
            <w:pPr>
              <w:rPr>
                <w:color w:val="000000"/>
                <w:highlight w:val="none"/>
              </w:rPr>
            </w:pPr>
          </w:p>
        </w:tc>
        <w:tc>
          <w:tcPr>
            <w:tcW w:w="5998" w:type="dxa"/>
            <w:tcBorders>
              <w:top w:val="single" w:color="auto" w:sz="4" w:space="0"/>
              <w:left w:val="single" w:color="auto" w:sz="4" w:space="0"/>
              <w:bottom w:val="single" w:color="auto" w:sz="4" w:space="0"/>
              <w:right w:val="single" w:color="auto" w:sz="4" w:space="0"/>
            </w:tcBorders>
            <w:noWrap w:val="0"/>
            <w:vAlign w:val="top"/>
          </w:tcPr>
          <w:p w14:paraId="270DB915">
            <w:pPr>
              <w:rPr>
                <w:color w:val="000000"/>
                <w:highlight w:val="none"/>
              </w:rPr>
            </w:pPr>
            <w:r>
              <w:rPr>
                <w:rFonts w:hint="eastAsia"/>
                <w:color w:val="000000"/>
                <w:highlight w:val="none"/>
              </w:rPr>
              <w:t>（2）做好绿化服务工作记录，填写规范。</w:t>
            </w:r>
          </w:p>
        </w:tc>
      </w:tr>
      <w:tr w14:paraId="4417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551" w:type="dxa"/>
            <w:vMerge w:val="continue"/>
            <w:tcBorders>
              <w:top w:val="single" w:color="auto" w:sz="4" w:space="0"/>
              <w:left w:val="single" w:color="auto" w:sz="4" w:space="0"/>
              <w:bottom w:val="single" w:color="auto" w:sz="4" w:space="0"/>
              <w:right w:val="single" w:color="auto" w:sz="4" w:space="0"/>
            </w:tcBorders>
            <w:noWrap w:val="0"/>
            <w:vAlign w:val="top"/>
          </w:tcPr>
          <w:p w14:paraId="129914A8">
            <w:pPr>
              <w:rPr>
                <w:color w:val="000000"/>
                <w:highlight w:val="none"/>
              </w:rPr>
            </w:pPr>
          </w:p>
        </w:tc>
        <w:tc>
          <w:tcPr>
            <w:tcW w:w="1765" w:type="dxa"/>
            <w:vMerge w:val="continue"/>
            <w:tcBorders>
              <w:top w:val="single" w:color="auto" w:sz="4" w:space="0"/>
              <w:left w:val="single" w:color="auto" w:sz="4" w:space="0"/>
              <w:bottom w:val="single" w:color="auto" w:sz="4" w:space="0"/>
              <w:right w:val="single" w:color="auto" w:sz="4" w:space="0"/>
            </w:tcBorders>
            <w:noWrap w:val="0"/>
            <w:vAlign w:val="top"/>
          </w:tcPr>
          <w:p w14:paraId="6E957092">
            <w:pPr>
              <w:rPr>
                <w:color w:val="000000"/>
                <w:highlight w:val="none"/>
              </w:rPr>
            </w:pPr>
          </w:p>
        </w:tc>
        <w:tc>
          <w:tcPr>
            <w:tcW w:w="5998" w:type="dxa"/>
            <w:tcBorders>
              <w:top w:val="single" w:color="auto" w:sz="4" w:space="0"/>
              <w:left w:val="single" w:color="auto" w:sz="4" w:space="0"/>
              <w:bottom w:val="single" w:color="auto" w:sz="4" w:space="0"/>
              <w:right w:val="single" w:color="auto" w:sz="4" w:space="0"/>
            </w:tcBorders>
            <w:noWrap w:val="0"/>
            <w:vAlign w:val="top"/>
          </w:tcPr>
          <w:p w14:paraId="651D6BFD">
            <w:pPr>
              <w:rPr>
                <w:color w:val="000000"/>
                <w:highlight w:val="none"/>
              </w:rPr>
            </w:pPr>
            <w:r>
              <w:rPr>
                <w:rFonts w:hint="eastAsia"/>
                <w:color w:val="000000"/>
                <w:highlight w:val="none"/>
              </w:rPr>
              <w:t>（3）作业时采取安全防护措施，防止对作业人员或他人造成伤害。</w:t>
            </w:r>
          </w:p>
        </w:tc>
      </w:tr>
      <w:tr w14:paraId="66C1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551" w:type="dxa"/>
            <w:vMerge w:val="restart"/>
            <w:tcBorders>
              <w:top w:val="single" w:color="auto" w:sz="4" w:space="0"/>
              <w:left w:val="single" w:color="auto" w:sz="4" w:space="0"/>
              <w:bottom w:val="single" w:color="auto" w:sz="4" w:space="0"/>
              <w:right w:val="single" w:color="auto" w:sz="4" w:space="0"/>
            </w:tcBorders>
            <w:noWrap w:val="0"/>
            <w:vAlign w:val="top"/>
          </w:tcPr>
          <w:p w14:paraId="4F35496C">
            <w:pPr>
              <w:rPr>
                <w:color w:val="000000"/>
                <w:highlight w:val="none"/>
              </w:rPr>
            </w:pPr>
            <w:r>
              <w:rPr>
                <w:rFonts w:hint="eastAsia"/>
                <w:color w:val="000000"/>
                <w:highlight w:val="none"/>
              </w:rPr>
              <w:t>2</w:t>
            </w:r>
          </w:p>
        </w:tc>
        <w:tc>
          <w:tcPr>
            <w:tcW w:w="1765" w:type="dxa"/>
            <w:vMerge w:val="restart"/>
            <w:tcBorders>
              <w:top w:val="single" w:color="auto" w:sz="4" w:space="0"/>
              <w:left w:val="single" w:color="auto" w:sz="4" w:space="0"/>
              <w:bottom w:val="single" w:color="auto" w:sz="4" w:space="0"/>
              <w:right w:val="single" w:color="auto" w:sz="4" w:space="0"/>
            </w:tcBorders>
            <w:noWrap w:val="0"/>
            <w:vAlign w:val="top"/>
          </w:tcPr>
          <w:p w14:paraId="14B94D32">
            <w:pPr>
              <w:rPr>
                <w:color w:val="000000"/>
                <w:highlight w:val="none"/>
              </w:rPr>
            </w:pPr>
            <w:r>
              <w:rPr>
                <w:rFonts w:hint="eastAsia"/>
                <w:color w:val="000000"/>
                <w:highlight w:val="none"/>
              </w:rPr>
              <w:t>室外绿化养护</w:t>
            </w:r>
          </w:p>
        </w:tc>
        <w:tc>
          <w:tcPr>
            <w:tcW w:w="5998" w:type="dxa"/>
            <w:tcBorders>
              <w:top w:val="single" w:color="auto" w:sz="4" w:space="0"/>
              <w:left w:val="single" w:color="auto" w:sz="4" w:space="0"/>
              <w:bottom w:val="single" w:color="auto" w:sz="4" w:space="0"/>
              <w:right w:val="single" w:color="auto" w:sz="4" w:space="0"/>
            </w:tcBorders>
            <w:noWrap w:val="0"/>
            <w:vAlign w:val="top"/>
          </w:tcPr>
          <w:p w14:paraId="7B2D209F">
            <w:pPr>
              <w:rPr>
                <w:color w:val="000000"/>
                <w:highlight w:val="none"/>
              </w:rPr>
            </w:pPr>
            <w:r>
              <w:rPr>
                <w:rFonts w:hint="eastAsia"/>
                <w:color w:val="000000"/>
                <w:highlight w:val="none"/>
              </w:rPr>
              <w:t>（1）根据生长环境、植物特性进行除草、灌 溉、施肥、整形修剪、防治病虫害等。</w:t>
            </w:r>
          </w:p>
        </w:tc>
      </w:tr>
      <w:tr w14:paraId="2B0D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551" w:type="dxa"/>
            <w:vMerge w:val="continue"/>
            <w:tcBorders>
              <w:top w:val="single" w:color="auto" w:sz="4" w:space="0"/>
              <w:left w:val="single" w:color="auto" w:sz="4" w:space="0"/>
              <w:bottom w:val="single" w:color="auto" w:sz="4" w:space="0"/>
              <w:right w:val="single" w:color="auto" w:sz="4" w:space="0"/>
            </w:tcBorders>
            <w:noWrap w:val="0"/>
            <w:vAlign w:val="top"/>
          </w:tcPr>
          <w:p w14:paraId="7299957D">
            <w:pPr>
              <w:rPr>
                <w:color w:val="000000"/>
                <w:highlight w:val="none"/>
              </w:rPr>
            </w:pPr>
          </w:p>
        </w:tc>
        <w:tc>
          <w:tcPr>
            <w:tcW w:w="1765" w:type="dxa"/>
            <w:vMerge w:val="continue"/>
            <w:tcBorders>
              <w:top w:val="single" w:color="auto" w:sz="4" w:space="0"/>
              <w:left w:val="single" w:color="auto" w:sz="4" w:space="0"/>
              <w:bottom w:val="single" w:color="auto" w:sz="4" w:space="0"/>
              <w:right w:val="single" w:color="auto" w:sz="4" w:space="0"/>
            </w:tcBorders>
            <w:noWrap w:val="0"/>
            <w:vAlign w:val="top"/>
          </w:tcPr>
          <w:p w14:paraId="322AD130">
            <w:pPr>
              <w:rPr>
                <w:color w:val="000000"/>
                <w:highlight w:val="none"/>
              </w:rPr>
            </w:pPr>
          </w:p>
        </w:tc>
        <w:tc>
          <w:tcPr>
            <w:tcW w:w="5998" w:type="dxa"/>
            <w:tcBorders>
              <w:top w:val="single" w:color="auto" w:sz="4" w:space="0"/>
              <w:left w:val="single" w:color="auto" w:sz="4" w:space="0"/>
              <w:bottom w:val="single" w:color="auto" w:sz="4" w:space="0"/>
              <w:right w:val="single" w:color="auto" w:sz="4" w:space="0"/>
            </w:tcBorders>
            <w:noWrap w:val="0"/>
            <w:vAlign w:val="top"/>
          </w:tcPr>
          <w:p w14:paraId="31EDC81B">
            <w:pPr>
              <w:rPr>
                <w:color w:val="000000"/>
                <w:highlight w:val="none"/>
              </w:rPr>
            </w:pPr>
            <w:r>
              <w:rPr>
                <w:rFonts w:hint="eastAsia"/>
                <w:color w:val="000000"/>
                <w:highlight w:val="none"/>
              </w:rPr>
              <w:t>（2）根据生长情况修剪绿地，绿地内无枯草、 无杂物，无干枯坏死和病虫侵害，基本无裸露土地。</w:t>
            </w:r>
          </w:p>
        </w:tc>
      </w:tr>
      <w:tr w14:paraId="7A33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551" w:type="dxa"/>
            <w:vMerge w:val="continue"/>
            <w:tcBorders>
              <w:top w:val="single" w:color="auto" w:sz="4" w:space="0"/>
              <w:left w:val="single" w:color="auto" w:sz="4" w:space="0"/>
              <w:bottom w:val="single" w:color="auto" w:sz="4" w:space="0"/>
              <w:right w:val="single" w:color="auto" w:sz="4" w:space="0"/>
            </w:tcBorders>
            <w:noWrap w:val="0"/>
            <w:vAlign w:val="top"/>
          </w:tcPr>
          <w:p w14:paraId="0CE1A4D3">
            <w:pPr>
              <w:rPr>
                <w:color w:val="000000"/>
                <w:highlight w:val="none"/>
              </w:rPr>
            </w:pPr>
          </w:p>
        </w:tc>
        <w:tc>
          <w:tcPr>
            <w:tcW w:w="1765" w:type="dxa"/>
            <w:vMerge w:val="continue"/>
            <w:tcBorders>
              <w:top w:val="single" w:color="auto" w:sz="4" w:space="0"/>
              <w:left w:val="single" w:color="auto" w:sz="4" w:space="0"/>
              <w:bottom w:val="single" w:color="auto" w:sz="4" w:space="0"/>
              <w:right w:val="single" w:color="auto" w:sz="4" w:space="0"/>
            </w:tcBorders>
            <w:noWrap w:val="0"/>
            <w:vAlign w:val="top"/>
          </w:tcPr>
          <w:p w14:paraId="4036B010">
            <w:pPr>
              <w:rPr>
                <w:color w:val="000000"/>
                <w:highlight w:val="none"/>
              </w:rPr>
            </w:pPr>
          </w:p>
        </w:tc>
        <w:tc>
          <w:tcPr>
            <w:tcW w:w="5998" w:type="dxa"/>
            <w:tcBorders>
              <w:top w:val="single" w:color="auto" w:sz="4" w:space="0"/>
              <w:left w:val="single" w:color="auto" w:sz="4" w:space="0"/>
              <w:bottom w:val="single" w:color="auto" w:sz="4" w:space="0"/>
              <w:right w:val="single" w:color="auto" w:sz="4" w:space="0"/>
            </w:tcBorders>
            <w:noWrap w:val="0"/>
            <w:vAlign w:val="top"/>
          </w:tcPr>
          <w:p w14:paraId="3737F9B5">
            <w:pPr>
              <w:rPr>
                <w:color w:val="000000"/>
                <w:highlight w:val="none"/>
              </w:rPr>
            </w:pPr>
            <w:r>
              <w:rPr>
                <w:rFonts w:hint="eastAsia"/>
                <w:color w:val="000000"/>
                <w:highlight w:val="none"/>
              </w:rPr>
              <w:t>（3）定期修剪树木、花卉等，灌乔木生长正常、造型美观自然、花枝新鲜，无枯叶、无病虫、无死树缺株。</w:t>
            </w:r>
          </w:p>
        </w:tc>
      </w:tr>
      <w:tr w14:paraId="4005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551" w:type="dxa"/>
            <w:vMerge w:val="continue"/>
            <w:tcBorders>
              <w:top w:val="single" w:color="auto" w:sz="4" w:space="0"/>
              <w:left w:val="single" w:color="auto" w:sz="4" w:space="0"/>
              <w:bottom w:val="single" w:color="auto" w:sz="4" w:space="0"/>
              <w:right w:val="single" w:color="auto" w:sz="4" w:space="0"/>
            </w:tcBorders>
            <w:noWrap w:val="0"/>
            <w:vAlign w:val="top"/>
          </w:tcPr>
          <w:p w14:paraId="6CEF2320">
            <w:pPr>
              <w:rPr>
                <w:color w:val="000000"/>
                <w:highlight w:val="none"/>
              </w:rPr>
            </w:pPr>
          </w:p>
        </w:tc>
        <w:tc>
          <w:tcPr>
            <w:tcW w:w="1765" w:type="dxa"/>
            <w:vMerge w:val="continue"/>
            <w:tcBorders>
              <w:top w:val="single" w:color="auto" w:sz="4" w:space="0"/>
              <w:left w:val="single" w:color="auto" w:sz="4" w:space="0"/>
              <w:bottom w:val="single" w:color="auto" w:sz="4" w:space="0"/>
              <w:right w:val="single" w:color="auto" w:sz="4" w:space="0"/>
            </w:tcBorders>
            <w:noWrap w:val="0"/>
            <w:vAlign w:val="top"/>
          </w:tcPr>
          <w:p w14:paraId="7492F469">
            <w:pPr>
              <w:rPr>
                <w:color w:val="000000"/>
                <w:highlight w:val="none"/>
              </w:rPr>
            </w:pPr>
          </w:p>
        </w:tc>
        <w:tc>
          <w:tcPr>
            <w:tcW w:w="5998" w:type="dxa"/>
            <w:tcBorders>
              <w:top w:val="single" w:color="auto" w:sz="4" w:space="0"/>
              <w:left w:val="single" w:color="auto" w:sz="4" w:space="0"/>
              <w:bottom w:val="single" w:color="auto" w:sz="4" w:space="0"/>
              <w:right w:val="single" w:color="auto" w:sz="4" w:space="0"/>
            </w:tcBorders>
            <w:noWrap w:val="0"/>
            <w:vAlign w:val="top"/>
          </w:tcPr>
          <w:p w14:paraId="0D2AD8E3">
            <w:pPr>
              <w:rPr>
                <w:color w:val="000000"/>
                <w:highlight w:val="none"/>
              </w:rPr>
            </w:pPr>
            <w:r>
              <w:rPr>
                <w:rFonts w:hint="eastAsia"/>
                <w:color w:val="000000"/>
                <w:highlight w:val="none"/>
              </w:rPr>
              <w:t>（4）绿篱生长造型正常，颜色正常，修剪及时，基本无死株和干死株，有虫株率在10%以下。</w:t>
            </w:r>
          </w:p>
        </w:tc>
      </w:tr>
      <w:tr w14:paraId="06DF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551" w:type="dxa"/>
            <w:vMerge w:val="continue"/>
            <w:tcBorders>
              <w:top w:val="single" w:color="auto" w:sz="4" w:space="0"/>
              <w:left w:val="single" w:color="auto" w:sz="4" w:space="0"/>
              <w:bottom w:val="single" w:color="auto" w:sz="4" w:space="0"/>
              <w:right w:val="single" w:color="auto" w:sz="4" w:space="0"/>
            </w:tcBorders>
            <w:noWrap w:val="0"/>
            <w:vAlign w:val="top"/>
          </w:tcPr>
          <w:p w14:paraId="4EAF564D">
            <w:pPr>
              <w:rPr>
                <w:color w:val="000000"/>
                <w:highlight w:val="none"/>
              </w:rPr>
            </w:pPr>
          </w:p>
        </w:tc>
        <w:tc>
          <w:tcPr>
            <w:tcW w:w="1765" w:type="dxa"/>
            <w:vMerge w:val="continue"/>
            <w:tcBorders>
              <w:top w:val="single" w:color="auto" w:sz="4" w:space="0"/>
              <w:left w:val="single" w:color="auto" w:sz="4" w:space="0"/>
              <w:bottom w:val="single" w:color="auto" w:sz="4" w:space="0"/>
              <w:right w:val="single" w:color="auto" w:sz="4" w:space="0"/>
            </w:tcBorders>
            <w:noWrap w:val="0"/>
            <w:vAlign w:val="top"/>
          </w:tcPr>
          <w:p w14:paraId="206664DF">
            <w:pPr>
              <w:rPr>
                <w:color w:val="000000"/>
                <w:highlight w:val="none"/>
              </w:rPr>
            </w:pPr>
          </w:p>
        </w:tc>
        <w:tc>
          <w:tcPr>
            <w:tcW w:w="5998" w:type="dxa"/>
            <w:tcBorders>
              <w:top w:val="single" w:color="auto" w:sz="4" w:space="0"/>
              <w:left w:val="single" w:color="auto" w:sz="4" w:space="0"/>
              <w:bottom w:val="single" w:color="auto" w:sz="4" w:space="0"/>
              <w:right w:val="single" w:color="auto" w:sz="4" w:space="0"/>
            </w:tcBorders>
            <w:noWrap w:val="0"/>
            <w:vAlign w:val="top"/>
          </w:tcPr>
          <w:p w14:paraId="31F49912">
            <w:pPr>
              <w:rPr>
                <w:color w:val="000000"/>
                <w:highlight w:val="none"/>
              </w:rPr>
            </w:pPr>
            <w:r>
              <w:rPr>
                <w:rFonts w:hint="eastAsia"/>
                <w:color w:val="000000"/>
                <w:highlight w:val="none"/>
              </w:rPr>
              <w:t>（5）清除花坛和花景的花蒂、黄叶、杂 草、垃圾，做好病虫害防治。</w:t>
            </w:r>
          </w:p>
        </w:tc>
      </w:tr>
      <w:tr w14:paraId="2AC3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551" w:type="dxa"/>
            <w:vMerge w:val="continue"/>
            <w:tcBorders>
              <w:top w:val="single" w:color="auto" w:sz="4" w:space="0"/>
              <w:left w:val="single" w:color="auto" w:sz="4" w:space="0"/>
              <w:bottom w:val="single" w:color="auto" w:sz="4" w:space="0"/>
              <w:right w:val="single" w:color="auto" w:sz="4" w:space="0"/>
            </w:tcBorders>
            <w:noWrap w:val="0"/>
            <w:vAlign w:val="top"/>
          </w:tcPr>
          <w:p w14:paraId="521A340D">
            <w:pPr>
              <w:rPr>
                <w:color w:val="000000"/>
                <w:highlight w:val="none"/>
              </w:rPr>
            </w:pPr>
          </w:p>
        </w:tc>
        <w:tc>
          <w:tcPr>
            <w:tcW w:w="1765" w:type="dxa"/>
            <w:vMerge w:val="continue"/>
            <w:tcBorders>
              <w:top w:val="single" w:color="auto" w:sz="4" w:space="0"/>
              <w:left w:val="single" w:color="auto" w:sz="4" w:space="0"/>
              <w:bottom w:val="single" w:color="auto" w:sz="4" w:space="0"/>
              <w:right w:val="single" w:color="auto" w:sz="4" w:space="0"/>
            </w:tcBorders>
            <w:noWrap w:val="0"/>
            <w:vAlign w:val="top"/>
          </w:tcPr>
          <w:p w14:paraId="7CDF7067">
            <w:pPr>
              <w:rPr>
                <w:color w:val="000000"/>
                <w:highlight w:val="none"/>
              </w:rPr>
            </w:pPr>
          </w:p>
        </w:tc>
        <w:tc>
          <w:tcPr>
            <w:tcW w:w="5998" w:type="dxa"/>
            <w:tcBorders>
              <w:top w:val="single" w:color="auto" w:sz="4" w:space="0"/>
              <w:left w:val="single" w:color="auto" w:sz="4" w:space="0"/>
              <w:bottom w:val="single" w:color="auto" w:sz="4" w:space="0"/>
              <w:right w:val="single" w:color="auto" w:sz="4" w:space="0"/>
            </w:tcBorders>
            <w:noWrap w:val="0"/>
            <w:vAlign w:val="top"/>
          </w:tcPr>
          <w:p w14:paraId="266709F2">
            <w:pPr>
              <w:rPr>
                <w:rFonts w:hint="eastAsia"/>
                <w:color w:val="000000"/>
                <w:highlight w:val="none"/>
              </w:rPr>
            </w:pPr>
            <w:r>
              <w:rPr>
                <w:rFonts w:hint="eastAsia"/>
                <w:color w:val="000000"/>
                <w:highlight w:val="none"/>
              </w:rPr>
              <w:t>（6）按植物品种、生长状况、土壤条件适时施肥，每年施肥 1 次，并视树木情况进行追肥 1 次。</w:t>
            </w:r>
          </w:p>
        </w:tc>
      </w:tr>
      <w:tr w14:paraId="4BA8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551" w:type="dxa"/>
            <w:vMerge w:val="continue"/>
            <w:tcBorders>
              <w:top w:val="single" w:color="auto" w:sz="4" w:space="0"/>
              <w:left w:val="single" w:color="auto" w:sz="4" w:space="0"/>
              <w:bottom w:val="single" w:color="auto" w:sz="4" w:space="0"/>
              <w:right w:val="single" w:color="auto" w:sz="4" w:space="0"/>
            </w:tcBorders>
            <w:noWrap w:val="0"/>
            <w:vAlign w:val="top"/>
          </w:tcPr>
          <w:p w14:paraId="65F4D9F6">
            <w:pPr>
              <w:rPr>
                <w:color w:val="000000"/>
                <w:highlight w:val="none"/>
              </w:rPr>
            </w:pPr>
          </w:p>
        </w:tc>
        <w:tc>
          <w:tcPr>
            <w:tcW w:w="1765" w:type="dxa"/>
            <w:vMerge w:val="continue"/>
            <w:tcBorders>
              <w:top w:val="single" w:color="auto" w:sz="4" w:space="0"/>
              <w:left w:val="single" w:color="auto" w:sz="4" w:space="0"/>
              <w:bottom w:val="single" w:color="auto" w:sz="4" w:space="0"/>
              <w:right w:val="single" w:color="auto" w:sz="4" w:space="0"/>
            </w:tcBorders>
            <w:noWrap w:val="0"/>
            <w:vAlign w:val="top"/>
          </w:tcPr>
          <w:p w14:paraId="6D3DA464">
            <w:pPr>
              <w:rPr>
                <w:color w:val="000000"/>
                <w:highlight w:val="none"/>
              </w:rPr>
            </w:pPr>
          </w:p>
        </w:tc>
        <w:tc>
          <w:tcPr>
            <w:tcW w:w="5998" w:type="dxa"/>
            <w:tcBorders>
              <w:top w:val="single" w:color="auto" w:sz="4" w:space="0"/>
              <w:left w:val="single" w:color="auto" w:sz="4" w:space="0"/>
              <w:bottom w:val="single" w:color="auto" w:sz="4" w:space="0"/>
              <w:right w:val="single" w:color="auto" w:sz="4" w:space="0"/>
            </w:tcBorders>
            <w:noWrap w:val="0"/>
            <w:vAlign w:val="top"/>
          </w:tcPr>
          <w:p w14:paraId="106607D1">
            <w:pPr>
              <w:rPr>
                <w:rFonts w:hint="eastAsia"/>
                <w:color w:val="000000"/>
                <w:highlight w:val="none"/>
              </w:rPr>
            </w:pPr>
            <w:r>
              <w:rPr>
                <w:rFonts w:hint="eastAsia"/>
                <w:color w:val="000000"/>
                <w:highlight w:val="none"/>
              </w:rPr>
              <w:t>（7）根据病虫害发生规律实施综合治理，通常在病虫率高时，以药剂杀死病虫，以确保植 物良好生长。产生垃圾的主要区域和路段做到日产日清。</w:t>
            </w:r>
          </w:p>
        </w:tc>
      </w:tr>
      <w:tr w14:paraId="2C3B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551" w:type="dxa"/>
            <w:vMerge w:val="continue"/>
            <w:tcBorders>
              <w:top w:val="single" w:color="auto" w:sz="4" w:space="0"/>
              <w:left w:val="single" w:color="auto" w:sz="4" w:space="0"/>
              <w:bottom w:val="single" w:color="auto" w:sz="4" w:space="0"/>
              <w:right w:val="single" w:color="auto" w:sz="4" w:space="0"/>
            </w:tcBorders>
            <w:noWrap w:val="0"/>
            <w:vAlign w:val="top"/>
          </w:tcPr>
          <w:p w14:paraId="50D61E5F">
            <w:pPr>
              <w:rPr>
                <w:color w:val="000000"/>
                <w:highlight w:val="none"/>
              </w:rPr>
            </w:pPr>
          </w:p>
        </w:tc>
        <w:tc>
          <w:tcPr>
            <w:tcW w:w="1765" w:type="dxa"/>
            <w:vMerge w:val="continue"/>
            <w:tcBorders>
              <w:top w:val="single" w:color="auto" w:sz="4" w:space="0"/>
              <w:left w:val="single" w:color="auto" w:sz="4" w:space="0"/>
              <w:bottom w:val="single" w:color="auto" w:sz="4" w:space="0"/>
              <w:right w:val="single" w:color="auto" w:sz="4" w:space="0"/>
            </w:tcBorders>
            <w:noWrap w:val="0"/>
            <w:vAlign w:val="top"/>
          </w:tcPr>
          <w:p w14:paraId="2745A070">
            <w:pPr>
              <w:rPr>
                <w:color w:val="000000"/>
                <w:highlight w:val="none"/>
              </w:rPr>
            </w:pPr>
          </w:p>
        </w:tc>
        <w:tc>
          <w:tcPr>
            <w:tcW w:w="5998" w:type="dxa"/>
            <w:tcBorders>
              <w:top w:val="single" w:color="auto" w:sz="4" w:space="0"/>
              <w:left w:val="single" w:color="auto" w:sz="4" w:space="0"/>
              <w:bottom w:val="single" w:color="auto" w:sz="4" w:space="0"/>
              <w:right w:val="single" w:color="auto" w:sz="4" w:space="0"/>
            </w:tcBorders>
            <w:noWrap w:val="0"/>
            <w:vAlign w:val="top"/>
          </w:tcPr>
          <w:p w14:paraId="4B7499D2">
            <w:pPr>
              <w:rPr>
                <w:rFonts w:hint="eastAsia"/>
                <w:color w:val="000000"/>
                <w:highlight w:val="none"/>
              </w:rPr>
            </w:pPr>
            <w:r>
              <w:rPr>
                <w:rFonts w:hint="eastAsia"/>
                <w:color w:val="000000"/>
                <w:highlight w:val="none"/>
              </w:rPr>
              <w:t>（8）做好绿化养护的防农药中毒、防毒虫、防红火蚊、防毒蛇等预防措施，以免伤害人员。</w:t>
            </w:r>
          </w:p>
        </w:tc>
      </w:tr>
      <w:tr w14:paraId="7140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551" w:type="dxa"/>
            <w:vMerge w:val="continue"/>
            <w:tcBorders>
              <w:top w:val="single" w:color="auto" w:sz="4" w:space="0"/>
              <w:left w:val="single" w:color="auto" w:sz="4" w:space="0"/>
              <w:bottom w:val="single" w:color="auto" w:sz="4" w:space="0"/>
              <w:right w:val="single" w:color="auto" w:sz="4" w:space="0"/>
            </w:tcBorders>
            <w:noWrap w:val="0"/>
            <w:vAlign w:val="top"/>
          </w:tcPr>
          <w:p w14:paraId="6C91C587">
            <w:pPr>
              <w:rPr>
                <w:color w:val="000000"/>
                <w:highlight w:val="none"/>
              </w:rPr>
            </w:pPr>
          </w:p>
        </w:tc>
        <w:tc>
          <w:tcPr>
            <w:tcW w:w="1765" w:type="dxa"/>
            <w:vMerge w:val="continue"/>
            <w:tcBorders>
              <w:top w:val="single" w:color="auto" w:sz="4" w:space="0"/>
              <w:left w:val="single" w:color="auto" w:sz="4" w:space="0"/>
              <w:bottom w:val="single" w:color="auto" w:sz="4" w:space="0"/>
              <w:right w:val="single" w:color="auto" w:sz="4" w:space="0"/>
            </w:tcBorders>
            <w:noWrap w:val="0"/>
            <w:vAlign w:val="top"/>
          </w:tcPr>
          <w:p w14:paraId="251B89F4">
            <w:pPr>
              <w:rPr>
                <w:color w:val="000000"/>
                <w:highlight w:val="none"/>
              </w:rPr>
            </w:pPr>
          </w:p>
        </w:tc>
        <w:tc>
          <w:tcPr>
            <w:tcW w:w="5998" w:type="dxa"/>
            <w:tcBorders>
              <w:top w:val="single" w:color="auto" w:sz="4" w:space="0"/>
              <w:left w:val="single" w:color="auto" w:sz="4" w:space="0"/>
              <w:bottom w:val="single" w:color="auto" w:sz="4" w:space="0"/>
              <w:right w:val="single" w:color="auto" w:sz="4" w:space="0"/>
            </w:tcBorders>
            <w:noWrap w:val="0"/>
            <w:vAlign w:val="top"/>
          </w:tcPr>
          <w:p w14:paraId="2207FEF4">
            <w:pPr>
              <w:rPr>
                <w:rFonts w:hint="eastAsia"/>
                <w:color w:val="000000"/>
                <w:highlight w:val="none"/>
              </w:rPr>
            </w:pPr>
            <w:r>
              <w:rPr>
                <w:rFonts w:hint="eastAsia"/>
                <w:color w:val="000000"/>
                <w:highlight w:val="none"/>
              </w:rPr>
              <w:t>（</w:t>
            </w:r>
            <w:r>
              <w:rPr>
                <w:rFonts w:hint="eastAsia"/>
                <w:color w:val="000000"/>
                <w:highlight w:val="none"/>
                <w:lang w:val="en-US" w:eastAsia="zh-CN"/>
              </w:rPr>
              <w:t>9</w:t>
            </w:r>
            <w:r>
              <w:rPr>
                <w:rFonts w:hint="eastAsia"/>
                <w:color w:val="000000"/>
                <w:highlight w:val="none"/>
              </w:rPr>
              <w:t>）</w:t>
            </w:r>
            <w:r>
              <w:rPr>
                <w:rFonts w:hint="eastAsia"/>
                <w:color w:val="000000"/>
                <w:highlight w:val="none"/>
                <w:lang w:eastAsia="zh-CN"/>
              </w:rPr>
              <w:t>绿化</w:t>
            </w:r>
            <w:r>
              <w:rPr>
                <w:rFonts w:hint="eastAsia"/>
                <w:color w:val="000000"/>
                <w:highlight w:val="none"/>
              </w:rPr>
              <w:t>完好率应达到 98％以上。花卉苗木、草皮出现枯死情况，需及时补种，相关费用由</w:t>
            </w:r>
            <w:r>
              <w:rPr>
                <w:rFonts w:hint="eastAsia"/>
                <w:color w:val="000000"/>
                <w:highlight w:val="none"/>
                <w:lang w:eastAsia="zh-CN"/>
              </w:rPr>
              <w:t>中标人</w:t>
            </w:r>
            <w:r>
              <w:rPr>
                <w:rFonts w:hint="eastAsia"/>
                <w:color w:val="000000"/>
                <w:highlight w:val="none"/>
              </w:rPr>
              <w:t>承担。</w:t>
            </w:r>
          </w:p>
        </w:tc>
      </w:tr>
      <w:tr w14:paraId="4D0B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551" w:type="dxa"/>
            <w:vMerge w:val="continue"/>
            <w:tcBorders>
              <w:top w:val="single" w:color="auto" w:sz="4" w:space="0"/>
              <w:left w:val="single" w:color="auto" w:sz="4" w:space="0"/>
              <w:bottom w:val="single" w:color="auto" w:sz="4" w:space="0"/>
              <w:right w:val="single" w:color="auto" w:sz="4" w:space="0"/>
            </w:tcBorders>
            <w:noWrap w:val="0"/>
            <w:vAlign w:val="top"/>
          </w:tcPr>
          <w:p w14:paraId="17D6D318">
            <w:pPr>
              <w:rPr>
                <w:color w:val="000000"/>
                <w:highlight w:val="none"/>
              </w:rPr>
            </w:pPr>
          </w:p>
        </w:tc>
        <w:tc>
          <w:tcPr>
            <w:tcW w:w="1765" w:type="dxa"/>
            <w:vMerge w:val="continue"/>
            <w:tcBorders>
              <w:top w:val="single" w:color="auto" w:sz="4" w:space="0"/>
              <w:left w:val="single" w:color="auto" w:sz="4" w:space="0"/>
              <w:bottom w:val="single" w:color="auto" w:sz="4" w:space="0"/>
              <w:right w:val="single" w:color="auto" w:sz="4" w:space="0"/>
            </w:tcBorders>
            <w:noWrap w:val="0"/>
            <w:vAlign w:val="top"/>
          </w:tcPr>
          <w:p w14:paraId="47B198FF">
            <w:pPr>
              <w:rPr>
                <w:color w:val="000000"/>
                <w:highlight w:val="none"/>
              </w:rPr>
            </w:pPr>
          </w:p>
        </w:tc>
        <w:tc>
          <w:tcPr>
            <w:tcW w:w="5998" w:type="dxa"/>
            <w:tcBorders>
              <w:top w:val="single" w:color="auto" w:sz="4" w:space="0"/>
              <w:left w:val="single" w:color="auto" w:sz="4" w:space="0"/>
              <w:bottom w:val="single" w:color="auto" w:sz="4" w:space="0"/>
              <w:right w:val="single" w:color="auto" w:sz="4" w:space="0"/>
            </w:tcBorders>
            <w:noWrap w:val="0"/>
            <w:vAlign w:val="top"/>
          </w:tcPr>
          <w:p w14:paraId="770F92D5">
            <w:pPr>
              <w:rPr>
                <w:rFonts w:hint="eastAsia"/>
                <w:color w:val="000000"/>
                <w:highlight w:val="none"/>
              </w:rPr>
            </w:pPr>
            <w:r>
              <w:rPr>
                <w:rFonts w:hint="eastAsia"/>
                <w:color w:val="000000"/>
                <w:highlight w:val="none"/>
              </w:rPr>
              <w:t>（</w:t>
            </w:r>
            <w:r>
              <w:rPr>
                <w:rFonts w:hint="eastAsia"/>
                <w:color w:val="000000"/>
                <w:highlight w:val="none"/>
                <w:lang w:val="en-US" w:eastAsia="zh-CN"/>
              </w:rPr>
              <w:t>10</w:t>
            </w:r>
            <w:r>
              <w:rPr>
                <w:rFonts w:hint="eastAsia"/>
                <w:color w:val="000000"/>
                <w:highlight w:val="none"/>
              </w:rPr>
              <w:t>）雨雪、冰雹、强风等恶劣天气来临前，专人巡查，对绿植做好预防措施，排除安全隐患。</w:t>
            </w:r>
          </w:p>
        </w:tc>
      </w:tr>
      <w:tr w14:paraId="11EF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551" w:type="dxa"/>
            <w:vMerge w:val="continue"/>
            <w:tcBorders>
              <w:top w:val="single" w:color="auto" w:sz="4" w:space="0"/>
              <w:left w:val="single" w:color="auto" w:sz="4" w:space="0"/>
              <w:bottom w:val="single" w:color="auto" w:sz="4" w:space="0"/>
              <w:right w:val="single" w:color="auto" w:sz="4" w:space="0"/>
            </w:tcBorders>
            <w:noWrap w:val="0"/>
            <w:vAlign w:val="top"/>
          </w:tcPr>
          <w:p w14:paraId="3951024B">
            <w:pPr>
              <w:rPr>
                <w:color w:val="000000"/>
                <w:highlight w:val="none"/>
              </w:rPr>
            </w:pPr>
          </w:p>
        </w:tc>
        <w:tc>
          <w:tcPr>
            <w:tcW w:w="1765" w:type="dxa"/>
            <w:vMerge w:val="continue"/>
            <w:tcBorders>
              <w:top w:val="single" w:color="auto" w:sz="4" w:space="0"/>
              <w:left w:val="single" w:color="auto" w:sz="4" w:space="0"/>
              <w:bottom w:val="single" w:color="auto" w:sz="4" w:space="0"/>
              <w:right w:val="single" w:color="auto" w:sz="4" w:space="0"/>
            </w:tcBorders>
            <w:noWrap w:val="0"/>
            <w:vAlign w:val="top"/>
          </w:tcPr>
          <w:p w14:paraId="46326BF7">
            <w:pPr>
              <w:rPr>
                <w:color w:val="000000"/>
                <w:highlight w:val="none"/>
              </w:rPr>
            </w:pPr>
          </w:p>
        </w:tc>
        <w:tc>
          <w:tcPr>
            <w:tcW w:w="5998" w:type="dxa"/>
            <w:tcBorders>
              <w:top w:val="single" w:color="auto" w:sz="4" w:space="0"/>
              <w:left w:val="single" w:color="auto" w:sz="4" w:space="0"/>
              <w:bottom w:val="single" w:color="auto" w:sz="4" w:space="0"/>
              <w:right w:val="single" w:color="auto" w:sz="4" w:space="0"/>
            </w:tcBorders>
            <w:noWrap w:val="0"/>
            <w:vAlign w:val="top"/>
          </w:tcPr>
          <w:p w14:paraId="227BE0B6">
            <w:pPr>
              <w:rPr>
                <w:rFonts w:hint="eastAsia"/>
                <w:color w:val="000000"/>
                <w:highlight w:val="none"/>
              </w:rPr>
            </w:pPr>
            <w:r>
              <w:rPr>
                <w:rFonts w:hint="eastAsia"/>
                <w:color w:val="000000"/>
                <w:highlight w:val="none"/>
              </w:rPr>
              <w:t>（</w:t>
            </w:r>
            <w:r>
              <w:rPr>
                <w:rFonts w:hint="eastAsia"/>
                <w:color w:val="000000"/>
                <w:highlight w:val="none"/>
                <w:lang w:val="en-US" w:eastAsia="zh-CN"/>
              </w:rPr>
              <w:t>11</w:t>
            </w:r>
            <w:r>
              <w:rPr>
                <w:rFonts w:hint="eastAsia"/>
                <w:color w:val="000000"/>
                <w:highlight w:val="none"/>
              </w:rPr>
              <w:t>）恶劣天气后，及时清除倒树断枝，疏通 道路，尽快恢复原状。</w:t>
            </w:r>
          </w:p>
        </w:tc>
      </w:tr>
      <w:tr w14:paraId="69A0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51" w:type="dxa"/>
            <w:vMerge w:val="continue"/>
            <w:tcBorders>
              <w:top w:val="single" w:color="auto" w:sz="4" w:space="0"/>
              <w:left w:val="single" w:color="auto" w:sz="4" w:space="0"/>
              <w:bottom w:val="single" w:color="auto" w:sz="4" w:space="0"/>
              <w:right w:val="single" w:color="auto" w:sz="4" w:space="0"/>
            </w:tcBorders>
            <w:noWrap w:val="0"/>
            <w:vAlign w:val="top"/>
          </w:tcPr>
          <w:p w14:paraId="3E812EAF">
            <w:pPr>
              <w:rPr>
                <w:color w:val="000000"/>
                <w:highlight w:val="none"/>
              </w:rPr>
            </w:pPr>
          </w:p>
        </w:tc>
        <w:tc>
          <w:tcPr>
            <w:tcW w:w="1765" w:type="dxa"/>
            <w:vMerge w:val="continue"/>
            <w:tcBorders>
              <w:top w:val="single" w:color="auto" w:sz="4" w:space="0"/>
              <w:left w:val="single" w:color="auto" w:sz="4" w:space="0"/>
              <w:bottom w:val="single" w:color="auto" w:sz="4" w:space="0"/>
              <w:right w:val="single" w:color="auto" w:sz="4" w:space="0"/>
            </w:tcBorders>
            <w:noWrap w:val="0"/>
            <w:vAlign w:val="top"/>
          </w:tcPr>
          <w:p w14:paraId="104CE5AB">
            <w:pPr>
              <w:rPr>
                <w:color w:val="000000"/>
                <w:highlight w:val="none"/>
              </w:rPr>
            </w:pPr>
          </w:p>
        </w:tc>
        <w:tc>
          <w:tcPr>
            <w:tcW w:w="5998" w:type="dxa"/>
            <w:tcBorders>
              <w:top w:val="single" w:color="auto" w:sz="4" w:space="0"/>
              <w:left w:val="single" w:color="auto" w:sz="4" w:space="0"/>
              <w:bottom w:val="single" w:color="auto" w:sz="4" w:space="0"/>
              <w:right w:val="single" w:color="auto" w:sz="4" w:space="0"/>
            </w:tcBorders>
            <w:noWrap w:val="0"/>
            <w:vAlign w:val="top"/>
          </w:tcPr>
          <w:p w14:paraId="56E0FDD6">
            <w:pPr>
              <w:rPr>
                <w:rFonts w:hint="eastAsia"/>
                <w:color w:val="000000"/>
                <w:highlight w:val="none"/>
              </w:rPr>
            </w:pPr>
            <w:r>
              <w:rPr>
                <w:rFonts w:hint="eastAsia"/>
                <w:color w:val="000000"/>
                <w:highlight w:val="none"/>
              </w:rPr>
              <w:t>（1</w:t>
            </w:r>
            <w:r>
              <w:rPr>
                <w:rFonts w:hint="eastAsia"/>
                <w:color w:val="000000"/>
                <w:highlight w:val="none"/>
                <w:lang w:val="en-US" w:eastAsia="zh-CN"/>
              </w:rPr>
              <w:t>2</w:t>
            </w:r>
            <w:r>
              <w:rPr>
                <w:rFonts w:hint="eastAsia"/>
                <w:color w:val="000000"/>
                <w:highlight w:val="none"/>
              </w:rPr>
              <w:t>）要配备专业的绿化养护工具，并正确安全使用。</w:t>
            </w:r>
          </w:p>
        </w:tc>
      </w:tr>
      <w:tr w14:paraId="4073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551" w:type="dxa"/>
            <w:tcBorders>
              <w:top w:val="single" w:color="auto" w:sz="4" w:space="0"/>
              <w:left w:val="single" w:color="auto" w:sz="4" w:space="0"/>
              <w:bottom w:val="single" w:color="auto" w:sz="4" w:space="0"/>
              <w:right w:val="single" w:color="auto" w:sz="4" w:space="0"/>
            </w:tcBorders>
            <w:noWrap w:val="0"/>
            <w:vAlign w:val="top"/>
          </w:tcPr>
          <w:p w14:paraId="1C48CE19">
            <w:pPr>
              <w:rPr>
                <w:color w:val="000000"/>
                <w:highlight w:val="none"/>
              </w:rPr>
            </w:pPr>
            <w:r>
              <w:rPr>
                <w:rFonts w:hint="eastAsia"/>
                <w:color w:val="000000"/>
                <w:highlight w:val="none"/>
              </w:rPr>
              <w:t>3</w:t>
            </w:r>
          </w:p>
        </w:tc>
        <w:tc>
          <w:tcPr>
            <w:tcW w:w="1765" w:type="dxa"/>
            <w:tcBorders>
              <w:top w:val="single" w:color="auto" w:sz="4" w:space="0"/>
              <w:left w:val="single" w:color="auto" w:sz="4" w:space="0"/>
              <w:bottom w:val="single" w:color="auto" w:sz="4" w:space="0"/>
              <w:right w:val="single" w:color="auto" w:sz="4" w:space="0"/>
            </w:tcBorders>
            <w:noWrap w:val="0"/>
            <w:vAlign w:val="top"/>
          </w:tcPr>
          <w:p w14:paraId="6F59C6FC">
            <w:pPr>
              <w:rPr>
                <w:color w:val="000000"/>
                <w:highlight w:val="none"/>
              </w:rPr>
            </w:pPr>
            <w:r>
              <w:rPr>
                <w:rFonts w:hint="eastAsia"/>
                <w:color w:val="000000"/>
                <w:highlight w:val="none"/>
              </w:rPr>
              <w:t>其他要求</w:t>
            </w:r>
          </w:p>
        </w:tc>
        <w:tc>
          <w:tcPr>
            <w:tcW w:w="5998" w:type="dxa"/>
            <w:tcBorders>
              <w:top w:val="single" w:color="auto" w:sz="4" w:space="0"/>
              <w:left w:val="single" w:color="auto" w:sz="4" w:space="0"/>
              <w:bottom w:val="single" w:color="auto" w:sz="4" w:space="0"/>
              <w:right w:val="single" w:color="auto" w:sz="4" w:space="0"/>
            </w:tcBorders>
            <w:noWrap w:val="0"/>
            <w:vAlign w:val="top"/>
          </w:tcPr>
          <w:p w14:paraId="7D76C042">
            <w:pPr>
              <w:keepNext w:val="0"/>
              <w:keepLines w:val="0"/>
              <w:pageBreakBefore w:val="0"/>
              <w:widowControl w:val="0"/>
              <w:bidi w:val="0"/>
              <w:spacing w:line="240" w:lineRule="auto"/>
              <w:ind w:left="0" w:right="0" w:firstLine="0"/>
              <w:jc w:val="both"/>
              <w:outlineLvl w:val="9"/>
              <w:rPr>
                <w:rFonts w:ascii="宋体" w:hAnsi="宋体" w:cs="宋体"/>
                <w:bCs/>
                <w:color w:val="000000"/>
                <w:szCs w:val="21"/>
                <w:highlight w:val="none"/>
              </w:rPr>
            </w:pPr>
            <w:r>
              <w:rPr>
                <w:rFonts w:hint="eastAsia" w:ascii="宋体" w:hAnsi="宋体" w:cs="宋体"/>
                <w:color w:val="000000"/>
                <w:szCs w:val="21"/>
                <w:highlight w:val="none"/>
                <w:lang w:eastAsia="zh-CN"/>
              </w:rPr>
              <w:t>绿化员服装</w:t>
            </w:r>
            <w:r>
              <w:rPr>
                <w:rFonts w:hint="eastAsia" w:ascii="宋体" w:hAnsi="宋体" w:cs="宋体"/>
                <w:color w:val="000000"/>
                <w:szCs w:val="21"/>
                <w:highlight w:val="none"/>
              </w:rPr>
              <w:t>：每</w:t>
            </w:r>
            <w:r>
              <w:rPr>
                <w:rFonts w:hint="eastAsia" w:ascii="宋体" w:hAnsi="宋体" w:cs="宋体"/>
                <w:color w:val="000000"/>
                <w:szCs w:val="21"/>
                <w:highlight w:val="none"/>
                <w:lang w:eastAsia="zh-CN"/>
              </w:rPr>
              <w:t>人</w:t>
            </w:r>
            <w:r>
              <w:rPr>
                <w:rFonts w:hint="eastAsia" w:ascii="宋体" w:hAnsi="宋体" w:cs="宋体"/>
                <w:color w:val="000000"/>
                <w:szCs w:val="21"/>
                <w:highlight w:val="none"/>
              </w:rPr>
              <w:t>配春秋装 2 套、夏装 2 套、冬装 2 套、冬天大衣一件、防晒帽一顶、</w:t>
            </w:r>
            <w:r>
              <w:rPr>
                <w:rFonts w:hint="eastAsia" w:ascii="宋体" w:hAnsi="宋体" w:cs="宋体"/>
                <w:color w:val="000000"/>
                <w:szCs w:val="21"/>
                <w:highlight w:val="none"/>
                <w:lang w:eastAsia="zh-CN"/>
              </w:rPr>
              <w:t>工作</w:t>
            </w:r>
            <w:r>
              <w:rPr>
                <w:rFonts w:hint="eastAsia" w:ascii="宋体" w:hAnsi="宋体" w:cs="宋体"/>
                <w:color w:val="000000"/>
                <w:szCs w:val="21"/>
                <w:highlight w:val="none"/>
              </w:rPr>
              <w:t>鞋两双、水鞋一双。</w:t>
            </w:r>
          </w:p>
        </w:tc>
      </w:tr>
    </w:tbl>
    <w:p w14:paraId="470A1AC2">
      <w:pPr>
        <w:rPr>
          <w:color w:val="000000"/>
          <w:highlight w:val="none"/>
        </w:rPr>
      </w:pPr>
    </w:p>
    <w:p w14:paraId="2105153F">
      <w:pPr>
        <w:outlineLvl w:val="2"/>
        <w:rPr>
          <w:b/>
          <w:bCs/>
          <w:color w:val="000000"/>
          <w:highlight w:val="none"/>
        </w:rPr>
      </w:pPr>
      <w:bookmarkStart w:id="225" w:name="_Toc31135"/>
      <w:r>
        <w:rPr>
          <w:rFonts w:hint="eastAsia"/>
          <w:b/>
          <w:bCs/>
          <w:color w:val="000000"/>
          <w:highlight w:val="none"/>
        </w:rPr>
        <w:t>3.6保安服务</w:t>
      </w:r>
      <w:bookmarkEnd w:id="221"/>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54"/>
        <w:gridCol w:w="6755"/>
      </w:tblGrid>
      <w:tr w14:paraId="7350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noWrap w:val="0"/>
            <w:vAlign w:val="top"/>
          </w:tcPr>
          <w:p w14:paraId="532B1C1B">
            <w:pPr>
              <w:rPr>
                <w:color w:val="000000"/>
                <w:highlight w:val="none"/>
              </w:rPr>
            </w:pPr>
            <w:r>
              <w:rPr>
                <w:rFonts w:hint="eastAsia"/>
                <w:color w:val="000000"/>
                <w:highlight w:val="none"/>
              </w:rPr>
              <w:t>序号</w:t>
            </w:r>
          </w:p>
        </w:tc>
        <w:tc>
          <w:tcPr>
            <w:tcW w:w="1754" w:type="dxa"/>
            <w:tcBorders>
              <w:top w:val="single" w:color="auto" w:sz="4" w:space="0"/>
              <w:left w:val="single" w:color="auto" w:sz="4" w:space="0"/>
              <w:bottom w:val="single" w:color="auto" w:sz="4" w:space="0"/>
              <w:right w:val="single" w:color="auto" w:sz="4" w:space="0"/>
            </w:tcBorders>
            <w:noWrap w:val="0"/>
            <w:vAlign w:val="top"/>
          </w:tcPr>
          <w:p w14:paraId="36B1D336">
            <w:pPr>
              <w:rPr>
                <w:color w:val="000000"/>
                <w:highlight w:val="none"/>
              </w:rPr>
            </w:pPr>
            <w:r>
              <w:rPr>
                <w:rFonts w:hint="eastAsia"/>
                <w:color w:val="000000"/>
                <w:highlight w:val="none"/>
              </w:rPr>
              <w:t>服务内容</w:t>
            </w:r>
          </w:p>
        </w:tc>
        <w:tc>
          <w:tcPr>
            <w:tcW w:w="6755" w:type="dxa"/>
            <w:tcBorders>
              <w:top w:val="single" w:color="auto" w:sz="4" w:space="0"/>
              <w:left w:val="single" w:color="auto" w:sz="4" w:space="0"/>
              <w:bottom w:val="single" w:color="auto" w:sz="4" w:space="0"/>
              <w:right w:val="single" w:color="auto" w:sz="4" w:space="0"/>
            </w:tcBorders>
            <w:noWrap w:val="0"/>
            <w:vAlign w:val="top"/>
          </w:tcPr>
          <w:p w14:paraId="2154EFBA">
            <w:pPr>
              <w:rPr>
                <w:color w:val="000000"/>
                <w:highlight w:val="none"/>
              </w:rPr>
            </w:pPr>
            <w:r>
              <w:rPr>
                <w:rFonts w:hint="eastAsia"/>
                <w:color w:val="000000"/>
                <w:highlight w:val="none"/>
              </w:rPr>
              <w:t>服务标准</w:t>
            </w:r>
          </w:p>
        </w:tc>
      </w:tr>
      <w:tr w14:paraId="667E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59" w:type="dxa"/>
            <w:vMerge w:val="restart"/>
            <w:tcBorders>
              <w:top w:val="single" w:color="auto" w:sz="4" w:space="0"/>
              <w:left w:val="single" w:color="auto" w:sz="4" w:space="0"/>
              <w:bottom w:val="single" w:color="auto" w:sz="4" w:space="0"/>
              <w:right w:val="single" w:color="auto" w:sz="4" w:space="0"/>
            </w:tcBorders>
            <w:noWrap w:val="0"/>
            <w:vAlign w:val="top"/>
          </w:tcPr>
          <w:p w14:paraId="4FF98648">
            <w:pPr>
              <w:rPr>
                <w:color w:val="000000"/>
                <w:highlight w:val="none"/>
              </w:rPr>
            </w:pPr>
            <w:r>
              <w:rPr>
                <w:rFonts w:hint="eastAsia"/>
                <w:color w:val="000000"/>
                <w:highlight w:val="none"/>
              </w:rPr>
              <w:t>1</w:t>
            </w:r>
          </w:p>
        </w:tc>
        <w:tc>
          <w:tcPr>
            <w:tcW w:w="1754" w:type="dxa"/>
            <w:vMerge w:val="restart"/>
            <w:tcBorders>
              <w:top w:val="single" w:color="auto" w:sz="4" w:space="0"/>
              <w:left w:val="single" w:color="auto" w:sz="4" w:space="0"/>
              <w:bottom w:val="single" w:color="auto" w:sz="4" w:space="0"/>
              <w:right w:val="single" w:color="auto" w:sz="4" w:space="0"/>
            </w:tcBorders>
            <w:noWrap w:val="0"/>
            <w:vAlign w:val="top"/>
          </w:tcPr>
          <w:p w14:paraId="09DBA44D">
            <w:pPr>
              <w:rPr>
                <w:color w:val="000000"/>
                <w:highlight w:val="none"/>
              </w:rPr>
            </w:pPr>
            <w:r>
              <w:rPr>
                <w:rFonts w:hint="eastAsia"/>
                <w:color w:val="000000"/>
                <w:highlight w:val="none"/>
              </w:rPr>
              <w:t>基本要求</w:t>
            </w:r>
          </w:p>
        </w:tc>
        <w:tc>
          <w:tcPr>
            <w:tcW w:w="6755" w:type="dxa"/>
            <w:tcBorders>
              <w:top w:val="single" w:color="auto" w:sz="4" w:space="0"/>
              <w:left w:val="single" w:color="auto" w:sz="4" w:space="0"/>
              <w:bottom w:val="single" w:color="auto" w:sz="4" w:space="0"/>
              <w:right w:val="single" w:color="auto" w:sz="4" w:space="0"/>
            </w:tcBorders>
            <w:noWrap w:val="0"/>
            <w:vAlign w:val="top"/>
          </w:tcPr>
          <w:p w14:paraId="51CDBD01">
            <w:pPr>
              <w:rPr>
                <w:color w:val="000000"/>
                <w:highlight w:val="none"/>
              </w:rPr>
            </w:pPr>
            <w:r>
              <w:rPr>
                <w:rFonts w:hint="eastAsia"/>
                <w:color w:val="000000"/>
                <w:highlight w:val="none"/>
              </w:rPr>
              <w:t>（1）建立保安服务相关制度，并按照执行。</w:t>
            </w:r>
          </w:p>
        </w:tc>
      </w:tr>
      <w:tr w14:paraId="7954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70BAE9B3">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35A1437F">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6FC4DE56">
            <w:pPr>
              <w:rPr>
                <w:color w:val="000000"/>
                <w:highlight w:val="none"/>
              </w:rPr>
            </w:pPr>
            <w:r>
              <w:rPr>
                <w:rFonts w:hint="eastAsia"/>
                <w:color w:val="000000"/>
                <w:highlight w:val="none"/>
              </w:rPr>
              <w:t>（2）对巡查、值守及异常情况等做好相关记 录，填写规范，保存完好。</w:t>
            </w:r>
          </w:p>
        </w:tc>
      </w:tr>
      <w:tr w14:paraId="7F9C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3B949B58">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100D2C64">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3229C862">
            <w:pPr>
              <w:rPr>
                <w:color w:val="000000"/>
                <w:highlight w:val="none"/>
              </w:rPr>
            </w:pPr>
            <w:r>
              <w:rPr>
                <w:rFonts w:hint="eastAsia"/>
                <w:color w:val="000000"/>
                <w:highlight w:val="none"/>
              </w:rPr>
              <w:t>（3）配备保安服务必要的器材。</w:t>
            </w:r>
          </w:p>
        </w:tc>
      </w:tr>
      <w:tr w14:paraId="3F32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59" w:type="dxa"/>
            <w:vMerge w:val="restart"/>
            <w:tcBorders>
              <w:top w:val="single" w:color="auto" w:sz="4" w:space="0"/>
              <w:left w:val="single" w:color="auto" w:sz="4" w:space="0"/>
              <w:bottom w:val="single" w:color="auto" w:sz="4" w:space="0"/>
              <w:right w:val="single" w:color="auto" w:sz="4" w:space="0"/>
            </w:tcBorders>
            <w:noWrap w:val="0"/>
            <w:vAlign w:val="top"/>
          </w:tcPr>
          <w:p w14:paraId="7A9AB779">
            <w:pPr>
              <w:rPr>
                <w:color w:val="000000"/>
                <w:highlight w:val="none"/>
              </w:rPr>
            </w:pPr>
            <w:r>
              <w:rPr>
                <w:rFonts w:hint="eastAsia"/>
                <w:color w:val="000000"/>
                <w:highlight w:val="none"/>
              </w:rPr>
              <w:t>2</w:t>
            </w:r>
          </w:p>
        </w:tc>
        <w:tc>
          <w:tcPr>
            <w:tcW w:w="1754" w:type="dxa"/>
            <w:vMerge w:val="restart"/>
            <w:tcBorders>
              <w:top w:val="single" w:color="auto" w:sz="4" w:space="0"/>
              <w:left w:val="single" w:color="auto" w:sz="4" w:space="0"/>
              <w:bottom w:val="single" w:color="auto" w:sz="4" w:space="0"/>
              <w:right w:val="single" w:color="auto" w:sz="4" w:space="0"/>
            </w:tcBorders>
            <w:noWrap w:val="0"/>
            <w:vAlign w:val="top"/>
          </w:tcPr>
          <w:p w14:paraId="400A009A">
            <w:pPr>
              <w:rPr>
                <w:color w:val="000000"/>
                <w:highlight w:val="none"/>
              </w:rPr>
            </w:pPr>
            <w:r>
              <w:rPr>
                <w:rFonts w:hint="eastAsia"/>
                <w:color w:val="000000"/>
                <w:highlight w:val="none"/>
              </w:rPr>
              <w:t>出入管理</w:t>
            </w:r>
          </w:p>
        </w:tc>
        <w:tc>
          <w:tcPr>
            <w:tcW w:w="6755" w:type="dxa"/>
            <w:tcBorders>
              <w:top w:val="single" w:color="auto" w:sz="4" w:space="0"/>
              <w:left w:val="single" w:color="auto" w:sz="4" w:space="0"/>
              <w:bottom w:val="single" w:color="auto" w:sz="4" w:space="0"/>
              <w:right w:val="single" w:color="auto" w:sz="4" w:space="0"/>
            </w:tcBorders>
            <w:noWrap w:val="0"/>
            <w:vAlign w:val="top"/>
          </w:tcPr>
          <w:p w14:paraId="78C39BB5">
            <w:pPr>
              <w:rPr>
                <w:color w:val="000000"/>
                <w:highlight w:val="none"/>
              </w:rPr>
            </w:pPr>
            <w:r>
              <w:rPr>
                <w:rFonts w:hint="eastAsia"/>
                <w:color w:val="000000"/>
                <w:highlight w:val="none"/>
              </w:rPr>
              <w:t>（1）办公楼（区）主出入口应当实行 24 小时值班制。</w:t>
            </w:r>
          </w:p>
        </w:tc>
      </w:tr>
      <w:tr w14:paraId="79C1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677F687F">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652C623A">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1D8E63E6">
            <w:pPr>
              <w:rPr>
                <w:color w:val="000000"/>
                <w:highlight w:val="none"/>
              </w:rPr>
            </w:pPr>
            <w:r>
              <w:rPr>
                <w:rFonts w:hint="eastAsia"/>
                <w:color w:val="000000"/>
                <w:highlight w:val="none"/>
              </w:rPr>
              <w:t>（2）设置门岗。</w:t>
            </w:r>
          </w:p>
        </w:tc>
      </w:tr>
      <w:tr w14:paraId="665E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7768B178">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0E4E43EE">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0A1DD226">
            <w:pPr>
              <w:rPr>
                <w:color w:val="000000"/>
                <w:highlight w:val="none"/>
              </w:rPr>
            </w:pPr>
            <w:r>
              <w:rPr>
                <w:rFonts w:hint="eastAsia"/>
                <w:color w:val="000000"/>
                <w:highlight w:val="none"/>
              </w:rPr>
              <w:t>（3）在出入口对外来人员及其携带大件物品、 外来车辆进行询问和记录，并与相关部门取得联系，同意后方可进入。</w:t>
            </w:r>
          </w:p>
        </w:tc>
      </w:tr>
      <w:tr w14:paraId="02A9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3F2E7472">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691E4B5B">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56B0BF4C">
            <w:pPr>
              <w:rPr>
                <w:color w:val="000000"/>
                <w:highlight w:val="none"/>
              </w:rPr>
            </w:pPr>
            <w:r>
              <w:rPr>
                <w:rFonts w:hint="eastAsia"/>
                <w:color w:val="000000"/>
                <w:highlight w:val="none"/>
              </w:rPr>
              <w:t>（4）大件物品搬出有相关部门开具的证明和清单，经核实后放行。</w:t>
            </w:r>
          </w:p>
        </w:tc>
      </w:tr>
      <w:tr w14:paraId="483C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23A4B4BE">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032DE4FB">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721AAA87">
            <w:pPr>
              <w:rPr>
                <w:rFonts w:hint="eastAsia" w:eastAsia="宋体"/>
                <w:color w:val="000000"/>
                <w:highlight w:val="none"/>
                <w:lang w:eastAsia="zh-CN"/>
              </w:rPr>
            </w:pPr>
            <w:r>
              <w:rPr>
                <w:rFonts w:hint="eastAsia"/>
                <w:color w:val="000000"/>
                <w:highlight w:val="none"/>
              </w:rPr>
              <w:t>（</w:t>
            </w:r>
            <w:r>
              <w:rPr>
                <w:rFonts w:hint="eastAsia"/>
                <w:color w:val="000000"/>
                <w:highlight w:val="none"/>
                <w:lang w:val="en-US" w:eastAsia="zh-CN"/>
              </w:rPr>
              <w:t>5</w:t>
            </w:r>
            <w:r>
              <w:rPr>
                <w:rFonts w:hint="eastAsia"/>
                <w:color w:val="000000"/>
                <w:highlight w:val="none"/>
              </w:rPr>
              <w:t>）排查可疑人员，对于不出示证件、不按规定登记、不听劝阻而强行闯入者，及时劝离，必要时通知公安机关进行处理。</w:t>
            </w:r>
          </w:p>
        </w:tc>
      </w:tr>
      <w:tr w14:paraId="03D9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56B39364">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50C90C14">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420B14B5">
            <w:pPr>
              <w:rPr>
                <w:rFonts w:hint="eastAsia"/>
                <w:color w:val="000000"/>
                <w:highlight w:val="none"/>
              </w:rPr>
            </w:pPr>
            <w:r>
              <w:rPr>
                <w:rFonts w:hint="eastAsia"/>
                <w:color w:val="000000"/>
                <w:highlight w:val="none"/>
              </w:rPr>
              <w:t>（</w:t>
            </w:r>
            <w:r>
              <w:rPr>
                <w:rFonts w:hint="eastAsia"/>
                <w:color w:val="000000"/>
                <w:highlight w:val="none"/>
                <w:lang w:val="en-US" w:eastAsia="zh-CN"/>
              </w:rPr>
              <w:t>6</w:t>
            </w:r>
            <w:r>
              <w:rPr>
                <w:rFonts w:hint="eastAsia"/>
                <w:color w:val="000000"/>
                <w:highlight w:val="none"/>
              </w:rPr>
              <w:t>）</w:t>
            </w:r>
            <w:r>
              <w:rPr>
                <w:rFonts w:hint="eastAsia"/>
                <w:color w:val="000000"/>
                <w:highlight w:val="none"/>
                <w:lang w:eastAsia="zh-CN"/>
              </w:rPr>
              <w:t>做好信访人员登记，派专人、专车将信访人员送至信访部门。</w:t>
            </w:r>
          </w:p>
        </w:tc>
      </w:tr>
      <w:tr w14:paraId="2607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167824E3">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6D744D7F">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2ABC59C0">
            <w:pPr>
              <w:rPr>
                <w:color w:val="000000"/>
                <w:highlight w:val="none"/>
              </w:rPr>
            </w:pPr>
            <w:r>
              <w:rPr>
                <w:rFonts w:hint="eastAsia"/>
                <w:color w:val="000000"/>
                <w:highlight w:val="none"/>
              </w:rPr>
              <w:t>（</w:t>
            </w:r>
            <w:r>
              <w:rPr>
                <w:rFonts w:hint="eastAsia"/>
                <w:color w:val="000000"/>
                <w:highlight w:val="none"/>
                <w:lang w:val="en-US" w:eastAsia="zh-CN"/>
              </w:rPr>
              <w:t>7</w:t>
            </w:r>
            <w:r>
              <w:rPr>
                <w:rFonts w:hint="eastAsia"/>
                <w:color w:val="000000"/>
                <w:highlight w:val="none"/>
              </w:rPr>
              <w:t>）配合相关部门积极疏导上访人员，有效疏导如出入口群集聚、车辆拥堵、货物堵塞道路等情况。</w:t>
            </w:r>
          </w:p>
        </w:tc>
      </w:tr>
      <w:tr w14:paraId="6DA2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1AC28E66">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366BF562">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5CB0760C">
            <w:pPr>
              <w:rPr>
                <w:color w:val="000000"/>
                <w:highlight w:val="none"/>
              </w:rPr>
            </w:pPr>
            <w:r>
              <w:rPr>
                <w:rFonts w:hint="eastAsia"/>
                <w:color w:val="000000"/>
                <w:highlight w:val="none"/>
              </w:rPr>
              <w:t>（</w:t>
            </w:r>
            <w:r>
              <w:rPr>
                <w:rFonts w:hint="eastAsia"/>
                <w:color w:val="000000"/>
                <w:highlight w:val="none"/>
                <w:lang w:val="en-US" w:eastAsia="zh-CN"/>
              </w:rPr>
              <w:t>8</w:t>
            </w:r>
            <w:r>
              <w:rPr>
                <w:rFonts w:hint="eastAsia"/>
                <w:color w:val="000000"/>
                <w:highlight w:val="none"/>
              </w:rPr>
              <w:t>）对物品进出实行安检、登记、电话确认等分类管理措施。大宗物品进出会同接收单位收件人审检，严防违禁品 （包括毒品、军火弹药、管制刀具、易燃易爆品等）、限带品（包括动物、任何未经授权的专业摄影设备、无人机等）进入。</w:t>
            </w:r>
          </w:p>
        </w:tc>
      </w:tr>
      <w:tr w14:paraId="4ABB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11523D15">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3F7EE8CA">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11D65458">
            <w:pPr>
              <w:rPr>
                <w:color w:val="000000"/>
                <w:highlight w:val="none"/>
              </w:rPr>
            </w:pPr>
            <w:r>
              <w:rPr>
                <w:rFonts w:hint="eastAsia"/>
                <w:color w:val="000000"/>
                <w:highlight w:val="none"/>
              </w:rPr>
              <w:t>（</w:t>
            </w:r>
            <w:r>
              <w:rPr>
                <w:rFonts w:hint="eastAsia"/>
                <w:color w:val="000000"/>
                <w:highlight w:val="none"/>
                <w:lang w:val="en-US" w:eastAsia="zh-CN"/>
              </w:rPr>
              <w:t>9</w:t>
            </w:r>
            <w:r>
              <w:rPr>
                <w:rFonts w:hint="eastAsia"/>
                <w:color w:val="000000"/>
                <w:highlight w:val="none"/>
              </w:rPr>
              <w:t>）提供现场接待服务。 ①做好来访人员、车辆进出证件登记，及时通报。 ②严禁无关人员、可疑人员和危险物品进入办公楼（区）内。 ③物品摆放整齐有序、分类放置。 ④现场办理等待时间不超过5分钟，等待较长时间应当及时沟通。 ⑤对来访人员咨询、建议、求助等事项，及时处理或答复，处理和答复率100%。 ⑥与被访人进行核实确认；告知被访人的办公室门牌号；告知访客注意事项。</w:t>
            </w:r>
          </w:p>
        </w:tc>
      </w:tr>
      <w:tr w14:paraId="7EAD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480D9466">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108D3F74">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3AAA7500">
            <w:pPr>
              <w:rPr>
                <w:color w:val="000000"/>
                <w:highlight w:val="none"/>
              </w:rPr>
            </w:pPr>
            <w:r>
              <w:rPr>
                <w:rFonts w:hint="eastAsia"/>
                <w:color w:val="000000"/>
                <w:highlight w:val="none"/>
              </w:rPr>
              <w:t>（</w:t>
            </w:r>
            <w:r>
              <w:rPr>
                <w:rFonts w:hint="eastAsia"/>
                <w:color w:val="000000"/>
                <w:highlight w:val="none"/>
                <w:lang w:val="en-US" w:eastAsia="zh-CN"/>
              </w:rPr>
              <w:t>10</w:t>
            </w:r>
            <w:r>
              <w:rPr>
                <w:rFonts w:hint="eastAsia"/>
                <w:color w:val="000000"/>
                <w:highlight w:val="none"/>
              </w:rPr>
              <w:t>）外来车辆：禁止无关车辆进入</w:t>
            </w:r>
            <w:r>
              <w:rPr>
                <w:rFonts w:hint="eastAsia"/>
                <w:color w:val="000000"/>
              </w:rPr>
              <w:t>甲方</w:t>
            </w:r>
            <w:r>
              <w:rPr>
                <w:rFonts w:hint="eastAsia"/>
                <w:color w:val="000000"/>
                <w:highlight w:val="none"/>
              </w:rPr>
              <w:t>场地，确需进入的应引导车辆有序通行、停放。</w:t>
            </w:r>
          </w:p>
        </w:tc>
      </w:tr>
      <w:tr w14:paraId="09DE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59" w:type="dxa"/>
            <w:vMerge w:val="restart"/>
            <w:tcBorders>
              <w:top w:val="single" w:color="auto" w:sz="4" w:space="0"/>
              <w:left w:val="single" w:color="auto" w:sz="4" w:space="0"/>
              <w:bottom w:val="single" w:color="auto" w:sz="4" w:space="0"/>
              <w:right w:val="single" w:color="auto" w:sz="4" w:space="0"/>
            </w:tcBorders>
            <w:noWrap w:val="0"/>
            <w:vAlign w:val="top"/>
          </w:tcPr>
          <w:p w14:paraId="18651FE4">
            <w:pPr>
              <w:rPr>
                <w:color w:val="000000"/>
                <w:highlight w:val="none"/>
              </w:rPr>
            </w:pPr>
            <w:r>
              <w:rPr>
                <w:rFonts w:hint="eastAsia"/>
                <w:color w:val="000000"/>
                <w:highlight w:val="none"/>
              </w:rPr>
              <w:t>3</w:t>
            </w:r>
          </w:p>
        </w:tc>
        <w:tc>
          <w:tcPr>
            <w:tcW w:w="1754" w:type="dxa"/>
            <w:vMerge w:val="restart"/>
            <w:tcBorders>
              <w:top w:val="single" w:color="auto" w:sz="4" w:space="0"/>
              <w:left w:val="single" w:color="auto" w:sz="4" w:space="0"/>
              <w:bottom w:val="single" w:color="auto" w:sz="4" w:space="0"/>
              <w:right w:val="single" w:color="auto" w:sz="4" w:space="0"/>
            </w:tcBorders>
            <w:noWrap w:val="0"/>
            <w:vAlign w:val="top"/>
          </w:tcPr>
          <w:p w14:paraId="46381B65">
            <w:pPr>
              <w:rPr>
                <w:color w:val="000000"/>
                <w:highlight w:val="none"/>
              </w:rPr>
            </w:pPr>
            <w:r>
              <w:rPr>
                <w:rFonts w:hint="eastAsia"/>
                <w:color w:val="000000"/>
                <w:highlight w:val="none"/>
              </w:rPr>
              <w:t>值班巡查</w:t>
            </w:r>
          </w:p>
        </w:tc>
        <w:tc>
          <w:tcPr>
            <w:tcW w:w="6755" w:type="dxa"/>
            <w:tcBorders>
              <w:top w:val="single" w:color="auto" w:sz="4" w:space="0"/>
              <w:left w:val="single" w:color="auto" w:sz="4" w:space="0"/>
              <w:bottom w:val="single" w:color="auto" w:sz="4" w:space="0"/>
              <w:right w:val="single" w:color="auto" w:sz="4" w:space="0"/>
            </w:tcBorders>
            <w:noWrap w:val="0"/>
            <w:vAlign w:val="top"/>
          </w:tcPr>
          <w:p w14:paraId="763BDFB4">
            <w:pPr>
              <w:rPr>
                <w:color w:val="000000"/>
                <w:highlight w:val="none"/>
              </w:rPr>
            </w:pPr>
            <w:r>
              <w:rPr>
                <w:rFonts w:hint="eastAsia"/>
                <w:color w:val="000000"/>
                <w:highlight w:val="none"/>
              </w:rPr>
              <w:t>（1）建立 24 小时值班巡查制度。</w:t>
            </w:r>
          </w:p>
        </w:tc>
      </w:tr>
      <w:tr w14:paraId="5AA4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2BED675C">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0E02EE39">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29C4241E">
            <w:pPr>
              <w:rPr>
                <w:color w:val="000000"/>
                <w:highlight w:val="none"/>
              </w:rPr>
            </w:pPr>
            <w:r>
              <w:rPr>
                <w:rFonts w:hint="eastAsia"/>
                <w:color w:val="000000"/>
                <w:highlight w:val="none"/>
              </w:rPr>
              <w:t>（2）制定巡查路线，按照指定时间和路线执行，加强重点区域、重点部位及装修区域的巡查。</w:t>
            </w:r>
          </w:p>
        </w:tc>
      </w:tr>
      <w:tr w14:paraId="33F7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6E8F59F1">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0313F796">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7101C7D1">
            <w:pPr>
              <w:rPr>
                <w:color w:val="000000"/>
                <w:highlight w:val="none"/>
              </w:rPr>
            </w:pPr>
            <w:r>
              <w:rPr>
                <w:rFonts w:hint="eastAsia"/>
                <w:color w:val="000000"/>
                <w:highlight w:val="none"/>
              </w:rPr>
              <w:t>（3）巡查期间保持通信设施设备</w:t>
            </w:r>
            <w:r>
              <w:rPr>
                <w:rFonts w:hint="eastAsia"/>
                <w:color w:val="000000"/>
              </w:rPr>
              <w:t>畅通</w:t>
            </w:r>
            <w:r>
              <w:rPr>
                <w:rFonts w:hint="eastAsia"/>
                <w:color w:val="000000"/>
                <w:highlight w:val="none"/>
              </w:rPr>
              <w:t>，遇到异常情况立即上报并在现场采取相应措施。</w:t>
            </w:r>
          </w:p>
        </w:tc>
      </w:tr>
      <w:tr w14:paraId="5DBE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40D8F924">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6AA35C45">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3A100924">
            <w:pPr>
              <w:rPr>
                <w:color w:val="000000"/>
                <w:highlight w:val="none"/>
              </w:rPr>
            </w:pPr>
            <w:r>
              <w:rPr>
                <w:rFonts w:hint="eastAsia"/>
                <w:color w:val="000000"/>
                <w:highlight w:val="none"/>
              </w:rPr>
              <w:t>（4）收到监控室指令后，巡查人员及时到达指定地点并</w:t>
            </w:r>
            <w:r>
              <w:rPr>
                <w:rFonts w:hint="eastAsia"/>
                <w:color w:val="000000"/>
              </w:rPr>
              <w:t>迅速</w:t>
            </w:r>
            <w:r>
              <w:rPr>
                <w:rFonts w:hint="eastAsia"/>
                <w:color w:val="000000"/>
                <w:highlight w:val="none"/>
              </w:rPr>
              <w:t>采取相应措施。</w:t>
            </w:r>
          </w:p>
        </w:tc>
      </w:tr>
      <w:tr w14:paraId="288D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1FEE637C">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0379D301">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7E8EBA3C">
            <w:pPr>
              <w:rPr>
                <w:color w:val="000000"/>
                <w:highlight w:val="none"/>
              </w:rPr>
            </w:pPr>
            <w:r>
              <w:rPr>
                <w:rFonts w:hint="eastAsia"/>
                <w:color w:val="000000"/>
                <w:highlight w:val="none"/>
              </w:rPr>
              <w:t>（5）应急响应：接到火警、警情后3分钟内到达现场，并报</w:t>
            </w:r>
            <w:r>
              <w:rPr>
                <w:rFonts w:hint="eastAsia"/>
                <w:color w:val="000000"/>
                <w:highlight w:val="none"/>
                <w:lang w:eastAsia="zh-CN"/>
              </w:rPr>
              <w:t>采购人</w:t>
            </w:r>
            <w:r>
              <w:rPr>
                <w:rFonts w:hint="eastAsia"/>
                <w:color w:val="000000"/>
                <w:highlight w:val="none"/>
              </w:rPr>
              <w:t>与警方，协助采取有关措施。</w:t>
            </w:r>
          </w:p>
        </w:tc>
      </w:tr>
      <w:tr w14:paraId="35D0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759" w:type="dxa"/>
            <w:vMerge w:val="restart"/>
            <w:tcBorders>
              <w:top w:val="single" w:color="auto" w:sz="4" w:space="0"/>
              <w:left w:val="single" w:color="auto" w:sz="4" w:space="0"/>
              <w:bottom w:val="single" w:color="auto" w:sz="4" w:space="0"/>
              <w:right w:val="single" w:color="auto" w:sz="4" w:space="0"/>
            </w:tcBorders>
            <w:noWrap w:val="0"/>
            <w:vAlign w:val="top"/>
          </w:tcPr>
          <w:p w14:paraId="678F933D">
            <w:pPr>
              <w:rPr>
                <w:color w:val="000000"/>
                <w:highlight w:val="none"/>
              </w:rPr>
            </w:pPr>
            <w:r>
              <w:rPr>
                <w:rFonts w:hint="eastAsia"/>
                <w:color w:val="000000"/>
                <w:highlight w:val="none"/>
              </w:rPr>
              <w:t>4</w:t>
            </w:r>
          </w:p>
        </w:tc>
        <w:tc>
          <w:tcPr>
            <w:tcW w:w="1754" w:type="dxa"/>
            <w:vMerge w:val="restart"/>
            <w:tcBorders>
              <w:top w:val="single" w:color="auto" w:sz="4" w:space="0"/>
              <w:left w:val="single" w:color="auto" w:sz="4" w:space="0"/>
              <w:bottom w:val="single" w:color="auto" w:sz="4" w:space="0"/>
              <w:right w:val="single" w:color="auto" w:sz="4" w:space="0"/>
            </w:tcBorders>
            <w:noWrap w:val="0"/>
            <w:vAlign w:val="top"/>
          </w:tcPr>
          <w:p w14:paraId="43C2C6C6">
            <w:pPr>
              <w:rPr>
                <w:color w:val="000000"/>
                <w:highlight w:val="none"/>
              </w:rPr>
            </w:pPr>
            <w:r>
              <w:rPr>
                <w:rFonts w:hint="eastAsia"/>
                <w:color w:val="000000"/>
                <w:highlight w:val="none"/>
              </w:rPr>
              <w:t>监控值守</w:t>
            </w:r>
          </w:p>
        </w:tc>
        <w:tc>
          <w:tcPr>
            <w:tcW w:w="6755" w:type="dxa"/>
            <w:tcBorders>
              <w:top w:val="single" w:color="auto" w:sz="4" w:space="0"/>
              <w:left w:val="single" w:color="auto" w:sz="4" w:space="0"/>
              <w:bottom w:val="single" w:color="auto" w:sz="4" w:space="0"/>
              <w:right w:val="single" w:color="auto" w:sz="4" w:space="0"/>
            </w:tcBorders>
            <w:noWrap w:val="0"/>
            <w:vAlign w:val="top"/>
          </w:tcPr>
          <w:p w14:paraId="2FAEDD31">
            <w:pPr>
              <w:rPr>
                <w:color w:val="000000"/>
                <w:highlight w:val="none"/>
              </w:rPr>
            </w:pPr>
            <w:r>
              <w:rPr>
                <w:rFonts w:hint="eastAsia"/>
                <w:color w:val="000000"/>
                <w:highlight w:val="none"/>
              </w:rPr>
              <w:t>（1）监控室环境卫生符合系统设备运行要求，定期进行检查和打扫，确保系统功能正常。</w:t>
            </w:r>
          </w:p>
        </w:tc>
      </w:tr>
      <w:tr w14:paraId="0D7C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65D4C683">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693734F1">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4F87BDBE">
            <w:pPr>
              <w:rPr>
                <w:color w:val="000000"/>
                <w:highlight w:val="none"/>
              </w:rPr>
            </w:pPr>
            <w:r>
              <w:rPr>
                <w:rFonts w:hint="eastAsia"/>
                <w:color w:val="000000"/>
                <w:highlight w:val="none"/>
              </w:rPr>
              <w:t>（2）监控设备 24 小时正常运行，监控室实行专人24小时值班制度。</w:t>
            </w:r>
          </w:p>
        </w:tc>
      </w:tr>
      <w:tr w14:paraId="4719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78C2F7C1">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58BBC0A2">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4F8489BC">
            <w:pPr>
              <w:rPr>
                <w:color w:val="000000"/>
                <w:highlight w:val="none"/>
              </w:rPr>
            </w:pPr>
            <w:r>
              <w:rPr>
                <w:rFonts w:hint="eastAsia"/>
                <w:color w:val="000000"/>
                <w:highlight w:val="none"/>
              </w:rPr>
              <w:t>（3）监控记录画面清晰，视频监控无死角、无盲区。</w:t>
            </w:r>
          </w:p>
        </w:tc>
      </w:tr>
      <w:tr w14:paraId="290E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53DADCAE">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73D15D59">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146668E4">
            <w:pPr>
              <w:rPr>
                <w:color w:val="000000"/>
                <w:highlight w:val="none"/>
              </w:rPr>
            </w:pPr>
            <w:r>
              <w:rPr>
                <w:rFonts w:hint="eastAsia"/>
                <w:color w:val="000000"/>
                <w:highlight w:val="none"/>
              </w:rPr>
              <w:t>（4）值班期间遵守操作规程和保密制度，做好监控记录的保存工作。</w:t>
            </w:r>
          </w:p>
        </w:tc>
      </w:tr>
      <w:tr w14:paraId="0CD4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45A8B5EB">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535BA014">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628C354D">
            <w:pPr>
              <w:rPr>
                <w:color w:val="000000"/>
                <w:highlight w:val="none"/>
              </w:rPr>
            </w:pPr>
            <w:r>
              <w:rPr>
                <w:rFonts w:hint="eastAsia"/>
                <w:color w:val="000000"/>
                <w:highlight w:val="none"/>
              </w:rPr>
              <w:t>（5）监控记录保持完整，保存时间不应少于 90 天。</w:t>
            </w:r>
          </w:p>
        </w:tc>
      </w:tr>
      <w:tr w14:paraId="6041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28B3D601">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46A4CB4B">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76D2AEE6">
            <w:pPr>
              <w:rPr>
                <w:color w:val="000000"/>
                <w:highlight w:val="none"/>
              </w:rPr>
            </w:pPr>
            <w:r>
              <w:rPr>
                <w:rFonts w:hint="eastAsia"/>
                <w:color w:val="000000"/>
                <w:highlight w:val="none"/>
              </w:rPr>
              <w:t>（6）无关人员进入监控室或查阅监控记录，经授权人批准并做好相关记录。</w:t>
            </w:r>
          </w:p>
        </w:tc>
      </w:tr>
      <w:tr w14:paraId="29CD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0D9E26DD">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07681ED4">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76F86F95">
            <w:pPr>
              <w:rPr>
                <w:color w:val="000000"/>
                <w:highlight w:val="none"/>
              </w:rPr>
            </w:pPr>
            <w:r>
              <w:rPr>
                <w:rFonts w:hint="eastAsia"/>
                <w:color w:val="000000"/>
                <w:highlight w:val="none"/>
              </w:rPr>
              <w:t>（7）监控室收到火情等报警信号、其他异常 情况信号后，及时报警并安排其他</w:t>
            </w:r>
            <w:r>
              <w:rPr>
                <w:rFonts w:hint="eastAsia"/>
                <w:color w:val="000000"/>
                <w:highlight w:val="none"/>
                <w:lang w:eastAsia="zh-CN"/>
              </w:rPr>
              <w:t>保安</w:t>
            </w:r>
            <w:r>
              <w:rPr>
                <w:rFonts w:hint="eastAsia"/>
                <w:color w:val="000000"/>
                <w:highlight w:val="none"/>
              </w:rPr>
              <w:t>人员前往现场进行处理。</w:t>
            </w:r>
          </w:p>
        </w:tc>
      </w:tr>
      <w:tr w14:paraId="7833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59" w:type="dxa"/>
            <w:vMerge w:val="restart"/>
            <w:tcBorders>
              <w:top w:val="single" w:color="auto" w:sz="4" w:space="0"/>
              <w:left w:val="single" w:color="auto" w:sz="4" w:space="0"/>
              <w:bottom w:val="single" w:color="auto" w:sz="4" w:space="0"/>
              <w:right w:val="single" w:color="auto" w:sz="4" w:space="0"/>
            </w:tcBorders>
            <w:noWrap w:val="0"/>
            <w:vAlign w:val="top"/>
          </w:tcPr>
          <w:p w14:paraId="73F990B3">
            <w:pPr>
              <w:rPr>
                <w:color w:val="000000"/>
                <w:highlight w:val="none"/>
              </w:rPr>
            </w:pPr>
            <w:r>
              <w:rPr>
                <w:rFonts w:hint="eastAsia"/>
                <w:color w:val="000000"/>
                <w:highlight w:val="none"/>
              </w:rPr>
              <w:t>5</w:t>
            </w:r>
          </w:p>
        </w:tc>
        <w:tc>
          <w:tcPr>
            <w:tcW w:w="1754" w:type="dxa"/>
            <w:vMerge w:val="restart"/>
            <w:tcBorders>
              <w:top w:val="single" w:color="auto" w:sz="4" w:space="0"/>
              <w:left w:val="single" w:color="auto" w:sz="4" w:space="0"/>
              <w:bottom w:val="single" w:color="auto" w:sz="4" w:space="0"/>
              <w:right w:val="single" w:color="auto" w:sz="4" w:space="0"/>
            </w:tcBorders>
            <w:noWrap w:val="0"/>
            <w:vAlign w:val="top"/>
          </w:tcPr>
          <w:p w14:paraId="406EC147">
            <w:pPr>
              <w:rPr>
                <w:color w:val="000000"/>
                <w:highlight w:val="none"/>
              </w:rPr>
            </w:pPr>
            <w:r>
              <w:rPr>
                <w:rFonts w:hint="eastAsia"/>
                <w:color w:val="000000"/>
                <w:highlight w:val="none"/>
              </w:rPr>
              <w:t>车辆停放</w:t>
            </w:r>
          </w:p>
        </w:tc>
        <w:tc>
          <w:tcPr>
            <w:tcW w:w="6755" w:type="dxa"/>
            <w:tcBorders>
              <w:top w:val="single" w:color="auto" w:sz="4" w:space="0"/>
              <w:left w:val="single" w:color="auto" w:sz="4" w:space="0"/>
              <w:bottom w:val="single" w:color="auto" w:sz="4" w:space="0"/>
              <w:right w:val="single" w:color="auto" w:sz="4" w:space="0"/>
            </w:tcBorders>
            <w:noWrap w:val="0"/>
            <w:vAlign w:val="top"/>
          </w:tcPr>
          <w:p w14:paraId="356EF08E">
            <w:pPr>
              <w:rPr>
                <w:color w:val="000000"/>
                <w:highlight w:val="none"/>
              </w:rPr>
            </w:pPr>
            <w:r>
              <w:rPr>
                <w:rFonts w:hint="eastAsia"/>
                <w:color w:val="000000"/>
                <w:highlight w:val="none"/>
              </w:rPr>
              <w:t>（1）车辆行驶路线设置合理、规范，导向标志完整、清晰。</w:t>
            </w:r>
          </w:p>
        </w:tc>
      </w:tr>
      <w:tr w14:paraId="47DE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47C7A90F">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045AE776">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00AA5C5E">
            <w:pPr>
              <w:rPr>
                <w:color w:val="000000"/>
                <w:highlight w:val="none"/>
              </w:rPr>
            </w:pPr>
            <w:r>
              <w:rPr>
                <w:rFonts w:hint="eastAsia"/>
                <w:color w:val="000000"/>
                <w:highlight w:val="none"/>
              </w:rPr>
              <w:t>（2）合理规划车辆停放区域，张贴车辆引导标识，对车辆及停放区域实行规范管理。</w:t>
            </w:r>
          </w:p>
        </w:tc>
      </w:tr>
      <w:tr w14:paraId="5BC2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5052F45A">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15249594">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1D6C3572">
            <w:pPr>
              <w:rPr>
                <w:color w:val="000000"/>
                <w:highlight w:val="none"/>
              </w:rPr>
            </w:pPr>
            <w:r>
              <w:rPr>
                <w:rFonts w:hint="eastAsia"/>
                <w:color w:val="000000"/>
                <w:highlight w:val="none"/>
              </w:rPr>
              <w:t>（3）严禁在办公楼的公用走道、楼梯间、安全出口处等公共区域停放车辆或充电。</w:t>
            </w:r>
          </w:p>
        </w:tc>
      </w:tr>
      <w:tr w14:paraId="6267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5196C988">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6553766D">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2900C0D6">
            <w:pPr>
              <w:rPr>
                <w:color w:val="000000"/>
                <w:highlight w:val="none"/>
              </w:rPr>
            </w:pPr>
            <w:r>
              <w:rPr>
                <w:rFonts w:hint="eastAsia"/>
                <w:color w:val="000000"/>
                <w:highlight w:val="none"/>
              </w:rPr>
              <w:t>（4）非机动车定点有序停放。</w:t>
            </w:r>
          </w:p>
        </w:tc>
      </w:tr>
      <w:tr w14:paraId="4AD8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7256DC54">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5A5A7037">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2BF6C65E">
            <w:pPr>
              <w:rPr>
                <w:color w:val="000000"/>
                <w:highlight w:val="none"/>
              </w:rPr>
            </w:pPr>
            <w:r>
              <w:rPr>
                <w:rFonts w:hint="eastAsia"/>
                <w:color w:val="000000"/>
                <w:highlight w:val="none"/>
              </w:rPr>
              <w:t>（5）发现车辆异常情况及时通知车主，并做好登记；发生交通事故、自然灾害等意外事故时 及时赶赴现场疏导和协助处理，响应时间不超过 3 分钟。</w:t>
            </w:r>
          </w:p>
        </w:tc>
      </w:tr>
      <w:tr w14:paraId="2E07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59" w:type="dxa"/>
            <w:vMerge w:val="restart"/>
            <w:tcBorders>
              <w:top w:val="single" w:color="auto" w:sz="4" w:space="0"/>
              <w:left w:val="single" w:color="auto" w:sz="4" w:space="0"/>
              <w:bottom w:val="single" w:color="auto" w:sz="4" w:space="0"/>
              <w:right w:val="single" w:color="auto" w:sz="4" w:space="0"/>
            </w:tcBorders>
            <w:noWrap w:val="0"/>
            <w:vAlign w:val="top"/>
          </w:tcPr>
          <w:p w14:paraId="0DD058AF">
            <w:pPr>
              <w:rPr>
                <w:color w:val="000000"/>
                <w:highlight w:val="none"/>
              </w:rPr>
            </w:pPr>
            <w:r>
              <w:rPr>
                <w:rFonts w:hint="eastAsia"/>
                <w:color w:val="000000"/>
                <w:highlight w:val="none"/>
              </w:rPr>
              <w:t>6</w:t>
            </w:r>
          </w:p>
        </w:tc>
        <w:tc>
          <w:tcPr>
            <w:tcW w:w="1754" w:type="dxa"/>
            <w:vMerge w:val="restart"/>
            <w:tcBorders>
              <w:top w:val="single" w:color="auto" w:sz="4" w:space="0"/>
              <w:left w:val="single" w:color="auto" w:sz="4" w:space="0"/>
              <w:bottom w:val="single" w:color="auto" w:sz="4" w:space="0"/>
              <w:right w:val="single" w:color="auto" w:sz="4" w:space="0"/>
            </w:tcBorders>
            <w:noWrap w:val="0"/>
            <w:vAlign w:val="top"/>
          </w:tcPr>
          <w:p w14:paraId="5DDF735A">
            <w:pPr>
              <w:rPr>
                <w:color w:val="000000"/>
                <w:highlight w:val="none"/>
              </w:rPr>
            </w:pPr>
            <w:r>
              <w:rPr>
                <w:rFonts w:hint="eastAsia"/>
                <w:color w:val="000000"/>
                <w:highlight w:val="none"/>
              </w:rPr>
              <w:t>消防安全管理</w:t>
            </w:r>
          </w:p>
        </w:tc>
        <w:tc>
          <w:tcPr>
            <w:tcW w:w="6755" w:type="dxa"/>
            <w:tcBorders>
              <w:top w:val="single" w:color="auto" w:sz="4" w:space="0"/>
              <w:left w:val="single" w:color="auto" w:sz="4" w:space="0"/>
              <w:bottom w:val="single" w:color="auto" w:sz="4" w:space="0"/>
              <w:right w:val="single" w:color="auto" w:sz="4" w:space="0"/>
            </w:tcBorders>
            <w:noWrap w:val="0"/>
            <w:vAlign w:val="top"/>
          </w:tcPr>
          <w:p w14:paraId="69F7B47D">
            <w:pPr>
              <w:rPr>
                <w:color w:val="000000"/>
                <w:highlight w:val="none"/>
              </w:rPr>
            </w:pPr>
            <w:r>
              <w:rPr>
                <w:rFonts w:hint="eastAsia"/>
                <w:color w:val="000000"/>
                <w:highlight w:val="none"/>
              </w:rPr>
              <w:t>（1）建立消防安全责任制，确定各级消防安全责任人及其职责。</w:t>
            </w:r>
          </w:p>
        </w:tc>
      </w:tr>
      <w:tr w14:paraId="40C6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5BC7EC47">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5A1A2E07">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6E90CF71">
            <w:pPr>
              <w:rPr>
                <w:color w:val="000000"/>
                <w:highlight w:val="none"/>
              </w:rPr>
            </w:pPr>
            <w:r>
              <w:rPr>
                <w:rFonts w:hint="eastAsia"/>
                <w:color w:val="000000"/>
                <w:highlight w:val="none"/>
              </w:rPr>
              <w:t>（2）消防控制室实行24小时值班制度，每班不少于2人。</w:t>
            </w:r>
          </w:p>
        </w:tc>
      </w:tr>
      <w:tr w14:paraId="005A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503B52D6">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1E92D294">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2BAD094A">
            <w:pPr>
              <w:rPr>
                <w:color w:val="000000"/>
                <w:highlight w:val="none"/>
              </w:rPr>
            </w:pPr>
            <w:r>
              <w:rPr>
                <w:rFonts w:hint="eastAsia"/>
                <w:color w:val="000000"/>
                <w:highlight w:val="none"/>
              </w:rPr>
              <w:t>（3）消火栓、应急照明、应急物资、消防及人员逃生通道、消防车通道可随时正常使用。</w:t>
            </w:r>
          </w:p>
        </w:tc>
      </w:tr>
      <w:tr w14:paraId="3EB1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57232851">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57EC59C3">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456A8FC9">
            <w:pPr>
              <w:rPr>
                <w:color w:val="000000"/>
                <w:highlight w:val="none"/>
              </w:rPr>
            </w:pPr>
            <w:r>
              <w:rPr>
                <w:rFonts w:hint="eastAsia"/>
                <w:color w:val="000000"/>
                <w:highlight w:val="none"/>
              </w:rPr>
              <w:t>（4）易燃易爆品设专区专人管理，做好相关记录。</w:t>
            </w:r>
          </w:p>
        </w:tc>
      </w:tr>
      <w:tr w14:paraId="4316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697CFA34">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294FC40F">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02278735">
            <w:pPr>
              <w:rPr>
                <w:color w:val="000000"/>
                <w:highlight w:val="none"/>
              </w:rPr>
            </w:pPr>
            <w:r>
              <w:rPr>
                <w:rFonts w:hint="eastAsia"/>
                <w:color w:val="000000"/>
                <w:highlight w:val="none"/>
              </w:rPr>
              <w:t>（5）定期组织消防安全宣传，每半年至少开展1次消防演练。</w:t>
            </w:r>
          </w:p>
        </w:tc>
      </w:tr>
      <w:tr w14:paraId="2B15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59" w:type="dxa"/>
            <w:vMerge w:val="restart"/>
            <w:tcBorders>
              <w:top w:val="single" w:color="auto" w:sz="4" w:space="0"/>
              <w:left w:val="single" w:color="auto" w:sz="4" w:space="0"/>
              <w:bottom w:val="single" w:color="auto" w:sz="4" w:space="0"/>
              <w:right w:val="single" w:color="auto" w:sz="4" w:space="0"/>
            </w:tcBorders>
            <w:noWrap w:val="0"/>
            <w:vAlign w:val="top"/>
          </w:tcPr>
          <w:p w14:paraId="69E44DB7">
            <w:pPr>
              <w:rPr>
                <w:color w:val="000000"/>
                <w:highlight w:val="none"/>
              </w:rPr>
            </w:pPr>
            <w:r>
              <w:rPr>
                <w:rFonts w:hint="eastAsia"/>
                <w:color w:val="000000"/>
                <w:highlight w:val="none"/>
              </w:rPr>
              <w:t>7</w:t>
            </w:r>
          </w:p>
        </w:tc>
        <w:tc>
          <w:tcPr>
            <w:tcW w:w="1754" w:type="dxa"/>
            <w:vMerge w:val="restart"/>
            <w:tcBorders>
              <w:top w:val="single" w:color="auto" w:sz="4" w:space="0"/>
              <w:left w:val="single" w:color="auto" w:sz="4" w:space="0"/>
              <w:bottom w:val="single" w:color="auto" w:sz="4" w:space="0"/>
              <w:right w:val="single" w:color="auto" w:sz="4" w:space="0"/>
            </w:tcBorders>
            <w:noWrap w:val="0"/>
            <w:vAlign w:val="top"/>
          </w:tcPr>
          <w:p w14:paraId="357617E1">
            <w:pPr>
              <w:rPr>
                <w:color w:val="000000"/>
                <w:highlight w:val="none"/>
              </w:rPr>
            </w:pPr>
            <w:r>
              <w:rPr>
                <w:rFonts w:hint="eastAsia"/>
                <w:color w:val="000000"/>
                <w:highlight w:val="none"/>
              </w:rPr>
              <w:t>突发事件处理</w:t>
            </w:r>
          </w:p>
        </w:tc>
        <w:tc>
          <w:tcPr>
            <w:tcW w:w="6755" w:type="dxa"/>
            <w:tcBorders>
              <w:top w:val="single" w:color="auto" w:sz="4" w:space="0"/>
              <w:left w:val="single" w:color="auto" w:sz="4" w:space="0"/>
              <w:bottom w:val="single" w:color="auto" w:sz="4" w:space="0"/>
              <w:right w:val="single" w:color="auto" w:sz="4" w:space="0"/>
            </w:tcBorders>
            <w:noWrap w:val="0"/>
            <w:vAlign w:val="top"/>
          </w:tcPr>
          <w:p w14:paraId="58B10169">
            <w:pPr>
              <w:rPr>
                <w:color w:val="000000"/>
                <w:highlight w:val="none"/>
              </w:rPr>
            </w:pPr>
            <w:r>
              <w:rPr>
                <w:rFonts w:hint="eastAsia"/>
                <w:color w:val="000000"/>
                <w:highlight w:val="none"/>
              </w:rPr>
              <w:t>（1）制定突发事件安全责任书，明确突发事件责任人及应承担的安全责任。</w:t>
            </w:r>
          </w:p>
        </w:tc>
      </w:tr>
      <w:tr w14:paraId="081F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6F7E08FF">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118AF79D">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724081FF">
            <w:pPr>
              <w:rPr>
                <w:color w:val="000000"/>
                <w:highlight w:val="none"/>
              </w:rPr>
            </w:pPr>
            <w:r>
              <w:rPr>
                <w:rFonts w:hint="eastAsia"/>
                <w:color w:val="000000"/>
                <w:highlight w:val="none"/>
              </w:rPr>
              <w:t>（2）建立应急突发事件处置队伍，明确各自的职责。</w:t>
            </w:r>
            <w:r>
              <w:rPr>
                <w:rFonts w:hint="eastAsia"/>
                <w:color w:val="000000"/>
                <w:highlight w:val="none"/>
                <w:lang w:eastAsia="zh-CN"/>
              </w:rPr>
              <w:t>人员具有</w:t>
            </w:r>
            <w:r>
              <w:rPr>
                <w:rFonts w:hint="eastAsia"/>
                <w:color w:val="000000"/>
                <w:lang w:eastAsia="zh-CN"/>
              </w:rPr>
              <w:t>一定的</w:t>
            </w:r>
            <w:r>
              <w:rPr>
                <w:rFonts w:hint="eastAsia"/>
                <w:color w:val="000000"/>
                <w:highlight w:val="none"/>
                <w:lang w:eastAsia="zh-CN"/>
              </w:rPr>
              <w:t>救援知识和救援能力。</w:t>
            </w:r>
          </w:p>
        </w:tc>
      </w:tr>
      <w:tr w14:paraId="5D36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40582CED">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686F172E">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0D175845">
            <w:pPr>
              <w:rPr>
                <w:color w:val="000000"/>
                <w:highlight w:val="none"/>
              </w:rPr>
            </w:pPr>
            <w:r>
              <w:rPr>
                <w:rFonts w:hint="eastAsia"/>
                <w:color w:val="000000"/>
                <w:highlight w:val="none"/>
              </w:rPr>
              <w:t>（3）识别、分析各种潜在风险，针对不同风险类型制定相应解决方案，并配备应急物资。</w:t>
            </w:r>
          </w:p>
        </w:tc>
      </w:tr>
      <w:tr w14:paraId="768E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3FDFB1EB">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23FCDDA2">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65234422">
            <w:pPr>
              <w:rPr>
                <w:color w:val="000000"/>
                <w:highlight w:val="none"/>
              </w:rPr>
            </w:pPr>
            <w:r>
              <w:rPr>
                <w:rFonts w:hint="eastAsia"/>
                <w:color w:val="000000"/>
                <w:highlight w:val="none"/>
              </w:rPr>
              <w:t>（4）每半年至少开展1次突发事件应急演练，并有相应记录。</w:t>
            </w:r>
          </w:p>
        </w:tc>
      </w:tr>
      <w:tr w14:paraId="5B3D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1CFA9838">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39846BAF">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21CD368A">
            <w:pPr>
              <w:rPr>
                <w:color w:val="000000"/>
                <w:highlight w:val="none"/>
              </w:rPr>
            </w:pPr>
            <w:r>
              <w:rPr>
                <w:rFonts w:hint="eastAsia"/>
                <w:color w:val="000000"/>
                <w:highlight w:val="none"/>
              </w:rPr>
              <w:t>（5）发生意外事件时，及时采取应急措施，维护办公区域物业服务正常进行，保护人身财产 安全。</w:t>
            </w:r>
          </w:p>
        </w:tc>
      </w:tr>
      <w:tr w14:paraId="4C8A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569F90CC">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30D931AF">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24F3D56C">
            <w:pPr>
              <w:rPr>
                <w:color w:val="000000"/>
                <w:highlight w:val="none"/>
              </w:rPr>
            </w:pPr>
            <w:r>
              <w:rPr>
                <w:rFonts w:hint="eastAsia"/>
                <w:color w:val="000000"/>
                <w:highlight w:val="none"/>
              </w:rPr>
              <w:t>（6）办公区域物业服务应急预案终止实施后，积极采取措施，在</w:t>
            </w:r>
            <w:r>
              <w:rPr>
                <w:rFonts w:hint="eastAsia"/>
                <w:color w:val="000000"/>
              </w:rPr>
              <w:t>尽可能</w:t>
            </w:r>
            <w:r>
              <w:rPr>
                <w:rFonts w:hint="eastAsia"/>
                <w:color w:val="000000"/>
                <w:highlight w:val="none"/>
              </w:rPr>
              <w:t>短的时间内，消除事故带来的不良影响，妥善安置和慰问受害及受影响的人员和部门。</w:t>
            </w:r>
          </w:p>
        </w:tc>
      </w:tr>
      <w:tr w14:paraId="2972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0BE97B28">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4FDFE0EA">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0144CD71">
            <w:pPr>
              <w:rPr>
                <w:color w:val="000000"/>
                <w:highlight w:val="none"/>
              </w:rPr>
            </w:pPr>
            <w:r>
              <w:rPr>
                <w:rFonts w:hint="eastAsia"/>
                <w:color w:val="000000"/>
                <w:highlight w:val="none"/>
              </w:rPr>
              <w:t>（7）事故处理后，及时形成事故应急总结报告，完善应急救援工作方案。</w:t>
            </w:r>
          </w:p>
        </w:tc>
      </w:tr>
      <w:tr w14:paraId="4114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59" w:type="dxa"/>
            <w:vMerge w:val="restart"/>
            <w:tcBorders>
              <w:top w:val="single" w:color="auto" w:sz="4" w:space="0"/>
              <w:left w:val="single" w:color="auto" w:sz="4" w:space="0"/>
              <w:bottom w:val="single" w:color="auto" w:sz="4" w:space="0"/>
              <w:right w:val="single" w:color="auto" w:sz="4" w:space="0"/>
            </w:tcBorders>
            <w:noWrap w:val="0"/>
            <w:vAlign w:val="top"/>
          </w:tcPr>
          <w:p w14:paraId="290A55E3">
            <w:pPr>
              <w:rPr>
                <w:color w:val="000000"/>
                <w:highlight w:val="none"/>
              </w:rPr>
            </w:pPr>
            <w:r>
              <w:rPr>
                <w:rFonts w:hint="eastAsia"/>
                <w:color w:val="000000"/>
                <w:highlight w:val="none"/>
              </w:rPr>
              <w:t>9</w:t>
            </w:r>
          </w:p>
        </w:tc>
        <w:tc>
          <w:tcPr>
            <w:tcW w:w="1754" w:type="dxa"/>
            <w:vMerge w:val="restart"/>
            <w:tcBorders>
              <w:top w:val="single" w:color="auto" w:sz="4" w:space="0"/>
              <w:left w:val="single" w:color="auto" w:sz="4" w:space="0"/>
              <w:bottom w:val="single" w:color="auto" w:sz="4" w:space="0"/>
              <w:right w:val="single" w:color="auto" w:sz="4" w:space="0"/>
            </w:tcBorders>
            <w:noWrap w:val="0"/>
            <w:vAlign w:val="top"/>
          </w:tcPr>
          <w:p w14:paraId="433357A5">
            <w:pPr>
              <w:rPr>
                <w:color w:val="000000"/>
                <w:highlight w:val="none"/>
              </w:rPr>
            </w:pPr>
            <w:r>
              <w:rPr>
                <w:rFonts w:hint="eastAsia"/>
                <w:color w:val="000000"/>
                <w:highlight w:val="none"/>
              </w:rPr>
              <w:t>大型活动秩序</w:t>
            </w:r>
          </w:p>
        </w:tc>
        <w:tc>
          <w:tcPr>
            <w:tcW w:w="6755" w:type="dxa"/>
            <w:tcBorders>
              <w:top w:val="single" w:color="auto" w:sz="4" w:space="0"/>
              <w:left w:val="single" w:color="auto" w:sz="4" w:space="0"/>
              <w:bottom w:val="single" w:color="auto" w:sz="4" w:space="0"/>
              <w:right w:val="single" w:color="auto" w:sz="4" w:space="0"/>
            </w:tcBorders>
            <w:noWrap w:val="0"/>
            <w:vAlign w:val="top"/>
          </w:tcPr>
          <w:p w14:paraId="58D2962E">
            <w:pPr>
              <w:rPr>
                <w:color w:val="000000"/>
                <w:highlight w:val="none"/>
              </w:rPr>
            </w:pPr>
            <w:r>
              <w:rPr>
                <w:rFonts w:hint="eastAsia"/>
                <w:color w:val="000000"/>
                <w:highlight w:val="none"/>
              </w:rPr>
              <w:t>（1）制定相应的活动秩序维护方案，合理安排人员，并对场所的安全隐患进行排查。</w:t>
            </w:r>
          </w:p>
        </w:tc>
      </w:tr>
      <w:tr w14:paraId="0B15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1B60139A">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29A6767F">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4261F2FC">
            <w:pPr>
              <w:rPr>
                <w:color w:val="000000"/>
                <w:highlight w:val="none"/>
              </w:rPr>
            </w:pPr>
            <w:r>
              <w:rPr>
                <w:rFonts w:hint="eastAsia"/>
                <w:color w:val="000000"/>
                <w:highlight w:val="none"/>
              </w:rPr>
              <w:t>（2）应当保障通道、出入口、停车场等区域</w:t>
            </w:r>
            <w:r>
              <w:rPr>
                <w:rFonts w:hint="eastAsia"/>
                <w:color w:val="000000"/>
              </w:rPr>
              <w:t>畅通</w:t>
            </w:r>
            <w:r>
              <w:rPr>
                <w:rFonts w:hint="eastAsia"/>
                <w:color w:val="000000"/>
                <w:highlight w:val="none"/>
              </w:rPr>
              <w:t>。</w:t>
            </w:r>
          </w:p>
        </w:tc>
      </w:tr>
      <w:tr w14:paraId="240C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top"/>
          </w:tcPr>
          <w:p w14:paraId="2502652E">
            <w:pPr>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top"/>
          </w:tcPr>
          <w:p w14:paraId="34C7402C">
            <w:pPr>
              <w:rPr>
                <w:color w:val="000000"/>
                <w:highlight w:val="none"/>
              </w:rPr>
            </w:pPr>
          </w:p>
        </w:tc>
        <w:tc>
          <w:tcPr>
            <w:tcW w:w="6755" w:type="dxa"/>
            <w:tcBorders>
              <w:top w:val="single" w:color="auto" w:sz="4" w:space="0"/>
              <w:left w:val="single" w:color="auto" w:sz="4" w:space="0"/>
              <w:bottom w:val="single" w:color="auto" w:sz="4" w:space="0"/>
              <w:right w:val="single" w:color="auto" w:sz="4" w:space="0"/>
            </w:tcBorders>
            <w:noWrap w:val="0"/>
            <w:vAlign w:val="top"/>
          </w:tcPr>
          <w:p w14:paraId="08EA3645">
            <w:pPr>
              <w:rPr>
                <w:color w:val="000000"/>
                <w:highlight w:val="none"/>
              </w:rPr>
            </w:pPr>
            <w:r>
              <w:rPr>
                <w:rFonts w:hint="eastAsia"/>
                <w:color w:val="000000"/>
                <w:highlight w:val="none"/>
              </w:rPr>
              <w:t>（3）活动举办过程中，做好现场秩序的维护和突发事故的处置工作，确保活动正常进行。</w:t>
            </w:r>
          </w:p>
        </w:tc>
      </w:tr>
      <w:tr w14:paraId="3BA3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top"/>
          </w:tcPr>
          <w:p w14:paraId="25F28A63">
            <w:pPr>
              <w:rPr>
                <w:color w:val="000000"/>
                <w:highlight w:val="none"/>
              </w:rPr>
            </w:pPr>
            <w:r>
              <w:rPr>
                <w:rFonts w:hint="eastAsia"/>
                <w:color w:val="000000"/>
                <w:highlight w:val="none"/>
              </w:rPr>
              <w:t>10</w:t>
            </w:r>
          </w:p>
        </w:tc>
        <w:tc>
          <w:tcPr>
            <w:tcW w:w="1754" w:type="dxa"/>
            <w:tcBorders>
              <w:top w:val="single" w:color="auto" w:sz="4" w:space="0"/>
              <w:left w:val="single" w:color="auto" w:sz="4" w:space="0"/>
              <w:bottom w:val="single" w:color="auto" w:sz="4" w:space="0"/>
              <w:right w:val="single" w:color="auto" w:sz="4" w:space="0"/>
            </w:tcBorders>
            <w:noWrap w:val="0"/>
            <w:vAlign w:val="top"/>
          </w:tcPr>
          <w:p w14:paraId="2D67BDEA">
            <w:pPr>
              <w:rPr>
                <w:color w:val="000000"/>
                <w:highlight w:val="none"/>
              </w:rPr>
            </w:pPr>
            <w:r>
              <w:rPr>
                <w:rFonts w:hint="eastAsia"/>
                <w:color w:val="000000"/>
                <w:highlight w:val="none"/>
              </w:rPr>
              <w:t>其他要求</w:t>
            </w:r>
          </w:p>
        </w:tc>
        <w:tc>
          <w:tcPr>
            <w:tcW w:w="6755" w:type="dxa"/>
            <w:tcBorders>
              <w:top w:val="single" w:color="auto" w:sz="4" w:space="0"/>
              <w:left w:val="single" w:color="auto" w:sz="4" w:space="0"/>
              <w:bottom w:val="single" w:color="auto" w:sz="4" w:space="0"/>
              <w:right w:val="single" w:color="auto" w:sz="4" w:space="0"/>
            </w:tcBorders>
            <w:noWrap w:val="0"/>
            <w:vAlign w:val="top"/>
          </w:tcPr>
          <w:p w14:paraId="7F03C4C0">
            <w:pPr>
              <w:spacing w:line="380" w:lineRule="exact"/>
              <w:rPr>
                <w:rFonts w:ascii="宋体" w:hAnsi="宋体" w:cs="宋体"/>
                <w:color w:val="000000"/>
                <w:szCs w:val="21"/>
                <w:highlight w:val="none"/>
              </w:rPr>
            </w:pP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lang w:eastAsia="zh-CN"/>
              </w:rPr>
              <w:t>保安人员</w:t>
            </w:r>
            <w:r>
              <w:rPr>
                <w:rFonts w:hint="eastAsia" w:ascii="宋体" w:hAnsi="宋体" w:cs="宋体"/>
                <w:color w:val="000000"/>
                <w:szCs w:val="21"/>
                <w:highlight w:val="none"/>
              </w:rPr>
              <w:t>服装：每个</w:t>
            </w:r>
            <w:r>
              <w:rPr>
                <w:rFonts w:hint="eastAsia" w:ascii="宋体" w:hAnsi="宋体" w:cs="宋体"/>
                <w:color w:val="000000"/>
                <w:szCs w:val="21"/>
                <w:highlight w:val="none"/>
                <w:lang w:eastAsia="zh-CN"/>
              </w:rPr>
              <w:t>保安</w:t>
            </w:r>
            <w:r>
              <w:rPr>
                <w:rFonts w:hint="eastAsia" w:ascii="宋体" w:hAnsi="宋体" w:cs="宋体"/>
                <w:color w:val="000000"/>
                <w:szCs w:val="21"/>
                <w:highlight w:val="none"/>
              </w:rPr>
              <w:t>人员标配夏装两套、冬装两套、冬季大衣一件、</w:t>
            </w:r>
            <w:r>
              <w:rPr>
                <w:rFonts w:hint="eastAsia" w:ascii="宋体" w:hAnsi="宋体" w:cs="宋体"/>
                <w:color w:val="000000"/>
                <w:szCs w:val="21"/>
                <w:highlight w:val="none"/>
                <w:lang w:eastAsia="zh-CN"/>
              </w:rPr>
              <w:t>工作</w:t>
            </w:r>
            <w:r>
              <w:rPr>
                <w:rFonts w:hint="eastAsia" w:ascii="宋体" w:hAnsi="宋体" w:cs="宋体"/>
                <w:color w:val="000000"/>
                <w:szCs w:val="21"/>
                <w:highlight w:val="none"/>
              </w:rPr>
              <w:t>鞋两双。</w:t>
            </w:r>
          </w:p>
          <w:p w14:paraId="2D9719B0">
            <w:pPr>
              <w:spacing w:line="380" w:lineRule="exact"/>
              <w:rPr>
                <w:color w:val="000000"/>
                <w:highlight w:val="none"/>
              </w:rPr>
            </w:pPr>
            <w:r>
              <w:rPr>
                <w:rFonts w:hint="eastAsia" w:ascii="宋体" w:hAnsi="宋体" w:cs="宋体"/>
                <w:color w:val="000000"/>
                <w:szCs w:val="21"/>
                <w:highlight w:val="none"/>
              </w:rPr>
              <w:t>2、警戒装备：钢叉、盾牌、T型棍、电棒、通讯设备（对讲机、电话机等）、手电筒(含电池）、雨具及常用办公耗材等。每个岗位以上装备必须配备齐全（至少一套）。</w:t>
            </w:r>
          </w:p>
        </w:tc>
      </w:tr>
    </w:tbl>
    <w:p w14:paraId="74EF02B8">
      <w:pPr>
        <w:ind w:firstLine="211"/>
        <w:outlineLvl w:val="2"/>
        <w:rPr>
          <w:rFonts w:hint="eastAsia"/>
          <w:b/>
          <w:bCs/>
          <w:color w:val="000000"/>
          <w:highlight w:val="none"/>
        </w:rPr>
      </w:pPr>
    </w:p>
    <w:p w14:paraId="75439C61">
      <w:pPr>
        <w:ind w:firstLine="211"/>
        <w:outlineLvl w:val="2"/>
        <w:rPr>
          <w:b/>
          <w:bCs/>
          <w:color w:val="auto"/>
          <w:highlight w:val="none"/>
        </w:rPr>
      </w:pPr>
      <w:r>
        <w:rPr>
          <w:rFonts w:hint="eastAsia"/>
          <w:b/>
          <w:bCs/>
          <w:color w:val="auto"/>
          <w:highlight w:val="none"/>
        </w:rPr>
        <w:t>3.</w:t>
      </w:r>
      <w:r>
        <w:rPr>
          <w:rFonts w:hint="eastAsia"/>
          <w:b/>
          <w:bCs/>
          <w:color w:val="auto"/>
          <w:highlight w:val="none"/>
          <w:lang w:val="en-US" w:eastAsia="zh-CN"/>
        </w:rPr>
        <w:t>7智慧</w:t>
      </w:r>
      <w:r>
        <w:rPr>
          <w:rFonts w:hint="eastAsia"/>
          <w:b/>
          <w:bCs/>
          <w:color w:val="auto"/>
          <w:highlight w:val="none"/>
        </w:rPr>
        <w:t>服务</w:t>
      </w:r>
    </w:p>
    <w:tbl>
      <w:tblPr>
        <w:tblStyle w:val="30"/>
        <w:tblW w:w="9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54"/>
        <w:gridCol w:w="6755"/>
      </w:tblGrid>
      <w:tr w14:paraId="3DF8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top"/>
          </w:tcPr>
          <w:p w14:paraId="65A06420">
            <w:pPr>
              <w:rPr>
                <w:color w:val="auto"/>
                <w:highlight w:val="none"/>
              </w:rPr>
            </w:pPr>
            <w:r>
              <w:rPr>
                <w:rFonts w:hint="eastAsia"/>
                <w:color w:val="auto"/>
                <w:highlight w:val="none"/>
              </w:rPr>
              <w:t>序号</w:t>
            </w:r>
          </w:p>
        </w:tc>
        <w:tc>
          <w:tcPr>
            <w:tcW w:w="1754" w:type="dxa"/>
            <w:noWrap w:val="0"/>
            <w:vAlign w:val="top"/>
          </w:tcPr>
          <w:p w14:paraId="42354EE1">
            <w:pPr>
              <w:rPr>
                <w:color w:val="auto"/>
                <w:highlight w:val="none"/>
              </w:rPr>
            </w:pPr>
            <w:r>
              <w:rPr>
                <w:rFonts w:hint="eastAsia"/>
                <w:color w:val="auto"/>
                <w:highlight w:val="none"/>
              </w:rPr>
              <w:t>服务内容</w:t>
            </w:r>
          </w:p>
        </w:tc>
        <w:tc>
          <w:tcPr>
            <w:tcW w:w="6755" w:type="dxa"/>
            <w:noWrap w:val="0"/>
            <w:vAlign w:val="top"/>
          </w:tcPr>
          <w:p w14:paraId="03EAB41D">
            <w:pPr>
              <w:rPr>
                <w:color w:val="auto"/>
                <w:highlight w:val="none"/>
              </w:rPr>
            </w:pPr>
            <w:r>
              <w:rPr>
                <w:rFonts w:hint="eastAsia"/>
                <w:color w:val="auto"/>
                <w:highlight w:val="none"/>
              </w:rPr>
              <w:t>服务标准</w:t>
            </w:r>
          </w:p>
        </w:tc>
      </w:tr>
      <w:tr w14:paraId="4C5E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59" w:type="dxa"/>
            <w:vMerge w:val="restart"/>
            <w:noWrap w:val="0"/>
            <w:vAlign w:val="top"/>
          </w:tcPr>
          <w:p w14:paraId="0F61EFB3">
            <w:pPr>
              <w:rPr>
                <w:color w:val="auto"/>
                <w:highlight w:val="none"/>
              </w:rPr>
            </w:pPr>
            <w:r>
              <w:rPr>
                <w:rFonts w:hint="eastAsia"/>
                <w:color w:val="auto"/>
                <w:highlight w:val="none"/>
              </w:rPr>
              <w:t>1</w:t>
            </w:r>
          </w:p>
        </w:tc>
        <w:tc>
          <w:tcPr>
            <w:tcW w:w="1754" w:type="dxa"/>
            <w:vMerge w:val="restart"/>
            <w:noWrap w:val="0"/>
            <w:vAlign w:val="top"/>
          </w:tcPr>
          <w:p w14:paraId="16302F45">
            <w:pPr>
              <w:rPr>
                <w:color w:val="auto"/>
                <w:highlight w:val="none"/>
              </w:rPr>
            </w:pPr>
            <w:r>
              <w:rPr>
                <w:rFonts w:hint="eastAsia"/>
                <w:color w:val="auto"/>
                <w:highlight w:val="none"/>
              </w:rPr>
              <w:t>基本要求</w:t>
            </w:r>
          </w:p>
        </w:tc>
        <w:tc>
          <w:tcPr>
            <w:tcW w:w="6755" w:type="dxa"/>
            <w:noWrap w:val="0"/>
            <w:vAlign w:val="top"/>
          </w:tcPr>
          <w:p w14:paraId="5A7489CC">
            <w:pPr>
              <w:rPr>
                <w:rFonts w:hint="eastAsia" w:eastAsia="宋体"/>
                <w:color w:val="auto"/>
                <w:highlight w:val="none"/>
                <w:lang w:eastAsia="zh-CN"/>
              </w:rPr>
            </w:pPr>
            <w:r>
              <w:rPr>
                <w:rFonts w:hint="eastAsia"/>
                <w:color w:val="auto"/>
                <w:highlight w:val="none"/>
              </w:rPr>
              <w:t>（1）</w:t>
            </w:r>
            <w:r>
              <w:rPr>
                <w:rFonts w:hint="eastAsia"/>
                <w:color w:val="auto"/>
                <w:highlight w:val="none"/>
                <w:lang w:eastAsia="zh-CN"/>
              </w:rPr>
              <w:t>智慧管理系统需经采购人审核后接入采购人智慧系统。</w:t>
            </w:r>
          </w:p>
        </w:tc>
      </w:tr>
      <w:tr w14:paraId="537C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59" w:type="dxa"/>
            <w:vMerge w:val="continue"/>
            <w:noWrap w:val="0"/>
            <w:vAlign w:val="top"/>
          </w:tcPr>
          <w:p w14:paraId="7264E476">
            <w:pPr>
              <w:rPr>
                <w:color w:val="auto"/>
                <w:highlight w:val="none"/>
              </w:rPr>
            </w:pPr>
          </w:p>
        </w:tc>
        <w:tc>
          <w:tcPr>
            <w:tcW w:w="1754" w:type="dxa"/>
            <w:vMerge w:val="continue"/>
            <w:noWrap w:val="0"/>
            <w:vAlign w:val="top"/>
          </w:tcPr>
          <w:p w14:paraId="572AC8C2">
            <w:pPr>
              <w:rPr>
                <w:color w:val="auto"/>
                <w:highlight w:val="none"/>
              </w:rPr>
            </w:pPr>
          </w:p>
        </w:tc>
        <w:tc>
          <w:tcPr>
            <w:tcW w:w="6755" w:type="dxa"/>
            <w:noWrap w:val="0"/>
            <w:vAlign w:val="top"/>
          </w:tcPr>
          <w:p w14:paraId="79A8AF44">
            <w:pPr>
              <w:rPr>
                <w:rFonts w:hint="eastAsia" w:eastAsia="宋体"/>
                <w:color w:val="auto"/>
                <w:highlight w:val="none"/>
                <w:lang w:eastAsia="zh-CN"/>
              </w:rPr>
            </w:pPr>
            <w:r>
              <w:rPr>
                <w:rFonts w:hint="eastAsia"/>
                <w:color w:val="auto"/>
                <w:highlight w:val="none"/>
              </w:rPr>
              <w:t>（2）</w:t>
            </w:r>
            <w:r>
              <w:rPr>
                <w:rFonts w:hint="eastAsia"/>
                <w:color w:val="auto"/>
                <w:highlight w:val="none"/>
                <w:lang w:eastAsia="zh-CN"/>
              </w:rPr>
              <w:t>接入智慧</w:t>
            </w:r>
            <w:r>
              <w:rPr>
                <w:rFonts w:hint="eastAsia"/>
                <w:color w:val="auto"/>
                <w:highlight w:val="none"/>
                <w:lang w:val="en-US" w:eastAsia="zh-CN"/>
              </w:rPr>
              <w:t>系统</w:t>
            </w:r>
            <w:r>
              <w:rPr>
                <w:rFonts w:hint="eastAsia"/>
                <w:color w:val="auto"/>
                <w:highlight w:val="none"/>
                <w:lang w:eastAsia="zh-CN"/>
              </w:rPr>
              <w:t>功能须于采购人智慧系统保持一致。</w:t>
            </w:r>
          </w:p>
        </w:tc>
      </w:tr>
      <w:tr w14:paraId="3231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59" w:type="dxa"/>
            <w:vMerge w:val="continue"/>
            <w:noWrap w:val="0"/>
            <w:vAlign w:val="top"/>
          </w:tcPr>
          <w:p w14:paraId="4DEB8EF9">
            <w:pPr>
              <w:rPr>
                <w:color w:val="auto"/>
                <w:highlight w:val="none"/>
              </w:rPr>
            </w:pPr>
          </w:p>
        </w:tc>
        <w:tc>
          <w:tcPr>
            <w:tcW w:w="1754" w:type="dxa"/>
            <w:vMerge w:val="continue"/>
            <w:noWrap w:val="0"/>
            <w:vAlign w:val="top"/>
          </w:tcPr>
          <w:p w14:paraId="0428FC6F">
            <w:pPr>
              <w:rPr>
                <w:color w:val="auto"/>
                <w:highlight w:val="none"/>
              </w:rPr>
            </w:pPr>
          </w:p>
        </w:tc>
        <w:tc>
          <w:tcPr>
            <w:tcW w:w="6755" w:type="dxa"/>
            <w:noWrap w:val="0"/>
            <w:vAlign w:val="top"/>
          </w:tcPr>
          <w:p w14:paraId="0D579D6D">
            <w:pPr>
              <w:rPr>
                <w:rFonts w:hint="eastAsia" w:eastAsia="宋体"/>
                <w:color w:val="auto"/>
                <w:highlight w:val="none"/>
                <w:lang w:eastAsia="zh-CN"/>
              </w:rPr>
            </w:pPr>
            <w:r>
              <w:rPr>
                <w:rFonts w:hint="eastAsia"/>
                <w:color w:val="auto"/>
                <w:highlight w:val="none"/>
              </w:rPr>
              <w:t>（3）</w:t>
            </w:r>
            <w:r>
              <w:rPr>
                <w:rFonts w:hint="eastAsia"/>
                <w:color w:val="auto"/>
                <w:highlight w:val="none"/>
                <w:lang w:eastAsia="zh-CN"/>
              </w:rPr>
              <w:t>智慧系统软硬件更新须与采购人智慧系统同步。</w:t>
            </w:r>
          </w:p>
        </w:tc>
      </w:tr>
      <w:tr w14:paraId="5410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59" w:type="dxa"/>
            <w:vMerge w:val="restart"/>
            <w:noWrap w:val="0"/>
            <w:vAlign w:val="top"/>
          </w:tcPr>
          <w:p w14:paraId="690F53F5">
            <w:pPr>
              <w:rPr>
                <w:color w:val="auto"/>
                <w:highlight w:val="none"/>
              </w:rPr>
            </w:pPr>
            <w:r>
              <w:rPr>
                <w:rFonts w:hint="eastAsia"/>
                <w:color w:val="auto"/>
                <w:highlight w:val="none"/>
              </w:rPr>
              <w:t>2</w:t>
            </w:r>
          </w:p>
        </w:tc>
        <w:tc>
          <w:tcPr>
            <w:tcW w:w="1754" w:type="dxa"/>
            <w:vMerge w:val="restart"/>
            <w:noWrap w:val="0"/>
            <w:vAlign w:val="top"/>
          </w:tcPr>
          <w:p w14:paraId="5DF5D739">
            <w:pPr>
              <w:rPr>
                <w:rFonts w:hint="eastAsia"/>
                <w:color w:val="auto"/>
                <w:highlight w:val="none"/>
              </w:rPr>
            </w:pPr>
            <w:r>
              <w:rPr>
                <w:rFonts w:hint="eastAsia"/>
                <w:color w:val="auto"/>
                <w:highlight w:val="none"/>
                <w:lang w:val="en-US" w:eastAsia="zh-CN"/>
              </w:rPr>
              <w:t>软件维护服务</w:t>
            </w:r>
          </w:p>
          <w:p w14:paraId="59C5910C">
            <w:pPr>
              <w:rPr>
                <w:color w:val="auto"/>
                <w:highlight w:val="none"/>
              </w:rPr>
            </w:pPr>
          </w:p>
        </w:tc>
        <w:tc>
          <w:tcPr>
            <w:tcW w:w="6755" w:type="dxa"/>
            <w:noWrap w:val="0"/>
            <w:vAlign w:val="top"/>
          </w:tcPr>
          <w:p w14:paraId="28D715D8">
            <w:pPr>
              <w:rPr>
                <w:color w:val="auto"/>
                <w:highlight w:val="none"/>
              </w:rPr>
            </w:pPr>
            <w:r>
              <w:rPr>
                <w:rFonts w:hint="eastAsia"/>
                <w:color w:val="auto"/>
                <w:highlight w:val="none"/>
              </w:rPr>
              <w:t>（1）</w:t>
            </w:r>
            <w:r>
              <w:rPr>
                <w:rFonts w:hint="eastAsia"/>
                <w:color w:val="auto"/>
                <w:highlight w:val="none"/>
                <w:lang w:val="en-US" w:eastAsia="zh-CN"/>
              </w:rPr>
              <w:t>日常巡检：投标人须提供定期巡检服务，对软件运行状态、数据库稳定性、权限分配合理性等进行全面检查，及时排查潜在隐患。巡检完成后，须提交巡检报告，明确巡检结果、发现问题及整改措施，经采购人确认后存档备查，巡检记录需保存至少1年。</w:t>
            </w:r>
          </w:p>
        </w:tc>
      </w:tr>
      <w:tr w14:paraId="4B8C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59" w:type="dxa"/>
            <w:vMerge w:val="continue"/>
            <w:noWrap w:val="0"/>
            <w:vAlign w:val="top"/>
          </w:tcPr>
          <w:p w14:paraId="559A4CA7">
            <w:pPr>
              <w:rPr>
                <w:color w:val="auto"/>
                <w:highlight w:val="none"/>
              </w:rPr>
            </w:pPr>
          </w:p>
        </w:tc>
        <w:tc>
          <w:tcPr>
            <w:tcW w:w="1754" w:type="dxa"/>
            <w:vMerge w:val="continue"/>
            <w:noWrap w:val="0"/>
            <w:vAlign w:val="top"/>
          </w:tcPr>
          <w:p w14:paraId="33D006F1">
            <w:pPr>
              <w:rPr>
                <w:color w:val="auto"/>
                <w:highlight w:val="none"/>
              </w:rPr>
            </w:pPr>
          </w:p>
        </w:tc>
        <w:tc>
          <w:tcPr>
            <w:tcW w:w="6755" w:type="dxa"/>
            <w:noWrap w:val="0"/>
            <w:vAlign w:val="top"/>
          </w:tcPr>
          <w:p w14:paraId="0AF7AE5D">
            <w:pPr>
              <w:keepNext w:val="0"/>
              <w:keepLines w:val="0"/>
              <w:widowControl/>
              <w:suppressLineNumbers w:val="0"/>
              <w:jc w:val="left"/>
              <w:rPr>
                <w:color w:val="auto"/>
                <w:highlight w:val="none"/>
              </w:rPr>
            </w:pPr>
            <w:r>
              <w:rPr>
                <w:rFonts w:hint="eastAsia"/>
                <w:color w:val="auto"/>
                <w:highlight w:val="none"/>
              </w:rPr>
              <w:t>（2）</w:t>
            </w:r>
            <w:r>
              <w:rPr>
                <w:rFonts w:hint="eastAsia"/>
                <w:color w:val="auto"/>
                <w:highlight w:val="none"/>
                <w:lang w:val="en-US" w:eastAsia="zh-CN"/>
              </w:rPr>
              <w:t>故障维修：服务期内软件出现任何的故障，投标人须免费提供维修服务，包括软件修复、数据库恢复、模块替换（软件层面）等，不收取任何额外费用。</w:t>
            </w:r>
          </w:p>
        </w:tc>
      </w:tr>
      <w:tr w14:paraId="4B24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59" w:type="dxa"/>
            <w:vMerge w:val="continue"/>
            <w:noWrap w:val="0"/>
            <w:vAlign w:val="top"/>
          </w:tcPr>
          <w:p w14:paraId="6ECAE669">
            <w:pPr>
              <w:rPr>
                <w:color w:val="auto"/>
                <w:highlight w:val="none"/>
              </w:rPr>
            </w:pPr>
          </w:p>
        </w:tc>
        <w:tc>
          <w:tcPr>
            <w:tcW w:w="1754" w:type="dxa"/>
            <w:vMerge w:val="continue"/>
            <w:noWrap w:val="0"/>
            <w:vAlign w:val="top"/>
          </w:tcPr>
          <w:p w14:paraId="7F37582F">
            <w:pPr>
              <w:rPr>
                <w:color w:val="auto"/>
                <w:highlight w:val="none"/>
              </w:rPr>
            </w:pPr>
          </w:p>
        </w:tc>
        <w:tc>
          <w:tcPr>
            <w:tcW w:w="6755" w:type="dxa"/>
            <w:noWrap w:val="0"/>
            <w:vAlign w:val="top"/>
          </w:tcPr>
          <w:p w14:paraId="6851D3B1">
            <w:pPr>
              <w:keepNext w:val="0"/>
              <w:keepLines w:val="0"/>
              <w:widowControl/>
              <w:numPr>
                <w:ilvl w:val="0"/>
                <w:numId w:val="0"/>
              </w:numPr>
              <w:suppressLineNumbers w:val="0"/>
              <w:spacing w:before="100" w:beforeAutospacing="1" w:after="100" w:afterAutospacing="1"/>
              <w:jc w:val="left"/>
              <w:rPr>
                <w:color w:val="auto"/>
                <w:highlight w:val="none"/>
              </w:rPr>
            </w:pPr>
            <w:r>
              <w:rPr>
                <w:rFonts w:hint="eastAsia"/>
                <w:color w:val="auto"/>
                <w:highlight w:val="none"/>
              </w:rPr>
              <w:t>（3）</w:t>
            </w:r>
            <w:r>
              <w:rPr>
                <w:rFonts w:hint="eastAsia"/>
                <w:color w:val="auto"/>
                <w:highlight w:val="none"/>
                <w:lang w:val="en-US" w:eastAsia="zh-CN"/>
              </w:rPr>
              <w:t>数据管理：投标人须负责软件数据的安全管理，包括数据加密存储、日常备份、异地备份等，确保通行记录、人员信息、权限数据等不丢失、不泄露。每日自动备份数据，异地存储至少12个月，每月验证1次备份数据的有效性，确保数据可正常恢复；采购人提出数据导出、查询、统计需求时，投标人须在24小时内配合完成，不得无故拖延。</w:t>
            </w:r>
          </w:p>
        </w:tc>
      </w:tr>
      <w:tr w14:paraId="279F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59" w:type="dxa"/>
            <w:vMerge w:val="continue"/>
            <w:noWrap w:val="0"/>
            <w:vAlign w:val="top"/>
          </w:tcPr>
          <w:p w14:paraId="0985541F">
            <w:pPr>
              <w:rPr>
                <w:color w:val="auto"/>
                <w:highlight w:val="none"/>
              </w:rPr>
            </w:pPr>
          </w:p>
        </w:tc>
        <w:tc>
          <w:tcPr>
            <w:tcW w:w="1754" w:type="dxa"/>
            <w:vMerge w:val="continue"/>
            <w:noWrap w:val="0"/>
            <w:vAlign w:val="top"/>
          </w:tcPr>
          <w:p w14:paraId="6695B501">
            <w:pPr>
              <w:rPr>
                <w:color w:val="auto"/>
                <w:highlight w:val="none"/>
              </w:rPr>
            </w:pPr>
          </w:p>
        </w:tc>
        <w:tc>
          <w:tcPr>
            <w:tcW w:w="6755" w:type="dxa"/>
            <w:noWrap w:val="0"/>
            <w:vAlign w:val="top"/>
          </w:tcPr>
          <w:p w14:paraId="00BF0CC3">
            <w:pPr>
              <w:keepNext w:val="0"/>
              <w:keepLines w:val="0"/>
              <w:widowControl/>
              <w:numPr>
                <w:ilvl w:val="0"/>
                <w:numId w:val="0"/>
              </w:numPr>
              <w:suppressLineNumbers w:val="0"/>
              <w:spacing w:before="100" w:beforeAutospacing="1" w:after="100" w:afterAutospacing="1"/>
              <w:jc w:val="left"/>
              <w:rPr>
                <w:color w:val="auto"/>
                <w:highlight w:val="none"/>
              </w:rPr>
            </w:pPr>
            <w:r>
              <w:rPr>
                <w:rFonts w:hint="eastAsia"/>
                <w:color w:val="auto"/>
                <w:highlight w:val="none"/>
              </w:rPr>
              <w:t>（4）</w:t>
            </w:r>
            <w:r>
              <w:rPr>
                <w:rFonts w:hint="eastAsia"/>
                <w:color w:val="auto"/>
                <w:highlight w:val="none"/>
                <w:lang w:val="en-US" w:eastAsia="zh-CN"/>
              </w:rPr>
              <w:t>权限维护：根据采购人需求，投标人须配合完成软件用户权限的新增、修改、删除、冻结等操作，操作响应时间≤24小时；每半年协助采购人对权限分配情况进行一次全面核查，提出优化建议，确保权限分配合理、安全，避免权限泄露或滥用。</w:t>
            </w:r>
          </w:p>
        </w:tc>
      </w:tr>
      <w:tr w14:paraId="014D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59" w:type="dxa"/>
            <w:vMerge w:val="continue"/>
            <w:noWrap w:val="0"/>
            <w:vAlign w:val="top"/>
          </w:tcPr>
          <w:p w14:paraId="39591A87">
            <w:pPr>
              <w:rPr>
                <w:color w:val="auto"/>
                <w:highlight w:val="none"/>
              </w:rPr>
            </w:pPr>
          </w:p>
        </w:tc>
        <w:tc>
          <w:tcPr>
            <w:tcW w:w="1754" w:type="dxa"/>
            <w:vMerge w:val="continue"/>
            <w:noWrap w:val="0"/>
            <w:vAlign w:val="top"/>
          </w:tcPr>
          <w:p w14:paraId="1DDA6988">
            <w:pPr>
              <w:rPr>
                <w:color w:val="auto"/>
                <w:highlight w:val="none"/>
              </w:rPr>
            </w:pPr>
          </w:p>
        </w:tc>
        <w:tc>
          <w:tcPr>
            <w:tcW w:w="6755" w:type="dxa"/>
            <w:noWrap w:val="0"/>
            <w:vAlign w:val="top"/>
          </w:tcPr>
          <w:p w14:paraId="0665E48F">
            <w:pPr>
              <w:keepNext w:val="0"/>
              <w:keepLines w:val="0"/>
              <w:widowControl/>
              <w:numPr>
                <w:ilvl w:val="0"/>
                <w:numId w:val="0"/>
              </w:numPr>
              <w:suppressLineNumbers w:val="0"/>
              <w:spacing w:before="100" w:beforeAutospacing="1" w:after="100" w:afterAutospacing="1"/>
              <w:jc w:val="left"/>
              <w:rPr>
                <w:rFonts w:hint="eastAsia" w:eastAsia="宋体"/>
                <w:color w:val="auto"/>
                <w:highlight w:val="none"/>
                <w:lang w:eastAsia="zh-CN"/>
              </w:rPr>
            </w:pPr>
            <w:r>
              <w:rPr>
                <w:rFonts w:hint="eastAsia"/>
                <w:color w:val="auto"/>
                <w:highlight w:val="none"/>
              </w:rPr>
              <w:t>（</w:t>
            </w:r>
            <w:r>
              <w:rPr>
                <w:rFonts w:hint="eastAsia"/>
                <w:color w:val="auto"/>
                <w:highlight w:val="none"/>
                <w:lang w:val="en-US" w:eastAsia="zh-CN"/>
              </w:rPr>
              <w:t>5</w:t>
            </w:r>
            <w:r>
              <w:rPr>
                <w:rFonts w:hint="eastAsia"/>
                <w:color w:val="auto"/>
                <w:highlight w:val="none"/>
              </w:rPr>
              <w:t>）</w:t>
            </w:r>
            <w:r>
              <w:rPr>
                <w:rFonts w:hint="eastAsia"/>
                <w:color w:val="auto"/>
                <w:highlight w:val="none"/>
                <w:lang w:val="en-US" w:eastAsia="zh-CN"/>
              </w:rPr>
              <w:t>保密要求：投标人须对软件相关的技术资料、</w:t>
            </w:r>
            <w:r>
              <w:t>采购人</w:t>
            </w:r>
            <w:r>
              <w:rPr>
                <w:rFonts w:hint="eastAsia"/>
                <w:color w:val="auto"/>
                <w:highlight w:val="none"/>
                <w:lang w:val="en-US" w:eastAsia="zh-CN"/>
              </w:rPr>
              <w:t>的人员信息、通行数据、权限设置等敏感信息严格保密，不得泄露、篡改、出售给任何第三方，若因投标人原因导致信息泄露，须承担由此给</w:t>
            </w:r>
            <w:r>
              <w:t>采购人</w:t>
            </w:r>
            <w:r>
              <w:rPr>
                <w:rFonts w:hint="eastAsia"/>
                <w:color w:val="auto"/>
                <w:highlight w:val="none"/>
                <w:lang w:val="en-US" w:eastAsia="zh-CN"/>
              </w:rPr>
              <w:t>造成的全部损失，并承担相应的法律责任，保密义务在合同终止后仍持续有效。</w:t>
            </w:r>
          </w:p>
        </w:tc>
      </w:tr>
    </w:tbl>
    <w:p w14:paraId="6939AD27">
      <w:pPr>
        <w:rPr>
          <w:color w:val="000000"/>
          <w:highlight w:val="none"/>
        </w:rPr>
      </w:pPr>
    </w:p>
    <w:p w14:paraId="08131077">
      <w:pPr>
        <w:outlineLvl w:val="1"/>
      </w:pPr>
    </w:p>
    <w:p w14:paraId="1F353375">
      <w:pPr>
        <w:outlineLvl w:val="1"/>
        <w:rPr>
          <w:b/>
          <w:bCs/>
          <w:color w:val="000000"/>
          <w:highlight w:val="none"/>
        </w:rPr>
      </w:pPr>
      <w:r>
        <w:rPr>
          <w:rFonts w:hint="eastAsia"/>
          <w:b/>
          <w:bCs/>
          <w:color w:val="000000"/>
          <w:highlight w:val="none"/>
        </w:rPr>
        <w:t>4</w:t>
      </w:r>
      <w:r>
        <w:rPr>
          <w:rFonts w:hint="eastAsia"/>
          <w:b/>
          <w:bCs/>
          <w:color w:val="000000"/>
          <w:highlight w:val="none"/>
          <w:lang w:val="en-US" w:eastAsia="zh-CN"/>
        </w:rPr>
        <w:t>.</w:t>
      </w:r>
      <w:r>
        <w:rPr>
          <w:rFonts w:hint="eastAsia"/>
          <w:b/>
          <w:bCs/>
          <w:color w:val="000000"/>
          <w:highlight w:val="none"/>
        </w:rPr>
        <w:t>供应商履行合同所需设备</w:t>
      </w:r>
    </w:p>
    <w:p w14:paraId="0B27F51C">
      <w:pPr>
        <w:ind w:firstLine="435"/>
        <w:rPr>
          <w:color w:val="000000"/>
          <w:highlight w:val="none"/>
        </w:rPr>
      </w:pPr>
      <w:r>
        <w:rPr>
          <w:rFonts w:hint="eastAsia"/>
          <w:color w:val="000000"/>
          <w:highlight w:val="none"/>
        </w:rPr>
        <w:t>根据项目实际需求，需要</w:t>
      </w:r>
      <w:r>
        <w:rPr>
          <w:rFonts w:hint="eastAsia"/>
          <w:color w:val="000000"/>
          <w:highlight w:val="none"/>
          <w:lang w:eastAsia="zh-CN"/>
        </w:rPr>
        <w:t>中标人</w:t>
      </w:r>
      <w:r>
        <w:rPr>
          <w:rFonts w:hint="eastAsia"/>
          <w:color w:val="000000"/>
          <w:highlight w:val="none"/>
        </w:rPr>
        <w:t>提供</w:t>
      </w:r>
      <w:r>
        <w:rPr>
          <w:rFonts w:hint="eastAsia"/>
          <w:color w:val="000000"/>
          <w:highlight w:val="none"/>
          <w:lang w:eastAsia="zh-CN"/>
        </w:rPr>
        <w:t>以下</w:t>
      </w:r>
      <w:r>
        <w:rPr>
          <w:rFonts w:hint="eastAsia"/>
          <w:color w:val="000000"/>
          <w:highlight w:val="none"/>
        </w:rPr>
        <w:t>作业设备（自有或租赁） 用于物业管理服务：</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754"/>
        <w:gridCol w:w="4454"/>
        <w:gridCol w:w="796"/>
        <w:gridCol w:w="759"/>
      </w:tblGrid>
      <w:tr w14:paraId="1E2A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2FA16050">
            <w:pPr>
              <w:jc w:val="center"/>
              <w:rPr>
                <w:color w:val="000000"/>
                <w:highlight w:val="none"/>
              </w:rPr>
            </w:pPr>
            <w:r>
              <w:rPr>
                <w:rFonts w:hint="eastAsia"/>
                <w:color w:val="000000"/>
                <w:highlight w:val="none"/>
              </w:rPr>
              <w:t>序号</w:t>
            </w:r>
          </w:p>
        </w:tc>
        <w:tc>
          <w:tcPr>
            <w:tcW w:w="1754" w:type="dxa"/>
            <w:tcBorders>
              <w:top w:val="single" w:color="auto" w:sz="4" w:space="0"/>
              <w:left w:val="single" w:color="auto" w:sz="4" w:space="0"/>
              <w:bottom w:val="single" w:color="auto" w:sz="4" w:space="0"/>
              <w:right w:val="single" w:color="auto" w:sz="4" w:space="0"/>
            </w:tcBorders>
            <w:noWrap w:val="0"/>
            <w:vAlign w:val="center"/>
          </w:tcPr>
          <w:p w14:paraId="65BD1783">
            <w:pPr>
              <w:jc w:val="center"/>
              <w:rPr>
                <w:color w:val="000000"/>
                <w:highlight w:val="none"/>
              </w:rPr>
            </w:pPr>
            <w:r>
              <w:rPr>
                <w:rFonts w:hint="eastAsia"/>
                <w:color w:val="000000"/>
                <w:highlight w:val="none"/>
              </w:rPr>
              <w:t>用途</w:t>
            </w:r>
          </w:p>
        </w:tc>
        <w:tc>
          <w:tcPr>
            <w:tcW w:w="4454" w:type="dxa"/>
            <w:tcBorders>
              <w:top w:val="single" w:color="auto" w:sz="4" w:space="0"/>
              <w:left w:val="single" w:color="auto" w:sz="4" w:space="0"/>
              <w:bottom w:val="single" w:color="auto" w:sz="4" w:space="0"/>
              <w:right w:val="single" w:color="auto" w:sz="4" w:space="0"/>
            </w:tcBorders>
            <w:noWrap w:val="0"/>
            <w:vAlign w:val="center"/>
          </w:tcPr>
          <w:p w14:paraId="11D4A055">
            <w:pPr>
              <w:jc w:val="center"/>
              <w:rPr>
                <w:color w:val="000000"/>
                <w:highlight w:val="none"/>
              </w:rPr>
            </w:pPr>
            <w:r>
              <w:rPr>
                <w:rFonts w:hint="eastAsia"/>
                <w:color w:val="000000"/>
                <w:highlight w:val="none"/>
              </w:rPr>
              <w:t>设备名称</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A593000">
            <w:pPr>
              <w:jc w:val="center"/>
              <w:rPr>
                <w:color w:val="000000"/>
                <w:highlight w:val="none"/>
              </w:rPr>
            </w:pPr>
            <w:r>
              <w:rPr>
                <w:rFonts w:hint="eastAsia"/>
                <w:color w:val="000000"/>
                <w:highlight w:val="none"/>
              </w:rPr>
              <w:t>数量</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04874717">
            <w:pPr>
              <w:jc w:val="center"/>
              <w:rPr>
                <w:color w:val="000000"/>
                <w:highlight w:val="none"/>
              </w:rPr>
            </w:pPr>
            <w:r>
              <w:rPr>
                <w:rFonts w:hint="eastAsia"/>
                <w:color w:val="000000"/>
                <w:highlight w:val="none"/>
              </w:rPr>
              <w:t>单位</w:t>
            </w:r>
          </w:p>
        </w:tc>
      </w:tr>
      <w:tr w14:paraId="27BF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tcBorders>
              <w:top w:val="single" w:color="auto" w:sz="4" w:space="0"/>
              <w:left w:val="single" w:color="auto" w:sz="4" w:space="0"/>
              <w:bottom w:val="single" w:color="auto" w:sz="4" w:space="0"/>
              <w:right w:val="single" w:color="auto" w:sz="4" w:space="0"/>
            </w:tcBorders>
            <w:noWrap w:val="0"/>
            <w:vAlign w:val="center"/>
          </w:tcPr>
          <w:p w14:paraId="6F17EA9A">
            <w:pPr>
              <w:jc w:val="both"/>
              <w:rPr>
                <w:color w:val="000000"/>
                <w:highlight w:val="none"/>
              </w:rPr>
            </w:pPr>
            <w:r>
              <w:rPr>
                <w:rFonts w:hint="eastAsia"/>
                <w:color w:val="000000"/>
                <w:highlight w:val="none"/>
              </w:rPr>
              <w:t>1</w:t>
            </w:r>
          </w:p>
        </w:tc>
        <w:tc>
          <w:tcPr>
            <w:tcW w:w="1754" w:type="dxa"/>
            <w:vMerge w:val="restart"/>
            <w:tcBorders>
              <w:top w:val="single" w:color="auto" w:sz="4" w:space="0"/>
              <w:left w:val="single" w:color="auto" w:sz="4" w:space="0"/>
              <w:bottom w:val="single" w:color="auto" w:sz="4" w:space="0"/>
              <w:right w:val="single" w:color="auto" w:sz="4" w:space="0"/>
            </w:tcBorders>
            <w:noWrap w:val="0"/>
            <w:vAlign w:val="center"/>
          </w:tcPr>
          <w:p w14:paraId="5A075A4B">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基本服务</w:t>
            </w:r>
          </w:p>
        </w:tc>
        <w:tc>
          <w:tcPr>
            <w:tcW w:w="4454" w:type="dxa"/>
            <w:tcBorders>
              <w:top w:val="single" w:color="auto" w:sz="4" w:space="0"/>
              <w:left w:val="single" w:color="auto" w:sz="4" w:space="0"/>
              <w:bottom w:val="single" w:color="auto" w:sz="4" w:space="0"/>
              <w:right w:val="single" w:color="auto" w:sz="4" w:space="0"/>
            </w:tcBorders>
            <w:noWrap w:val="0"/>
            <w:vAlign w:val="center"/>
          </w:tcPr>
          <w:p w14:paraId="5A40AC83">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电脑</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7276CF2E">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4</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6F7CD10B">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台</w:t>
            </w:r>
          </w:p>
        </w:tc>
      </w:tr>
      <w:tr w14:paraId="61D3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64957C9E">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072F7F7E">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0F810C41">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办公桌椅</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55A2215">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4</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5352674E">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套</w:t>
            </w:r>
          </w:p>
        </w:tc>
      </w:tr>
      <w:tr w14:paraId="6410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6E3CE118">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5098BABE">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24E4B3E1">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档案柜</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3A58B5F">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5</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024F594E">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组</w:t>
            </w:r>
          </w:p>
        </w:tc>
      </w:tr>
      <w:tr w14:paraId="6CC3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6009FA2F">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516420CB">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41030CAF">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电话机</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02A6F2E3">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3</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5316C0F0">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台</w:t>
            </w:r>
          </w:p>
        </w:tc>
      </w:tr>
      <w:tr w14:paraId="4813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4BD81FCA">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61D13CCE">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47E3A079">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打印机</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4B5D0513">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09950357">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台</w:t>
            </w:r>
          </w:p>
        </w:tc>
      </w:tr>
      <w:tr w14:paraId="40CB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tcBorders>
              <w:top w:val="single" w:color="auto" w:sz="4" w:space="0"/>
              <w:left w:val="single" w:color="auto" w:sz="4" w:space="0"/>
              <w:bottom w:val="single" w:color="auto" w:sz="4" w:space="0"/>
              <w:right w:val="single" w:color="auto" w:sz="4" w:space="0"/>
            </w:tcBorders>
            <w:noWrap w:val="0"/>
            <w:vAlign w:val="center"/>
          </w:tcPr>
          <w:p w14:paraId="35DE49BC">
            <w:pPr>
              <w:pStyle w:val="203"/>
              <w:keepNext w:val="0"/>
              <w:keepLines w:val="0"/>
              <w:pageBreakBefore w:val="0"/>
              <w:widowControl w:val="0"/>
              <w:bidi w:val="0"/>
              <w:spacing w:line="240" w:lineRule="auto"/>
              <w:ind w:left="197" w:right="0" w:hanging="197"/>
              <w:jc w:val="both"/>
              <w:outlineLvl w:val="9"/>
              <w:rPr>
                <w:rFonts w:hint="eastAsia" w:eastAsia="宋体"/>
                <w:color w:val="000000"/>
                <w:highlight w:val="none"/>
                <w:lang w:val="en-US" w:eastAsia="zh-CN"/>
              </w:rPr>
            </w:pPr>
            <w:r>
              <w:rPr>
                <w:rFonts w:hint="eastAsia"/>
                <w:color w:val="000000"/>
                <w:highlight w:val="none"/>
                <w:lang w:val="en-US" w:eastAsia="zh-CN"/>
              </w:rPr>
              <w:t>2</w:t>
            </w:r>
          </w:p>
        </w:tc>
        <w:tc>
          <w:tcPr>
            <w:tcW w:w="1754" w:type="dxa"/>
            <w:vMerge w:val="restart"/>
            <w:tcBorders>
              <w:top w:val="single" w:color="auto" w:sz="4" w:space="0"/>
              <w:left w:val="single" w:color="auto" w:sz="4" w:space="0"/>
              <w:bottom w:val="single" w:color="auto" w:sz="4" w:space="0"/>
              <w:right w:val="single" w:color="auto" w:sz="4" w:space="0"/>
            </w:tcBorders>
            <w:noWrap w:val="0"/>
            <w:vAlign w:val="center"/>
          </w:tcPr>
          <w:p w14:paraId="55361774">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房屋维修服务</w:t>
            </w:r>
          </w:p>
        </w:tc>
        <w:tc>
          <w:tcPr>
            <w:tcW w:w="4454" w:type="dxa"/>
            <w:tcBorders>
              <w:top w:val="single" w:color="auto" w:sz="4" w:space="0"/>
              <w:left w:val="single" w:color="auto" w:sz="4" w:space="0"/>
              <w:bottom w:val="single" w:color="auto" w:sz="4" w:space="0"/>
              <w:right w:val="single" w:color="auto" w:sz="4" w:space="0"/>
            </w:tcBorders>
            <w:noWrap w:val="0"/>
            <w:vAlign w:val="center"/>
          </w:tcPr>
          <w:p w14:paraId="7031570E">
            <w:pPr>
              <w:jc w:val="both"/>
              <w:rPr>
                <w:rFonts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腻子搅拌机</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7A398FBB">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388E5923">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台</w:t>
            </w:r>
          </w:p>
        </w:tc>
      </w:tr>
      <w:tr w14:paraId="0A3F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04DCC638">
            <w:pPr>
              <w:pStyle w:val="203"/>
              <w:jc w:val="both"/>
              <w:rPr>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3DCBAF7C">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6B2867F7">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电锤</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56674A51">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225FF009">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台</w:t>
            </w:r>
          </w:p>
        </w:tc>
      </w:tr>
      <w:tr w14:paraId="4B72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tcBorders>
              <w:top w:val="single" w:color="auto" w:sz="4" w:space="0"/>
              <w:left w:val="single" w:color="auto" w:sz="4" w:space="0"/>
              <w:bottom w:val="single" w:color="auto" w:sz="4" w:space="0"/>
              <w:right w:val="single" w:color="auto" w:sz="4" w:space="0"/>
            </w:tcBorders>
            <w:noWrap w:val="0"/>
            <w:vAlign w:val="center"/>
          </w:tcPr>
          <w:p w14:paraId="63EE3E79">
            <w:pPr>
              <w:jc w:val="both"/>
              <w:rPr>
                <w:rFonts w:hint="eastAsia"/>
                <w:color w:val="000000"/>
                <w:highlight w:val="none"/>
              </w:rPr>
            </w:pPr>
            <w:r>
              <w:rPr>
                <w:rFonts w:hint="eastAsia"/>
                <w:color w:val="000000"/>
                <w:highlight w:val="none"/>
              </w:rPr>
              <w:t>3</w:t>
            </w:r>
          </w:p>
        </w:tc>
        <w:tc>
          <w:tcPr>
            <w:tcW w:w="1754" w:type="dxa"/>
            <w:vMerge w:val="restart"/>
            <w:tcBorders>
              <w:top w:val="single" w:color="auto" w:sz="4" w:space="0"/>
              <w:left w:val="single" w:color="auto" w:sz="4" w:space="0"/>
              <w:bottom w:val="single" w:color="auto" w:sz="4" w:space="0"/>
              <w:right w:val="single" w:color="auto" w:sz="4" w:space="0"/>
            </w:tcBorders>
            <w:noWrap w:val="0"/>
            <w:vAlign w:val="center"/>
          </w:tcPr>
          <w:p w14:paraId="60C3D27D">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公共设施设备维护服务</w:t>
            </w:r>
          </w:p>
        </w:tc>
        <w:tc>
          <w:tcPr>
            <w:tcW w:w="4454" w:type="dxa"/>
            <w:tcBorders>
              <w:top w:val="single" w:color="auto" w:sz="4" w:space="0"/>
              <w:left w:val="single" w:color="auto" w:sz="4" w:space="0"/>
              <w:bottom w:val="single" w:color="auto" w:sz="4" w:space="0"/>
              <w:right w:val="single" w:color="auto" w:sz="4" w:space="0"/>
            </w:tcBorders>
            <w:noWrap w:val="0"/>
            <w:vAlign w:val="center"/>
          </w:tcPr>
          <w:p w14:paraId="08E45110">
            <w:pPr>
              <w:jc w:val="both"/>
              <w:rPr>
                <w:rFonts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往复锯</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E6CCB3F">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0FD6C9EB">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台</w:t>
            </w:r>
          </w:p>
        </w:tc>
      </w:tr>
      <w:tr w14:paraId="6BA5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173DD848">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1159D741">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0F513E71">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手动液压钳</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74874271">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6A7E68E8">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台</w:t>
            </w:r>
          </w:p>
        </w:tc>
      </w:tr>
      <w:tr w14:paraId="32AD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19B11D4F">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76C6BA10">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16C4E37E">
            <w:pPr>
              <w:jc w:val="both"/>
              <w:rPr>
                <w:rFonts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 xml:space="preserve">电动扳手         </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1FFA9DF">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7E4A11B2">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台</w:t>
            </w:r>
          </w:p>
        </w:tc>
      </w:tr>
      <w:tr w14:paraId="7C3A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3B7CF669">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612ECD64">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183DD977">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手动扳手</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48CEFDCC">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7712738B">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台</w:t>
            </w:r>
          </w:p>
        </w:tc>
      </w:tr>
      <w:tr w14:paraId="09C2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427E03A0">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637B3AF7">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6F24E2EC">
            <w:pPr>
              <w:jc w:val="both"/>
              <w:rPr>
                <w:rFonts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热熔机</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5EC83E9E">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7CA85D15">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台</w:t>
            </w:r>
          </w:p>
        </w:tc>
      </w:tr>
      <w:tr w14:paraId="7EA7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63A9EAFF">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3AFEC3FE">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7BE614A5">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手电钻</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49204C0">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0C279229">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台</w:t>
            </w:r>
          </w:p>
        </w:tc>
      </w:tr>
      <w:tr w14:paraId="2248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09D19460">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01EFDB09">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4A77A5B9">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手磨机</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7627A16">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70D28539">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台</w:t>
            </w:r>
          </w:p>
        </w:tc>
      </w:tr>
      <w:tr w14:paraId="516E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23B6AC7C">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241D2A93">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5E416CC5">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手提切割机</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C614136">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47A7B0AE">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台</w:t>
            </w:r>
          </w:p>
        </w:tc>
      </w:tr>
      <w:tr w14:paraId="1E05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290F1177">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3865FFAE">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45754DC7">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电动三轮车</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718079C0">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1F2494BF">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台</w:t>
            </w:r>
          </w:p>
        </w:tc>
      </w:tr>
      <w:tr w14:paraId="43C1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3BEABB2E">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2440FE9F">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01D2313C">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 xml:space="preserve">220V切割机         </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091C714D">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6E64F229">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台</w:t>
            </w:r>
          </w:p>
        </w:tc>
      </w:tr>
      <w:tr w14:paraId="6B22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10D5BC63">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3ABF37E9">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560F170C">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气泵</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856D4BC">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79AAAA14">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台</w:t>
            </w:r>
          </w:p>
        </w:tc>
      </w:tr>
      <w:tr w14:paraId="4D10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26046CED">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4F1B8EB9">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01618B11">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220V水泵</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05A81B2F">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4F767F6F">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台</w:t>
            </w:r>
          </w:p>
        </w:tc>
      </w:tr>
      <w:tr w14:paraId="44C6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281A8E59">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44EA010D">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5A529331">
            <w:pPr>
              <w:jc w:val="both"/>
              <w:rPr>
                <w:rFonts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水钻</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318F8CAE">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0BB17B1A">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台</w:t>
            </w:r>
          </w:p>
        </w:tc>
      </w:tr>
      <w:tr w14:paraId="27A1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0A0B2304">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0ACE9CEE">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24A87BE0">
            <w:pPr>
              <w:jc w:val="both"/>
              <w:rPr>
                <w:rFonts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梯子</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60055AAC">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6</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23B0E267">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把</w:t>
            </w:r>
          </w:p>
        </w:tc>
      </w:tr>
      <w:tr w14:paraId="4D93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650C7EBF">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25A83C71">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6492E804">
            <w:pPr>
              <w:jc w:val="both"/>
              <w:rPr>
                <w:rFonts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脚手架</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03DA0B2C">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4</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4AE2FCBC">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套</w:t>
            </w:r>
          </w:p>
        </w:tc>
      </w:tr>
      <w:tr w14:paraId="6C4C1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387D0CFE">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5494FBBA">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463266C2">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 xml:space="preserve">葫芦吊             </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4AF128E6">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4EFBB68F">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个</w:t>
            </w:r>
          </w:p>
        </w:tc>
      </w:tr>
      <w:tr w14:paraId="5490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407734F7">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65E72E47">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14099EC1">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 xml:space="preserve">空调扩管器       </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43FDB17C">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105BCCD7">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台</w:t>
            </w:r>
          </w:p>
        </w:tc>
      </w:tr>
      <w:tr w14:paraId="586A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04D9E18A">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09172012">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3674E2E0">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 xml:space="preserve">空调加氟机  </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36A9A420">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4B3429CF">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台</w:t>
            </w:r>
          </w:p>
        </w:tc>
      </w:tr>
      <w:tr w14:paraId="634D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01127A6C">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27FA3996">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4E19F3D7">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 xml:space="preserve">小型铜焊       </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9B12FFD">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2CFDA58E">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台</w:t>
            </w:r>
          </w:p>
        </w:tc>
      </w:tr>
      <w:tr w14:paraId="43BD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425D61FF">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2A224F4A">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0F31073E">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 xml:space="preserve">220V氩弧焊   </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53743E8B">
            <w:pPr>
              <w:jc w:val="center"/>
              <w:rPr>
                <w:rFonts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3F4B37D1">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台</w:t>
            </w:r>
          </w:p>
        </w:tc>
      </w:tr>
      <w:tr w14:paraId="6509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02EF3588">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7D8C1916">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02E56BD7">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220V电焊机</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2202009B">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18B795C1">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台</w:t>
            </w:r>
          </w:p>
        </w:tc>
      </w:tr>
      <w:tr w14:paraId="55E3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028B757B">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41F39CE8">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6FDD17DF">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对讲机</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93AB0C9">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4</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15368F55">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部</w:t>
            </w:r>
          </w:p>
        </w:tc>
      </w:tr>
      <w:tr w14:paraId="592D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732B206B">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6B700153">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7CB8879B">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穿线器</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21B4968D">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34AB8865">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台</w:t>
            </w:r>
          </w:p>
        </w:tc>
      </w:tr>
      <w:tr w14:paraId="4123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5ED79CEB">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66CDCB0A">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01C22BF9">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eastAsia="zh-CN"/>
              </w:rPr>
              <w:t>手动瓷砖切割机</w:t>
            </w:r>
            <w:r>
              <w:rPr>
                <w:rFonts w:hint="eastAsia" w:ascii="Times New Roman" w:hAnsi="Times New Roman" w:eastAsia="宋体" w:cs="Times New Roman"/>
                <w:color w:val="000000"/>
                <w:highlight w:val="none"/>
                <w:lang w:val="en-US" w:eastAsia="zh-CN"/>
              </w:rPr>
              <w:t xml:space="preserve">  </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52CF5F82">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093E7FB2">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台</w:t>
            </w:r>
          </w:p>
        </w:tc>
      </w:tr>
      <w:tr w14:paraId="4472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475D9C5D">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3399372F">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201B0919">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电动起子</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69942890">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053FD1F3">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把</w:t>
            </w:r>
          </w:p>
        </w:tc>
      </w:tr>
      <w:tr w14:paraId="223D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051A2269">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0F1173DA">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33C427CF">
            <w:pPr>
              <w:jc w:val="both"/>
              <w:rPr>
                <w:rFonts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eastAsia="zh-CN"/>
              </w:rPr>
              <w:t>挪车神器</w:t>
            </w:r>
            <w:r>
              <w:rPr>
                <w:rFonts w:hint="eastAsia" w:ascii="Times New Roman" w:hAnsi="Times New Roman" w:eastAsia="宋体" w:cs="Times New Roman"/>
                <w:color w:val="000000"/>
                <w:highlight w:val="none"/>
                <w:lang w:val="en-US" w:eastAsia="zh-CN"/>
              </w:rPr>
              <w:t xml:space="preserve">                           </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30F0CE58">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67E56301">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套</w:t>
            </w:r>
          </w:p>
        </w:tc>
      </w:tr>
      <w:tr w14:paraId="5224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18B61F05">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0E8A84EE">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43A3F91A">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eastAsia="zh-CN"/>
              </w:rPr>
              <w:t>水平仪</w:t>
            </w:r>
            <w:r>
              <w:rPr>
                <w:rFonts w:hint="eastAsia" w:ascii="Times New Roman" w:hAnsi="Times New Roman" w:eastAsia="宋体" w:cs="Times New Roman"/>
                <w:color w:val="000000"/>
                <w:highlight w:val="none"/>
                <w:lang w:val="en-US" w:eastAsia="zh-CN"/>
              </w:rPr>
              <w:t xml:space="preserve">                             </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476E8E9">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22C1163B">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eastAsia="zh-CN"/>
              </w:rPr>
              <w:t>台</w:t>
            </w:r>
          </w:p>
        </w:tc>
      </w:tr>
      <w:tr w14:paraId="6D7E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5B582801">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6F96DA5D">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579D8F51">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 xml:space="preserve">万用表                            </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57953FD8">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131F76CD">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eastAsia="zh-CN"/>
              </w:rPr>
              <w:t>台</w:t>
            </w:r>
          </w:p>
        </w:tc>
      </w:tr>
      <w:tr w14:paraId="4665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7E368CBC">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7D385316">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70E869EA">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钳形电流表</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29913CE5">
            <w:pPr>
              <w:jc w:val="center"/>
              <w:rPr>
                <w:rFonts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56A2EC2E">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台</w:t>
            </w:r>
          </w:p>
        </w:tc>
      </w:tr>
      <w:tr w14:paraId="77A2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7B04F631">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3DF0B784">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1F2311DC">
            <w:pPr>
              <w:jc w:val="both"/>
              <w:rPr>
                <w:rFonts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 xml:space="preserve">网线钳                            </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5409493">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005C67B5">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eastAsia="zh-CN"/>
              </w:rPr>
              <w:t>台</w:t>
            </w:r>
          </w:p>
        </w:tc>
      </w:tr>
      <w:tr w14:paraId="20BA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0FA71550">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4711543C">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7EA3797D">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 xml:space="preserve">精准型寻线器                      </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7F9769F5">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67507A2B">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eastAsia="zh-CN"/>
              </w:rPr>
              <w:t>台</w:t>
            </w:r>
          </w:p>
        </w:tc>
      </w:tr>
      <w:tr w14:paraId="12BF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28185879">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0AA74D19">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15106974">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 xml:space="preserve">手持工程宝                        </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4DAC0FCF">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1E431EA8">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eastAsia="zh-CN"/>
              </w:rPr>
              <w:t>台</w:t>
            </w:r>
          </w:p>
        </w:tc>
      </w:tr>
      <w:tr w14:paraId="009A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369B9755">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1615105B">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622EC16E">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 xml:space="preserve">打光笔                           </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7A2DCD48">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25416134">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eastAsia="zh-CN"/>
              </w:rPr>
              <w:t>台</w:t>
            </w:r>
          </w:p>
        </w:tc>
      </w:tr>
      <w:tr w14:paraId="0340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10F9DB4B">
            <w:pPr>
              <w:pStyle w:val="203"/>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7F268F92">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2B922A34">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10kv</w:t>
            </w:r>
            <w:r>
              <w:rPr>
                <w:rFonts w:hint="eastAsia" w:ascii="Times New Roman" w:hAnsi="Times New Roman" w:eastAsia="宋体" w:cs="Times New Roman"/>
                <w:color w:val="000000"/>
                <w:highlight w:val="none"/>
                <w:lang w:eastAsia="zh-CN"/>
              </w:rPr>
              <w:t>绝缘摇表</w:t>
            </w:r>
            <w:r>
              <w:rPr>
                <w:rFonts w:hint="eastAsia" w:ascii="Times New Roman" w:hAnsi="Times New Roman" w:eastAsia="宋体" w:cs="Times New Roman"/>
                <w:color w:val="000000"/>
                <w:highlight w:val="none"/>
                <w:lang w:val="en-US" w:eastAsia="zh-CN"/>
              </w:rPr>
              <w:t xml:space="preserve">                       </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2B350CB4">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5DCBF947">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eastAsia="zh-CN"/>
              </w:rPr>
              <w:t>台</w:t>
            </w:r>
          </w:p>
        </w:tc>
      </w:tr>
      <w:tr w14:paraId="7547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tcBorders>
              <w:top w:val="single" w:color="auto" w:sz="4" w:space="0"/>
              <w:left w:val="single" w:color="auto" w:sz="4" w:space="0"/>
              <w:bottom w:val="single" w:color="auto" w:sz="4" w:space="0"/>
              <w:right w:val="single" w:color="auto" w:sz="4" w:space="0"/>
            </w:tcBorders>
            <w:noWrap w:val="0"/>
            <w:vAlign w:val="center"/>
          </w:tcPr>
          <w:p w14:paraId="73DF06A7">
            <w:pPr>
              <w:jc w:val="both"/>
              <w:rPr>
                <w:color w:val="000000"/>
                <w:highlight w:val="none"/>
              </w:rPr>
            </w:pPr>
            <w:r>
              <w:rPr>
                <w:rFonts w:hint="eastAsia"/>
                <w:color w:val="000000"/>
                <w:highlight w:val="none"/>
              </w:rPr>
              <w:t>4</w:t>
            </w:r>
          </w:p>
        </w:tc>
        <w:tc>
          <w:tcPr>
            <w:tcW w:w="1754" w:type="dxa"/>
            <w:vMerge w:val="restart"/>
            <w:tcBorders>
              <w:top w:val="single" w:color="auto" w:sz="4" w:space="0"/>
              <w:left w:val="single" w:color="auto" w:sz="4" w:space="0"/>
              <w:bottom w:val="single" w:color="auto" w:sz="4" w:space="0"/>
              <w:right w:val="single" w:color="auto" w:sz="4" w:space="0"/>
            </w:tcBorders>
            <w:noWrap w:val="0"/>
            <w:vAlign w:val="center"/>
          </w:tcPr>
          <w:p w14:paraId="3405279F">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保洁服务</w:t>
            </w:r>
          </w:p>
        </w:tc>
        <w:tc>
          <w:tcPr>
            <w:tcW w:w="4454" w:type="dxa"/>
            <w:tcBorders>
              <w:top w:val="single" w:color="auto" w:sz="4" w:space="0"/>
              <w:left w:val="single" w:color="auto" w:sz="4" w:space="0"/>
              <w:bottom w:val="single" w:color="auto" w:sz="4" w:space="0"/>
              <w:right w:val="single" w:color="auto" w:sz="4" w:space="0"/>
            </w:tcBorders>
            <w:noWrap w:val="0"/>
            <w:vAlign w:val="center"/>
          </w:tcPr>
          <w:p w14:paraId="0DB4536B">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eastAsia="zh-CN"/>
              </w:rPr>
              <w:t>垃圾清运车</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2C8D1728">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441B5B6E">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eastAsia="zh-CN"/>
              </w:rPr>
              <w:t>台</w:t>
            </w:r>
          </w:p>
        </w:tc>
      </w:tr>
      <w:tr w14:paraId="3C1A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214CEA35">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6C4EC64C">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635E7CEF">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eastAsia="zh-CN"/>
              </w:rPr>
              <w:t>电动三轮车</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496D4AF7">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4595D06E">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eastAsia="zh-CN"/>
              </w:rPr>
              <w:t>台</w:t>
            </w:r>
          </w:p>
        </w:tc>
      </w:tr>
      <w:tr w14:paraId="3F52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6641083E">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1517E6BC">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19C2CC0B">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eastAsia="zh-CN"/>
              </w:rPr>
              <w:t>电动自行车</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0934B6B6">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719CF7D1">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eastAsia="zh-CN"/>
              </w:rPr>
              <w:t>辆</w:t>
            </w:r>
          </w:p>
        </w:tc>
      </w:tr>
      <w:tr w14:paraId="3438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1B11E805">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2DB485CC">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4D6B4FB9">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eastAsia="zh-CN"/>
              </w:rPr>
              <w:t>手推式洗地机</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0C047725">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1D12288C">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eastAsia="zh-CN"/>
              </w:rPr>
              <w:t>台</w:t>
            </w:r>
          </w:p>
        </w:tc>
      </w:tr>
      <w:tr w14:paraId="3945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26D014E2">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4393A703">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77657A85">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4.5米伸缩杆</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61398474">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6D2642C1">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eastAsia="zh-CN"/>
              </w:rPr>
              <w:t>套</w:t>
            </w:r>
          </w:p>
        </w:tc>
      </w:tr>
      <w:tr w14:paraId="560E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3A7E1616">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45CC3B42">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77928922">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2.4米伸缩杆</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479CF043">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3</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6115941E">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eastAsia="zh-CN"/>
              </w:rPr>
              <w:t>套</w:t>
            </w:r>
          </w:p>
        </w:tc>
      </w:tr>
      <w:tr w14:paraId="3E5D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6E76B9F2">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6FDE5B84">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6E6ED22C">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2米楼梯</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2FEA7BAD">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494A6153">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eastAsia="zh-CN"/>
              </w:rPr>
              <w:t>个</w:t>
            </w:r>
          </w:p>
        </w:tc>
      </w:tr>
      <w:tr w14:paraId="3878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614A2A8C">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637EC21E">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227A4738">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eastAsia="zh-CN"/>
              </w:rPr>
              <w:t>消杀喷雾器</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6892BDFA">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1430F768">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eastAsia="zh-CN"/>
              </w:rPr>
              <w:t>台</w:t>
            </w:r>
          </w:p>
        </w:tc>
      </w:tr>
      <w:tr w14:paraId="5605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tcBorders>
              <w:top w:val="single" w:color="auto" w:sz="4" w:space="0"/>
              <w:left w:val="single" w:color="auto" w:sz="4" w:space="0"/>
              <w:bottom w:val="single" w:color="auto" w:sz="4" w:space="0"/>
              <w:right w:val="single" w:color="auto" w:sz="4" w:space="0"/>
            </w:tcBorders>
            <w:noWrap w:val="0"/>
            <w:vAlign w:val="center"/>
          </w:tcPr>
          <w:p w14:paraId="20A6FAFF">
            <w:pPr>
              <w:jc w:val="both"/>
              <w:rPr>
                <w:rFonts w:hint="eastAsia"/>
                <w:color w:val="000000"/>
                <w:highlight w:val="none"/>
              </w:rPr>
            </w:pPr>
            <w:r>
              <w:rPr>
                <w:rFonts w:hint="eastAsia"/>
                <w:color w:val="000000"/>
                <w:highlight w:val="none"/>
              </w:rPr>
              <w:t>5</w:t>
            </w:r>
          </w:p>
        </w:tc>
        <w:tc>
          <w:tcPr>
            <w:tcW w:w="1754" w:type="dxa"/>
            <w:vMerge w:val="restart"/>
            <w:tcBorders>
              <w:top w:val="single" w:color="auto" w:sz="4" w:space="0"/>
              <w:left w:val="single" w:color="auto" w:sz="4" w:space="0"/>
              <w:bottom w:val="single" w:color="auto" w:sz="4" w:space="0"/>
              <w:right w:val="single" w:color="auto" w:sz="4" w:space="0"/>
            </w:tcBorders>
            <w:noWrap w:val="0"/>
            <w:vAlign w:val="center"/>
          </w:tcPr>
          <w:p w14:paraId="39F1001D">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绿化服务</w:t>
            </w:r>
          </w:p>
        </w:tc>
        <w:tc>
          <w:tcPr>
            <w:tcW w:w="4454" w:type="dxa"/>
            <w:tcBorders>
              <w:top w:val="single" w:color="auto" w:sz="4" w:space="0"/>
              <w:left w:val="single" w:color="auto" w:sz="4" w:space="0"/>
              <w:bottom w:val="single" w:color="auto" w:sz="4" w:space="0"/>
              <w:right w:val="single" w:color="auto" w:sz="4" w:space="0"/>
            </w:tcBorders>
            <w:noWrap w:val="0"/>
            <w:vAlign w:val="center"/>
          </w:tcPr>
          <w:p w14:paraId="4B221F2D">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三轮车</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067B1297">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4EE43F54">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台</w:t>
            </w:r>
          </w:p>
        </w:tc>
      </w:tr>
      <w:tr w14:paraId="6EF3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799C4381">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14275B4E">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5FBB55BA">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绿篱机</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3D3A5573">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2F307E8B">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台</w:t>
            </w:r>
          </w:p>
        </w:tc>
      </w:tr>
      <w:tr w14:paraId="5E17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0C563F1D">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1A378D3E">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3AF68377">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草坪机</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7C8E737B">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6EDB6BB8">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台</w:t>
            </w:r>
          </w:p>
        </w:tc>
      </w:tr>
      <w:tr w14:paraId="0D61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749EFD16">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6B401AE7">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652FB4BA">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割草机</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7063B160">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572B81D2">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台</w:t>
            </w:r>
          </w:p>
        </w:tc>
      </w:tr>
      <w:tr w14:paraId="2EDA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65DBB67E">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116634D0">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49D63BB4">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高压喷雾器</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1611244">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5C291468">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台</w:t>
            </w:r>
          </w:p>
        </w:tc>
      </w:tr>
      <w:tr w14:paraId="1DE6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4BC053AE">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07B8929D">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57C657FC">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背负式喷雾器</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56C03FD4">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6A1510E0">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台</w:t>
            </w:r>
          </w:p>
        </w:tc>
      </w:tr>
      <w:tr w14:paraId="0CCE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7BEA5418">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0CCDC96F">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649AA2EF">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高枝伸缩锯</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7534F93B">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3DF26F4F">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把</w:t>
            </w:r>
          </w:p>
        </w:tc>
      </w:tr>
      <w:tr w14:paraId="0E52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0253C4F5">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5024589C">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58FDC398">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高枝剪</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4F65E59B">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0DA93ADD">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把</w:t>
            </w:r>
          </w:p>
        </w:tc>
      </w:tr>
      <w:tr w14:paraId="53AE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5BCC779E">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3C402421">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284EDDA3">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手锯</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3FBA9269">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7D07C7F5">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把</w:t>
            </w:r>
          </w:p>
        </w:tc>
      </w:tr>
      <w:tr w14:paraId="7D7C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6FB4AA65">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0AEB0EFD">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56ACFB42">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大柴刀</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6E6E5AAF">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093619D3">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把</w:t>
            </w:r>
          </w:p>
        </w:tc>
      </w:tr>
      <w:tr w14:paraId="70A5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6FD5F097">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3F95A99A">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2D811E56">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楼梯</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C055E95">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65231709">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架</w:t>
            </w:r>
          </w:p>
        </w:tc>
      </w:tr>
      <w:tr w14:paraId="6C93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tcBorders>
              <w:top w:val="single" w:color="auto" w:sz="4" w:space="0"/>
              <w:left w:val="single" w:color="auto" w:sz="4" w:space="0"/>
              <w:bottom w:val="single" w:color="auto" w:sz="4" w:space="0"/>
              <w:right w:val="single" w:color="auto" w:sz="4" w:space="0"/>
            </w:tcBorders>
            <w:noWrap w:val="0"/>
            <w:vAlign w:val="center"/>
          </w:tcPr>
          <w:p w14:paraId="0E747633">
            <w:pPr>
              <w:jc w:val="both"/>
              <w:rPr>
                <w:rFonts w:hint="eastAsia"/>
                <w:color w:val="000000"/>
                <w:highlight w:val="none"/>
              </w:rPr>
            </w:pPr>
            <w:r>
              <w:rPr>
                <w:rFonts w:hint="eastAsia"/>
                <w:color w:val="000000"/>
                <w:highlight w:val="none"/>
              </w:rPr>
              <w:t>6</w:t>
            </w:r>
          </w:p>
        </w:tc>
        <w:tc>
          <w:tcPr>
            <w:tcW w:w="1754" w:type="dxa"/>
            <w:vMerge w:val="restart"/>
            <w:tcBorders>
              <w:top w:val="single" w:color="auto" w:sz="4" w:space="0"/>
              <w:left w:val="single" w:color="auto" w:sz="4" w:space="0"/>
              <w:bottom w:val="single" w:color="auto" w:sz="4" w:space="0"/>
              <w:right w:val="single" w:color="auto" w:sz="4" w:space="0"/>
            </w:tcBorders>
            <w:noWrap w:val="0"/>
            <w:vAlign w:val="center"/>
          </w:tcPr>
          <w:p w14:paraId="78C19010">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保安服务</w:t>
            </w:r>
          </w:p>
        </w:tc>
        <w:tc>
          <w:tcPr>
            <w:tcW w:w="4454" w:type="dxa"/>
            <w:tcBorders>
              <w:top w:val="single" w:color="auto" w:sz="4" w:space="0"/>
              <w:left w:val="single" w:color="auto" w:sz="4" w:space="0"/>
              <w:bottom w:val="single" w:color="auto" w:sz="4" w:space="0"/>
              <w:right w:val="single" w:color="auto" w:sz="4" w:space="0"/>
            </w:tcBorders>
            <w:noWrap w:val="0"/>
            <w:vAlign w:val="center"/>
          </w:tcPr>
          <w:p w14:paraId="4800F8DB">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对讲机</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52804CC6">
            <w:pPr>
              <w:jc w:val="center"/>
              <w:rPr>
                <w:rFonts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16</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1FD8328C">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部</w:t>
            </w:r>
          </w:p>
        </w:tc>
      </w:tr>
      <w:tr w14:paraId="4CA9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0AA4A3F6">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65122F76">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78A84C69">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警用防爆头盔</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E76DB37">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259F1243">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个</w:t>
            </w:r>
          </w:p>
        </w:tc>
      </w:tr>
      <w:tr w14:paraId="5A8D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576825D7">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7A74B439">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4B630961">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防护盾牌</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5912683D">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3</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58C50D3D">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个</w:t>
            </w:r>
          </w:p>
        </w:tc>
      </w:tr>
      <w:tr w14:paraId="0247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4D8FB56B">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44E988E4">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4B1482C3">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多功能腰带</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0891F246">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3</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091F0790">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个</w:t>
            </w:r>
          </w:p>
        </w:tc>
      </w:tr>
      <w:tr w14:paraId="47B7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502F728C">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5D2D42CB">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70610468">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强光手电筒</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6564A9B5">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3</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50FF7ED3">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个</w:t>
            </w:r>
          </w:p>
        </w:tc>
      </w:tr>
      <w:tr w14:paraId="2EFC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641B073E">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29330A4F">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59B8556E">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防刺衣</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62B82F42">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3</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73F771FA">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件</w:t>
            </w:r>
          </w:p>
        </w:tc>
      </w:tr>
      <w:tr w14:paraId="6EB8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3F522774">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3B024DF9">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33743D2C">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安全钢叉</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DF4624A">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3</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0EB7D74E">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根</w:t>
            </w:r>
          </w:p>
        </w:tc>
      </w:tr>
      <w:tr w14:paraId="7B29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771AABA6">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4F73EF19">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0E250E64">
            <w:pPr>
              <w:jc w:val="both"/>
              <w:rPr>
                <w:rFonts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 xml:space="preserve">防割手套           </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741278D5">
            <w:pPr>
              <w:jc w:val="center"/>
              <w:rPr>
                <w:rFonts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10</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4E7C6E02">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双</w:t>
            </w:r>
          </w:p>
        </w:tc>
      </w:tr>
      <w:tr w14:paraId="6DF3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5599A3C3">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17A0E7D0">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22A18314">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 xml:space="preserve">橡胶警棍（T型）     </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AD3D2C4">
            <w:pPr>
              <w:jc w:val="center"/>
              <w:rPr>
                <w:rFonts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4</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7AD9DA5E">
            <w:pPr>
              <w:jc w:val="center"/>
              <w:rPr>
                <w:rFonts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根</w:t>
            </w:r>
          </w:p>
        </w:tc>
      </w:tr>
      <w:tr w14:paraId="5C70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0DA52597">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62642443">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00FA1808">
            <w:pPr>
              <w:jc w:val="both"/>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 xml:space="preserve">灭火器        </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18B6C1CC">
            <w:pPr>
              <w:jc w:val="center"/>
              <w:rPr>
                <w:rFonts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10</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4D5B69E4">
            <w:pPr>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具</w:t>
            </w:r>
          </w:p>
        </w:tc>
      </w:tr>
      <w:tr w14:paraId="17DF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1B1B01BC">
            <w:pPr>
              <w:jc w:val="both"/>
              <w:rPr>
                <w:rFonts w:hint="eastAsia"/>
                <w:color w:val="000000"/>
                <w:highlight w:val="none"/>
              </w:rPr>
            </w:pPr>
          </w:p>
        </w:tc>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14:paraId="529B9032">
            <w:pPr>
              <w:jc w:val="both"/>
              <w:rPr>
                <w:rFonts w:hint="eastAsia" w:ascii="Times New Roman" w:hAnsi="Times New Roman" w:eastAsia="宋体" w:cs="Times New Roman"/>
                <w:color w:val="000000"/>
                <w:highlight w:val="none"/>
                <w:lang w:eastAsia="zh-CN"/>
              </w:rPr>
            </w:pPr>
          </w:p>
        </w:tc>
        <w:tc>
          <w:tcPr>
            <w:tcW w:w="4454" w:type="dxa"/>
            <w:tcBorders>
              <w:top w:val="single" w:color="auto" w:sz="4" w:space="0"/>
              <w:left w:val="single" w:color="auto" w:sz="4" w:space="0"/>
              <w:bottom w:val="single" w:color="auto" w:sz="4" w:space="0"/>
              <w:right w:val="single" w:color="auto" w:sz="4" w:space="0"/>
            </w:tcBorders>
            <w:noWrap w:val="0"/>
            <w:vAlign w:val="center"/>
          </w:tcPr>
          <w:p w14:paraId="315B5833">
            <w:pPr>
              <w:jc w:val="both"/>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二轮电动巡逻车</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6704DBC2">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298C164C">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辆</w:t>
            </w:r>
          </w:p>
        </w:tc>
      </w:tr>
    </w:tbl>
    <w:p w14:paraId="47B18A14">
      <w:pPr>
        <w:pageBreakBefore w:val="0"/>
        <w:widowControl w:val="0"/>
        <w:bidi w:val="0"/>
        <w:spacing w:line="240" w:lineRule="auto"/>
        <w:ind w:left="0" w:right="0" w:firstLine="420"/>
        <w:jc w:val="both"/>
        <w:rPr>
          <w:rFonts w:hint="eastAsia" w:ascii="宋体" w:hAnsi="宋体" w:cs="宋体"/>
          <w:color w:val="000000"/>
          <w:szCs w:val="21"/>
          <w:highlight w:val="none"/>
          <w:lang w:eastAsia="zh-CN"/>
        </w:rPr>
      </w:pPr>
      <w:r>
        <w:rPr>
          <w:rFonts w:hint="eastAsia" w:ascii="宋体" w:hAnsi="宋体" w:cs="宋体"/>
          <w:color w:val="000000"/>
          <w:szCs w:val="21"/>
          <w:highlight w:val="none"/>
        </w:rPr>
        <w:t>本项目前期供应商已配备</w:t>
      </w:r>
      <w:r>
        <w:rPr>
          <w:rFonts w:hint="eastAsia" w:ascii="宋体" w:hAnsi="宋体" w:cs="宋体"/>
          <w:color w:val="000000"/>
          <w:szCs w:val="21"/>
          <w:highlight w:val="none"/>
          <w:lang w:eastAsia="zh-CN"/>
        </w:rPr>
        <w:t>物业服务设备工具</w:t>
      </w:r>
      <w:r>
        <w:rPr>
          <w:rFonts w:hint="eastAsia" w:ascii="宋体" w:hAnsi="宋体" w:cs="宋体"/>
          <w:color w:val="000000"/>
          <w:szCs w:val="21"/>
          <w:highlight w:val="none"/>
        </w:rPr>
        <w:t>等，本次</w:t>
      </w:r>
      <w:r>
        <w:rPr>
          <w:rFonts w:hint="eastAsia" w:ascii="宋体" w:hAnsi="宋体" w:cs="宋体"/>
          <w:color w:val="000000"/>
          <w:szCs w:val="21"/>
          <w:highlight w:val="none"/>
          <w:lang w:val="en-US" w:eastAsia="zh-CN"/>
        </w:rPr>
        <w:t>中标</w:t>
      </w:r>
      <w:r>
        <w:rPr>
          <w:rFonts w:hint="eastAsia" w:ascii="宋体" w:hAnsi="宋体" w:cs="宋体"/>
          <w:color w:val="000000"/>
          <w:szCs w:val="21"/>
          <w:highlight w:val="none"/>
        </w:rPr>
        <w:t>供应商与前期</w:t>
      </w:r>
      <w:r>
        <w:rPr>
          <w:rFonts w:hint="eastAsia" w:ascii="宋体" w:hAnsi="宋体" w:cs="宋体"/>
          <w:color w:val="000000"/>
          <w:szCs w:val="21"/>
          <w:highlight w:val="none"/>
          <w:lang w:eastAsia="zh-CN"/>
        </w:rPr>
        <w:t>服务</w:t>
      </w:r>
      <w:r>
        <w:rPr>
          <w:rFonts w:hint="eastAsia" w:ascii="宋体" w:hAnsi="宋体" w:cs="宋体"/>
          <w:color w:val="000000"/>
          <w:szCs w:val="21"/>
          <w:highlight w:val="none"/>
        </w:rPr>
        <w:t>供应商协商并按</w:t>
      </w:r>
      <w:r>
        <w:rPr>
          <w:rFonts w:hint="eastAsia" w:ascii="宋体" w:hAnsi="宋体" w:cs="宋体"/>
          <w:color w:val="000000"/>
          <w:szCs w:val="21"/>
          <w:highlight w:val="none"/>
          <w:lang w:eastAsia="zh-CN"/>
        </w:rPr>
        <w:t>第三方</w:t>
      </w:r>
      <w:r>
        <w:rPr>
          <w:rFonts w:hint="eastAsia" w:ascii="宋体" w:hAnsi="宋体" w:cs="宋体"/>
          <w:color w:val="000000"/>
          <w:szCs w:val="21"/>
          <w:highlight w:val="none"/>
        </w:rPr>
        <w:t>市场评估价接管已配备</w:t>
      </w:r>
      <w:r>
        <w:rPr>
          <w:rFonts w:hint="eastAsia" w:ascii="宋体" w:hAnsi="宋体" w:cs="宋体"/>
          <w:color w:val="000000"/>
          <w:szCs w:val="21"/>
          <w:highlight w:val="none"/>
          <w:lang w:eastAsia="zh-CN"/>
        </w:rPr>
        <w:t>物业服务设备工具</w:t>
      </w:r>
      <w:r>
        <w:rPr>
          <w:rFonts w:hint="eastAsia" w:ascii="宋体" w:hAnsi="宋体" w:cs="宋体"/>
          <w:color w:val="000000"/>
          <w:szCs w:val="21"/>
          <w:highlight w:val="none"/>
        </w:rPr>
        <w:t>等。</w:t>
      </w:r>
      <w:r>
        <w:rPr>
          <w:rFonts w:hint="eastAsia" w:ascii="宋体" w:hAnsi="宋体" w:cs="宋体"/>
          <w:color w:val="000000"/>
          <w:szCs w:val="21"/>
          <w:highlight w:val="none"/>
          <w:lang w:eastAsia="zh-CN"/>
        </w:rPr>
        <w:t>（评估费用双方均摊）</w:t>
      </w:r>
    </w:p>
    <w:p w14:paraId="7EB5324F">
      <w:pPr>
        <w:numPr>
          <w:ilvl w:val="0"/>
          <w:numId w:val="0"/>
        </w:numPr>
        <w:outlineLvl w:val="1"/>
        <w:rPr>
          <w:rFonts w:ascii="Times New Roman" w:hAnsi="Times New Roman" w:eastAsia="宋体" w:cs="Times New Roman"/>
          <w:b/>
          <w:bCs/>
          <w:color w:val="000000"/>
          <w:sz w:val="21"/>
          <w:szCs w:val="24"/>
          <w:lang w:val="en-US" w:eastAsia="zh-CN" w:bidi="ar-SA"/>
        </w:rPr>
      </w:pPr>
    </w:p>
    <w:p w14:paraId="36720114">
      <w:pPr>
        <w:numPr>
          <w:ilvl w:val="0"/>
          <w:numId w:val="0"/>
        </w:numPr>
        <w:outlineLvl w:val="1"/>
        <w:rPr>
          <w:rFonts w:hint="eastAsia"/>
          <w:b/>
          <w:bCs/>
          <w:color w:val="000000"/>
          <w:highlight w:val="none"/>
        </w:rPr>
      </w:pPr>
      <w:r>
        <w:rPr>
          <w:rFonts w:ascii="Times New Roman" w:hAnsi="Times New Roman" w:eastAsia="宋体" w:cs="Times New Roman"/>
          <w:b/>
          <w:bCs/>
          <w:color w:val="000000"/>
          <w:sz w:val="21"/>
          <w:szCs w:val="24"/>
          <w:lang w:val="en-US" w:eastAsia="zh-CN" w:bidi="ar-SA"/>
        </w:rPr>
        <w:t>5.</w:t>
      </w:r>
      <w:r>
        <w:rPr>
          <w:rFonts w:hint="eastAsia"/>
          <w:b/>
          <w:bCs/>
          <w:color w:val="000000"/>
          <w:highlight w:val="none"/>
        </w:rPr>
        <w:t>物业管理服务人员需求</w:t>
      </w:r>
    </w:p>
    <w:p w14:paraId="791EF424">
      <w:pPr>
        <w:numPr>
          <w:ilvl w:val="0"/>
          <w:numId w:val="0"/>
        </w:numPr>
        <w:ind w:firstLine="211"/>
        <w:outlineLvl w:val="1"/>
      </w:pPr>
      <w:r>
        <w:rPr>
          <w:rFonts w:hint="eastAsia"/>
          <w:lang w:val="en-US" w:eastAsia="zh-CN"/>
        </w:rPr>
        <w:t>5</w:t>
      </w:r>
      <w:r>
        <w:rPr>
          <w:rFonts w:hint="eastAsia"/>
          <w:b/>
          <w:bCs/>
          <w:color w:val="000000"/>
          <w:highlight w:val="none"/>
          <w:lang w:val="en-US" w:eastAsia="zh-CN"/>
        </w:rPr>
        <w:t>.1</w:t>
      </w:r>
      <w:r>
        <w:rPr>
          <w:rFonts w:hint="eastAsia" w:ascii="宋体" w:hAnsi="宋体" w:eastAsia="宋体" w:cs="宋体"/>
          <w:b/>
          <w:bCs/>
          <w:lang w:val="en-US" w:eastAsia="zh-CN"/>
        </w:rPr>
        <w:t>物业1（</w:t>
      </w:r>
      <w:r>
        <w:rPr>
          <w:rFonts w:hint="eastAsia" w:ascii="宋体" w:hAnsi="宋体" w:cs="宋体"/>
          <w:b/>
          <w:bCs/>
          <w:color w:val="000000"/>
          <w:highlight w:val="none"/>
          <w:lang w:eastAsia="zh-CN"/>
        </w:rPr>
        <w:t>桂林市建设大厦、桂林投资发展商务大厦(桂林市市直机关第二办公区)</w:t>
      </w:r>
      <w:r>
        <w:rPr>
          <w:rFonts w:hint="eastAsia" w:ascii="宋体" w:hAnsi="宋体" w:eastAsia="宋体" w:cs="宋体"/>
          <w:b/>
          <w:bCs/>
          <w:lang w:val="en-US" w:eastAsia="zh-CN"/>
        </w:rPr>
        <w:t>）人员需求</w:t>
      </w:r>
      <w:r>
        <w:rPr>
          <w:rFonts w:hint="eastAsia"/>
          <w:b/>
          <w:bCs/>
          <w:color w:val="000000"/>
          <w:highlight w:val="none"/>
          <w:lang w:val="en-US" w:eastAsia="zh-CN"/>
        </w:rPr>
        <w:t>人员需求</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50"/>
        <w:gridCol w:w="1433"/>
        <w:gridCol w:w="5542"/>
      </w:tblGrid>
      <w:tr w14:paraId="49ED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14:paraId="02FE5E30">
            <w:pPr>
              <w:jc w:val="center"/>
              <w:rPr>
                <w:rFonts w:hint="eastAsia" w:ascii="宋体" w:hAnsi="宋体" w:cs="宋体"/>
                <w:color w:val="000000"/>
                <w:szCs w:val="21"/>
                <w:highlight w:val="none"/>
              </w:rPr>
            </w:pPr>
            <w:r>
              <w:rPr>
                <w:rFonts w:hint="eastAsia" w:ascii="宋体" w:hAnsi="宋体" w:cs="宋体"/>
                <w:color w:val="000000"/>
                <w:szCs w:val="21"/>
                <w:highlight w:val="none"/>
              </w:rPr>
              <w:t>部门职能</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C555664">
            <w:pPr>
              <w:jc w:val="center"/>
              <w:rPr>
                <w:rFonts w:hint="eastAsia" w:ascii="宋体" w:hAnsi="宋体" w:cs="宋体"/>
                <w:color w:val="000000"/>
                <w:szCs w:val="21"/>
                <w:highlight w:val="none"/>
              </w:rPr>
            </w:pPr>
            <w:r>
              <w:rPr>
                <w:rFonts w:hint="eastAsia" w:ascii="宋体" w:hAnsi="宋体" w:cs="宋体"/>
                <w:color w:val="000000"/>
                <w:szCs w:val="21"/>
                <w:highlight w:val="none"/>
              </w:rPr>
              <w:t>同时在岗人数</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2BB56E58">
            <w:pPr>
              <w:jc w:val="center"/>
              <w:rPr>
                <w:rFonts w:hint="eastAsia" w:ascii="宋体" w:hAnsi="宋体" w:cs="宋体"/>
                <w:color w:val="000000"/>
                <w:szCs w:val="21"/>
                <w:highlight w:val="none"/>
              </w:rPr>
            </w:pPr>
            <w:r>
              <w:rPr>
                <w:rFonts w:hint="eastAsia" w:ascii="宋体" w:hAnsi="宋体" w:cs="宋体"/>
                <w:color w:val="000000"/>
                <w:szCs w:val="21"/>
                <w:highlight w:val="none"/>
              </w:rPr>
              <w:t>岗位所需</w:t>
            </w:r>
          </w:p>
          <w:p w14:paraId="64B0F34F">
            <w:pPr>
              <w:jc w:val="center"/>
              <w:rPr>
                <w:rFonts w:hint="eastAsia" w:ascii="宋体" w:hAnsi="宋体" w:cs="宋体"/>
                <w:color w:val="000000"/>
                <w:szCs w:val="21"/>
                <w:highlight w:val="none"/>
              </w:rPr>
            </w:pPr>
            <w:r>
              <w:rPr>
                <w:rFonts w:hint="eastAsia" w:ascii="宋体" w:hAnsi="宋体" w:cs="宋体"/>
                <w:color w:val="000000"/>
                <w:szCs w:val="21"/>
                <w:highlight w:val="none"/>
              </w:rPr>
              <w:t>总人数</w:t>
            </w:r>
          </w:p>
        </w:tc>
        <w:tc>
          <w:tcPr>
            <w:tcW w:w="5542" w:type="dxa"/>
            <w:tcBorders>
              <w:top w:val="single" w:color="auto" w:sz="4" w:space="0"/>
              <w:left w:val="single" w:color="auto" w:sz="4" w:space="0"/>
              <w:bottom w:val="single" w:color="auto" w:sz="4" w:space="0"/>
              <w:right w:val="single" w:color="auto" w:sz="4" w:space="0"/>
            </w:tcBorders>
            <w:noWrap w:val="0"/>
            <w:vAlign w:val="center"/>
          </w:tcPr>
          <w:p w14:paraId="74DF8673">
            <w:pPr>
              <w:jc w:val="center"/>
              <w:rPr>
                <w:rFonts w:hint="eastAsia" w:ascii="宋体" w:hAnsi="宋体" w:cs="宋体"/>
                <w:color w:val="000000"/>
                <w:szCs w:val="21"/>
                <w:highlight w:val="none"/>
              </w:rPr>
            </w:pPr>
            <w:r>
              <w:rPr>
                <w:rFonts w:hint="eastAsia" w:ascii="宋体" w:hAnsi="宋体" w:cs="宋体"/>
                <w:color w:val="000000"/>
                <w:szCs w:val="21"/>
                <w:highlight w:val="none"/>
              </w:rPr>
              <w:t>人员要求及岗位要求</w:t>
            </w:r>
          </w:p>
        </w:tc>
      </w:tr>
      <w:tr w14:paraId="19C9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14:paraId="52A59D8E">
            <w:pPr>
              <w:jc w:val="center"/>
              <w:rPr>
                <w:rFonts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管理人员</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45B9787">
            <w:pPr>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4CB16ABC">
            <w:pPr>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1</w:t>
            </w:r>
          </w:p>
        </w:tc>
        <w:tc>
          <w:tcPr>
            <w:tcW w:w="5542" w:type="dxa"/>
            <w:tcBorders>
              <w:top w:val="single" w:color="auto" w:sz="4" w:space="0"/>
              <w:left w:val="single" w:color="auto" w:sz="4" w:space="0"/>
              <w:bottom w:val="single" w:color="auto" w:sz="4" w:space="0"/>
              <w:right w:val="single" w:color="auto" w:sz="4" w:space="0"/>
            </w:tcBorders>
            <w:noWrap w:val="0"/>
            <w:vAlign w:val="top"/>
          </w:tcPr>
          <w:p w14:paraId="5E0E5C26">
            <w:pPr>
              <w:rPr>
                <w:rFonts w:ascii="宋体" w:hAnsi="宋体" w:eastAsia="宋体" w:cs="宋体"/>
                <w:color w:val="000000"/>
                <w:szCs w:val="21"/>
                <w:highlight w:val="none"/>
                <w:lang w:val="en-US" w:eastAsia="zh-CN"/>
              </w:rPr>
            </w:pPr>
            <w:r>
              <w:rPr>
                <w:rFonts w:hint="eastAsia" w:ascii="宋体" w:hAnsi="宋体" w:cs="宋体"/>
                <w:color w:val="000000"/>
                <w:szCs w:val="21"/>
                <w:highlight w:val="none"/>
              </w:rPr>
              <w:t>物业</w:t>
            </w:r>
            <w:r>
              <w:rPr>
                <w:rFonts w:hint="eastAsia" w:ascii="宋体" w:hAnsi="宋体" w:cs="宋体"/>
                <w:color w:val="000000"/>
                <w:szCs w:val="21"/>
                <w:highlight w:val="none"/>
                <w:lang w:val="en-US" w:eastAsia="zh-CN"/>
              </w:rPr>
              <w:t>总经理</w:t>
            </w:r>
            <w:r>
              <w:rPr>
                <w:rFonts w:hint="eastAsia" w:ascii="宋体" w:hAnsi="宋体" w:cs="宋体"/>
                <w:color w:val="000000"/>
                <w:szCs w:val="21"/>
                <w:highlight w:val="none"/>
              </w:rPr>
              <w:t>1名</w:t>
            </w:r>
            <w:r>
              <w:rPr>
                <w:rFonts w:hint="eastAsia" w:ascii="宋体" w:hAnsi="宋体" w:cs="宋体"/>
                <w:color w:val="000000"/>
                <w:szCs w:val="21"/>
                <w:highlight w:val="none"/>
                <w:lang w:eastAsia="zh-CN"/>
              </w:rPr>
              <w:t>：25（含）至50岁（含）</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身体健康，无犯罪记录，征信合格。</w:t>
            </w:r>
            <w:r>
              <w:rPr>
                <w:rFonts w:hint="eastAsia" w:ascii="宋体" w:hAnsi="宋体" w:cs="宋体"/>
                <w:color w:val="000000"/>
                <w:szCs w:val="21"/>
                <w:highlight w:val="none"/>
              </w:rPr>
              <w:t>熟悉物业管理相关法律法规和政策，有</w:t>
            </w:r>
            <w:r>
              <w:rPr>
                <w:rFonts w:hint="eastAsia" w:ascii="宋体" w:hAnsi="宋体" w:cs="宋体"/>
                <w:color w:val="000000"/>
                <w:szCs w:val="21"/>
              </w:rPr>
              <w:t>较强</w:t>
            </w:r>
            <w:r>
              <w:rPr>
                <w:rFonts w:hint="eastAsia" w:ascii="宋体" w:hAnsi="宋体" w:cs="宋体"/>
                <w:color w:val="000000"/>
                <w:szCs w:val="21"/>
                <w:highlight w:val="none"/>
              </w:rPr>
              <w:t>的组织协调和沟通能力，能处理各种突发事件，具备</w:t>
            </w:r>
            <w:r>
              <w:rPr>
                <w:rFonts w:hint="eastAsia" w:ascii="宋体" w:hAnsi="宋体" w:cs="宋体"/>
                <w:color w:val="000000"/>
                <w:szCs w:val="21"/>
              </w:rPr>
              <w:t>较强</w:t>
            </w:r>
            <w:r>
              <w:rPr>
                <w:rFonts w:hint="eastAsia" w:ascii="宋体" w:hAnsi="宋体" w:cs="宋体"/>
                <w:color w:val="000000"/>
                <w:szCs w:val="21"/>
                <w:highlight w:val="none"/>
              </w:rPr>
              <w:t>的</w:t>
            </w:r>
            <w:r>
              <w:rPr>
                <w:rFonts w:hint="eastAsia" w:ascii="宋体" w:hAnsi="宋体" w:cs="宋体"/>
                <w:color w:val="000000"/>
                <w:szCs w:val="21"/>
                <w:highlight w:val="none"/>
                <w:lang w:eastAsia="zh-CN"/>
              </w:rPr>
              <w:t>人力和财务</w:t>
            </w:r>
            <w:r>
              <w:rPr>
                <w:rFonts w:hint="eastAsia" w:ascii="宋体" w:hAnsi="宋体" w:cs="宋体"/>
                <w:color w:val="000000"/>
                <w:szCs w:val="21"/>
                <w:highlight w:val="none"/>
              </w:rPr>
              <w:t>管理能力</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团队领导能力，能够提高物业服务质量</w:t>
            </w:r>
            <w:r>
              <w:rPr>
                <w:rFonts w:hint="eastAsia" w:ascii="宋体" w:hAnsi="宋体" w:cs="宋体"/>
                <w:color w:val="000000"/>
                <w:szCs w:val="21"/>
                <w:highlight w:val="none"/>
                <w:lang w:eastAsia="zh-CN"/>
              </w:rPr>
              <w:t>。</w:t>
            </w:r>
          </w:p>
        </w:tc>
      </w:tr>
      <w:tr w14:paraId="6801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6FE0FA18">
            <w:pPr>
              <w:jc w:val="center"/>
              <w:rPr>
                <w:rFonts w:hint="eastAsia" w:ascii="宋体" w:hAnsi="宋体" w:cs="宋体"/>
                <w:color w:val="000000"/>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491E341">
            <w:pPr>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623CED9A">
            <w:pPr>
              <w:jc w:val="center"/>
              <w:rPr>
                <w:rFonts w:hint="eastAsia" w:ascii="宋体" w:hAnsi="宋体" w:eastAsia="宋体" w:cs="宋体"/>
                <w:b/>
                <w:bCs/>
                <w:color w:val="000000"/>
                <w:szCs w:val="21"/>
                <w:highlight w:val="none"/>
                <w:lang w:val="en-US" w:eastAsia="zh-CN"/>
              </w:rPr>
            </w:pPr>
            <w:r>
              <w:rPr>
                <w:rFonts w:hint="eastAsia" w:ascii="宋体" w:hAnsi="宋体" w:cs="宋体"/>
                <w:b/>
                <w:bCs/>
                <w:color w:val="000000"/>
                <w:szCs w:val="21"/>
                <w:highlight w:val="none"/>
                <w:lang w:val="en-US" w:eastAsia="zh-CN"/>
              </w:rPr>
              <w:t>1</w:t>
            </w:r>
          </w:p>
        </w:tc>
        <w:tc>
          <w:tcPr>
            <w:tcW w:w="5542" w:type="dxa"/>
            <w:tcBorders>
              <w:top w:val="single" w:color="auto" w:sz="4" w:space="0"/>
              <w:left w:val="single" w:color="auto" w:sz="4" w:space="0"/>
              <w:bottom w:val="single" w:color="auto" w:sz="4" w:space="0"/>
              <w:right w:val="single" w:color="auto" w:sz="4" w:space="0"/>
            </w:tcBorders>
            <w:noWrap w:val="0"/>
            <w:vAlign w:val="top"/>
          </w:tcPr>
          <w:p w14:paraId="5EF1FE13">
            <w:pP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副总经理</w:t>
            </w:r>
            <w:r>
              <w:rPr>
                <w:rFonts w:hint="eastAsia" w:ascii="宋体" w:hAnsi="宋体" w:cs="宋体"/>
                <w:color w:val="000000"/>
                <w:szCs w:val="21"/>
                <w:highlight w:val="none"/>
              </w:rPr>
              <w:t>1名</w:t>
            </w:r>
            <w:r>
              <w:rPr>
                <w:rFonts w:hint="eastAsia" w:ascii="宋体" w:hAnsi="宋体" w:cs="宋体"/>
                <w:color w:val="000000"/>
                <w:szCs w:val="21"/>
                <w:highlight w:val="none"/>
                <w:lang w:eastAsia="zh-CN"/>
              </w:rPr>
              <w:t>：25（含）至50岁（含）</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身体健康，无犯罪记录，征信合格。</w:t>
            </w:r>
            <w:r>
              <w:rPr>
                <w:rFonts w:hint="eastAsia" w:ascii="宋体" w:hAnsi="宋体" w:cs="宋体"/>
                <w:color w:val="000000"/>
                <w:szCs w:val="21"/>
                <w:highlight w:val="none"/>
              </w:rPr>
              <w:t>熟悉物业管理相关法律法规和政策，有</w:t>
            </w:r>
            <w:r>
              <w:rPr>
                <w:rFonts w:hint="eastAsia" w:ascii="宋体" w:hAnsi="宋体" w:cs="宋体"/>
                <w:color w:val="000000"/>
                <w:szCs w:val="21"/>
              </w:rPr>
              <w:t>较强</w:t>
            </w:r>
            <w:r>
              <w:rPr>
                <w:rFonts w:hint="eastAsia" w:ascii="宋体" w:hAnsi="宋体" w:cs="宋体"/>
                <w:color w:val="000000"/>
                <w:szCs w:val="21"/>
                <w:highlight w:val="none"/>
              </w:rPr>
              <w:t>的组织协调和沟通能力，能处理各种突发事件，具备</w:t>
            </w:r>
            <w:r>
              <w:rPr>
                <w:rFonts w:hint="eastAsia" w:ascii="宋体" w:hAnsi="宋体" w:cs="宋体"/>
                <w:color w:val="000000"/>
                <w:szCs w:val="21"/>
              </w:rPr>
              <w:t>较强</w:t>
            </w:r>
            <w:r>
              <w:rPr>
                <w:rFonts w:hint="eastAsia" w:ascii="宋体" w:hAnsi="宋体" w:cs="宋体"/>
                <w:color w:val="000000"/>
                <w:szCs w:val="21"/>
                <w:highlight w:val="none"/>
              </w:rPr>
              <w:t>的管理能力和团队领导能力，能够提高物业服务质量</w:t>
            </w:r>
            <w:r>
              <w:rPr>
                <w:rFonts w:hint="eastAsia" w:ascii="宋体" w:hAnsi="宋体" w:cs="宋体"/>
                <w:color w:val="000000"/>
                <w:szCs w:val="21"/>
                <w:highlight w:val="none"/>
                <w:lang w:eastAsia="zh-CN"/>
              </w:rPr>
              <w:t>。</w:t>
            </w:r>
          </w:p>
        </w:tc>
      </w:tr>
      <w:tr w14:paraId="5683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14:paraId="38A4A205">
            <w:pPr>
              <w:jc w:val="center"/>
              <w:rPr>
                <w:rFonts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工程服务</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48C5F48">
            <w:pPr>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6D9E2783">
            <w:pPr>
              <w:jc w:val="center"/>
              <w:rPr>
                <w:rFonts w:hint="eastAsia" w:ascii="宋体" w:hAnsi="宋体" w:eastAsia="宋体" w:cs="宋体"/>
                <w:b/>
                <w:bCs/>
                <w:color w:val="000000"/>
                <w:szCs w:val="21"/>
                <w:highlight w:val="none"/>
                <w:lang w:val="en-US" w:eastAsia="zh-CN"/>
              </w:rPr>
            </w:pPr>
            <w:r>
              <w:rPr>
                <w:rFonts w:hint="eastAsia" w:ascii="宋体" w:hAnsi="宋体" w:cs="宋体"/>
                <w:b/>
                <w:bCs/>
                <w:color w:val="000000"/>
                <w:szCs w:val="21"/>
                <w:highlight w:val="none"/>
                <w:lang w:val="en-US" w:eastAsia="zh-CN"/>
              </w:rPr>
              <w:t>1</w:t>
            </w:r>
          </w:p>
        </w:tc>
        <w:tc>
          <w:tcPr>
            <w:tcW w:w="5542" w:type="dxa"/>
            <w:tcBorders>
              <w:top w:val="single" w:color="auto" w:sz="4" w:space="0"/>
              <w:left w:val="single" w:color="auto" w:sz="4" w:space="0"/>
              <w:bottom w:val="single" w:color="auto" w:sz="4" w:space="0"/>
              <w:right w:val="single" w:color="auto" w:sz="4" w:space="0"/>
            </w:tcBorders>
            <w:noWrap w:val="0"/>
            <w:vAlign w:val="top"/>
          </w:tcPr>
          <w:p w14:paraId="7FC61DBC">
            <w:pP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工程部长</w:t>
            </w:r>
            <w:r>
              <w:rPr>
                <w:rFonts w:hint="eastAsia" w:ascii="宋体" w:hAnsi="宋体" w:cs="宋体"/>
                <w:color w:val="000000"/>
                <w:szCs w:val="21"/>
                <w:highlight w:val="none"/>
              </w:rPr>
              <w:t>1名</w:t>
            </w:r>
            <w:r>
              <w:rPr>
                <w:rFonts w:hint="eastAsia" w:ascii="宋体" w:hAnsi="宋体" w:cs="宋体"/>
                <w:color w:val="000000"/>
                <w:szCs w:val="21"/>
                <w:highlight w:val="none"/>
                <w:lang w:eastAsia="zh-CN"/>
              </w:rPr>
              <w:t>：25（含）至50岁（含）</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身体健康，无犯罪记录，征信合格。</w:t>
            </w:r>
            <w:r>
              <w:rPr>
                <w:rFonts w:hint="eastAsia" w:ascii="宋体" w:hAnsi="宋体" w:cs="宋体"/>
                <w:color w:val="000000"/>
                <w:szCs w:val="21"/>
                <w:highlight w:val="none"/>
              </w:rPr>
              <w:t>熟悉</w:t>
            </w:r>
            <w:r>
              <w:rPr>
                <w:rFonts w:hint="eastAsia" w:ascii="宋体" w:hAnsi="宋体" w:cs="宋体"/>
                <w:color w:val="000000"/>
                <w:szCs w:val="21"/>
                <w:highlight w:val="none"/>
                <w:lang w:val="en-US" w:eastAsia="zh-CN"/>
              </w:rPr>
              <w:t>管理范围内的设施设备情况</w:t>
            </w:r>
            <w:r>
              <w:rPr>
                <w:rFonts w:hint="eastAsia" w:ascii="宋体" w:hAnsi="宋体" w:cs="宋体"/>
                <w:color w:val="000000"/>
                <w:szCs w:val="21"/>
                <w:highlight w:val="none"/>
              </w:rPr>
              <w:t>，有</w:t>
            </w:r>
            <w:r>
              <w:rPr>
                <w:rFonts w:hint="eastAsia" w:ascii="宋体" w:hAnsi="宋体" w:cs="宋体"/>
                <w:color w:val="000000"/>
                <w:szCs w:val="21"/>
              </w:rPr>
              <w:t>较强</w:t>
            </w:r>
            <w:r>
              <w:rPr>
                <w:rFonts w:hint="eastAsia" w:ascii="宋体" w:hAnsi="宋体" w:cs="宋体"/>
                <w:color w:val="000000"/>
                <w:szCs w:val="21"/>
                <w:highlight w:val="none"/>
              </w:rPr>
              <w:t>的组织协调和沟通能力，能处理各种突发事件，具备</w:t>
            </w:r>
            <w:r>
              <w:rPr>
                <w:rFonts w:hint="eastAsia" w:ascii="宋体" w:hAnsi="宋体" w:cs="宋体"/>
                <w:color w:val="000000"/>
                <w:szCs w:val="21"/>
              </w:rPr>
              <w:t>较强</w:t>
            </w:r>
            <w:r>
              <w:rPr>
                <w:rFonts w:hint="eastAsia" w:ascii="宋体" w:hAnsi="宋体" w:cs="宋体"/>
                <w:color w:val="000000"/>
                <w:szCs w:val="21"/>
                <w:highlight w:val="none"/>
              </w:rPr>
              <w:t>的管理能力和团队领导能力，能够提高物业服务质量</w:t>
            </w:r>
            <w:r>
              <w:rPr>
                <w:rFonts w:hint="eastAsia" w:ascii="宋体" w:hAnsi="宋体" w:cs="宋体"/>
                <w:color w:val="000000"/>
                <w:szCs w:val="21"/>
                <w:highlight w:val="none"/>
                <w:lang w:eastAsia="zh-CN"/>
              </w:rPr>
              <w:t>。</w:t>
            </w:r>
          </w:p>
        </w:tc>
      </w:tr>
      <w:tr w14:paraId="3640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1D659455">
            <w:pPr>
              <w:jc w:val="center"/>
              <w:rPr>
                <w:rFonts w:hint="eastAsia" w:ascii="宋体" w:hAnsi="宋体" w:cs="宋体"/>
                <w:color w:val="000000"/>
                <w:szCs w:val="21"/>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B3DE53C">
            <w:pPr>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4A268F9A">
            <w:pPr>
              <w:jc w:val="center"/>
              <w:rPr>
                <w:rFonts w:hint="eastAsia" w:ascii="宋体" w:hAnsi="宋体" w:eastAsia="宋体" w:cs="宋体"/>
                <w:b/>
                <w:bCs/>
                <w:color w:val="000000"/>
                <w:szCs w:val="21"/>
                <w:highlight w:val="none"/>
                <w:lang w:val="en-US" w:eastAsia="zh-CN"/>
              </w:rPr>
            </w:pPr>
            <w:r>
              <w:rPr>
                <w:rFonts w:hint="eastAsia" w:ascii="宋体" w:hAnsi="宋体" w:cs="宋体"/>
                <w:b/>
                <w:bCs/>
                <w:color w:val="000000"/>
                <w:szCs w:val="21"/>
                <w:highlight w:val="none"/>
                <w:lang w:val="en-US" w:eastAsia="zh-CN"/>
              </w:rPr>
              <w:t>1</w:t>
            </w:r>
          </w:p>
        </w:tc>
        <w:tc>
          <w:tcPr>
            <w:tcW w:w="5542" w:type="dxa"/>
            <w:tcBorders>
              <w:top w:val="single" w:color="auto" w:sz="4" w:space="0"/>
              <w:left w:val="single" w:color="auto" w:sz="4" w:space="0"/>
              <w:bottom w:val="single" w:color="auto" w:sz="4" w:space="0"/>
              <w:right w:val="single" w:color="auto" w:sz="4" w:space="0"/>
            </w:tcBorders>
            <w:noWrap w:val="0"/>
            <w:vAlign w:val="top"/>
          </w:tcPr>
          <w:p w14:paraId="6D6A5B6E">
            <w:pPr>
              <w:rPr>
                <w:rFonts w:hint="eastAsia" w:ascii="宋体" w:hAnsi="宋体" w:cs="宋体"/>
                <w:color w:val="000000"/>
                <w:szCs w:val="21"/>
                <w:highlight w:val="none"/>
              </w:rPr>
            </w:pPr>
            <w:r>
              <w:rPr>
                <w:rFonts w:hint="eastAsia" w:ascii="宋体" w:hAnsi="宋体" w:cs="宋体"/>
                <w:color w:val="000000"/>
                <w:szCs w:val="21"/>
                <w:highlight w:val="none"/>
                <w:lang w:val="en-US" w:eastAsia="zh-CN"/>
              </w:rPr>
              <w:t>工程班长1</w:t>
            </w:r>
            <w:r>
              <w:rPr>
                <w:rFonts w:hint="eastAsia" w:ascii="宋体" w:hAnsi="宋体" w:cs="宋体"/>
                <w:color w:val="000000"/>
                <w:szCs w:val="21"/>
                <w:highlight w:val="none"/>
              </w:rPr>
              <w:t>名</w:t>
            </w:r>
            <w:r>
              <w:rPr>
                <w:rFonts w:hint="eastAsia" w:ascii="宋体" w:hAnsi="宋体" w:cs="宋体"/>
                <w:color w:val="000000"/>
                <w:szCs w:val="21"/>
                <w:highlight w:val="none"/>
                <w:lang w:eastAsia="zh-CN"/>
              </w:rPr>
              <w:t>：25（含）至50岁（含）</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身体健康，无犯罪记录，征信合格。</w:t>
            </w:r>
            <w:r>
              <w:rPr>
                <w:rFonts w:hint="eastAsia" w:ascii="宋体" w:hAnsi="宋体" w:cs="宋体"/>
                <w:color w:val="000000"/>
                <w:szCs w:val="21"/>
                <w:highlight w:val="none"/>
              </w:rPr>
              <w:t>熟悉</w:t>
            </w:r>
            <w:r>
              <w:rPr>
                <w:rFonts w:hint="eastAsia" w:ascii="宋体" w:hAnsi="宋体" w:cs="宋体"/>
                <w:color w:val="000000"/>
                <w:szCs w:val="21"/>
                <w:highlight w:val="none"/>
                <w:lang w:val="en-US" w:eastAsia="zh-CN"/>
              </w:rPr>
              <w:t>管理范围内的设施设备情况</w:t>
            </w:r>
            <w:r>
              <w:rPr>
                <w:rFonts w:hint="eastAsia" w:ascii="宋体" w:hAnsi="宋体" w:cs="宋体"/>
                <w:color w:val="000000"/>
                <w:szCs w:val="21"/>
                <w:highlight w:val="none"/>
              </w:rPr>
              <w:t>，有</w:t>
            </w:r>
            <w:r>
              <w:rPr>
                <w:rFonts w:hint="eastAsia" w:ascii="宋体" w:hAnsi="宋体" w:cs="宋体"/>
                <w:color w:val="000000"/>
                <w:szCs w:val="21"/>
              </w:rPr>
              <w:t>较强</w:t>
            </w:r>
            <w:r>
              <w:rPr>
                <w:rFonts w:hint="eastAsia" w:ascii="宋体" w:hAnsi="宋体" w:cs="宋体"/>
                <w:color w:val="000000"/>
                <w:szCs w:val="21"/>
                <w:highlight w:val="none"/>
              </w:rPr>
              <w:t>的组织协调和沟通能力，能处理各种突发事件，</w:t>
            </w:r>
            <w:r>
              <w:rPr>
                <w:rFonts w:hint="eastAsia" w:ascii="宋体" w:hAnsi="宋体" w:cs="宋体"/>
                <w:color w:val="000000"/>
                <w:szCs w:val="21"/>
                <w:highlight w:val="none"/>
                <w:lang w:val="en-US" w:eastAsia="zh-CN"/>
              </w:rPr>
              <w:t>熟练掌握相关设备的维修维护知识。符合物业公司的岗位职责标准。</w:t>
            </w:r>
          </w:p>
        </w:tc>
      </w:tr>
      <w:tr w14:paraId="5F34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11FC669F">
            <w:pPr>
              <w:jc w:val="center"/>
              <w:rPr>
                <w:rFonts w:hint="eastAsia" w:ascii="宋体" w:hAnsi="宋体" w:cs="宋体"/>
                <w:color w:val="000000"/>
                <w:szCs w:val="21"/>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1CC545D">
            <w:pPr>
              <w:jc w:val="center"/>
              <w:rPr>
                <w:rFonts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4</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1833EF66">
            <w:pPr>
              <w:jc w:val="center"/>
              <w:rPr>
                <w:rFonts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4</w:t>
            </w:r>
          </w:p>
        </w:tc>
        <w:tc>
          <w:tcPr>
            <w:tcW w:w="5542" w:type="dxa"/>
            <w:tcBorders>
              <w:top w:val="single" w:color="auto" w:sz="4" w:space="0"/>
              <w:left w:val="single" w:color="auto" w:sz="4" w:space="0"/>
              <w:bottom w:val="single" w:color="auto" w:sz="4" w:space="0"/>
              <w:right w:val="single" w:color="auto" w:sz="4" w:space="0"/>
            </w:tcBorders>
            <w:noWrap w:val="0"/>
            <w:vAlign w:val="top"/>
          </w:tcPr>
          <w:p w14:paraId="1FD3F0D9">
            <w:pPr>
              <w:rPr>
                <w:rFonts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工程</w:t>
            </w:r>
            <w:r>
              <w:rPr>
                <w:rFonts w:hint="eastAsia" w:ascii="宋体" w:hAnsi="宋体" w:cs="宋体"/>
                <w:color w:val="000000"/>
                <w:szCs w:val="21"/>
                <w:lang w:val="en-US" w:eastAsia="zh-CN"/>
              </w:rPr>
              <w:t>普通</w:t>
            </w:r>
            <w:r>
              <w:rPr>
                <w:rFonts w:hint="eastAsia" w:ascii="宋体" w:hAnsi="宋体" w:cs="宋体"/>
                <w:color w:val="000000"/>
                <w:szCs w:val="21"/>
                <w:highlight w:val="none"/>
                <w:lang w:val="en-US" w:eastAsia="zh-CN"/>
              </w:rPr>
              <w:t>维修员4</w:t>
            </w:r>
            <w:r>
              <w:rPr>
                <w:rFonts w:hint="eastAsia" w:ascii="宋体" w:hAnsi="宋体" w:cs="宋体"/>
                <w:color w:val="000000"/>
                <w:szCs w:val="21"/>
                <w:highlight w:val="none"/>
              </w:rPr>
              <w:t>名</w:t>
            </w:r>
            <w:r>
              <w:rPr>
                <w:rFonts w:hint="eastAsia" w:ascii="宋体" w:hAnsi="宋体" w:cs="宋体"/>
                <w:color w:val="000000"/>
                <w:szCs w:val="21"/>
                <w:highlight w:val="none"/>
                <w:lang w:eastAsia="zh-CN"/>
              </w:rPr>
              <w:t>：25（含）至50岁（含）</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身体健康，无犯罪记录，征信合格。</w:t>
            </w:r>
            <w:r>
              <w:rPr>
                <w:rFonts w:hint="eastAsia" w:ascii="宋体" w:hAnsi="宋体" w:cs="宋体"/>
                <w:color w:val="000000"/>
                <w:szCs w:val="21"/>
                <w:highlight w:val="none"/>
              </w:rPr>
              <w:t>熟悉</w:t>
            </w:r>
            <w:r>
              <w:rPr>
                <w:rFonts w:hint="eastAsia" w:ascii="宋体" w:hAnsi="宋体" w:cs="宋体"/>
                <w:color w:val="000000"/>
                <w:szCs w:val="21"/>
                <w:highlight w:val="none"/>
                <w:lang w:val="en-US" w:eastAsia="zh-CN"/>
              </w:rPr>
              <w:t>管理范围内的设施设备情况</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熟练掌握相关设备的维修维护知识。符合物业公司的岗位职责标准。</w:t>
            </w:r>
          </w:p>
        </w:tc>
      </w:tr>
      <w:tr w14:paraId="7976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14:paraId="52B43BCA">
            <w:pPr>
              <w:jc w:val="center"/>
              <w:rPr>
                <w:rFonts w:hint="eastAsia" w:ascii="宋体" w:hAnsi="宋体" w:cs="宋体"/>
                <w:color w:val="000000"/>
                <w:szCs w:val="21"/>
                <w:highlight w:val="none"/>
              </w:rPr>
            </w:pPr>
            <w:r>
              <w:rPr>
                <w:rFonts w:hint="eastAsia" w:ascii="宋体" w:hAnsi="宋体" w:cs="宋体"/>
                <w:color w:val="000000"/>
                <w:szCs w:val="21"/>
                <w:highlight w:val="none"/>
              </w:rPr>
              <w:t>保洁服务</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368B52F">
            <w:pPr>
              <w:jc w:val="center"/>
              <w:rPr>
                <w:rFonts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1</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61F1D1D3">
            <w:pPr>
              <w:jc w:val="center"/>
              <w:rPr>
                <w:rFonts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1</w:t>
            </w:r>
          </w:p>
        </w:tc>
        <w:tc>
          <w:tcPr>
            <w:tcW w:w="5542" w:type="dxa"/>
            <w:tcBorders>
              <w:top w:val="single" w:color="auto" w:sz="4" w:space="0"/>
              <w:left w:val="single" w:color="auto" w:sz="4" w:space="0"/>
              <w:bottom w:val="single" w:color="auto" w:sz="4" w:space="0"/>
              <w:right w:val="single" w:color="auto" w:sz="4" w:space="0"/>
            </w:tcBorders>
            <w:noWrap w:val="0"/>
            <w:vAlign w:val="top"/>
          </w:tcPr>
          <w:p w14:paraId="6B784E43">
            <w:pPr>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保洁部长</w:t>
            </w:r>
            <w:r>
              <w:rPr>
                <w:rFonts w:hint="eastAsia" w:ascii="宋体" w:hAnsi="宋体" w:cs="宋体"/>
                <w:color w:val="000000"/>
                <w:szCs w:val="21"/>
                <w:highlight w:val="none"/>
              </w:rPr>
              <w:t>1名</w:t>
            </w:r>
            <w:r>
              <w:rPr>
                <w:rFonts w:hint="eastAsia" w:ascii="宋体" w:hAnsi="宋体" w:cs="宋体"/>
                <w:color w:val="000000"/>
                <w:szCs w:val="21"/>
                <w:highlight w:val="none"/>
                <w:lang w:eastAsia="zh-CN"/>
              </w:rPr>
              <w:t>：25（含）至50岁（含）</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身体健康，无犯罪记录，征信合格。</w:t>
            </w:r>
            <w:r>
              <w:rPr>
                <w:rFonts w:hint="eastAsia" w:ascii="宋体" w:hAnsi="宋体" w:cs="宋体"/>
                <w:color w:val="000000"/>
                <w:szCs w:val="21"/>
                <w:highlight w:val="none"/>
              </w:rPr>
              <w:t>熟悉管理区域内的基本情况，有</w:t>
            </w:r>
            <w:r>
              <w:rPr>
                <w:rFonts w:hint="eastAsia" w:ascii="宋体" w:hAnsi="宋体" w:cs="宋体"/>
                <w:color w:val="000000"/>
                <w:szCs w:val="21"/>
              </w:rPr>
              <w:t>较强</w:t>
            </w:r>
            <w:r>
              <w:rPr>
                <w:rFonts w:hint="eastAsia" w:ascii="宋体" w:hAnsi="宋体" w:cs="宋体"/>
                <w:color w:val="000000"/>
                <w:szCs w:val="21"/>
                <w:highlight w:val="none"/>
              </w:rPr>
              <w:t>的组织协调和沟通能力，能处理各种突发事件，具备</w:t>
            </w:r>
            <w:r>
              <w:rPr>
                <w:rFonts w:hint="eastAsia" w:ascii="宋体" w:hAnsi="宋体" w:cs="宋体"/>
                <w:color w:val="000000"/>
                <w:szCs w:val="21"/>
              </w:rPr>
              <w:t>较强</w:t>
            </w:r>
            <w:r>
              <w:rPr>
                <w:rFonts w:hint="eastAsia" w:ascii="宋体" w:hAnsi="宋体" w:cs="宋体"/>
                <w:color w:val="000000"/>
                <w:szCs w:val="21"/>
                <w:highlight w:val="none"/>
              </w:rPr>
              <w:t>的管理能力和团队领导能力，能够提高物业服务质量</w:t>
            </w:r>
            <w:r>
              <w:rPr>
                <w:rFonts w:hint="eastAsia" w:ascii="宋体" w:hAnsi="宋体" w:cs="宋体"/>
                <w:color w:val="000000"/>
                <w:szCs w:val="21"/>
                <w:highlight w:val="none"/>
                <w:lang w:eastAsia="zh-CN"/>
              </w:rPr>
              <w:t>。</w:t>
            </w:r>
          </w:p>
        </w:tc>
      </w:tr>
      <w:tr w14:paraId="1CCA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58C35DFE">
            <w:pPr>
              <w:jc w:val="center"/>
              <w:rPr>
                <w:rFonts w:hint="eastAsia" w:ascii="宋体" w:hAnsi="宋体" w:cs="宋体"/>
                <w:color w:val="000000"/>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C573FC0">
            <w:pPr>
              <w:jc w:val="center"/>
              <w:rPr>
                <w:rFonts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2</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7A007E75">
            <w:pPr>
              <w:jc w:val="center"/>
              <w:rPr>
                <w:rFonts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2</w:t>
            </w:r>
          </w:p>
        </w:tc>
        <w:tc>
          <w:tcPr>
            <w:tcW w:w="5542" w:type="dxa"/>
            <w:tcBorders>
              <w:top w:val="single" w:color="auto" w:sz="4" w:space="0"/>
              <w:left w:val="single" w:color="auto" w:sz="4" w:space="0"/>
              <w:bottom w:val="single" w:color="auto" w:sz="4" w:space="0"/>
              <w:right w:val="single" w:color="auto" w:sz="4" w:space="0"/>
            </w:tcBorders>
            <w:noWrap w:val="0"/>
            <w:vAlign w:val="top"/>
          </w:tcPr>
          <w:p w14:paraId="63713514">
            <w:pPr>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保洁班长2</w:t>
            </w:r>
            <w:r>
              <w:rPr>
                <w:rFonts w:hint="eastAsia" w:ascii="宋体" w:hAnsi="宋体" w:cs="宋体"/>
                <w:color w:val="000000"/>
                <w:szCs w:val="21"/>
                <w:highlight w:val="none"/>
              </w:rPr>
              <w:t>名</w:t>
            </w:r>
            <w:r>
              <w:rPr>
                <w:rFonts w:hint="eastAsia" w:ascii="宋体" w:hAnsi="宋体" w:cs="宋体"/>
                <w:color w:val="000000"/>
                <w:szCs w:val="21"/>
                <w:highlight w:val="none"/>
                <w:lang w:eastAsia="zh-CN"/>
              </w:rPr>
              <w:t>：25（含）至50岁（含）</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身体健康，无犯罪记录，征信合格。</w:t>
            </w:r>
            <w:r>
              <w:rPr>
                <w:rFonts w:hint="eastAsia" w:ascii="宋体" w:hAnsi="宋体" w:cs="宋体"/>
                <w:color w:val="000000"/>
                <w:szCs w:val="21"/>
                <w:highlight w:val="none"/>
              </w:rPr>
              <w:t>熟悉管理区域内的基本情况，有</w:t>
            </w:r>
            <w:r>
              <w:rPr>
                <w:rFonts w:hint="eastAsia" w:ascii="宋体" w:hAnsi="宋体" w:cs="宋体"/>
                <w:color w:val="000000"/>
                <w:szCs w:val="21"/>
              </w:rPr>
              <w:t>较强</w:t>
            </w:r>
            <w:r>
              <w:rPr>
                <w:rFonts w:hint="eastAsia" w:ascii="宋体" w:hAnsi="宋体" w:cs="宋体"/>
                <w:color w:val="000000"/>
                <w:szCs w:val="21"/>
                <w:highlight w:val="none"/>
              </w:rPr>
              <w:t>的组织协调和沟通能力，能处理各种突发事件，</w:t>
            </w:r>
            <w:r>
              <w:rPr>
                <w:rFonts w:hint="eastAsia" w:ascii="宋体" w:hAnsi="宋体" w:cs="宋体"/>
                <w:color w:val="000000"/>
                <w:szCs w:val="21"/>
                <w:highlight w:val="none"/>
                <w:lang w:val="en-US" w:eastAsia="zh-CN"/>
              </w:rPr>
              <w:t>熟练掌握卫生保洁相关知识。符合物业公司的岗位职责标准。</w:t>
            </w:r>
          </w:p>
        </w:tc>
      </w:tr>
      <w:tr w14:paraId="67DE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5FBE9F9E">
            <w:pPr>
              <w:jc w:val="center"/>
              <w:rPr>
                <w:rFonts w:hint="eastAsia" w:ascii="宋体" w:hAnsi="宋体" w:cs="宋体"/>
                <w:color w:val="000000"/>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8582473">
            <w:pPr>
              <w:jc w:val="center"/>
              <w:rPr>
                <w:rFonts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34</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7D9671BA">
            <w:pPr>
              <w:jc w:val="center"/>
              <w:rPr>
                <w:rFonts w:ascii="宋体" w:hAnsi="宋体" w:eastAsia="宋体" w:cs="宋体"/>
                <w:b/>
                <w:bCs/>
                <w:color w:val="000000"/>
                <w:szCs w:val="21"/>
                <w:highlight w:val="none"/>
                <w:lang w:val="en-US" w:eastAsia="zh-CN"/>
              </w:rPr>
            </w:pPr>
            <w:r>
              <w:rPr>
                <w:rFonts w:hint="eastAsia" w:ascii="宋体" w:hAnsi="宋体" w:cs="宋体"/>
                <w:b/>
                <w:bCs/>
                <w:color w:val="000000"/>
                <w:szCs w:val="21"/>
                <w:highlight w:val="none"/>
                <w:lang w:val="en-US" w:eastAsia="zh-CN"/>
              </w:rPr>
              <w:t>34</w:t>
            </w:r>
          </w:p>
        </w:tc>
        <w:tc>
          <w:tcPr>
            <w:tcW w:w="5542" w:type="dxa"/>
            <w:tcBorders>
              <w:top w:val="single" w:color="auto" w:sz="4" w:space="0"/>
              <w:left w:val="single" w:color="auto" w:sz="4" w:space="0"/>
              <w:bottom w:val="single" w:color="auto" w:sz="4" w:space="0"/>
              <w:right w:val="single" w:color="auto" w:sz="4" w:space="0"/>
            </w:tcBorders>
            <w:noWrap w:val="0"/>
            <w:vAlign w:val="top"/>
          </w:tcPr>
          <w:p w14:paraId="58F67648">
            <w:pPr>
              <w:rPr>
                <w:rFonts w:hint="eastAsia" w:ascii="宋体" w:hAnsi="宋体" w:cs="宋体"/>
                <w:color w:val="000000"/>
                <w:szCs w:val="21"/>
                <w:highlight w:val="none"/>
              </w:rPr>
            </w:pPr>
            <w:r>
              <w:rPr>
                <w:rFonts w:hint="eastAsia" w:ascii="宋体" w:hAnsi="宋体" w:cs="宋体"/>
                <w:bCs/>
                <w:color w:val="000000"/>
                <w:szCs w:val="21"/>
                <w:highlight w:val="none"/>
              </w:rPr>
              <w:t>保洁员</w:t>
            </w:r>
            <w:r>
              <w:rPr>
                <w:rFonts w:hint="eastAsia" w:ascii="宋体" w:hAnsi="宋体" w:cs="宋体"/>
                <w:bCs/>
                <w:color w:val="000000"/>
                <w:szCs w:val="21"/>
                <w:highlight w:val="none"/>
                <w:lang w:val="en-US" w:eastAsia="zh-CN"/>
              </w:rPr>
              <w:t>34名：</w:t>
            </w:r>
            <w:r>
              <w:rPr>
                <w:rFonts w:hint="eastAsia" w:ascii="宋体" w:hAnsi="宋体" w:cs="宋体"/>
                <w:bCs/>
                <w:color w:val="000000"/>
                <w:szCs w:val="21"/>
                <w:highlight w:val="none"/>
              </w:rPr>
              <w:t>男</w:t>
            </w:r>
            <w:r>
              <w:rPr>
                <w:rFonts w:hint="eastAsia" w:ascii="宋体" w:hAnsi="宋体" w:cs="宋体"/>
                <w:color w:val="000000"/>
                <w:szCs w:val="21"/>
                <w:highlight w:val="none"/>
                <w:lang w:eastAsia="zh-CN"/>
              </w:rPr>
              <w:t>25（含）至</w:t>
            </w:r>
            <w:r>
              <w:rPr>
                <w:rFonts w:hint="eastAsia" w:ascii="宋体" w:hAnsi="宋体" w:cs="宋体"/>
                <w:bCs/>
                <w:color w:val="000000"/>
                <w:szCs w:val="21"/>
                <w:highlight w:val="none"/>
              </w:rPr>
              <w:t>6</w:t>
            </w:r>
            <w:r>
              <w:rPr>
                <w:rFonts w:hint="eastAsia" w:ascii="宋体" w:hAnsi="宋体" w:cs="宋体"/>
                <w:bCs/>
                <w:color w:val="000000"/>
                <w:szCs w:val="21"/>
                <w:highlight w:val="none"/>
                <w:lang w:val="en-US" w:eastAsia="zh-CN"/>
              </w:rPr>
              <w:t>0</w:t>
            </w:r>
            <w:r>
              <w:rPr>
                <w:rFonts w:hint="eastAsia" w:ascii="宋体" w:hAnsi="宋体" w:cs="宋体"/>
                <w:bCs/>
                <w:color w:val="000000"/>
                <w:szCs w:val="21"/>
                <w:highlight w:val="none"/>
              </w:rPr>
              <w:t>岁（含）</w:t>
            </w:r>
            <w:r>
              <w:rPr>
                <w:rFonts w:hint="eastAsia" w:ascii="宋体" w:hAnsi="宋体" w:cs="宋体"/>
                <w:bCs/>
                <w:color w:val="000000"/>
                <w:szCs w:val="21"/>
                <w:highlight w:val="none"/>
                <w:lang w:eastAsia="zh-CN"/>
              </w:rPr>
              <w:t>，</w:t>
            </w:r>
            <w:r>
              <w:rPr>
                <w:rFonts w:hint="eastAsia" w:ascii="宋体" w:hAnsi="宋体" w:cs="宋体"/>
                <w:bCs/>
                <w:color w:val="000000"/>
                <w:szCs w:val="21"/>
                <w:highlight w:val="none"/>
              </w:rPr>
              <w:t>女</w:t>
            </w:r>
            <w:r>
              <w:rPr>
                <w:rFonts w:hint="eastAsia" w:ascii="宋体" w:hAnsi="宋体" w:cs="宋体"/>
                <w:color w:val="000000"/>
                <w:szCs w:val="21"/>
                <w:highlight w:val="none"/>
                <w:lang w:eastAsia="zh-CN"/>
              </w:rPr>
              <w:t>25（含）至</w:t>
            </w:r>
            <w:r>
              <w:rPr>
                <w:rFonts w:hint="eastAsia" w:ascii="宋体" w:hAnsi="宋体" w:cs="宋体"/>
                <w:bCs/>
                <w:color w:val="000000"/>
                <w:szCs w:val="21"/>
                <w:highlight w:val="none"/>
              </w:rPr>
              <w:t>5</w:t>
            </w:r>
            <w:r>
              <w:rPr>
                <w:rFonts w:hint="eastAsia" w:ascii="宋体" w:hAnsi="宋体" w:cs="宋体"/>
                <w:bCs/>
                <w:color w:val="000000"/>
                <w:szCs w:val="21"/>
                <w:highlight w:val="none"/>
                <w:lang w:val="en-US" w:eastAsia="zh-CN"/>
              </w:rPr>
              <w:t>5</w:t>
            </w:r>
            <w:r>
              <w:rPr>
                <w:rFonts w:hint="eastAsia" w:ascii="宋体" w:hAnsi="宋体" w:cs="宋体"/>
                <w:bCs/>
                <w:color w:val="000000"/>
                <w:szCs w:val="21"/>
                <w:highlight w:val="none"/>
              </w:rPr>
              <w:t>岁（含），工作熟练，具有良好的职业道德，吃苦耐劳，言行举止端重。</w:t>
            </w:r>
          </w:p>
        </w:tc>
      </w:tr>
      <w:tr w14:paraId="1BFC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14:paraId="2FFDB996">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绿化服务</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6AF62A9">
            <w:pPr>
              <w:jc w:val="center"/>
              <w:rPr>
                <w:rFonts w:hint="eastAsia" w:ascii="宋体" w:hAnsi="宋体" w:eastAsia="宋体" w:cs="宋体"/>
                <w:color w:val="000000"/>
                <w:sz w:val="21"/>
                <w:szCs w:val="21"/>
                <w:highlight w:val="none"/>
                <w:lang w:val="en-US" w:eastAsia="zh-CN" w:bidi="ar-SA"/>
              </w:rPr>
            </w:pPr>
            <w:r>
              <w:rPr>
                <w:rFonts w:hint="eastAsia" w:ascii="宋体" w:hAnsi="宋体" w:cs="宋体"/>
                <w:color w:val="000000"/>
                <w:szCs w:val="21"/>
                <w:highlight w:val="none"/>
                <w:lang w:val="en-US" w:eastAsia="zh-CN"/>
              </w:rPr>
              <w:t>1</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7E55AB38">
            <w:pPr>
              <w:jc w:val="center"/>
              <w:rPr>
                <w:rFonts w:hint="eastAsia" w:ascii="宋体" w:hAnsi="宋体" w:eastAsia="宋体" w:cs="宋体"/>
                <w:b/>
                <w:bCs/>
                <w:color w:val="000000"/>
                <w:sz w:val="21"/>
                <w:szCs w:val="21"/>
                <w:highlight w:val="none"/>
                <w:lang w:val="en-US" w:eastAsia="zh-CN" w:bidi="ar-SA"/>
              </w:rPr>
            </w:pPr>
            <w:r>
              <w:rPr>
                <w:rFonts w:hint="eastAsia" w:ascii="宋体" w:hAnsi="宋体" w:cs="宋体"/>
                <w:b/>
                <w:bCs/>
                <w:color w:val="000000"/>
                <w:szCs w:val="21"/>
                <w:highlight w:val="none"/>
                <w:lang w:val="en-US" w:eastAsia="zh-CN"/>
              </w:rPr>
              <w:t>1</w:t>
            </w:r>
          </w:p>
        </w:tc>
        <w:tc>
          <w:tcPr>
            <w:tcW w:w="5542" w:type="dxa"/>
            <w:tcBorders>
              <w:top w:val="single" w:color="auto" w:sz="4" w:space="0"/>
              <w:left w:val="single" w:color="auto" w:sz="4" w:space="0"/>
              <w:bottom w:val="single" w:color="auto" w:sz="4" w:space="0"/>
              <w:right w:val="single" w:color="auto" w:sz="4" w:space="0"/>
            </w:tcBorders>
            <w:noWrap w:val="0"/>
            <w:vAlign w:val="top"/>
          </w:tcPr>
          <w:p w14:paraId="19955BF1">
            <w:pPr>
              <w:rPr>
                <w:rFonts w:hint="eastAsia" w:ascii="宋体" w:hAnsi="宋体" w:eastAsia="宋体" w:cs="宋体"/>
                <w:bCs/>
                <w:color w:val="000000"/>
                <w:sz w:val="21"/>
                <w:szCs w:val="21"/>
                <w:highlight w:val="none"/>
                <w:lang w:val="en-US" w:eastAsia="zh-CN" w:bidi="ar-SA"/>
              </w:rPr>
            </w:pPr>
            <w:r>
              <w:rPr>
                <w:rFonts w:hint="eastAsia" w:ascii="宋体" w:hAnsi="宋体" w:cs="宋体"/>
                <w:color w:val="000000"/>
                <w:szCs w:val="21"/>
                <w:highlight w:val="none"/>
                <w:lang w:val="en-US" w:eastAsia="zh-CN"/>
              </w:rPr>
              <w:t>绿化班长1</w:t>
            </w:r>
            <w:r>
              <w:rPr>
                <w:rFonts w:hint="eastAsia" w:ascii="宋体" w:hAnsi="宋体" w:cs="宋体"/>
                <w:color w:val="000000"/>
                <w:szCs w:val="21"/>
                <w:highlight w:val="none"/>
              </w:rPr>
              <w:t>名</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5（含）至50岁（含），</w:t>
            </w:r>
            <w:r>
              <w:rPr>
                <w:rFonts w:hint="eastAsia" w:ascii="宋体" w:hAnsi="宋体" w:cs="宋体"/>
                <w:color w:val="000000"/>
                <w:szCs w:val="21"/>
                <w:highlight w:val="none"/>
                <w:lang w:val="en-US" w:eastAsia="zh-CN"/>
              </w:rPr>
              <w:t>身体健康，无犯罪记录，征信合格。</w:t>
            </w:r>
            <w:r>
              <w:rPr>
                <w:rFonts w:hint="eastAsia" w:ascii="宋体" w:hAnsi="宋体" w:cs="宋体"/>
                <w:color w:val="000000"/>
                <w:szCs w:val="21"/>
                <w:highlight w:val="none"/>
              </w:rPr>
              <w:t>熟悉管理区域内的基本情况，有</w:t>
            </w:r>
            <w:r>
              <w:rPr>
                <w:rFonts w:hint="eastAsia" w:ascii="宋体" w:hAnsi="宋体" w:cs="宋体"/>
                <w:color w:val="000000"/>
                <w:szCs w:val="21"/>
              </w:rPr>
              <w:t>较强</w:t>
            </w:r>
            <w:r>
              <w:rPr>
                <w:rFonts w:hint="eastAsia" w:ascii="宋体" w:hAnsi="宋体" w:cs="宋体"/>
                <w:color w:val="000000"/>
                <w:szCs w:val="21"/>
                <w:highlight w:val="none"/>
              </w:rPr>
              <w:t>的组织协调和沟通能力，能处理各种突发事件，</w:t>
            </w:r>
            <w:r>
              <w:rPr>
                <w:rFonts w:hint="eastAsia" w:ascii="宋体" w:hAnsi="宋体" w:cs="宋体"/>
                <w:color w:val="000000"/>
                <w:szCs w:val="21"/>
                <w:highlight w:val="none"/>
                <w:lang w:val="en-US" w:eastAsia="zh-CN"/>
              </w:rPr>
              <w:t>熟练掌握绿化工作的相关知识。符合物业公司的岗位职责标准.</w:t>
            </w:r>
          </w:p>
        </w:tc>
      </w:tr>
      <w:tr w14:paraId="3F6B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011683C2">
            <w:pPr>
              <w:jc w:val="center"/>
              <w:rPr>
                <w:rFonts w:hint="eastAsia" w:ascii="宋体" w:hAnsi="宋体" w:cs="宋体"/>
                <w:color w:val="000000"/>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7789800">
            <w:pPr>
              <w:jc w:val="center"/>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2</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5A52BBF5">
            <w:pPr>
              <w:jc w:val="center"/>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2</w:t>
            </w:r>
          </w:p>
        </w:tc>
        <w:tc>
          <w:tcPr>
            <w:tcW w:w="5542" w:type="dxa"/>
            <w:tcBorders>
              <w:top w:val="single" w:color="auto" w:sz="4" w:space="0"/>
              <w:left w:val="single" w:color="auto" w:sz="4" w:space="0"/>
              <w:bottom w:val="single" w:color="auto" w:sz="4" w:space="0"/>
              <w:right w:val="single" w:color="auto" w:sz="4" w:space="0"/>
            </w:tcBorders>
            <w:noWrap w:val="0"/>
            <w:vAlign w:val="top"/>
          </w:tcPr>
          <w:p w14:paraId="1CAB86A5">
            <w:pPr>
              <w:rPr>
                <w:rFonts w:hint="eastAsia" w:ascii="宋体" w:hAnsi="宋体" w:cs="宋体"/>
                <w:bCs/>
                <w:color w:val="000000"/>
                <w:szCs w:val="21"/>
                <w:highlight w:val="none"/>
              </w:rPr>
            </w:pPr>
            <w:r>
              <w:rPr>
                <w:rFonts w:hint="eastAsia" w:ascii="宋体" w:hAnsi="宋体" w:cs="宋体"/>
                <w:bCs/>
                <w:color w:val="000000"/>
                <w:szCs w:val="21"/>
                <w:highlight w:val="none"/>
                <w:lang w:val="en-US" w:eastAsia="zh-CN"/>
              </w:rPr>
              <w:t>绿化</w:t>
            </w:r>
            <w:r>
              <w:rPr>
                <w:rFonts w:hint="eastAsia" w:ascii="宋体" w:hAnsi="宋体" w:cs="宋体"/>
                <w:bCs/>
                <w:color w:val="000000"/>
                <w:szCs w:val="21"/>
                <w:highlight w:val="none"/>
              </w:rPr>
              <w:t>员</w:t>
            </w:r>
            <w:r>
              <w:rPr>
                <w:rFonts w:hint="eastAsia" w:ascii="宋体" w:hAnsi="宋体" w:cs="宋体"/>
                <w:bCs/>
                <w:color w:val="000000"/>
                <w:szCs w:val="21"/>
                <w:highlight w:val="none"/>
                <w:lang w:val="en-US" w:eastAsia="zh-CN"/>
              </w:rPr>
              <w:t>2名：</w:t>
            </w:r>
            <w:r>
              <w:rPr>
                <w:rFonts w:hint="eastAsia" w:ascii="宋体" w:hAnsi="宋体" w:cs="宋体"/>
                <w:bCs/>
                <w:color w:val="000000"/>
                <w:szCs w:val="21"/>
                <w:highlight w:val="none"/>
              </w:rPr>
              <w:t>男</w:t>
            </w:r>
            <w:r>
              <w:rPr>
                <w:rFonts w:hint="eastAsia" w:ascii="宋体" w:hAnsi="宋体" w:cs="宋体"/>
                <w:color w:val="000000"/>
                <w:szCs w:val="21"/>
                <w:highlight w:val="none"/>
                <w:lang w:eastAsia="zh-CN"/>
              </w:rPr>
              <w:t>25（含）至</w:t>
            </w:r>
            <w:r>
              <w:rPr>
                <w:rFonts w:hint="eastAsia" w:ascii="宋体" w:hAnsi="宋体" w:cs="宋体"/>
                <w:bCs/>
                <w:color w:val="000000"/>
                <w:szCs w:val="21"/>
                <w:highlight w:val="none"/>
              </w:rPr>
              <w:t>6</w:t>
            </w:r>
            <w:r>
              <w:rPr>
                <w:rFonts w:hint="eastAsia" w:ascii="宋体" w:hAnsi="宋体" w:cs="宋体"/>
                <w:bCs/>
                <w:color w:val="000000"/>
                <w:szCs w:val="21"/>
                <w:highlight w:val="none"/>
                <w:lang w:val="en-US" w:eastAsia="zh-CN"/>
              </w:rPr>
              <w:t>0</w:t>
            </w:r>
            <w:r>
              <w:rPr>
                <w:rFonts w:hint="eastAsia" w:ascii="宋体" w:hAnsi="宋体" w:cs="宋体"/>
                <w:bCs/>
                <w:color w:val="000000"/>
                <w:szCs w:val="21"/>
                <w:highlight w:val="none"/>
              </w:rPr>
              <w:t>岁（含），女</w:t>
            </w:r>
            <w:r>
              <w:rPr>
                <w:rFonts w:hint="eastAsia" w:ascii="宋体" w:hAnsi="宋体" w:cs="宋体"/>
                <w:color w:val="000000"/>
                <w:szCs w:val="21"/>
                <w:highlight w:val="none"/>
                <w:lang w:eastAsia="zh-CN"/>
              </w:rPr>
              <w:t>25（含）至</w:t>
            </w:r>
            <w:r>
              <w:rPr>
                <w:rFonts w:hint="eastAsia" w:ascii="宋体" w:hAnsi="宋体" w:cs="宋体"/>
                <w:bCs/>
                <w:color w:val="000000"/>
                <w:szCs w:val="21"/>
                <w:highlight w:val="none"/>
              </w:rPr>
              <w:t>5</w:t>
            </w:r>
            <w:r>
              <w:rPr>
                <w:rFonts w:hint="eastAsia" w:ascii="宋体" w:hAnsi="宋体" w:cs="宋体"/>
                <w:bCs/>
                <w:color w:val="000000"/>
                <w:szCs w:val="21"/>
                <w:highlight w:val="none"/>
                <w:lang w:val="en-US" w:eastAsia="zh-CN"/>
              </w:rPr>
              <w:t>5</w:t>
            </w:r>
            <w:r>
              <w:rPr>
                <w:rFonts w:hint="eastAsia" w:ascii="宋体" w:hAnsi="宋体" w:cs="宋体"/>
                <w:bCs/>
                <w:color w:val="000000"/>
                <w:szCs w:val="21"/>
                <w:highlight w:val="none"/>
              </w:rPr>
              <w:t>岁（含）</w:t>
            </w:r>
            <w:r>
              <w:rPr>
                <w:rFonts w:hint="eastAsia" w:ascii="宋体" w:hAnsi="宋体" w:cs="宋体"/>
                <w:bCs/>
                <w:color w:val="000000"/>
                <w:szCs w:val="21"/>
                <w:highlight w:val="none"/>
                <w:lang w:eastAsia="zh-CN"/>
              </w:rPr>
              <w:t>，</w:t>
            </w:r>
            <w:r>
              <w:rPr>
                <w:rFonts w:hint="eastAsia" w:ascii="宋体" w:hAnsi="宋体" w:cs="宋体"/>
                <w:bCs/>
                <w:color w:val="000000"/>
                <w:szCs w:val="21"/>
                <w:highlight w:val="none"/>
              </w:rPr>
              <w:t>工作熟练，具有良好的职业道德，吃苦耐劳，言行举止端重</w:t>
            </w:r>
            <w:r>
              <w:rPr>
                <w:rFonts w:hint="eastAsia" w:ascii="宋体" w:hAnsi="宋体" w:cs="宋体"/>
                <w:bCs/>
                <w:color w:val="000000"/>
                <w:szCs w:val="21"/>
                <w:highlight w:val="none"/>
                <w:lang w:eastAsia="zh-CN"/>
              </w:rPr>
              <w:t>。</w:t>
            </w:r>
          </w:p>
        </w:tc>
      </w:tr>
      <w:tr w14:paraId="1CFC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14:paraId="147B002B">
            <w:pPr>
              <w:jc w:val="center"/>
              <w:rPr>
                <w:rFonts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保安服务</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58D210F">
            <w:pPr>
              <w:jc w:val="center"/>
              <w:rPr>
                <w:rFonts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1</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7231FB96">
            <w:pPr>
              <w:jc w:val="center"/>
              <w:rPr>
                <w:rFonts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1</w:t>
            </w:r>
          </w:p>
        </w:tc>
        <w:tc>
          <w:tcPr>
            <w:tcW w:w="5542" w:type="dxa"/>
            <w:tcBorders>
              <w:top w:val="single" w:color="auto" w:sz="4" w:space="0"/>
              <w:left w:val="single" w:color="auto" w:sz="4" w:space="0"/>
              <w:bottom w:val="single" w:color="auto" w:sz="4" w:space="0"/>
              <w:right w:val="single" w:color="auto" w:sz="4" w:space="0"/>
            </w:tcBorders>
            <w:noWrap w:val="0"/>
            <w:vAlign w:val="top"/>
          </w:tcPr>
          <w:p w14:paraId="57A64A57">
            <w:pPr>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保安部长</w:t>
            </w:r>
            <w:r>
              <w:rPr>
                <w:rFonts w:hint="eastAsia" w:ascii="宋体" w:hAnsi="宋体" w:cs="宋体"/>
                <w:color w:val="000000"/>
                <w:szCs w:val="21"/>
                <w:highlight w:val="none"/>
              </w:rPr>
              <w:t>1名</w:t>
            </w:r>
            <w:r>
              <w:rPr>
                <w:rFonts w:hint="eastAsia" w:ascii="宋体" w:hAnsi="宋体" w:cs="宋体"/>
                <w:color w:val="000000"/>
                <w:szCs w:val="21"/>
                <w:highlight w:val="none"/>
                <w:lang w:eastAsia="zh-CN"/>
              </w:rPr>
              <w:t>：25（含）至50岁（含）</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身体健康，无犯罪记录，征信合格。</w:t>
            </w:r>
            <w:r>
              <w:rPr>
                <w:rFonts w:hint="eastAsia" w:ascii="宋体" w:hAnsi="宋体" w:cs="宋体"/>
                <w:color w:val="000000"/>
                <w:szCs w:val="21"/>
                <w:highlight w:val="none"/>
              </w:rPr>
              <w:t>熟悉</w:t>
            </w:r>
            <w:r>
              <w:rPr>
                <w:rFonts w:hint="eastAsia" w:ascii="宋体" w:hAnsi="宋体" w:cs="宋体"/>
                <w:color w:val="000000"/>
                <w:szCs w:val="21"/>
                <w:highlight w:val="none"/>
                <w:lang w:val="en-US" w:eastAsia="zh-CN"/>
              </w:rPr>
              <w:t>管理范围内的情况</w:t>
            </w:r>
            <w:r>
              <w:rPr>
                <w:rFonts w:hint="eastAsia" w:ascii="宋体" w:hAnsi="宋体" w:cs="宋体"/>
                <w:color w:val="000000"/>
                <w:szCs w:val="21"/>
                <w:highlight w:val="none"/>
              </w:rPr>
              <w:t>，有</w:t>
            </w:r>
            <w:r>
              <w:rPr>
                <w:rFonts w:hint="eastAsia" w:ascii="宋体" w:hAnsi="宋体" w:cs="宋体"/>
                <w:color w:val="000000"/>
                <w:szCs w:val="21"/>
              </w:rPr>
              <w:t>较强</w:t>
            </w:r>
            <w:r>
              <w:rPr>
                <w:rFonts w:hint="eastAsia" w:ascii="宋体" w:hAnsi="宋体" w:cs="宋体"/>
                <w:color w:val="000000"/>
                <w:szCs w:val="21"/>
                <w:highlight w:val="none"/>
              </w:rPr>
              <w:t>的组织协调和沟通能力，能处理各种突发事件，具备</w:t>
            </w:r>
            <w:r>
              <w:rPr>
                <w:rFonts w:hint="eastAsia" w:ascii="宋体" w:hAnsi="宋体" w:cs="宋体"/>
                <w:color w:val="000000"/>
                <w:szCs w:val="21"/>
              </w:rPr>
              <w:t>较强</w:t>
            </w:r>
            <w:r>
              <w:rPr>
                <w:rFonts w:hint="eastAsia" w:ascii="宋体" w:hAnsi="宋体" w:cs="宋体"/>
                <w:color w:val="000000"/>
                <w:szCs w:val="21"/>
                <w:highlight w:val="none"/>
              </w:rPr>
              <w:t>的管理能力和团队领导能力，能够提高物业服务质量</w:t>
            </w:r>
            <w:r>
              <w:rPr>
                <w:rFonts w:hint="eastAsia" w:ascii="宋体" w:hAnsi="宋体" w:cs="宋体"/>
                <w:color w:val="000000"/>
                <w:szCs w:val="21"/>
                <w:highlight w:val="none"/>
                <w:lang w:eastAsia="zh-CN"/>
              </w:rPr>
              <w:t>。</w:t>
            </w:r>
          </w:p>
        </w:tc>
      </w:tr>
      <w:tr w14:paraId="5FE0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169CB1E0">
            <w:pPr>
              <w:jc w:val="center"/>
              <w:rPr>
                <w:rFonts w:hint="eastAsia" w:ascii="宋体" w:hAnsi="宋体" w:cs="宋体"/>
                <w:color w:val="000000"/>
                <w:szCs w:val="21"/>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EF3FE5D">
            <w:pPr>
              <w:jc w:val="center"/>
              <w:rPr>
                <w:rFonts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3</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6AD2F599">
            <w:pPr>
              <w:jc w:val="center"/>
              <w:rPr>
                <w:rFonts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3</w:t>
            </w:r>
          </w:p>
        </w:tc>
        <w:tc>
          <w:tcPr>
            <w:tcW w:w="5542" w:type="dxa"/>
            <w:tcBorders>
              <w:top w:val="single" w:color="auto" w:sz="4" w:space="0"/>
              <w:left w:val="single" w:color="auto" w:sz="4" w:space="0"/>
              <w:bottom w:val="single" w:color="auto" w:sz="4" w:space="0"/>
              <w:right w:val="single" w:color="auto" w:sz="4" w:space="0"/>
            </w:tcBorders>
            <w:noWrap w:val="0"/>
            <w:vAlign w:val="top"/>
          </w:tcPr>
          <w:p w14:paraId="31150D90">
            <w:pPr>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保安班长1名及副班长2</w:t>
            </w:r>
            <w:r>
              <w:rPr>
                <w:rFonts w:hint="eastAsia" w:ascii="宋体" w:hAnsi="宋体" w:cs="宋体"/>
                <w:color w:val="000000"/>
                <w:szCs w:val="21"/>
                <w:highlight w:val="none"/>
              </w:rPr>
              <w:t>名</w:t>
            </w:r>
            <w:r>
              <w:rPr>
                <w:rFonts w:hint="eastAsia" w:ascii="宋体" w:hAnsi="宋体" w:cs="宋体"/>
                <w:color w:val="000000"/>
                <w:szCs w:val="21"/>
                <w:highlight w:val="none"/>
                <w:lang w:eastAsia="zh-CN"/>
              </w:rPr>
              <w:t>：25（含）至50岁（含）</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身体健康，无犯罪记录，征信合格。</w:t>
            </w:r>
            <w:r>
              <w:rPr>
                <w:rFonts w:hint="eastAsia" w:ascii="宋体" w:hAnsi="宋体" w:cs="宋体"/>
                <w:color w:val="000000"/>
                <w:szCs w:val="21"/>
                <w:highlight w:val="none"/>
              </w:rPr>
              <w:t>熟悉管理区域内的基本情况，有</w:t>
            </w:r>
            <w:r>
              <w:rPr>
                <w:rFonts w:hint="eastAsia" w:ascii="宋体" w:hAnsi="宋体" w:cs="宋体"/>
                <w:color w:val="000000"/>
                <w:szCs w:val="21"/>
              </w:rPr>
              <w:t>较强</w:t>
            </w:r>
            <w:r>
              <w:rPr>
                <w:rFonts w:hint="eastAsia" w:ascii="宋体" w:hAnsi="宋体" w:cs="宋体"/>
                <w:color w:val="000000"/>
                <w:szCs w:val="21"/>
                <w:highlight w:val="none"/>
              </w:rPr>
              <w:t>的组织协调和沟通能力，能处理各种突发事件，</w:t>
            </w:r>
            <w:r>
              <w:rPr>
                <w:rFonts w:hint="eastAsia" w:ascii="宋体" w:hAnsi="宋体" w:cs="宋体"/>
                <w:color w:val="000000"/>
                <w:szCs w:val="21"/>
                <w:highlight w:val="none"/>
                <w:lang w:val="en-US" w:eastAsia="zh-CN"/>
              </w:rPr>
              <w:t>熟练掌握相关知识。符合物业公司的岗位职责标准。</w:t>
            </w:r>
          </w:p>
        </w:tc>
      </w:tr>
      <w:tr w14:paraId="236E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4D9235EA">
            <w:pPr>
              <w:jc w:val="center"/>
              <w:rPr>
                <w:rFonts w:hint="eastAsia" w:ascii="宋体" w:hAnsi="宋体" w:cs="宋体"/>
                <w:color w:val="000000"/>
                <w:szCs w:val="21"/>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E47DC97">
            <w:pPr>
              <w:jc w:val="center"/>
              <w:rPr>
                <w:rFonts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45</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12D262D8">
            <w:pPr>
              <w:jc w:val="center"/>
              <w:rPr>
                <w:rFonts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45</w:t>
            </w:r>
          </w:p>
        </w:tc>
        <w:tc>
          <w:tcPr>
            <w:tcW w:w="5542" w:type="dxa"/>
            <w:tcBorders>
              <w:top w:val="single" w:color="auto" w:sz="4" w:space="0"/>
              <w:left w:val="single" w:color="auto" w:sz="4" w:space="0"/>
              <w:bottom w:val="single" w:color="auto" w:sz="4" w:space="0"/>
              <w:right w:val="single" w:color="auto" w:sz="4" w:space="0"/>
            </w:tcBorders>
            <w:noWrap w:val="0"/>
            <w:vAlign w:val="top"/>
          </w:tcPr>
          <w:p w14:paraId="5F88F508">
            <w:pPr>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保安人员45</w:t>
            </w:r>
            <w:r>
              <w:rPr>
                <w:rFonts w:hint="eastAsia" w:ascii="宋体" w:hAnsi="宋体" w:cs="宋体"/>
                <w:color w:val="000000"/>
                <w:szCs w:val="21"/>
                <w:highlight w:val="none"/>
              </w:rPr>
              <w:t>名</w:t>
            </w:r>
            <w:r>
              <w:rPr>
                <w:rFonts w:hint="eastAsia" w:ascii="宋体" w:hAnsi="宋体" w:cs="宋体"/>
                <w:color w:val="000000"/>
                <w:szCs w:val="21"/>
                <w:highlight w:val="none"/>
                <w:lang w:eastAsia="zh-CN"/>
              </w:rPr>
              <w:t>：25（含）至50岁（含）</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身体健康，无犯罪记录，征信合格。</w:t>
            </w:r>
            <w:r>
              <w:rPr>
                <w:rFonts w:hint="eastAsia" w:ascii="宋体" w:hAnsi="宋体" w:cs="宋体"/>
                <w:color w:val="000000"/>
                <w:szCs w:val="21"/>
                <w:highlight w:val="none"/>
              </w:rPr>
              <w:t>熟悉管理区域内的基本情况，</w:t>
            </w:r>
            <w:r>
              <w:rPr>
                <w:rFonts w:hint="eastAsia" w:ascii="宋体" w:hAnsi="宋体" w:cs="宋体"/>
                <w:color w:val="000000"/>
                <w:szCs w:val="21"/>
                <w:highlight w:val="none"/>
                <w:lang w:val="en-US" w:eastAsia="zh-CN"/>
              </w:rPr>
              <w:t>熟练掌握相关知识。符合物业公司的岗位职责标准。</w:t>
            </w:r>
          </w:p>
        </w:tc>
      </w:tr>
      <w:tr w14:paraId="743A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14:paraId="52313713">
            <w:pPr>
              <w:jc w:val="center"/>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综合服务</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752956F">
            <w:pPr>
              <w:jc w:val="center"/>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1</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22BC9731">
            <w:pPr>
              <w:jc w:val="center"/>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1</w:t>
            </w:r>
          </w:p>
        </w:tc>
        <w:tc>
          <w:tcPr>
            <w:tcW w:w="5542" w:type="dxa"/>
            <w:tcBorders>
              <w:top w:val="single" w:color="auto" w:sz="4" w:space="0"/>
              <w:left w:val="single" w:color="auto" w:sz="4" w:space="0"/>
              <w:bottom w:val="single" w:color="auto" w:sz="4" w:space="0"/>
              <w:right w:val="single" w:color="auto" w:sz="4" w:space="0"/>
            </w:tcBorders>
            <w:noWrap w:val="0"/>
            <w:vAlign w:val="top"/>
          </w:tcPr>
          <w:p w14:paraId="6350E30D">
            <w:pPr>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客服主管1</w:t>
            </w:r>
            <w:r>
              <w:rPr>
                <w:rFonts w:hint="eastAsia" w:ascii="宋体" w:hAnsi="宋体" w:cs="宋体"/>
                <w:color w:val="000000"/>
                <w:szCs w:val="21"/>
                <w:highlight w:val="none"/>
              </w:rPr>
              <w:t>名</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5（含）至50岁（含），</w:t>
            </w:r>
            <w:r>
              <w:rPr>
                <w:rFonts w:hint="eastAsia" w:ascii="宋体" w:hAnsi="宋体" w:cs="宋体"/>
                <w:color w:val="000000"/>
                <w:szCs w:val="21"/>
                <w:highlight w:val="none"/>
                <w:lang w:val="en-US" w:eastAsia="zh-CN"/>
              </w:rPr>
              <w:t>身体健康，无犯罪记录，征信合格。</w:t>
            </w:r>
            <w:r>
              <w:rPr>
                <w:rFonts w:hint="eastAsia" w:ascii="宋体" w:hAnsi="宋体" w:cs="宋体"/>
                <w:color w:val="000000"/>
                <w:szCs w:val="21"/>
                <w:highlight w:val="none"/>
              </w:rPr>
              <w:t>熟悉管理区域内的基本情况，熟悉</w:t>
            </w:r>
            <w:r>
              <w:rPr>
                <w:rFonts w:ascii="Segoe UI" w:hAnsi="Segoe UI" w:eastAsia="Segoe UI" w:cs="Segoe UI"/>
                <w:i w:val="0"/>
                <w:iCs w:val="0"/>
                <w:caps w:val="0"/>
                <w:color w:val="000000"/>
                <w:spacing w:val="0"/>
                <w:sz w:val="22"/>
                <w:szCs w:val="22"/>
                <w:shd w:val="clear" w:color="auto" w:fill="F9FAFB"/>
              </w:rPr>
              <w:t>客户服务标准和流程，</w:t>
            </w:r>
            <w:r>
              <w:rPr>
                <w:rFonts w:hint="eastAsia" w:ascii="宋体" w:hAnsi="宋体" w:cs="宋体"/>
                <w:color w:val="000000"/>
                <w:szCs w:val="21"/>
                <w:highlight w:val="none"/>
              </w:rPr>
              <w:t>有</w:t>
            </w:r>
            <w:r>
              <w:rPr>
                <w:rFonts w:hint="eastAsia" w:ascii="宋体" w:hAnsi="宋体" w:cs="宋体"/>
                <w:color w:val="000000"/>
                <w:szCs w:val="21"/>
              </w:rPr>
              <w:t>较强</w:t>
            </w:r>
            <w:r>
              <w:rPr>
                <w:rFonts w:hint="eastAsia" w:ascii="宋体" w:hAnsi="宋体" w:cs="宋体"/>
                <w:color w:val="000000"/>
                <w:szCs w:val="21"/>
                <w:highlight w:val="none"/>
              </w:rPr>
              <w:t>的</w:t>
            </w:r>
            <w:r>
              <w:rPr>
                <w:rFonts w:hint="eastAsia" w:ascii="宋体" w:hAnsi="宋体" w:cs="宋体"/>
                <w:color w:val="000000"/>
                <w:szCs w:val="21"/>
                <w:highlight w:val="none"/>
                <w:lang w:val="en-US" w:eastAsia="zh-CN"/>
              </w:rPr>
              <w:t>协调</w:t>
            </w:r>
            <w:r>
              <w:rPr>
                <w:rFonts w:hint="eastAsia" w:ascii="宋体" w:hAnsi="宋体" w:cs="宋体"/>
                <w:color w:val="000000"/>
                <w:szCs w:val="21"/>
                <w:highlight w:val="none"/>
              </w:rPr>
              <w:t>处理各种</w:t>
            </w:r>
            <w:r>
              <w:rPr>
                <w:rFonts w:hint="eastAsia" w:ascii="宋体" w:hAnsi="宋体" w:cs="宋体"/>
                <w:color w:val="000000"/>
                <w:szCs w:val="21"/>
                <w:highlight w:val="none"/>
                <w:lang w:val="en-US" w:eastAsia="zh-CN"/>
              </w:rPr>
              <w:t>投诉事件和保障服务工作能力</w:t>
            </w:r>
            <w:r>
              <w:rPr>
                <w:rFonts w:hint="eastAsia" w:ascii="宋体" w:hAnsi="宋体" w:cs="宋体"/>
                <w:color w:val="000000"/>
                <w:szCs w:val="21"/>
                <w:highlight w:val="none"/>
              </w:rPr>
              <w:t>，具备</w:t>
            </w:r>
            <w:r>
              <w:rPr>
                <w:rFonts w:hint="eastAsia" w:ascii="宋体" w:hAnsi="宋体" w:cs="宋体"/>
                <w:color w:val="000000"/>
                <w:szCs w:val="21"/>
              </w:rPr>
              <w:t>较强</w:t>
            </w:r>
            <w:r>
              <w:rPr>
                <w:rFonts w:hint="eastAsia" w:ascii="宋体" w:hAnsi="宋体" w:cs="宋体"/>
                <w:color w:val="000000"/>
                <w:szCs w:val="21"/>
                <w:highlight w:val="none"/>
              </w:rPr>
              <w:t>的</w:t>
            </w:r>
            <w:r>
              <w:rPr>
                <w:rFonts w:hint="eastAsia" w:ascii="宋体" w:hAnsi="宋体" w:cs="宋体"/>
                <w:color w:val="000000"/>
                <w:szCs w:val="21"/>
                <w:highlight w:val="none"/>
                <w:lang w:val="en-US" w:eastAsia="zh-CN"/>
              </w:rPr>
              <w:t>服务意识</w:t>
            </w:r>
            <w:r>
              <w:rPr>
                <w:rFonts w:hint="eastAsia" w:ascii="宋体" w:hAnsi="宋体" w:cs="宋体"/>
                <w:color w:val="000000"/>
                <w:szCs w:val="21"/>
                <w:highlight w:val="none"/>
              </w:rPr>
              <w:t>和团队领导能力，能够提高物业服务质量</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符合物业公司的岗位职责标准。</w:t>
            </w:r>
          </w:p>
        </w:tc>
      </w:tr>
      <w:tr w14:paraId="322C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13950886">
            <w:pPr>
              <w:jc w:val="center"/>
              <w:rPr>
                <w:rFonts w:hint="eastAsia" w:ascii="宋体" w:hAnsi="宋体" w:cs="宋体"/>
                <w:color w:val="000000"/>
                <w:szCs w:val="21"/>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2FFEB5D">
            <w:pPr>
              <w:jc w:val="center"/>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2</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1A83B988">
            <w:pPr>
              <w:jc w:val="center"/>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2</w:t>
            </w:r>
          </w:p>
        </w:tc>
        <w:tc>
          <w:tcPr>
            <w:tcW w:w="5542" w:type="dxa"/>
            <w:tcBorders>
              <w:top w:val="single" w:color="auto" w:sz="4" w:space="0"/>
              <w:left w:val="single" w:color="auto" w:sz="4" w:space="0"/>
              <w:bottom w:val="single" w:color="auto" w:sz="4" w:space="0"/>
              <w:right w:val="single" w:color="auto" w:sz="4" w:space="0"/>
            </w:tcBorders>
            <w:noWrap w:val="0"/>
            <w:vAlign w:val="top"/>
          </w:tcPr>
          <w:p w14:paraId="1059B452">
            <w:pPr>
              <w:rPr>
                <w:rFonts w:hint="eastAsia" w:ascii="宋体" w:hAnsi="宋体" w:cs="宋体"/>
                <w:color w:val="000000"/>
                <w:szCs w:val="21"/>
                <w:highlight w:val="none"/>
                <w:lang w:val="en-US" w:eastAsia="zh-CN"/>
              </w:rPr>
            </w:pPr>
            <w:r>
              <w:rPr>
                <w:rFonts w:hint="eastAsia" w:ascii="宋体" w:hAnsi="宋体" w:cs="宋体"/>
                <w:bCs/>
                <w:color w:val="000000"/>
                <w:szCs w:val="21"/>
                <w:highlight w:val="none"/>
                <w:lang w:val="en-US" w:eastAsia="zh-CN"/>
              </w:rPr>
              <w:t>客服2名：</w:t>
            </w:r>
            <w:r>
              <w:rPr>
                <w:rFonts w:hint="eastAsia" w:ascii="宋体" w:hAnsi="宋体" w:cs="宋体"/>
                <w:bCs/>
                <w:color w:val="000000"/>
                <w:szCs w:val="21"/>
                <w:highlight w:val="none"/>
              </w:rPr>
              <w:t>女</w:t>
            </w:r>
            <w:r>
              <w:rPr>
                <w:rFonts w:hint="eastAsia" w:ascii="宋体" w:hAnsi="宋体" w:cs="宋体"/>
                <w:color w:val="000000"/>
                <w:szCs w:val="21"/>
                <w:highlight w:val="none"/>
                <w:lang w:eastAsia="zh-CN"/>
              </w:rPr>
              <w:t>25（含）至</w:t>
            </w:r>
            <w:r>
              <w:rPr>
                <w:rFonts w:hint="eastAsia" w:ascii="宋体" w:hAnsi="宋体" w:cs="宋体"/>
                <w:bCs/>
                <w:color w:val="000000"/>
                <w:szCs w:val="21"/>
                <w:highlight w:val="none"/>
              </w:rPr>
              <w:t>5</w:t>
            </w:r>
            <w:r>
              <w:rPr>
                <w:rFonts w:hint="eastAsia" w:ascii="宋体" w:hAnsi="宋体" w:cs="宋体"/>
                <w:bCs/>
                <w:color w:val="000000"/>
                <w:szCs w:val="21"/>
                <w:highlight w:val="none"/>
                <w:lang w:val="en-US" w:eastAsia="zh-CN"/>
              </w:rPr>
              <w:t>0</w:t>
            </w:r>
            <w:r>
              <w:rPr>
                <w:rFonts w:hint="eastAsia" w:ascii="宋体" w:hAnsi="宋体" w:cs="宋体"/>
                <w:bCs/>
                <w:color w:val="000000"/>
                <w:szCs w:val="21"/>
                <w:highlight w:val="none"/>
              </w:rPr>
              <w:t>岁（含）</w:t>
            </w:r>
            <w:r>
              <w:rPr>
                <w:rFonts w:hint="eastAsia" w:ascii="宋体" w:hAnsi="宋体" w:cs="宋体"/>
                <w:bCs/>
                <w:color w:val="000000"/>
                <w:szCs w:val="21"/>
                <w:highlight w:val="none"/>
                <w:lang w:eastAsia="zh-CN"/>
              </w:rPr>
              <w:t>，</w:t>
            </w:r>
            <w:r>
              <w:rPr>
                <w:rFonts w:hint="eastAsia" w:ascii="宋体" w:hAnsi="宋体" w:cs="宋体"/>
                <w:bCs/>
                <w:color w:val="000000"/>
                <w:szCs w:val="21"/>
                <w:highlight w:val="none"/>
              </w:rPr>
              <w:t>工作熟练，具有良好的职业道德，</w:t>
            </w:r>
            <w:r>
              <w:rPr>
                <w:rFonts w:hint="eastAsia" w:ascii="宋体" w:hAnsi="宋体" w:cs="宋体"/>
                <w:bCs/>
                <w:color w:val="000000"/>
                <w:szCs w:val="21"/>
                <w:lang w:val="en-US" w:eastAsia="zh-CN"/>
              </w:rPr>
              <w:t>较强</w:t>
            </w:r>
            <w:r>
              <w:rPr>
                <w:rFonts w:hint="eastAsia" w:ascii="宋体" w:hAnsi="宋体" w:cs="宋体"/>
                <w:bCs/>
                <w:color w:val="000000"/>
                <w:szCs w:val="21"/>
                <w:highlight w:val="none"/>
                <w:lang w:val="en-US" w:eastAsia="zh-CN"/>
              </w:rPr>
              <w:t>的服务意识，</w:t>
            </w:r>
            <w:r>
              <w:rPr>
                <w:rFonts w:hint="eastAsia" w:ascii="宋体" w:hAnsi="宋体" w:cs="宋体"/>
                <w:bCs/>
                <w:color w:val="000000"/>
                <w:szCs w:val="21"/>
                <w:highlight w:val="none"/>
              </w:rPr>
              <w:t>吃苦耐劳，言行举止端重</w:t>
            </w:r>
            <w:r>
              <w:rPr>
                <w:rFonts w:hint="eastAsia" w:ascii="宋体" w:hAnsi="宋体" w:cs="宋体"/>
                <w:bCs/>
                <w:color w:val="000000"/>
                <w:szCs w:val="21"/>
                <w:highlight w:val="none"/>
                <w:lang w:eastAsia="zh-CN"/>
              </w:rPr>
              <w:t>。</w:t>
            </w:r>
          </w:p>
        </w:tc>
      </w:tr>
      <w:tr w14:paraId="0211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310" w:type="dxa"/>
            <w:gridSpan w:val="2"/>
            <w:tcBorders>
              <w:top w:val="single" w:color="auto" w:sz="4" w:space="0"/>
              <w:left w:val="single" w:color="auto" w:sz="4" w:space="0"/>
              <w:bottom w:val="single" w:color="auto" w:sz="4" w:space="0"/>
              <w:right w:val="single" w:color="auto" w:sz="4" w:space="0"/>
            </w:tcBorders>
            <w:noWrap w:val="0"/>
            <w:vAlign w:val="center"/>
          </w:tcPr>
          <w:p w14:paraId="4C2BA709">
            <w:pPr>
              <w:jc w:val="center"/>
              <w:rPr>
                <w:rFonts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合计</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2F029AE6">
            <w:pPr>
              <w:jc w:val="center"/>
              <w:rPr>
                <w:rFonts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100人</w:t>
            </w:r>
          </w:p>
        </w:tc>
        <w:tc>
          <w:tcPr>
            <w:tcW w:w="5542" w:type="dxa"/>
            <w:tcBorders>
              <w:top w:val="single" w:color="auto" w:sz="4" w:space="0"/>
              <w:left w:val="single" w:color="auto" w:sz="4" w:space="0"/>
              <w:bottom w:val="single" w:color="auto" w:sz="4" w:space="0"/>
              <w:right w:val="single" w:color="auto" w:sz="4" w:space="0"/>
            </w:tcBorders>
            <w:noWrap w:val="0"/>
            <w:vAlign w:val="top"/>
          </w:tcPr>
          <w:p w14:paraId="79F298D7">
            <w:pPr>
              <w:rPr>
                <w:rFonts w:hint="eastAsia" w:ascii="宋体" w:hAnsi="宋体" w:cs="宋体"/>
                <w:color w:val="000000"/>
                <w:szCs w:val="21"/>
                <w:highlight w:val="none"/>
                <w:lang w:val="en-US" w:eastAsia="zh-CN"/>
              </w:rPr>
            </w:pPr>
          </w:p>
        </w:tc>
      </w:tr>
    </w:tbl>
    <w:p w14:paraId="07FC459E">
      <w:pPr>
        <w:numPr>
          <w:ilvl w:val="0"/>
          <w:numId w:val="0"/>
        </w:numPr>
        <w:ind w:firstLine="422"/>
        <w:outlineLvl w:val="1"/>
        <w:rPr>
          <w:rFonts w:hint="eastAsia"/>
          <w:b/>
          <w:bCs/>
          <w:color w:val="000000"/>
          <w:highlight w:val="none"/>
          <w:lang w:val="en-US" w:eastAsia="zh-CN"/>
        </w:rPr>
      </w:pPr>
      <w:r>
        <w:rPr>
          <w:rFonts w:hint="eastAsia"/>
          <w:b/>
          <w:bCs/>
          <w:color w:val="000000"/>
          <w:highlight w:val="none"/>
          <w:lang w:val="en-US" w:eastAsia="zh-CN"/>
        </w:rPr>
        <w:t>5.2物业2（桂林市交通枢纽指挥中心（鼎晟大厦））人员需求</w:t>
      </w:r>
    </w:p>
    <w:tbl>
      <w:tblPr>
        <w:tblStyle w:val="30"/>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50"/>
        <w:gridCol w:w="1433"/>
        <w:gridCol w:w="5542"/>
      </w:tblGrid>
      <w:tr w14:paraId="4CC0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560" w:type="dxa"/>
            <w:noWrap w:val="0"/>
            <w:vAlign w:val="center"/>
          </w:tcPr>
          <w:p w14:paraId="1FFF5D80">
            <w:pPr>
              <w:jc w:val="center"/>
              <w:rPr>
                <w:rFonts w:hint="eastAsia" w:ascii="宋体" w:hAnsi="宋体" w:cs="宋体"/>
                <w:color w:val="auto"/>
                <w:szCs w:val="21"/>
                <w:highlight w:val="none"/>
              </w:rPr>
            </w:pPr>
            <w:r>
              <w:rPr>
                <w:rFonts w:hint="eastAsia" w:ascii="宋体" w:hAnsi="宋体" w:cs="宋体"/>
                <w:color w:val="auto"/>
                <w:szCs w:val="21"/>
                <w:highlight w:val="none"/>
              </w:rPr>
              <w:t>部门职能</w:t>
            </w:r>
          </w:p>
        </w:tc>
        <w:tc>
          <w:tcPr>
            <w:tcW w:w="750" w:type="dxa"/>
            <w:noWrap w:val="0"/>
            <w:vAlign w:val="center"/>
          </w:tcPr>
          <w:p w14:paraId="30E3F71A">
            <w:pPr>
              <w:jc w:val="center"/>
              <w:rPr>
                <w:rFonts w:hint="eastAsia" w:ascii="宋体" w:hAnsi="宋体" w:cs="宋体"/>
                <w:color w:val="auto"/>
                <w:szCs w:val="21"/>
                <w:highlight w:val="none"/>
              </w:rPr>
            </w:pPr>
            <w:r>
              <w:rPr>
                <w:rFonts w:hint="eastAsia" w:ascii="宋体" w:hAnsi="宋体" w:cs="宋体"/>
                <w:color w:val="auto"/>
                <w:szCs w:val="21"/>
                <w:highlight w:val="none"/>
              </w:rPr>
              <w:t>同时在岗人数</w:t>
            </w:r>
          </w:p>
        </w:tc>
        <w:tc>
          <w:tcPr>
            <w:tcW w:w="1433" w:type="dxa"/>
            <w:noWrap w:val="0"/>
            <w:vAlign w:val="center"/>
          </w:tcPr>
          <w:p w14:paraId="7135F066">
            <w:pPr>
              <w:jc w:val="center"/>
              <w:rPr>
                <w:rFonts w:hint="eastAsia" w:ascii="宋体" w:hAnsi="宋体" w:cs="宋体"/>
                <w:color w:val="auto"/>
                <w:szCs w:val="21"/>
                <w:highlight w:val="none"/>
              </w:rPr>
            </w:pPr>
            <w:r>
              <w:rPr>
                <w:rFonts w:hint="eastAsia" w:ascii="宋体" w:hAnsi="宋体" w:cs="宋体"/>
                <w:color w:val="auto"/>
                <w:szCs w:val="21"/>
                <w:highlight w:val="none"/>
              </w:rPr>
              <w:t>岗位所需</w:t>
            </w:r>
          </w:p>
          <w:p w14:paraId="11F4B60E">
            <w:pPr>
              <w:jc w:val="center"/>
              <w:rPr>
                <w:rFonts w:hint="eastAsia" w:ascii="宋体" w:hAnsi="宋体" w:cs="宋体"/>
                <w:color w:val="auto"/>
                <w:szCs w:val="21"/>
                <w:highlight w:val="none"/>
              </w:rPr>
            </w:pPr>
            <w:r>
              <w:rPr>
                <w:rFonts w:hint="eastAsia" w:ascii="宋体" w:hAnsi="宋体" w:cs="宋体"/>
                <w:color w:val="auto"/>
                <w:szCs w:val="21"/>
                <w:highlight w:val="none"/>
              </w:rPr>
              <w:t>总人数</w:t>
            </w:r>
          </w:p>
        </w:tc>
        <w:tc>
          <w:tcPr>
            <w:tcW w:w="5542" w:type="dxa"/>
            <w:noWrap w:val="0"/>
            <w:vAlign w:val="center"/>
          </w:tcPr>
          <w:p w14:paraId="3FD9CD96">
            <w:pPr>
              <w:jc w:val="center"/>
              <w:rPr>
                <w:rFonts w:hint="eastAsia" w:ascii="宋体" w:hAnsi="宋体" w:cs="宋体"/>
                <w:color w:val="auto"/>
                <w:szCs w:val="21"/>
                <w:highlight w:val="none"/>
              </w:rPr>
            </w:pPr>
            <w:r>
              <w:rPr>
                <w:rFonts w:hint="eastAsia" w:ascii="宋体" w:hAnsi="宋体" w:cs="宋体"/>
                <w:color w:val="auto"/>
                <w:szCs w:val="21"/>
                <w:highlight w:val="none"/>
              </w:rPr>
              <w:t>人员要求及岗位要求</w:t>
            </w:r>
          </w:p>
        </w:tc>
      </w:tr>
      <w:tr w14:paraId="6966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noWrap w:val="0"/>
            <w:vAlign w:val="center"/>
          </w:tcPr>
          <w:p w14:paraId="3B44F2D5">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管理人员</w:t>
            </w:r>
          </w:p>
        </w:tc>
        <w:tc>
          <w:tcPr>
            <w:tcW w:w="750" w:type="dxa"/>
            <w:noWrap w:val="0"/>
            <w:vAlign w:val="center"/>
          </w:tcPr>
          <w:p w14:paraId="5F137C08">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33" w:type="dxa"/>
            <w:noWrap w:val="0"/>
            <w:vAlign w:val="center"/>
          </w:tcPr>
          <w:p w14:paraId="03774B08">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1</w:t>
            </w:r>
          </w:p>
        </w:tc>
        <w:tc>
          <w:tcPr>
            <w:tcW w:w="5542" w:type="dxa"/>
            <w:noWrap w:val="0"/>
            <w:vAlign w:val="top"/>
          </w:tcPr>
          <w:p w14:paraId="5C49100D">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物业</w:t>
            </w:r>
            <w:r>
              <w:rPr>
                <w:rFonts w:hint="eastAsia" w:ascii="宋体" w:hAnsi="宋体" w:cs="宋体"/>
                <w:color w:val="auto"/>
                <w:szCs w:val="21"/>
                <w:highlight w:val="none"/>
                <w:lang w:val="en-US" w:eastAsia="zh-CN"/>
              </w:rPr>
              <w:t>总经理</w:t>
            </w:r>
            <w:r>
              <w:rPr>
                <w:rFonts w:hint="eastAsia" w:ascii="宋体" w:hAnsi="宋体" w:cs="宋体"/>
                <w:color w:val="auto"/>
                <w:szCs w:val="21"/>
                <w:highlight w:val="none"/>
              </w:rPr>
              <w:t>1名</w:t>
            </w:r>
            <w:r>
              <w:rPr>
                <w:rFonts w:hint="eastAsia" w:ascii="宋体" w:hAnsi="宋体" w:cs="宋体"/>
                <w:color w:val="auto"/>
                <w:szCs w:val="21"/>
                <w:highlight w:val="none"/>
                <w:lang w:eastAsia="zh-CN"/>
              </w:rPr>
              <w:t>：25（含）至50岁（含）</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身体健康，无犯罪记录，征信合格。</w:t>
            </w:r>
            <w:r>
              <w:rPr>
                <w:rFonts w:hint="eastAsia" w:ascii="宋体" w:hAnsi="宋体" w:cs="宋体"/>
                <w:color w:val="auto"/>
                <w:szCs w:val="21"/>
                <w:highlight w:val="none"/>
              </w:rPr>
              <w:t>熟悉物业管理相关法律法规和政策，有较强的组织协调和沟通能力，能处理各种突发事件，具备较强的</w:t>
            </w:r>
            <w:r>
              <w:rPr>
                <w:rFonts w:hint="eastAsia" w:ascii="宋体" w:hAnsi="宋体" w:cs="宋体"/>
                <w:color w:val="auto"/>
                <w:szCs w:val="21"/>
                <w:highlight w:val="none"/>
                <w:lang w:eastAsia="zh-CN"/>
              </w:rPr>
              <w:t>人力和财务</w:t>
            </w:r>
            <w:r>
              <w:rPr>
                <w:rFonts w:hint="eastAsia" w:ascii="宋体" w:hAnsi="宋体" w:cs="宋体"/>
                <w:color w:val="auto"/>
                <w:szCs w:val="21"/>
                <w:highlight w:val="none"/>
              </w:rPr>
              <w:t>管理能力</w:t>
            </w:r>
            <w:r>
              <w:rPr>
                <w:rFonts w:hint="eastAsia" w:ascii="宋体" w:hAnsi="宋体" w:cs="宋体"/>
                <w:color w:val="auto"/>
                <w:szCs w:val="21"/>
                <w:highlight w:val="none"/>
                <w:lang w:eastAsia="zh-CN"/>
              </w:rPr>
              <w:t>、</w:t>
            </w:r>
            <w:r>
              <w:rPr>
                <w:rFonts w:hint="eastAsia" w:ascii="宋体" w:hAnsi="宋体" w:cs="宋体"/>
                <w:color w:val="auto"/>
                <w:szCs w:val="21"/>
                <w:highlight w:val="none"/>
              </w:rPr>
              <w:t>团队领导能力，能够提高物业服务质量</w:t>
            </w:r>
            <w:r>
              <w:rPr>
                <w:rFonts w:hint="eastAsia" w:ascii="宋体" w:hAnsi="宋体" w:cs="宋体"/>
                <w:color w:val="auto"/>
                <w:szCs w:val="21"/>
                <w:highlight w:val="none"/>
                <w:lang w:eastAsia="zh-CN"/>
              </w:rPr>
              <w:t>。</w:t>
            </w:r>
          </w:p>
        </w:tc>
      </w:tr>
      <w:tr w14:paraId="0FE6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noWrap w:val="0"/>
            <w:vAlign w:val="center"/>
          </w:tcPr>
          <w:p w14:paraId="03EFBFF2">
            <w:pPr>
              <w:jc w:val="center"/>
              <w:rPr>
                <w:rFonts w:hint="eastAsia" w:ascii="宋体" w:hAnsi="宋体" w:cs="宋体"/>
                <w:color w:val="auto"/>
                <w:szCs w:val="21"/>
                <w:highlight w:val="none"/>
              </w:rPr>
            </w:pPr>
          </w:p>
        </w:tc>
        <w:tc>
          <w:tcPr>
            <w:tcW w:w="750" w:type="dxa"/>
            <w:noWrap w:val="0"/>
            <w:vAlign w:val="center"/>
          </w:tcPr>
          <w:p w14:paraId="1E1217DD">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433" w:type="dxa"/>
            <w:noWrap w:val="0"/>
            <w:vAlign w:val="center"/>
          </w:tcPr>
          <w:p w14:paraId="1C76201A">
            <w:pPr>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w:t>
            </w:r>
          </w:p>
        </w:tc>
        <w:tc>
          <w:tcPr>
            <w:tcW w:w="5542" w:type="dxa"/>
            <w:noWrap w:val="0"/>
            <w:vAlign w:val="top"/>
          </w:tcPr>
          <w:p w14:paraId="57AE63B0">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副总经理</w:t>
            </w:r>
            <w:r>
              <w:rPr>
                <w:rFonts w:hint="eastAsia" w:ascii="宋体" w:hAnsi="宋体" w:cs="宋体"/>
                <w:color w:val="auto"/>
                <w:szCs w:val="21"/>
                <w:highlight w:val="none"/>
              </w:rPr>
              <w:t>1名</w:t>
            </w:r>
            <w:r>
              <w:rPr>
                <w:rFonts w:hint="eastAsia" w:ascii="宋体" w:hAnsi="宋体" w:cs="宋体"/>
                <w:color w:val="auto"/>
                <w:szCs w:val="21"/>
                <w:highlight w:val="none"/>
                <w:lang w:eastAsia="zh-CN"/>
              </w:rPr>
              <w:t>：25（含）至50岁（含）</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身体健康，无犯罪记录，征信合格。</w:t>
            </w:r>
            <w:r>
              <w:rPr>
                <w:rFonts w:hint="eastAsia" w:ascii="宋体" w:hAnsi="宋体" w:cs="宋体"/>
                <w:color w:val="auto"/>
                <w:szCs w:val="21"/>
                <w:highlight w:val="none"/>
              </w:rPr>
              <w:t>熟悉物业管理相关法律法规和政策，有较强的组织协调和沟通能力，能处理各种突发事件，具备较强的管理能力和团队领导能力，能够提高物业服务质量</w:t>
            </w:r>
            <w:r>
              <w:rPr>
                <w:rFonts w:hint="eastAsia" w:ascii="宋体" w:hAnsi="宋体" w:cs="宋体"/>
                <w:color w:val="auto"/>
                <w:szCs w:val="21"/>
                <w:highlight w:val="none"/>
                <w:lang w:eastAsia="zh-CN"/>
              </w:rPr>
              <w:t>。</w:t>
            </w:r>
          </w:p>
        </w:tc>
      </w:tr>
      <w:tr w14:paraId="4D79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60" w:type="dxa"/>
            <w:vMerge w:val="restart"/>
            <w:noWrap w:val="0"/>
            <w:vAlign w:val="center"/>
          </w:tcPr>
          <w:p w14:paraId="13347F97">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工程服务</w:t>
            </w:r>
          </w:p>
        </w:tc>
        <w:tc>
          <w:tcPr>
            <w:tcW w:w="750" w:type="dxa"/>
            <w:noWrap w:val="0"/>
            <w:vAlign w:val="center"/>
          </w:tcPr>
          <w:p w14:paraId="6A9C2387">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433" w:type="dxa"/>
            <w:noWrap w:val="0"/>
            <w:vAlign w:val="center"/>
          </w:tcPr>
          <w:p w14:paraId="14A7CC05">
            <w:pPr>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w:t>
            </w:r>
          </w:p>
        </w:tc>
        <w:tc>
          <w:tcPr>
            <w:tcW w:w="5542" w:type="dxa"/>
            <w:noWrap w:val="0"/>
            <w:vAlign w:val="top"/>
          </w:tcPr>
          <w:p w14:paraId="3F884601">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工程部长</w:t>
            </w:r>
            <w:r>
              <w:rPr>
                <w:rFonts w:hint="eastAsia" w:ascii="宋体" w:hAnsi="宋体" w:cs="宋体"/>
                <w:color w:val="auto"/>
                <w:szCs w:val="21"/>
                <w:highlight w:val="none"/>
              </w:rPr>
              <w:t>1名</w:t>
            </w:r>
            <w:r>
              <w:rPr>
                <w:rFonts w:hint="eastAsia" w:ascii="宋体" w:hAnsi="宋体" w:cs="宋体"/>
                <w:color w:val="auto"/>
                <w:szCs w:val="21"/>
                <w:highlight w:val="none"/>
                <w:lang w:eastAsia="zh-CN"/>
              </w:rPr>
              <w:t>：25（含）至50岁（含）</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身体健康，无犯罪记录，征信合格。</w:t>
            </w:r>
            <w:r>
              <w:rPr>
                <w:rFonts w:hint="eastAsia" w:ascii="宋体" w:hAnsi="宋体" w:cs="宋体"/>
                <w:color w:val="auto"/>
                <w:szCs w:val="21"/>
                <w:highlight w:val="none"/>
              </w:rPr>
              <w:t>熟悉</w:t>
            </w:r>
            <w:r>
              <w:rPr>
                <w:rFonts w:hint="eastAsia" w:ascii="宋体" w:hAnsi="宋体" w:cs="宋体"/>
                <w:color w:val="auto"/>
                <w:szCs w:val="21"/>
                <w:highlight w:val="none"/>
                <w:lang w:val="en-US" w:eastAsia="zh-CN"/>
              </w:rPr>
              <w:t>管理范围内的设施设备情况</w:t>
            </w:r>
            <w:r>
              <w:rPr>
                <w:rFonts w:hint="eastAsia" w:ascii="宋体" w:hAnsi="宋体" w:cs="宋体"/>
                <w:color w:val="auto"/>
                <w:szCs w:val="21"/>
                <w:highlight w:val="none"/>
              </w:rPr>
              <w:t>，有较强的组织协调和沟通能力，能处理各种突发事件，具备较强的管理能力和团队领导能力，能够提高物业服务质量</w:t>
            </w:r>
            <w:r>
              <w:rPr>
                <w:rFonts w:hint="eastAsia" w:ascii="宋体" w:hAnsi="宋体" w:cs="宋体"/>
                <w:color w:val="auto"/>
                <w:szCs w:val="21"/>
                <w:highlight w:val="none"/>
                <w:lang w:eastAsia="zh-CN"/>
              </w:rPr>
              <w:t>。</w:t>
            </w:r>
          </w:p>
        </w:tc>
      </w:tr>
      <w:tr w14:paraId="70C8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noWrap w:val="0"/>
            <w:vAlign w:val="center"/>
          </w:tcPr>
          <w:p w14:paraId="0A3B9792">
            <w:pPr>
              <w:jc w:val="center"/>
              <w:rPr>
                <w:rFonts w:hint="eastAsia" w:ascii="宋体" w:hAnsi="宋体" w:cs="宋体"/>
                <w:color w:val="auto"/>
                <w:szCs w:val="21"/>
                <w:highlight w:val="none"/>
                <w:lang w:val="en-US" w:eastAsia="zh-CN"/>
              </w:rPr>
            </w:pPr>
          </w:p>
        </w:tc>
        <w:tc>
          <w:tcPr>
            <w:tcW w:w="750" w:type="dxa"/>
            <w:noWrap w:val="0"/>
            <w:vAlign w:val="center"/>
          </w:tcPr>
          <w:p w14:paraId="268ACDAA">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433" w:type="dxa"/>
            <w:noWrap w:val="0"/>
            <w:vAlign w:val="center"/>
          </w:tcPr>
          <w:p w14:paraId="22A5CD1A">
            <w:pPr>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w:t>
            </w:r>
          </w:p>
        </w:tc>
        <w:tc>
          <w:tcPr>
            <w:tcW w:w="5542" w:type="dxa"/>
            <w:noWrap w:val="0"/>
            <w:vAlign w:val="top"/>
          </w:tcPr>
          <w:p w14:paraId="46F91F83">
            <w:pPr>
              <w:rPr>
                <w:rFonts w:hint="eastAsia" w:ascii="宋体" w:hAnsi="宋体" w:cs="宋体"/>
                <w:color w:val="auto"/>
                <w:szCs w:val="21"/>
                <w:highlight w:val="none"/>
              </w:rPr>
            </w:pPr>
            <w:r>
              <w:rPr>
                <w:rFonts w:hint="eastAsia" w:ascii="宋体" w:hAnsi="宋体" w:cs="宋体"/>
                <w:color w:val="auto"/>
                <w:szCs w:val="21"/>
                <w:highlight w:val="none"/>
                <w:lang w:val="en-US" w:eastAsia="zh-CN"/>
              </w:rPr>
              <w:t>工程班长1</w:t>
            </w:r>
            <w:r>
              <w:rPr>
                <w:rFonts w:hint="eastAsia" w:ascii="宋体" w:hAnsi="宋体" w:cs="宋体"/>
                <w:color w:val="auto"/>
                <w:szCs w:val="21"/>
                <w:highlight w:val="none"/>
              </w:rPr>
              <w:t>名</w:t>
            </w:r>
            <w:r>
              <w:rPr>
                <w:rFonts w:hint="eastAsia" w:ascii="宋体" w:hAnsi="宋体" w:cs="宋体"/>
                <w:color w:val="auto"/>
                <w:szCs w:val="21"/>
                <w:highlight w:val="none"/>
                <w:lang w:eastAsia="zh-CN"/>
              </w:rPr>
              <w:t>：25（含）至50岁（含）</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身体健康，无犯罪记录，征信合格。</w:t>
            </w:r>
            <w:r>
              <w:rPr>
                <w:rFonts w:hint="eastAsia" w:ascii="宋体" w:hAnsi="宋体" w:cs="宋体"/>
                <w:color w:val="auto"/>
                <w:szCs w:val="21"/>
                <w:highlight w:val="none"/>
              </w:rPr>
              <w:t>熟悉</w:t>
            </w:r>
            <w:r>
              <w:rPr>
                <w:rFonts w:hint="eastAsia" w:ascii="宋体" w:hAnsi="宋体" w:cs="宋体"/>
                <w:color w:val="auto"/>
                <w:szCs w:val="21"/>
                <w:highlight w:val="none"/>
                <w:lang w:val="en-US" w:eastAsia="zh-CN"/>
              </w:rPr>
              <w:t>管理范围内的设施设备情况</w:t>
            </w:r>
            <w:r>
              <w:rPr>
                <w:rFonts w:hint="eastAsia" w:ascii="宋体" w:hAnsi="宋体" w:cs="宋体"/>
                <w:color w:val="auto"/>
                <w:szCs w:val="21"/>
                <w:highlight w:val="none"/>
              </w:rPr>
              <w:t>，有较强的组织协调和沟通能力，能处理各种突发事件，</w:t>
            </w:r>
            <w:r>
              <w:rPr>
                <w:rFonts w:hint="eastAsia" w:ascii="宋体" w:hAnsi="宋体" w:cs="宋体"/>
                <w:color w:val="auto"/>
                <w:szCs w:val="21"/>
                <w:highlight w:val="none"/>
                <w:lang w:val="en-US" w:eastAsia="zh-CN"/>
              </w:rPr>
              <w:t>熟练掌握相关设备的维修维护知识。符合物业公司的岗位职责标准。</w:t>
            </w:r>
          </w:p>
        </w:tc>
      </w:tr>
      <w:tr w14:paraId="14A1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noWrap w:val="0"/>
            <w:vAlign w:val="center"/>
          </w:tcPr>
          <w:p w14:paraId="3330EF64">
            <w:pPr>
              <w:jc w:val="center"/>
              <w:rPr>
                <w:rFonts w:hint="eastAsia" w:ascii="宋体" w:hAnsi="宋体" w:cs="宋体"/>
                <w:color w:val="auto"/>
                <w:szCs w:val="21"/>
                <w:highlight w:val="none"/>
                <w:lang w:val="en-US" w:eastAsia="zh-CN"/>
              </w:rPr>
            </w:pPr>
          </w:p>
        </w:tc>
        <w:tc>
          <w:tcPr>
            <w:tcW w:w="750" w:type="dxa"/>
            <w:noWrap w:val="0"/>
            <w:vAlign w:val="center"/>
          </w:tcPr>
          <w:p w14:paraId="4A4E52A6">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33" w:type="dxa"/>
            <w:noWrap w:val="0"/>
            <w:vAlign w:val="center"/>
          </w:tcPr>
          <w:p w14:paraId="5A553CCE">
            <w:pPr>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3</w:t>
            </w:r>
          </w:p>
        </w:tc>
        <w:tc>
          <w:tcPr>
            <w:tcW w:w="5542" w:type="dxa"/>
            <w:noWrap w:val="0"/>
            <w:vAlign w:val="top"/>
          </w:tcPr>
          <w:p w14:paraId="73017C37">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工程普通维修员3</w:t>
            </w:r>
            <w:r>
              <w:rPr>
                <w:rFonts w:hint="eastAsia" w:ascii="宋体" w:hAnsi="宋体" w:cs="宋体"/>
                <w:color w:val="auto"/>
                <w:szCs w:val="21"/>
                <w:highlight w:val="none"/>
              </w:rPr>
              <w:t>名</w:t>
            </w:r>
            <w:r>
              <w:rPr>
                <w:rFonts w:hint="eastAsia" w:ascii="宋体" w:hAnsi="宋体" w:cs="宋体"/>
                <w:color w:val="auto"/>
                <w:szCs w:val="21"/>
                <w:highlight w:val="none"/>
                <w:lang w:eastAsia="zh-CN"/>
              </w:rPr>
              <w:t>：25（含）至50岁（含）</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身体健康，无犯罪记录，征信合格。</w:t>
            </w:r>
            <w:r>
              <w:rPr>
                <w:rFonts w:hint="eastAsia" w:ascii="宋体" w:hAnsi="宋体" w:cs="宋体"/>
                <w:color w:val="auto"/>
                <w:szCs w:val="21"/>
                <w:highlight w:val="none"/>
              </w:rPr>
              <w:t>熟悉</w:t>
            </w:r>
            <w:r>
              <w:rPr>
                <w:rFonts w:hint="eastAsia" w:ascii="宋体" w:hAnsi="宋体" w:cs="宋体"/>
                <w:color w:val="auto"/>
                <w:szCs w:val="21"/>
                <w:highlight w:val="none"/>
                <w:lang w:val="en-US" w:eastAsia="zh-CN"/>
              </w:rPr>
              <w:t>管理范围内的设施设备情况</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熟练掌握相关设备的维修维护知识。符合物业公司的岗位职责标准。</w:t>
            </w:r>
          </w:p>
        </w:tc>
      </w:tr>
      <w:tr w14:paraId="1836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noWrap w:val="0"/>
            <w:vAlign w:val="center"/>
          </w:tcPr>
          <w:p w14:paraId="7467500D">
            <w:pPr>
              <w:jc w:val="center"/>
              <w:rPr>
                <w:rFonts w:hint="eastAsia" w:ascii="宋体" w:hAnsi="宋体" w:cs="宋体"/>
                <w:color w:val="auto"/>
                <w:szCs w:val="21"/>
                <w:highlight w:val="none"/>
              </w:rPr>
            </w:pPr>
            <w:r>
              <w:rPr>
                <w:rFonts w:hint="eastAsia" w:ascii="宋体" w:hAnsi="宋体" w:cs="宋体"/>
                <w:color w:val="auto"/>
                <w:szCs w:val="21"/>
                <w:highlight w:val="none"/>
              </w:rPr>
              <w:t>保洁服务</w:t>
            </w:r>
          </w:p>
        </w:tc>
        <w:tc>
          <w:tcPr>
            <w:tcW w:w="750" w:type="dxa"/>
            <w:noWrap w:val="0"/>
            <w:vAlign w:val="center"/>
          </w:tcPr>
          <w:p w14:paraId="1157D31F">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433" w:type="dxa"/>
            <w:noWrap w:val="0"/>
            <w:vAlign w:val="center"/>
          </w:tcPr>
          <w:p w14:paraId="03057E2A">
            <w:pPr>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1</w:t>
            </w:r>
          </w:p>
        </w:tc>
        <w:tc>
          <w:tcPr>
            <w:tcW w:w="5542" w:type="dxa"/>
            <w:noWrap w:val="0"/>
            <w:vAlign w:val="top"/>
          </w:tcPr>
          <w:p w14:paraId="0E0F6CB5">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保洁部长</w:t>
            </w:r>
            <w:r>
              <w:rPr>
                <w:rFonts w:hint="eastAsia" w:ascii="宋体" w:hAnsi="宋体" w:cs="宋体"/>
                <w:color w:val="auto"/>
                <w:szCs w:val="21"/>
                <w:highlight w:val="none"/>
              </w:rPr>
              <w:t>1名</w:t>
            </w:r>
            <w:r>
              <w:rPr>
                <w:rFonts w:hint="eastAsia" w:ascii="宋体" w:hAnsi="宋体" w:cs="宋体"/>
                <w:color w:val="auto"/>
                <w:szCs w:val="21"/>
                <w:highlight w:val="none"/>
                <w:lang w:eastAsia="zh-CN"/>
              </w:rPr>
              <w:t>：25（含）至50岁（含）</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身体健康，无犯罪记录，征信合格。</w:t>
            </w:r>
            <w:r>
              <w:rPr>
                <w:rFonts w:hint="eastAsia" w:ascii="宋体" w:hAnsi="宋体" w:cs="宋体"/>
                <w:color w:val="auto"/>
                <w:szCs w:val="21"/>
                <w:highlight w:val="none"/>
              </w:rPr>
              <w:t>熟悉管理区域内的基本情况，有较强的组织协调和沟通能力，能处理各种突发事件，具备较强的管理能力和团队领导能力，能够提高物业服务质量</w:t>
            </w:r>
            <w:r>
              <w:rPr>
                <w:rFonts w:hint="eastAsia" w:ascii="宋体" w:hAnsi="宋体" w:cs="宋体"/>
                <w:color w:val="auto"/>
                <w:szCs w:val="21"/>
                <w:highlight w:val="none"/>
                <w:lang w:eastAsia="zh-CN"/>
              </w:rPr>
              <w:t>。</w:t>
            </w:r>
          </w:p>
        </w:tc>
      </w:tr>
      <w:tr w14:paraId="3C12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noWrap w:val="0"/>
            <w:vAlign w:val="center"/>
          </w:tcPr>
          <w:p w14:paraId="6DEE17E6">
            <w:pPr>
              <w:jc w:val="center"/>
              <w:rPr>
                <w:rFonts w:hint="eastAsia" w:ascii="宋体" w:hAnsi="宋体" w:cs="宋体"/>
                <w:color w:val="auto"/>
                <w:szCs w:val="21"/>
                <w:highlight w:val="none"/>
              </w:rPr>
            </w:pPr>
          </w:p>
        </w:tc>
        <w:tc>
          <w:tcPr>
            <w:tcW w:w="750" w:type="dxa"/>
            <w:noWrap w:val="0"/>
            <w:vAlign w:val="center"/>
          </w:tcPr>
          <w:p w14:paraId="0F4414D6">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33" w:type="dxa"/>
            <w:noWrap w:val="0"/>
            <w:vAlign w:val="center"/>
          </w:tcPr>
          <w:p w14:paraId="41120E4D">
            <w:pPr>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w:t>
            </w:r>
          </w:p>
        </w:tc>
        <w:tc>
          <w:tcPr>
            <w:tcW w:w="5542" w:type="dxa"/>
            <w:noWrap w:val="0"/>
            <w:vAlign w:val="top"/>
          </w:tcPr>
          <w:p w14:paraId="1AA74C04">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保洁班长2</w:t>
            </w:r>
            <w:r>
              <w:rPr>
                <w:rFonts w:hint="eastAsia" w:ascii="宋体" w:hAnsi="宋体" w:cs="宋体"/>
                <w:color w:val="auto"/>
                <w:szCs w:val="21"/>
                <w:highlight w:val="none"/>
              </w:rPr>
              <w:t>名</w:t>
            </w:r>
            <w:r>
              <w:rPr>
                <w:rFonts w:hint="eastAsia" w:ascii="宋体" w:hAnsi="宋体" w:cs="宋体"/>
                <w:color w:val="auto"/>
                <w:szCs w:val="21"/>
                <w:highlight w:val="none"/>
                <w:lang w:eastAsia="zh-CN"/>
              </w:rPr>
              <w:t>：25（含）至50岁（含）</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身体健康，无犯罪记录，征信合格。</w:t>
            </w:r>
            <w:r>
              <w:rPr>
                <w:rFonts w:hint="eastAsia" w:ascii="宋体" w:hAnsi="宋体" w:cs="宋体"/>
                <w:color w:val="auto"/>
                <w:szCs w:val="21"/>
                <w:highlight w:val="none"/>
              </w:rPr>
              <w:t>熟悉管理区域内的基本情况，有较强的组织协调和沟通能力，能处理各种突发事件，</w:t>
            </w:r>
            <w:r>
              <w:rPr>
                <w:rFonts w:hint="eastAsia" w:ascii="宋体" w:hAnsi="宋体" w:cs="宋体"/>
                <w:color w:val="auto"/>
                <w:szCs w:val="21"/>
                <w:highlight w:val="none"/>
                <w:lang w:val="en-US" w:eastAsia="zh-CN"/>
              </w:rPr>
              <w:t>熟练掌握卫生保洁相关知识。符合物业公司的岗位职责标准。</w:t>
            </w:r>
          </w:p>
        </w:tc>
      </w:tr>
      <w:tr w14:paraId="7820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560" w:type="dxa"/>
            <w:vMerge w:val="continue"/>
            <w:noWrap w:val="0"/>
            <w:vAlign w:val="center"/>
          </w:tcPr>
          <w:p w14:paraId="6710F6AD">
            <w:pPr>
              <w:jc w:val="center"/>
              <w:rPr>
                <w:rFonts w:hint="eastAsia" w:ascii="宋体" w:hAnsi="宋体" w:cs="宋体"/>
                <w:color w:val="auto"/>
                <w:szCs w:val="21"/>
                <w:highlight w:val="none"/>
              </w:rPr>
            </w:pPr>
          </w:p>
        </w:tc>
        <w:tc>
          <w:tcPr>
            <w:tcW w:w="750" w:type="dxa"/>
            <w:noWrap w:val="0"/>
            <w:vAlign w:val="center"/>
          </w:tcPr>
          <w:p w14:paraId="63814E3C">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1433" w:type="dxa"/>
            <w:noWrap w:val="0"/>
            <w:vAlign w:val="center"/>
          </w:tcPr>
          <w:p w14:paraId="0E9169CC">
            <w:pPr>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20</w:t>
            </w:r>
          </w:p>
        </w:tc>
        <w:tc>
          <w:tcPr>
            <w:tcW w:w="5542" w:type="dxa"/>
            <w:noWrap w:val="0"/>
            <w:vAlign w:val="top"/>
          </w:tcPr>
          <w:p w14:paraId="17C15309">
            <w:pPr>
              <w:rPr>
                <w:rFonts w:hint="eastAsia" w:ascii="宋体" w:hAnsi="宋体" w:cs="宋体"/>
                <w:color w:val="auto"/>
                <w:szCs w:val="21"/>
                <w:highlight w:val="none"/>
              </w:rPr>
            </w:pPr>
            <w:r>
              <w:rPr>
                <w:rFonts w:hint="eastAsia" w:ascii="宋体" w:hAnsi="宋体" w:cs="宋体"/>
                <w:bCs/>
                <w:color w:val="auto"/>
                <w:szCs w:val="21"/>
                <w:highlight w:val="none"/>
              </w:rPr>
              <w:t>保洁员</w:t>
            </w:r>
            <w:r>
              <w:rPr>
                <w:rFonts w:hint="eastAsia" w:ascii="宋体" w:hAnsi="宋体" w:cs="宋体"/>
                <w:bCs/>
                <w:color w:val="auto"/>
                <w:szCs w:val="21"/>
                <w:highlight w:val="none"/>
                <w:lang w:val="en-US" w:eastAsia="zh-CN"/>
              </w:rPr>
              <w:t>20名：</w:t>
            </w:r>
            <w:r>
              <w:rPr>
                <w:rFonts w:hint="eastAsia" w:ascii="宋体" w:hAnsi="宋体" w:cs="宋体"/>
                <w:bCs/>
                <w:color w:val="auto"/>
                <w:szCs w:val="21"/>
                <w:highlight w:val="none"/>
              </w:rPr>
              <w:t>男</w:t>
            </w:r>
            <w:r>
              <w:rPr>
                <w:rFonts w:hint="eastAsia" w:ascii="宋体" w:hAnsi="宋体" w:cs="宋体"/>
                <w:color w:val="auto"/>
                <w:szCs w:val="21"/>
                <w:highlight w:val="none"/>
                <w:lang w:eastAsia="zh-CN"/>
              </w:rPr>
              <w:t>25（含）至</w:t>
            </w:r>
            <w:r>
              <w:rPr>
                <w:rFonts w:hint="eastAsia" w:ascii="宋体" w:hAnsi="宋体" w:cs="宋体"/>
                <w:bCs/>
                <w:color w:val="auto"/>
                <w:szCs w:val="21"/>
                <w:highlight w:val="none"/>
              </w:rPr>
              <w:t>6</w:t>
            </w:r>
            <w:r>
              <w:rPr>
                <w:rFonts w:hint="eastAsia" w:ascii="宋体" w:hAnsi="宋体" w:cs="宋体"/>
                <w:bCs/>
                <w:color w:val="auto"/>
                <w:szCs w:val="21"/>
                <w:highlight w:val="none"/>
                <w:lang w:val="en-US" w:eastAsia="zh-CN"/>
              </w:rPr>
              <w:t>0</w:t>
            </w:r>
            <w:r>
              <w:rPr>
                <w:rFonts w:hint="eastAsia" w:ascii="宋体" w:hAnsi="宋体" w:cs="宋体"/>
                <w:bCs/>
                <w:color w:val="auto"/>
                <w:szCs w:val="21"/>
                <w:highlight w:val="none"/>
              </w:rPr>
              <w:t>岁（含），女</w:t>
            </w:r>
            <w:r>
              <w:rPr>
                <w:rFonts w:hint="eastAsia" w:ascii="宋体" w:hAnsi="宋体" w:cs="宋体"/>
                <w:color w:val="auto"/>
                <w:szCs w:val="21"/>
                <w:highlight w:val="none"/>
                <w:lang w:eastAsia="zh-CN"/>
              </w:rPr>
              <w:t>25（含）至</w:t>
            </w:r>
            <w:r>
              <w:rPr>
                <w:rFonts w:hint="eastAsia" w:ascii="宋体" w:hAnsi="宋体" w:cs="宋体"/>
                <w:bCs/>
                <w:color w:val="auto"/>
                <w:szCs w:val="21"/>
                <w:highlight w:val="none"/>
              </w:rPr>
              <w:t>5</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岁（含），工作熟练，具有良好的职业道德，吃苦耐劳，言行举止端重。</w:t>
            </w:r>
          </w:p>
        </w:tc>
      </w:tr>
      <w:tr w14:paraId="46B9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560" w:type="dxa"/>
            <w:vMerge w:val="restart"/>
            <w:noWrap w:val="0"/>
            <w:vAlign w:val="center"/>
          </w:tcPr>
          <w:p w14:paraId="453853C4">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绿化服务</w:t>
            </w:r>
          </w:p>
        </w:tc>
        <w:tc>
          <w:tcPr>
            <w:tcW w:w="750" w:type="dxa"/>
            <w:noWrap w:val="0"/>
            <w:vAlign w:val="center"/>
          </w:tcPr>
          <w:p w14:paraId="5A8E3CEF">
            <w:pPr>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Cs w:val="21"/>
                <w:highlight w:val="none"/>
                <w:lang w:val="en-US" w:eastAsia="zh-CN"/>
              </w:rPr>
              <w:t>1</w:t>
            </w:r>
          </w:p>
        </w:tc>
        <w:tc>
          <w:tcPr>
            <w:tcW w:w="1433" w:type="dxa"/>
            <w:noWrap w:val="0"/>
            <w:vAlign w:val="center"/>
          </w:tcPr>
          <w:p w14:paraId="3B6E49AC">
            <w:pPr>
              <w:jc w:val="center"/>
              <w:rPr>
                <w:rFonts w:hint="eastAsia" w:ascii="宋体" w:hAnsi="宋体" w:eastAsia="宋体" w:cs="宋体"/>
                <w:b/>
                <w:bCs/>
                <w:color w:val="auto"/>
                <w:sz w:val="21"/>
                <w:szCs w:val="21"/>
                <w:highlight w:val="none"/>
                <w:lang w:val="en-US" w:eastAsia="zh-CN" w:bidi="ar-SA"/>
              </w:rPr>
            </w:pPr>
            <w:r>
              <w:rPr>
                <w:rFonts w:hint="eastAsia" w:ascii="宋体" w:hAnsi="宋体" w:cs="宋体"/>
                <w:b/>
                <w:bCs/>
                <w:color w:val="auto"/>
                <w:szCs w:val="21"/>
                <w:highlight w:val="none"/>
                <w:lang w:val="en-US" w:eastAsia="zh-CN"/>
              </w:rPr>
              <w:t>1</w:t>
            </w:r>
          </w:p>
        </w:tc>
        <w:tc>
          <w:tcPr>
            <w:tcW w:w="5542" w:type="dxa"/>
            <w:noWrap w:val="0"/>
            <w:vAlign w:val="top"/>
          </w:tcPr>
          <w:p w14:paraId="2E69DB3F">
            <w:pPr>
              <w:rPr>
                <w:rFonts w:hint="eastAsia" w:ascii="宋体" w:hAnsi="宋体" w:eastAsia="宋体" w:cs="宋体"/>
                <w:bCs/>
                <w:color w:val="auto"/>
                <w:sz w:val="21"/>
                <w:szCs w:val="21"/>
                <w:highlight w:val="none"/>
                <w:lang w:val="en-US" w:eastAsia="zh-CN" w:bidi="ar-SA"/>
              </w:rPr>
            </w:pPr>
            <w:r>
              <w:rPr>
                <w:rFonts w:hint="eastAsia" w:ascii="宋体" w:hAnsi="宋体" w:cs="宋体"/>
                <w:color w:val="auto"/>
                <w:szCs w:val="21"/>
                <w:highlight w:val="none"/>
                <w:lang w:val="en-US" w:eastAsia="zh-CN"/>
              </w:rPr>
              <w:t>绿化班长1</w:t>
            </w:r>
            <w:r>
              <w:rPr>
                <w:rFonts w:hint="eastAsia" w:ascii="宋体" w:hAnsi="宋体" w:cs="宋体"/>
                <w:color w:val="auto"/>
                <w:szCs w:val="21"/>
                <w:highlight w:val="none"/>
              </w:rPr>
              <w:t>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5（含）至50岁（含），</w:t>
            </w:r>
            <w:r>
              <w:rPr>
                <w:rFonts w:hint="eastAsia" w:ascii="宋体" w:hAnsi="宋体" w:cs="宋体"/>
                <w:color w:val="auto"/>
                <w:szCs w:val="21"/>
                <w:highlight w:val="none"/>
                <w:lang w:val="en-US" w:eastAsia="zh-CN"/>
              </w:rPr>
              <w:t>身体健康，无犯罪记录，征信合格。</w:t>
            </w:r>
            <w:r>
              <w:rPr>
                <w:rFonts w:hint="eastAsia" w:ascii="宋体" w:hAnsi="宋体" w:cs="宋体"/>
                <w:color w:val="auto"/>
                <w:szCs w:val="21"/>
                <w:highlight w:val="none"/>
              </w:rPr>
              <w:t>熟悉管理区域内的基本情况，有较强的组织协调和沟通能力，能处理各种突发事件，</w:t>
            </w:r>
            <w:r>
              <w:rPr>
                <w:rFonts w:hint="eastAsia" w:ascii="宋体" w:hAnsi="宋体" w:cs="宋体"/>
                <w:color w:val="auto"/>
                <w:szCs w:val="21"/>
                <w:highlight w:val="none"/>
                <w:lang w:val="en-US" w:eastAsia="zh-CN"/>
              </w:rPr>
              <w:t>熟练掌握绿化工作的相关知识。符合物业公司的岗位职责标准.</w:t>
            </w:r>
          </w:p>
        </w:tc>
      </w:tr>
      <w:tr w14:paraId="25EB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560" w:type="dxa"/>
            <w:vMerge w:val="continue"/>
            <w:noWrap w:val="0"/>
            <w:vAlign w:val="center"/>
          </w:tcPr>
          <w:p w14:paraId="27205D01">
            <w:pPr>
              <w:jc w:val="center"/>
              <w:rPr>
                <w:rFonts w:hint="eastAsia" w:ascii="宋体" w:hAnsi="宋体" w:cs="宋体"/>
                <w:color w:val="auto"/>
                <w:szCs w:val="21"/>
                <w:highlight w:val="none"/>
              </w:rPr>
            </w:pPr>
          </w:p>
        </w:tc>
        <w:tc>
          <w:tcPr>
            <w:tcW w:w="750" w:type="dxa"/>
            <w:noWrap w:val="0"/>
            <w:vAlign w:val="center"/>
          </w:tcPr>
          <w:p w14:paraId="72632927">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33" w:type="dxa"/>
            <w:noWrap w:val="0"/>
            <w:vAlign w:val="center"/>
          </w:tcPr>
          <w:p w14:paraId="4254EB4F">
            <w:pPr>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w:t>
            </w:r>
          </w:p>
        </w:tc>
        <w:tc>
          <w:tcPr>
            <w:tcW w:w="5542" w:type="dxa"/>
            <w:noWrap w:val="0"/>
            <w:vAlign w:val="top"/>
          </w:tcPr>
          <w:p w14:paraId="7CE056AA">
            <w:pPr>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绿化</w:t>
            </w:r>
            <w:r>
              <w:rPr>
                <w:rFonts w:hint="eastAsia" w:ascii="宋体" w:hAnsi="宋体" w:cs="宋体"/>
                <w:bCs/>
                <w:color w:val="auto"/>
                <w:szCs w:val="21"/>
                <w:highlight w:val="none"/>
              </w:rPr>
              <w:t>员</w:t>
            </w:r>
            <w:r>
              <w:rPr>
                <w:rFonts w:hint="eastAsia" w:ascii="宋体" w:hAnsi="宋体" w:cs="宋体"/>
                <w:bCs/>
                <w:color w:val="auto"/>
                <w:szCs w:val="21"/>
                <w:highlight w:val="none"/>
                <w:lang w:val="en-US" w:eastAsia="zh-CN"/>
              </w:rPr>
              <w:t>2名：</w:t>
            </w:r>
            <w:r>
              <w:rPr>
                <w:rFonts w:hint="eastAsia" w:ascii="宋体" w:hAnsi="宋体" w:cs="宋体"/>
                <w:bCs/>
                <w:color w:val="auto"/>
                <w:szCs w:val="21"/>
                <w:highlight w:val="none"/>
              </w:rPr>
              <w:t>男</w:t>
            </w:r>
            <w:r>
              <w:rPr>
                <w:rFonts w:hint="eastAsia" w:ascii="宋体" w:hAnsi="宋体" w:cs="宋体"/>
                <w:color w:val="auto"/>
                <w:szCs w:val="21"/>
                <w:highlight w:val="none"/>
                <w:lang w:eastAsia="zh-CN"/>
              </w:rPr>
              <w:t>25（含）至</w:t>
            </w:r>
            <w:r>
              <w:rPr>
                <w:rFonts w:hint="eastAsia" w:ascii="宋体" w:hAnsi="宋体" w:cs="宋体"/>
                <w:bCs/>
                <w:color w:val="auto"/>
                <w:szCs w:val="21"/>
                <w:highlight w:val="none"/>
              </w:rPr>
              <w:t>6</w:t>
            </w:r>
            <w:r>
              <w:rPr>
                <w:rFonts w:hint="eastAsia" w:ascii="宋体" w:hAnsi="宋体" w:cs="宋体"/>
                <w:bCs/>
                <w:color w:val="auto"/>
                <w:szCs w:val="21"/>
                <w:highlight w:val="none"/>
                <w:lang w:val="en-US" w:eastAsia="zh-CN"/>
              </w:rPr>
              <w:t>0</w:t>
            </w:r>
            <w:r>
              <w:rPr>
                <w:rFonts w:hint="eastAsia" w:ascii="宋体" w:hAnsi="宋体" w:cs="宋体"/>
                <w:bCs/>
                <w:color w:val="auto"/>
                <w:szCs w:val="21"/>
                <w:highlight w:val="none"/>
              </w:rPr>
              <w:t>岁（含），女</w:t>
            </w:r>
            <w:r>
              <w:rPr>
                <w:rFonts w:hint="eastAsia" w:ascii="宋体" w:hAnsi="宋体" w:cs="宋体"/>
                <w:color w:val="auto"/>
                <w:szCs w:val="21"/>
                <w:highlight w:val="none"/>
                <w:lang w:eastAsia="zh-CN"/>
              </w:rPr>
              <w:t>25（含）至</w:t>
            </w:r>
            <w:r>
              <w:rPr>
                <w:rFonts w:hint="eastAsia" w:ascii="宋体" w:hAnsi="宋体" w:cs="宋体"/>
                <w:bCs/>
                <w:color w:val="auto"/>
                <w:szCs w:val="21"/>
                <w:highlight w:val="none"/>
              </w:rPr>
              <w:t>5</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岁（含），工作熟练，具有良好的职业道德，吃苦耐劳，言行举止端重</w:t>
            </w:r>
            <w:r>
              <w:rPr>
                <w:rFonts w:hint="eastAsia" w:ascii="宋体" w:hAnsi="宋体" w:cs="宋体"/>
                <w:bCs/>
                <w:color w:val="auto"/>
                <w:szCs w:val="21"/>
                <w:highlight w:val="none"/>
                <w:lang w:eastAsia="zh-CN"/>
              </w:rPr>
              <w:t>。</w:t>
            </w:r>
          </w:p>
        </w:tc>
      </w:tr>
      <w:tr w14:paraId="10D3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0" w:type="dxa"/>
            <w:vMerge w:val="restart"/>
            <w:noWrap w:val="0"/>
            <w:vAlign w:val="center"/>
          </w:tcPr>
          <w:p w14:paraId="40C5C437">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保安服务</w:t>
            </w:r>
          </w:p>
        </w:tc>
        <w:tc>
          <w:tcPr>
            <w:tcW w:w="750" w:type="dxa"/>
            <w:noWrap w:val="0"/>
            <w:vAlign w:val="center"/>
          </w:tcPr>
          <w:p w14:paraId="380262B6">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433" w:type="dxa"/>
            <w:noWrap w:val="0"/>
            <w:vAlign w:val="center"/>
          </w:tcPr>
          <w:p w14:paraId="4716390E">
            <w:pPr>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1</w:t>
            </w:r>
          </w:p>
        </w:tc>
        <w:tc>
          <w:tcPr>
            <w:tcW w:w="5542" w:type="dxa"/>
            <w:noWrap w:val="0"/>
            <w:vAlign w:val="top"/>
          </w:tcPr>
          <w:p w14:paraId="01AD639A">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保安部长</w:t>
            </w:r>
            <w:r>
              <w:rPr>
                <w:rFonts w:hint="eastAsia" w:ascii="宋体" w:hAnsi="宋体" w:cs="宋体"/>
                <w:color w:val="auto"/>
                <w:szCs w:val="21"/>
                <w:highlight w:val="none"/>
              </w:rPr>
              <w:t>1名</w:t>
            </w:r>
            <w:r>
              <w:rPr>
                <w:rFonts w:hint="eastAsia" w:ascii="宋体" w:hAnsi="宋体" w:cs="宋体"/>
                <w:color w:val="auto"/>
                <w:szCs w:val="21"/>
                <w:highlight w:val="none"/>
                <w:lang w:eastAsia="zh-CN"/>
              </w:rPr>
              <w:t>：25（含）至50岁（含）</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身体健康，无犯罪记录，征信合格。</w:t>
            </w:r>
            <w:r>
              <w:rPr>
                <w:rFonts w:hint="eastAsia" w:ascii="宋体" w:hAnsi="宋体" w:cs="宋体"/>
                <w:color w:val="auto"/>
                <w:szCs w:val="21"/>
                <w:highlight w:val="none"/>
              </w:rPr>
              <w:t>熟悉</w:t>
            </w:r>
            <w:r>
              <w:rPr>
                <w:rFonts w:hint="eastAsia" w:ascii="宋体" w:hAnsi="宋体" w:cs="宋体"/>
                <w:color w:val="auto"/>
                <w:szCs w:val="21"/>
                <w:highlight w:val="none"/>
                <w:lang w:val="en-US" w:eastAsia="zh-CN"/>
              </w:rPr>
              <w:t>管理范围内的情况</w:t>
            </w:r>
            <w:r>
              <w:rPr>
                <w:rFonts w:hint="eastAsia" w:ascii="宋体" w:hAnsi="宋体" w:cs="宋体"/>
                <w:color w:val="auto"/>
                <w:szCs w:val="21"/>
                <w:highlight w:val="none"/>
              </w:rPr>
              <w:t>，有较强的组织协调和沟通能力，能处理各种突发事件，具备较强的管理能力和团队领导能力，能够提高物业服务质量</w:t>
            </w:r>
            <w:r>
              <w:rPr>
                <w:rFonts w:hint="eastAsia" w:ascii="宋体" w:hAnsi="宋体" w:cs="宋体"/>
                <w:color w:val="auto"/>
                <w:szCs w:val="21"/>
                <w:highlight w:val="none"/>
                <w:lang w:eastAsia="zh-CN"/>
              </w:rPr>
              <w:t>。</w:t>
            </w:r>
          </w:p>
        </w:tc>
      </w:tr>
      <w:tr w14:paraId="6253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7" w:hRule="atLeast"/>
          <w:jc w:val="center"/>
        </w:trPr>
        <w:tc>
          <w:tcPr>
            <w:tcW w:w="1560" w:type="dxa"/>
            <w:vMerge w:val="continue"/>
            <w:noWrap w:val="0"/>
            <w:vAlign w:val="center"/>
          </w:tcPr>
          <w:p w14:paraId="02D32B71">
            <w:pPr>
              <w:jc w:val="center"/>
              <w:rPr>
                <w:rFonts w:hint="eastAsia" w:ascii="宋体" w:hAnsi="宋体" w:cs="宋体"/>
                <w:color w:val="auto"/>
                <w:szCs w:val="21"/>
                <w:highlight w:val="none"/>
                <w:lang w:val="en-US" w:eastAsia="zh-CN"/>
              </w:rPr>
            </w:pPr>
          </w:p>
        </w:tc>
        <w:tc>
          <w:tcPr>
            <w:tcW w:w="750" w:type="dxa"/>
            <w:noWrap w:val="0"/>
            <w:vAlign w:val="center"/>
          </w:tcPr>
          <w:p w14:paraId="025F6EF7">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33" w:type="dxa"/>
            <w:noWrap w:val="0"/>
            <w:vAlign w:val="center"/>
          </w:tcPr>
          <w:p w14:paraId="79B2EDCD">
            <w:pPr>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3</w:t>
            </w:r>
          </w:p>
        </w:tc>
        <w:tc>
          <w:tcPr>
            <w:tcW w:w="5542" w:type="dxa"/>
            <w:noWrap w:val="0"/>
            <w:vAlign w:val="top"/>
          </w:tcPr>
          <w:p w14:paraId="74A89C17">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保安班长及副班长3</w:t>
            </w:r>
            <w:r>
              <w:rPr>
                <w:rFonts w:hint="eastAsia" w:ascii="宋体" w:hAnsi="宋体" w:cs="宋体"/>
                <w:color w:val="auto"/>
                <w:szCs w:val="21"/>
                <w:highlight w:val="none"/>
              </w:rPr>
              <w:t>名</w:t>
            </w:r>
            <w:r>
              <w:rPr>
                <w:rFonts w:hint="eastAsia" w:ascii="宋体" w:hAnsi="宋体" w:cs="宋体"/>
                <w:color w:val="auto"/>
                <w:szCs w:val="21"/>
                <w:highlight w:val="none"/>
                <w:lang w:eastAsia="zh-CN"/>
              </w:rPr>
              <w:t>：25（含）至50岁（含）</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身体健康，无犯罪记录，征信合格。</w:t>
            </w:r>
            <w:r>
              <w:rPr>
                <w:rFonts w:hint="eastAsia" w:ascii="宋体" w:hAnsi="宋体" w:cs="宋体"/>
                <w:color w:val="auto"/>
                <w:szCs w:val="21"/>
                <w:highlight w:val="none"/>
              </w:rPr>
              <w:t>熟悉管理区域内的基本情况，有较强的组织协调和沟通能力，能处理各种突发事件，</w:t>
            </w:r>
            <w:r>
              <w:rPr>
                <w:rFonts w:hint="eastAsia" w:ascii="宋体" w:hAnsi="宋体" w:cs="宋体"/>
                <w:color w:val="auto"/>
                <w:szCs w:val="21"/>
                <w:highlight w:val="none"/>
                <w:lang w:val="en-US" w:eastAsia="zh-CN"/>
              </w:rPr>
              <w:t>熟练掌握相关知识。符合物业公司的岗位职责标准。</w:t>
            </w:r>
          </w:p>
        </w:tc>
      </w:tr>
      <w:tr w14:paraId="3062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560" w:type="dxa"/>
            <w:vMerge w:val="continue"/>
            <w:noWrap w:val="0"/>
            <w:vAlign w:val="center"/>
          </w:tcPr>
          <w:p w14:paraId="25A5E02F">
            <w:pPr>
              <w:jc w:val="center"/>
              <w:rPr>
                <w:rFonts w:hint="eastAsia" w:ascii="宋体" w:hAnsi="宋体" w:cs="宋体"/>
                <w:color w:val="auto"/>
                <w:szCs w:val="21"/>
                <w:highlight w:val="none"/>
                <w:lang w:val="en-US" w:eastAsia="zh-CN"/>
              </w:rPr>
            </w:pPr>
          </w:p>
        </w:tc>
        <w:tc>
          <w:tcPr>
            <w:tcW w:w="750" w:type="dxa"/>
            <w:noWrap w:val="0"/>
            <w:vAlign w:val="center"/>
          </w:tcPr>
          <w:p w14:paraId="79F36150">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433" w:type="dxa"/>
            <w:noWrap w:val="0"/>
            <w:vAlign w:val="center"/>
          </w:tcPr>
          <w:p w14:paraId="0E0577FE">
            <w:pPr>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36</w:t>
            </w:r>
          </w:p>
        </w:tc>
        <w:tc>
          <w:tcPr>
            <w:tcW w:w="5542" w:type="dxa"/>
            <w:noWrap w:val="0"/>
            <w:vAlign w:val="top"/>
          </w:tcPr>
          <w:p w14:paraId="4C090747">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保安人员36</w:t>
            </w:r>
            <w:r>
              <w:rPr>
                <w:rFonts w:hint="eastAsia" w:ascii="宋体" w:hAnsi="宋体" w:cs="宋体"/>
                <w:color w:val="auto"/>
                <w:szCs w:val="21"/>
                <w:highlight w:val="none"/>
              </w:rPr>
              <w:t>名</w:t>
            </w:r>
            <w:r>
              <w:rPr>
                <w:rFonts w:hint="eastAsia" w:ascii="宋体" w:hAnsi="宋体" w:cs="宋体"/>
                <w:color w:val="auto"/>
                <w:szCs w:val="21"/>
                <w:highlight w:val="none"/>
                <w:lang w:eastAsia="zh-CN"/>
              </w:rPr>
              <w:t>：25（含）至50岁（含）</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身体健康，无犯罪记录，征信合格。</w:t>
            </w:r>
            <w:r>
              <w:rPr>
                <w:rFonts w:hint="eastAsia" w:ascii="宋体" w:hAnsi="宋体" w:cs="宋体"/>
                <w:color w:val="auto"/>
                <w:szCs w:val="21"/>
                <w:highlight w:val="none"/>
              </w:rPr>
              <w:t>熟悉管理区域内的基本情况，</w:t>
            </w:r>
            <w:r>
              <w:rPr>
                <w:rFonts w:hint="eastAsia" w:ascii="宋体" w:hAnsi="宋体" w:cs="宋体"/>
                <w:color w:val="auto"/>
                <w:szCs w:val="21"/>
                <w:highlight w:val="none"/>
                <w:lang w:val="en-US" w:eastAsia="zh-CN"/>
              </w:rPr>
              <w:t>熟练掌握相关知识。符合物业公司的岗位职责标准。</w:t>
            </w:r>
          </w:p>
        </w:tc>
      </w:tr>
      <w:tr w14:paraId="0DD7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60" w:type="dxa"/>
            <w:vMerge w:val="restart"/>
            <w:noWrap w:val="0"/>
            <w:vAlign w:val="center"/>
          </w:tcPr>
          <w:p w14:paraId="123D8B2F">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综合服务</w:t>
            </w:r>
          </w:p>
        </w:tc>
        <w:tc>
          <w:tcPr>
            <w:tcW w:w="750" w:type="dxa"/>
            <w:noWrap w:val="0"/>
            <w:vAlign w:val="center"/>
          </w:tcPr>
          <w:p w14:paraId="2DF3E39C">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433" w:type="dxa"/>
            <w:noWrap w:val="0"/>
            <w:vAlign w:val="center"/>
          </w:tcPr>
          <w:p w14:paraId="099B1B7C">
            <w:pPr>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1</w:t>
            </w:r>
          </w:p>
        </w:tc>
        <w:tc>
          <w:tcPr>
            <w:tcW w:w="5542" w:type="dxa"/>
            <w:noWrap w:val="0"/>
            <w:vAlign w:val="top"/>
          </w:tcPr>
          <w:p w14:paraId="0123B5A4">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客服主管1</w:t>
            </w:r>
            <w:r>
              <w:rPr>
                <w:rFonts w:hint="eastAsia" w:ascii="宋体" w:hAnsi="宋体" w:cs="宋体"/>
                <w:color w:val="auto"/>
                <w:szCs w:val="21"/>
                <w:highlight w:val="none"/>
              </w:rPr>
              <w:t>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5（含）至50岁（含），</w:t>
            </w:r>
            <w:r>
              <w:rPr>
                <w:rFonts w:hint="eastAsia" w:ascii="宋体" w:hAnsi="宋体" w:cs="宋体"/>
                <w:color w:val="auto"/>
                <w:szCs w:val="21"/>
                <w:highlight w:val="none"/>
                <w:lang w:val="en-US" w:eastAsia="zh-CN"/>
              </w:rPr>
              <w:t>身体健康，无犯罪记录，征信合格。</w:t>
            </w:r>
            <w:r>
              <w:rPr>
                <w:rFonts w:hint="eastAsia" w:ascii="宋体" w:hAnsi="宋体" w:cs="宋体"/>
                <w:color w:val="auto"/>
                <w:szCs w:val="21"/>
                <w:highlight w:val="none"/>
              </w:rPr>
              <w:t>熟悉管理区域内的基本情况，熟悉</w:t>
            </w:r>
            <w:r>
              <w:rPr>
                <w:rFonts w:ascii="Segoe UI" w:hAnsi="Segoe UI" w:eastAsia="Segoe UI" w:cs="Segoe UI"/>
                <w:i w:val="0"/>
                <w:iCs w:val="0"/>
                <w:caps w:val="0"/>
                <w:color w:val="auto"/>
                <w:spacing w:val="0"/>
                <w:sz w:val="22"/>
                <w:szCs w:val="22"/>
                <w:shd w:val="clear" w:color="auto" w:fill="F9FAFB"/>
              </w:rPr>
              <w:t>客户服务标准和流程，</w:t>
            </w:r>
            <w:r>
              <w:rPr>
                <w:rFonts w:hint="eastAsia" w:ascii="宋体" w:hAnsi="宋体" w:cs="宋体"/>
                <w:color w:val="auto"/>
                <w:szCs w:val="21"/>
                <w:highlight w:val="none"/>
              </w:rPr>
              <w:t>有较强的</w:t>
            </w:r>
            <w:r>
              <w:rPr>
                <w:rFonts w:hint="eastAsia" w:ascii="宋体" w:hAnsi="宋体" w:cs="宋体"/>
                <w:color w:val="auto"/>
                <w:szCs w:val="21"/>
                <w:highlight w:val="none"/>
                <w:lang w:val="en-US" w:eastAsia="zh-CN"/>
              </w:rPr>
              <w:t>协调</w:t>
            </w:r>
            <w:r>
              <w:rPr>
                <w:rFonts w:hint="eastAsia" w:ascii="宋体" w:hAnsi="宋体" w:cs="宋体"/>
                <w:color w:val="auto"/>
                <w:szCs w:val="21"/>
                <w:highlight w:val="none"/>
              </w:rPr>
              <w:t>处理各种</w:t>
            </w:r>
            <w:r>
              <w:rPr>
                <w:rFonts w:hint="eastAsia" w:ascii="宋体" w:hAnsi="宋体" w:cs="宋体"/>
                <w:color w:val="auto"/>
                <w:szCs w:val="21"/>
                <w:highlight w:val="none"/>
                <w:lang w:val="en-US" w:eastAsia="zh-CN"/>
              </w:rPr>
              <w:t>投诉事件和保障服务工作能力</w:t>
            </w:r>
            <w:r>
              <w:rPr>
                <w:rFonts w:hint="eastAsia" w:ascii="宋体" w:hAnsi="宋体" w:cs="宋体"/>
                <w:color w:val="auto"/>
                <w:szCs w:val="21"/>
                <w:highlight w:val="none"/>
              </w:rPr>
              <w:t>，具备较强的</w:t>
            </w:r>
            <w:r>
              <w:rPr>
                <w:rFonts w:hint="eastAsia" w:ascii="宋体" w:hAnsi="宋体" w:cs="宋体"/>
                <w:color w:val="auto"/>
                <w:szCs w:val="21"/>
                <w:highlight w:val="none"/>
                <w:lang w:val="en-US" w:eastAsia="zh-CN"/>
              </w:rPr>
              <w:t>服务意识</w:t>
            </w:r>
            <w:r>
              <w:rPr>
                <w:rFonts w:hint="eastAsia" w:ascii="宋体" w:hAnsi="宋体" w:cs="宋体"/>
                <w:color w:val="auto"/>
                <w:szCs w:val="21"/>
                <w:highlight w:val="none"/>
              </w:rPr>
              <w:t>和团队领导能力，能够提高物业服务质量</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符合物业公司的岗位职责标准。</w:t>
            </w:r>
          </w:p>
        </w:tc>
      </w:tr>
      <w:tr w14:paraId="2599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560" w:type="dxa"/>
            <w:vMerge w:val="continue"/>
            <w:noWrap w:val="0"/>
            <w:vAlign w:val="center"/>
          </w:tcPr>
          <w:p w14:paraId="78D91FC0">
            <w:pPr>
              <w:jc w:val="center"/>
              <w:rPr>
                <w:rFonts w:hint="eastAsia" w:ascii="宋体" w:hAnsi="宋体" w:cs="宋体"/>
                <w:color w:val="auto"/>
                <w:szCs w:val="21"/>
                <w:highlight w:val="none"/>
                <w:lang w:val="en-US" w:eastAsia="zh-CN"/>
              </w:rPr>
            </w:pPr>
          </w:p>
        </w:tc>
        <w:tc>
          <w:tcPr>
            <w:tcW w:w="750" w:type="dxa"/>
            <w:noWrap w:val="0"/>
            <w:vAlign w:val="center"/>
          </w:tcPr>
          <w:p w14:paraId="45CDC45F">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33" w:type="dxa"/>
            <w:noWrap w:val="0"/>
            <w:vAlign w:val="center"/>
          </w:tcPr>
          <w:p w14:paraId="78EFAB46">
            <w:pPr>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w:t>
            </w:r>
          </w:p>
        </w:tc>
        <w:tc>
          <w:tcPr>
            <w:tcW w:w="5542" w:type="dxa"/>
            <w:noWrap w:val="0"/>
            <w:vAlign w:val="top"/>
          </w:tcPr>
          <w:p w14:paraId="147C0612">
            <w:pPr>
              <w:rPr>
                <w:rFonts w:hint="eastAsia" w:ascii="宋体" w:hAnsi="宋体" w:cs="宋体"/>
                <w:color w:val="auto"/>
                <w:szCs w:val="21"/>
                <w:highlight w:val="none"/>
                <w:lang w:val="en-US" w:eastAsia="zh-CN"/>
              </w:rPr>
            </w:pPr>
            <w:r>
              <w:rPr>
                <w:rFonts w:hint="eastAsia" w:ascii="宋体" w:hAnsi="宋体" w:cs="宋体"/>
                <w:bCs/>
                <w:color w:val="auto"/>
                <w:szCs w:val="21"/>
                <w:highlight w:val="none"/>
                <w:lang w:val="en-US" w:eastAsia="zh-CN"/>
              </w:rPr>
              <w:t>客服2名：</w:t>
            </w:r>
            <w:r>
              <w:rPr>
                <w:rFonts w:hint="eastAsia" w:ascii="宋体" w:hAnsi="宋体" w:cs="宋体"/>
                <w:bCs/>
                <w:color w:val="auto"/>
                <w:szCs w:val="21"/>
                <w:highlight w:val="none"/>
              </w:rPr>
              <w:t>女</w:t>
            </w:r>
            <w:r>
              <w:rPr>
                <w:rFonts w:hint="eastAsia" w:ascii="宋体" w:hAnsi="宋体" w:cs="宋体"/>
                <w:color w:val="auto"/>
                <w:szCs w:val="21"/>
                <w:highlight w:val="none"/>
                <w:lang w:eastAsia="zh-CN"/>
              </w:rPr>
              <w:t>25（含）至</w:t>
            </w:r>
            <w:r>
              <w:rPr>
                <w:rFonts w:hint="eastAsia" w:ascii="宋体" w:hAnsi="宋体" w:cs="宋体"/>
                <w:bCs/>
                <w:color w:val="auto"/>
                <w:szCs w:val="21"/>
                <w:highlight w:val="none"/>
              </w:rPr>
              <w:t>5</w:t>
            </w:r>
            <w:r>
              <w:rPr>
                <w:rFonts w:hint="eastAsia" w:ascii="宋体" w:hAnsi="宋体" w:cs="宋体"/>
                <w:bCs/>
                <w:color w:val="auto"/>
                <w:szCs w:val="21"/>
                <w:highlight w:val="none"/>
                <w:lang w:val="en-US" w:eastAsia="zh-CN"/>
              </w:rPr>
              <w:t>0</w:t>
            </w:r>
            <w:r>
              <w:rPr>
                <w:rFonts w:hint="eastAsia" w:ascii="宋体" w:hAnsi="宋体" w:cs="宋体"/>
                <w:bCs/>
                <w:color w:val="auto"/>
                <w:szCs w:val="21"/>
                <w:highlight w:val="none"/>
              </w:rPr>
              <w:t>岁（含），工作熟练，具有良好的职业道德，</w:t>
            </w:r>
            <w:r>
              <w:rPr>
                <w:rFonts w:hint="eastAsia" w:ascii="宋体" w:hAnsi="宋体" w:cs="宋体"/>
                <w:bCs/>
                <w:color w:val="auto"/>
                <w:szCs w:val="21"/>
                <w:highlight w:val="none"/>
                <w:lang w:val="en-US" w:eastAsia="zh-CN"/>
              </w:rPr>
              <w:t>较强的服务意识，</w:t>
            </w:r>
            <w:r>
              <w:rPr>
                <w:rFonts w:hint="eastAsia" w:ascii="宋体" w:hAnsi="宋体" w:cs="宋体"/>
                <w:bCs/>
                <w:color w:val="auto"/>
                <w:szCs w:val="21"/>
                <w:highlight w:val="none"/>
              </w:rPr>
              <w:t>吃苦耐劳，言行举止端重</w:t>
            </w:r>
            <w:r>
              <w:rPr>
                <w:rFonts w:hint="eastAsia" w:ascii="宋体" w:hAnsi="宋体" w:cs="宋体"/>
                <w:bCs/>
                <w:color w:val="auto"/>
                <w:szCs w:val="21"/>
                <w:highlight w:val="none"/>
                <w:lang w:eastAsia="zh-CN"/>
              </w:rPr>
              <w:t>。</w:t>
            </w:r>
          </w:p>
        </w:tc>
      </w:tr>
      <w:tr w14:paraId="0CC1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310" w:type="dxa"/>
            <w:gridSpan w:val="2"/>
            <w:noWrap w:val="0"/>
            <w:vAlign w:val="center"/>
          </w:tcPr>
          <w:p w14:paraId="3069234D">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合计</w:t>
            </w:r>
          </w:p>
        </w:tc>
        <w:tc>
          <w:tcPr>
            <w:tcW w:w="1433" w:type="dxa"/>
            <w:noWrap w:val="0"/>
            <w:vAlign w:val="center"/>
          </w:tcPr>
          <w:p w14:paraId="2EE9D5AA">
            <w:pPr>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76人</w:t>
            </w:r>
          </w:p>
        </w:tc>
        <w:tc>
          <w:tcPr>
            <w:tcW w:w="5542" w:type="dxa"/>
            <w:noWrap w:val="0"/>
            <w:vAlign w:val="top"/>
          </w:tcPr>
          <w:p w14:paraId="7E67086A">
            <w:pPr>
              <w:rPr>
                <w:rFonts w:hint="eastAsia" w:ascii="宋体" w:hAnsi="宋体" w:cs="宋体"/>
                <w:color w:val="auto"/>
                <w:szCs w:val="21"/>
                <w:highlight w:val="none"/>
                <w:lang w:val="en-US" w:eastAsia="zh-CN"/>
              </w:rPr>
            </w:pPr>
          </w:p>
        </w:tc>
      </w:tr>
    </w:tbl>
    <w:p w14:paraId="4B8FF66A">
      <w:pPr>
        <w:keepNext w:val="0"/>
        <w:keepLines w:val="0"/>
        <w:pageBreakBefore w:val="0"/>
        <w:bidi w:val="0"/>
        <w:spacing w:line="240" w:lineRule="auto"/>
        <w:ind w:left="0" w:right="0" w:firstLine="422"/>
        <w:jc w:val="both"/>
        <w:outlineLvl w:val="1"/>
        <w:rPr>
          <w:rFonts w:hint="eastAsia"/>
          <w:b/>
          <w:bCs/>
          <w:color w:val="000000"/>
          <w:szCs w:val="21"/>
          <w:highlight w:val="none"/>
          <w:lang w:val="en-US" w:eastAsia="zh-CN"/>
        </w:rPr>
      </w:pPr>
    </w:p>
    <w:p w14:paraId="57EA54D6">
      <w:pPr>
        <w:pStyle w:val="2"/>
        <w:rPr>
          <w:rFonts w:hint="eastAsia"/>
          <w:lang w:val="en-US" w:eastAsia="zh-CN"/>
        </w:rPr>
      </w:pPr>
    </w:p>
    <w:p w14:paraId="49AC8CFF">
      <w:pPr>
        <w:keepNext w:val="0"/>
        <w:keepLines w:val="0"/>
        <w:pageBreakBefore w:val="0"/>
        <w:bidi w:val="0"/>
        <w:spacing w:line="240" w:lineRule="auto"/>
        <w:ind w:left="0" w:right="0" w:firstLine="422"/>
        <w:jc w:val="both"/>
        <w:outlineLvl w:val="1"/>
        <w:rPr>
          <w:b/>
          <w:bCs/>
          <w:color w:val="000000"/>
          <w:szCs w:val="21"/>
          <w:highlight w:val="none"/>
        </w:rPr>
      </w:pPr>
      <w:r>
        <w:rPr>
          <w:rFonts w:hint="eastAsia"/>
          <w:b/>
          <w:bCs/>
          <w:color w:val="000000"/>
          <w:szCs w:val="21"/>
          <w:highlight w:val="none"/>
          <w:lang w:val="en-US" w:eastAsia="zh-CN"/>
        </w:rPr>
        <w:t>6</w:t>
      </w:r>
      <w:r>
        <w:rPr>
          <w:rFonts w:hint="eastAsia"/>
          <w:b/>
          <w:bCs/>
          <w:color w:val="000000"/>
          <w:szCs w:val="21"/>
          <w:highlight w:val="none"/>
        </w:rPr>
        <w:t>.商务要求</w:t>
      </w:r>
    </w:p>
    <w:p w14:paraId="563D54E4">
      <w:pPr>
        <w:pStyle w:val="2"/>
        <w:keepNext w:val="0"/>
        <w:keepLines w:val="0"/>
        <w:pageBreakBefore w:val="0"/>
        <w:bidi w:val="0"/>
        <w:spacing w:line="240" w:lineRule="auto"/>
        <w:ind w:left="0" w:right="0" w:firstLine="422"/>
        <w:jc w:val="both"/>
        <w:outlineLvl w:val="2"/>
        <w:rPr>
          <w:b/>
          <w:bCs/>
          <w:color w:val="000000"/>
          <w:sz w:val="21"/>
          <w:szCs w:val="21"/>
          <w:highlight w:val="none"/>
        </w:rPr>
      </w:pPr>
      <w:r>
        <w:rPr>
          <w:rFonts w:hint="eastAsia"/>
          <w:b/>
          <w:bCs/>
          <w:color w:val="000000"/>
          <w:sz w:val="21"/>
          <w:szCs w:val="21"/>
          <w:highlight w:val="none"/>
          <w:lang w:val="en-US" w:eastAsia="zh-CN"/>
        </w:rPr>
        <w:t>6</w:t>
      </w:r>
      <w:r>
        <w:rPr>
          <w:rFonts w:hint="eastAsia"/>
          <w:b/>
          <w:bCs/>
          <w:color w:val="000000"/>
          <w:sz w:val="21"/>
          <w:szCs w:val="21"/>
          <w:highlight w:val="none"/>
        </w:rPr>
        <w:t>.1服务期限</w:t>
      </w:r>
    </w:p>
    <w:p w14:paraId="12555732">
      <w:pPr>
        <w:keepNext w:val="0"/>
        <w:keepLines w:val="0"/>
        <w:pageBreakBefore w:val="0"/>
        <w:bidi w:val="0"/>
        <w:spacing w:line="240" w:lineRule="auto"/>
        <w:ind w:left="0" w:right="0" w:firstLine="420"/>
        <w:jc w:val="both"/>
        <w:outlineLvl w:val="2"/>
        <w:rPr>
          <w:b/>
          <w:bCs/>
          <w:color w:val="000000"/>
          <w:szCs w:val="21"/>
          <w:highlight w:val="none"/>
          <w:lang w:val="en-US"/>
        </w:rPr>
      </w:pPr>
      <w:r>
        <w:rPr>
          <w:rFonts w:hint="eastAsia" w:ascii="宋体" w:hAnsi="宋体" w:eastAsia="宋体" w:cs="宋体"/>
          <w:bCs/>
          <w:color w:val="000000"/>
          <w:szCs w:val="21"/>
        </w:rPr>
        <w:t>服务期限：合同期限为</w:t>
      </w:r>
      <w:r>
        <w:rPr>
          <w:rFonts w:hint="eastAsia" w:ascii="宋体" w:hAnsi="宋体" w:eastAsia="宋体" w:cs="宋体"/>
          <w:bCs/>
          <w:color w:val="000000"/>
          <w:szCs w:val="21"/>
          <w:lang w:val="en-US" w:eastAsia="zh-CN"/>
        </w:rPr>
        <w:t>1</w:t>
      </w:r>
      <w:r>
        <w:rPr>
          <w:rFonts w:hint="eastAsia" w:ascii="宋体" w:hAnsi="宋体" w:eastAsia="宋体" w:cs="宋体"/>
          <w:bCs/>
          <w:color w:val="000000"/>
          <w:szCs w:val="21"/>
        </w:rPr>
        <w:t>年。</w:t>
      </w:r>
    </w:p>
    <w:p w14:paraId="46487833">
      <w:pPr>
        <w:keepNext w:val="0"/>
        <w:keepLines w:val="0"/>
        <w:pageBreakBefore w:val="0"/>
        <w:bidi w:val="0"/>
        <w:spacing w:line="240" w:lineRule="auto"/>
        <w:ind w:left="0" w:right="0" w:firstLine="422"/>
        <w:jc w:val="both"/>
        <w:outlineLvl w:val="2"/>
        <w:rPr>
          <w:b/>
          <w:bCs/>
          <w:color w:val="000000"/>
          <w:szCs w:val="21"/>
          <w:highlight w:val="none"/>
        </w:rPr>
      </w:pPr>
      <w:r>
        <w:rPr>
          <w:rFonts w:hint="eastAsia"/>
          <w:b/>
          <w:bCs/>
          <w:color w:val="000000"/>
          <w:szCs w:val="21"/>
          <w:highlight w:val="none"/>
          <w:lang w:val="en-US" w:eastAsia="zh-CN"/>
        </w:rPr>
        <w:t>6.</w:t>
      </w:r>
      <w:r>
        <w:rPr>
          <w:rFonts w:hint="eastAsia"/>
          <w:b/>
          <w:bCs/>
          <w:color w:val="000000"/>
          <w:szCs w:val="21"/>
          <w:highlight w:val="none"/>
        </w:rPr>
        <w:t>2付款方式</w:t>
      </w:r>
    </w:p>
    <w:p w14:paraId="080BA606">
      <w:pPr>
        <w:keepNext w:val="0"/>
        <w:keepLines w:val="0"/>
        <w:pageBreakBefore w:val="0"/>
        <w:widowControl w:val="0"/>
        <w:bidi w:val="0"/>
        <w:spacing w:line="360" w:lineRule="exact"/>
        <w:ind w:firstLine="411"/>
        <w:outlineLvl w:val="1"/>
        <w:rPr>
          <w:rFonts w:hint="eastAsia" w:ascii="宋体" w:hAnsi="宋体" w:eastAsia="宋体" w:cs="宋体"/>
          <w:b/>
          <w:color w:val="000000"/>
          <w:sz w:val="21"/>
          <w:szCs w:val="21"/>
          <w:highlight w:val="none"/>
        </w:rPr>
      </w:pPr>
      <w:r>
        <w:rPr>
          <w:rFonts w:hint="eastAsia" w:ascii="宋体" w:hAnsi="宋体" w:cs="宋体"/>
          <w:bCs/>
          <w:color w:val="000000"/>
          <w:szCs w:val="21"/>
          <w:lang w:val="en-US" w:eastAsia="zh-CN"/>
        </w:rPr>
        <w:t>物</w:t>
      </w:r>
      <w:r>
        <w:rPr>
          <w:rFonts w:hint="eastAsia" w:ascii="宋体" w:hAnsi="宋体" w:cs="宋体"/>
          <w:bCs/>
          <w:color w:val="000000"/>
          <w:szCs w:val="21"/>
        </w:rPr>
        <w:t>业管理服务费用以签订的合同价为准，</w:t>
      </w:r>
      <w:r>
        <w:rPr>
          <w:rFonts w:hint="eastAsia" w:ascii="宋体" w:hAnsi="宋体" w:eastAsia="宋体" w:cs="宋体"/>
          <w:color w:val="000000"/>
          <w:sz w:val="21"/>
          <w:szCs w:val="21"/>
          <w:highlight w:val="none"/>
          <w:lang w:eastAsia="zh-CN"/>
        </w:rPr>
        <w:t>原则上</w:t>
      </w:r>
      <w:r>
        <w:rPr>
          <w:rFonts w:hint="eastAsia" w:ascii="宋体" w:hAnsi="宋体" w:eastAsia="宋体" w:cs="宋体"/>
          <w:color w:val="000000"/>
          <w:sz w:val="21"/>
          <w:szCs w:val="21"/>
          <w:highlight w:val="none"/>
        </w:rPr>
        <w:t>每</w:t>
      </w:r>
      <w:r>
        <w:rPr>
          <w:rFonts w:hint="eastAsia" w:ascii="宋体" w:hAnsi="宋体" w:eastAsia="宋体" w:cs="宋体"/>
          <w:color w:val="000000"/>
          <w:sz w:val="21"/>
          <w:szCs w:val="21"/>
          <w:highlight w:val="none"/>
          <w:lang w:eastAsia="zh-CN"/>
        </w:rPr>
        <w:t>月</w:t>
      </w:r>
      <w:r>
        <w:rPr>
          <w:rFonts w:hint="eastAsia" w:ascii="宋体" w:hAnsi="宋体" w:eastAsia="宋体" w:cs="宋体"/>
          <w:color w:val="000000"/>
          <w:sz w:val="21"/>
          <w:szCs w:val="21"/>
          <w:highlight w:val="none"/>
        </w:rPr>
        <w:t>支付一次，</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完成</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个月服务期后，经采购考核服务合格，在次月的5日前向采购人提供有效发票及验收证明，采购人10个日历日内支付总合同金额的1/12 (无息)给</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w:t>
      </w:r>
    </w:p>
    <w:p w14:paraId="235CA436">
      <w:pPr>
        <w:spacing w:line="240" w:lineRule="auto"/>
        <w:ind w:firstLine="422"/>
        <w:outlineLvl w:val="2"/>
        <w:rPr>
          <w:rFonts w:hint="eastAsia" w:ascii="宋体" w:hAnsi="宋体" w:eastAsia="宋体" w:cs="宋体"/>
          <w:b/>
          <w:bCs/>
          <w:color w:val="000000"/>
          <w:sz w:val="18"/>
          <w:szCs w:val="18"/>
          <w:highlight w:val="none"/>
          <w:lang w:val="en-US" w:eastAsia="zh-CN"/>
        </w:rPr>
      </w:pPr>
      <w:r>
        <w:rPr>
          <w:rFonts w:hint="eastAsia"/>
          <w:b/>
          <w:bCs/>
          <w:color w:val="000000"/>
          <w:szCs w:val="21"/>
          <w:highlight w:val="none"/>
          <w:lang w:val="en-US" w:eastAsia="zh-CN"/>
        </w:rPr>
        <w:t>6.3所属行业：本项目专门面向中小企业，所属行业为物业管理。</w:t>
      </w:r>
    </w:p>
    <w:p w14:paraId="68A6538A">
      <w:pPr>
        <w:spacing w:line="240" w:lineRule="auto"/>
        <w:ind w:firstLine="422"/>
        <w:outlineLvl w:val="1"/>
        <w:rPr>
          <w:rFonts w:hint="eastAsia" w:ascii="Times New Roman" w:hAnsi="Times New Roman" w:cs="Times New Roman"/>
          <w:b/>
          <w:bCs/>
          <w:color w:val="000000"/>
          <w:sz w:val="21"/>
          <w:szCs w:val="21"/>
          <w:highlight w:val="none"/>
        </w:rPr>
      </w:pPr>
      <w:r>
        <w:rPr>
          <w:rFonts w:hint="eastAsia" w:ascii="Times New Roman" w:hAnsi="Times New Roman" w:eastAsia="宋体" w:cs="Times New Roman"/>
          <w:b/>
          <w:bCs/>
          <w:color w:val="000000"/>
          <w:sz w:val="21"/>
          <w:szCs w:val="21"/>
          <w:highlight w:val="none"/>
          <w:lang w:val="en-US" w:eastAsia="zh-CN"/>
        </w:rPr>
        <w:t>7</w:t>
      </w:r>
      <w:r>
        <w:rPr>
          <w:rFonts w:hint="eastAsia" w:ascii="Times New Roman" w:hAnsi="Times New Roman" w:eastAsia="宋体" w:cs="Times New Roman"/>
          <w:b/>
          <w:bCs/>
          <w:color w:val="000000"/>
          <w:sz w:val="21"/>
          <w:szCs w:val="21"/>
          <w:highlight w:val="none"/>
        </w:rPr>
        <w:t>.其他</w:t>
      </w:r>
      <w:r>
        <w:rPr>
          <w:rFonts w:hint="eastAsia" w:ascii="Times New Roman" w:hAnsi="Times New Roman" w:cs="Times New Roman"/>
          <w:b/>
          <w:bCs/>
          <w:color w:val="000000"/>
          <w:sz w:val="21"/>
          <w:szCs w:val="21"/>
          <w:highlight w:val="none"/>
        </w:rPr>
        <w:t>要求</w:t>
      </w:r>
    </w:p>
    <w:p w14:paraId="154D31D2">
      <w:pPr>
        <w:keepNext w:val="0"/>
        <w:keepLines w:val="0"/>
        <w:pageBreakBefore w:val="0"/>
        <w:bidi w:val="0"/>
        <w:spacing w:line="240" w:lineRule="auto"/>
        <w:ind w:left="0" w:right="0" w:firstLine="422"/>
        <w:jc w:val="both"/>
        <w:outlineLvl w:val="1"/>
        <w:rPr>
          <w:rFonts w:hint="eastAsia"/>
          <w:b/>
          <w:bCs/>
          <w:color w:val="000000"/>
          <w:sz w:val="21"/>
          <w:szCs w:val="21"/>
          <w:highlight w:val="none"/>
        </w:rPr>
      </w:pPr>
      <w:r>
        <w:rPr>
          <w:rFonts w:hint="eastAsia" w:ascii="Times New Roman" w:hAnsi="Times New Roman" w:cs="Times New Roman"/>
          <w:b/>
          <w:bCs/>
          <w:color w:val="000000"/>
          <w:sz w:val="21"/>
          <w:szCs w:val="21"/>
          <w:highlight w:val="none"/>
          <w:lang w:val="en-US" w:eastAsia="zh-CN"/>
        </w:rPr>
        <w:t xml:space="preserve">7.1 </w:t>
      </w:r>
      <w:r>
        <w:rPr>
          <w:rFonts w:hint="eastAsia" w:ascii="Times New Roman" w:hAnsi="Times New Roman" w:cs="Times New Roman"/>
          <w:b/>
          <w:bCs/>
          <w:color w:val="000000"/>
          <w:sz w:val="21"/>
          <w:szCs w:val="21"/>
          <w:highlight w:val="none"/>
        </w:rPr>
        <w:t>人员要求</w:t>
      </w:r>
    </w:p>
    <w:p w14:paraId="32929547">
      <w:pPr>
        <w:keepNext w:val="0"/>
        <w:keepLines w:val="0"/>
        <w:pageBreakBefore w:val="0"/>
        <w:widowControl/>
        <w:bidi w:val="0"/>
        <w:spacing w:line="240" w:lineRule="auto"/>
        <w:ind w:left="0" w:right="0" w:firstLine="420"/>
        <w:jc w:val="both"/>
        <w:outlineLvl w:val="9"/>
        <w:rPr>
          <w:rFonts w:ascii="宋体" w:hAnsi="宋体" w:eastAsia="宋体" w:cs="宋体"/>
          <w:color w:val="000000"/>
          <w:szCs w:val="21"/>
          <w:lang w:val="en-US" w:eastAsia="zh-CN"/>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lang w:eastAsia="zh-CN"/>
        </w:rPr>
        <w:t>）</w:t>
      </w:r>
      <w:r>
        <w:rPr>
          <w:rFonts w:hint="eastAsia" w:ascii="宋体" w:hAnsi="宋体" w:cs="宋体"/>
          <w:color w:val="auto"/>
          <w:szCs w:val="21"/>
          <w:lang w:eastAsia="zh-CN"/>
        </w:rPr>
        <w:t>物业</w:t>
      </w:r>
      <w:r>
        <w:rPr>
          <w:rFonts w:hint="eastAsia" w:ascii="宋体" w:hAnsi="宋体" w:cs="宋体"/>
          <w:color w:val="auto"/>
          <w:szCs w:val="21"/>
          <w:lang w:val="en-US" w:eastAsia="zh-CN"/>
        </w:rPr>
        <w:t>1</w:t>
      </w:r>
      <w:r>
        <w:rPr>
          <w:rFonts w:hint="eastAsia"/>
          <w:color w:val="auto"/>
          <w:highlight w:val="none"/>
          <w:lang w:val="en-US" w:eastAsia="zh-CN"/>
        </w:rPr>
        <w:t>（</w:t>
      </w:r>
      <w:r>
        <w:rPr>
          <w:rFonts w:hint="eastAsia"/>
          <w:color w:val="auto"/>
          <w:highlight w:val="none"/>
          <w:lang w:eastAsia="zh-CN"/>
        </w:rPr>
        <w:t>桂林市建设大厦、桂林投资发展商务大厦(桂林市市直机关第二办公区)</w:t>
      </w:r>
      <w:r>
        <w:rPr>
          <w:rFonts w:hint="eastAsia"/>
          <w:color w:val="auto"/>
          <w:highlight w:val="none"/>
          <w:lang w:val="en-US" w:eastAsia="zh-CN"/>
        </w:rPr>
        <w:t>）</w:t>
      </w:r>
      <w:r>
        <w:rPr>
          <w:rFonts w:hint="eastAsia" w:ascii="宋体" w:hAnsi="宋体" w:eastAsia="宋体" w:cs="宋体"/>
          <w:color w:val="auto"/>
          <w:szCs w:val="21"/>
          <w:lang w:val="en-US" w:eastAsia="zh-CN"/>
        </w:rPr>
        <w:t>不得少于100</w:t>
      </w:r>
      <w:r>
        <w:rPr>
          <w:rFonts w:hint="eastAsia" w:ascii="宋体" w:hAnsi="宋体" w:eastAsia="宋体" w:cs="宋体"/>
          <w:color w:val="auto"/>
          <w:szCs w:val="21"/>
        </w:rPr>
        <w:t>人</w:t>
      </w:r>
      <w:r>
        <w:rPr>
          <w:rFonts w:hint="eastAsia" w:ascii="宋体" w:hAnsi="宋体" w:cs="宋体"/>
          <w:color w:val="auto"/>
          <w:szCs w:val="21"/>
          <w:lang w:eastAsia="zh-CN"/>
        </w:rPr>
        <w:t>、物业</w:t>
      </w:r>
      <w:r>
        <w:rPr>
          <w:rFonts w:hint="eastAsia" w:ascii="宋体" w:hAnsi="宋体" w:cs="宋体"/>
          <w:color w:val="auto"/>
          <w:szCs w:val="21"/>
          <w:lang w:val="en-US" w:eastAsia="zh-CN"/>
        </w:rPr>
        <w:t>2（</w:t>
      </w:r>
      <w:r>
        <w:rPr>
          <w:rFonts w:hint="eastAsia"/>
          <w:color w:val="auto"/>
          <w:highlight w:val="none"/>
        </w:rPr>
        <w:t>桂林市</w:t>
      </w:r>
      <w:r>
        <w:rPr>
          <w:rFonts w:hint="eastAsia"/>
          <w:color w:val="auto"/>
          <w:highlight w:val="none"/>
          <w:lang w:eastAsia="zh-CN"/>
        </w:rPr>
        <w:t>交通枢纽指挥中心（鼎晟大厦）</w:t>
      </w:r>
      <w:r>
        <w:rPr>
          <w:rFonts w:hint="eastAsia" w:ascii="宋体" w:hAnsi="宋体" w:cs="宋体"/>
          <w:color w:val="auto"/>
          <w:szCs w:val="21"/>
          <w:lang w:val="en-US" w:eastAsia="zh-CN"/>
        </w:rPr>
        <w:t>）不得少于76人</w:t>
      </w:r>
      <w:r>
        <w:rPr>
          <w:rFonts w:hint="eastAsia" w:ascii="宋体" w:hAnsi="宋体" w:eastAsia="宋体" w:cs="宋体"/>
          <w:color w:val="auto"/>
          <w:szCs w:val="21"/>
        </w:rPr>
        <w:t>，中标后签订合同</w:t>
      </w:r>
      <w:r>
        <w:rPr>
          <w:rFonts w:hint="eastAsia" w:ascii="宋体" w:hAnsi="宋体" w:cs="宋体"/>
          <w:color w:val="auto"/>
          <w:szCs w:val="21"/>
          <w:lang w:val="en-US" w:eastAsia="zh-CN"/>
        </w:rPr>
        <w:t>当日</w:t>
      </w:r>
      <w:r>
        <w:rPr>
          <w:rFonts w:hint="eastAsia" w:ascii="宋体" w:hAnsi="宋体" w:eastAsia="宋体" w:cs="宋体"/>
          <w:color w:val="auto"/>
          <w:szCs w:val="21"/>
        </w:rPr>
        <w:t>需提供拟投入人员至少</w:t>
      </w:r>
      <w:r>
        <w:rPr>
          <w:rFonts w:hint="eastAsia" w:ascii="宋体" w:hAnsi="宋体" w:eastAsia="宋体" w:cs="宋体"/>
          <w:color w:val="auto"/>
          <w:szCs w:val="21"/>
          <w:lang w:val="en-US" w:eastAsia="zh-CN"/>
        </w:rPr>
        <w:t>8</w:t>
      </w:r>
      <w:r>
        <w:rPr>
          <w:rFonts w:hint="eastAsia" w:ascii="宋体" w:hAnsi="宋体" w:eastAsia="宋体" w:cs="宋体"/>
          <w:color w:val="auto"/>
          <w:szCs w:val="21"/>
        </w:rPr>
        <w:t>0%人员名单、身份证、劳动合同、近三个月的健康证明</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无犯罪记录证明</w:t>
      </w:r>
      <w:r>
        <w:rPr>
          <w:rFonts w:hint="eastAsia" w:ascii="宋体" w:hAnsi="宋体" w:eastAsia="宋体" w:cs="宋体"/>
          <w:color w:val="auto"/>
          <w:szCs w:val="21"/>
        </w:rPr>
        <w:t>等原件给</w:t>
      </w:r>
      <w:r>
        <w:rPr>
          <w:rFonts w:hint="eastAsia" w:ascii="宋体" w:hAnsi="宋体" w:eastAsia="宋体" w:cs="宋体"/>
          <w:color w:val="auto"/>
          <w:szCs w:val="21"/>
          <w:lang w:eastAsia="zh-CN"/>
        </w:rPr>
        <w:t>采购人</w:t>
      </w:r>
      <w:r>
        <w:rPr>
          <w:rFonts w:hint="eastAsia" w:ascii="宋体" w:hAnsi="宋体" w:eastAsia="宋体" w:cs="宋体"/>
          <w:color w:val="auto"/>
          <w:szCs w:val="21"/>
        </w:rPr>
        <w:t>进行核对；签订合同</w:t>
      </w:r>
      <w:r>
        <w:rPr>
          <w:rFonts w:hint="eastAsia" w:ascii="宋体" w:hAnsi="宋体" w:cs="宋体"/>
          <w:color w:val="auto"/>
          <w:szCs w:val="21"/>
          <w:lang w:val="en-US" w:eastAsia="zh-CN"/>
        </w:rPr>
        <w:t>后3日内</w:t>
      </w:r>
      <w:r>
        <w:rPr>
          <w:rFonts w:hint="eastAsia" w:ascii="宋体" w:hAnsi="宋体" w:eastAsia="宋体" w:cs="宋体"/>
          <w:color w:val="auto"/>
          <w:szCs w:val="21"/>
        </w:rPr>
        <w:t>提供</w:t>
      </w:r>
      <w:r>
        <w:rPr>
          <w:rFonts w:hint="eastAsia" w:ascii="宋体" w:hAnsi="宋体" w:eastAsia="宋体" w:cs="宋体"/>
          <w:color w:val="000000"/>
          <w:szCs w:val="21"/>
        </w:rPr>
        <w:t>剩余投入项目人员身份证、劳动合同、</w:t>
      </w:r>
      <w:r>
        <w:rPr>
          <w:rFonts w:hint="eastAsia" w:ascii="宋体" w:hAnsi="宋体" w:eastAsia="宋体" w:cs="宋体"/>
          <w:color w:val="000000"/>
          <w:szCs w:val="21"/>
          <w:lang w:val="en-US" w:eastAsia="zh-CN"/>
        </w:rPr>
        <w:t>无犯罪记录证明</w:t>
      </w:r>
      <w:r>
        <w:rPr>
          <w:rFonts w:hint="eastAsia" w:ascii="宋体" w:hAnsi="宋体" w:eastAsia="宋体" w:cs="宋体"/>
          <w:color w:val="000000"/>
          <w:szCs w:val="21"/>
        </w:rPr>
        <w:t>等原件给</w:t>
      </w:r>
      <w:r>
        <w:rPr>
          <w:rFonts w:hint="eastAsia" w:ascii="宋体" w:hAnsi="宋体" w:eastAsia="宋体" w:cs="宋体"/>
          <w:color w:val="000000"/>
          <w:szCs w:val="21"/>
          <w:lang w:eastAsia="zh-CN"/>
        </w:rPr>
        <w:t>采购人</w:t>
      </w:r>
      <w:r>
        <w:rPr>
          <w:rFonts w:hint="eastAsia" w:ascii="宋体" w:hAnsi="宋体" w:eastAsia="宋体" w:cs="宋体"/>
          <w:color w:val="000000"/>
          <w:szCs w:val="21"/>
        </w:rPr>
        <w:t>核对，如达不到投标文件响应标准视为虚假材料投标，取消其中标资格，并承担相应法律责任。人员更换须提前1月报备，并提交上述证明材料核对。</w:t>
      </w:r>
    </w:p>
    <w:p w14:paraId="54C7FEDC">
      <w:pPr>
        <w:widowControl/>
        <w:spacing w:line="420" w:lineRule="exact"/>
        <w:ind w:firstLine="420"/>
        <w:rPr>
          <w:rFonts w:hint="eastAsia" w:ascii="宋体" w:hAnsi="宋体" w:eastAsia="宋体" w:cs="宋体"/>
          <w:color w:val="000000"/>
          <w:szCs w:val="21"/>
        </w:rPr>
      </w:pPr>
      <w:r>
        <w:rPr>
          <w:rFonts w:hint="eastAsia" w:ascii="宋体" w:hAnsi="宋体" w:cs="宋体"/>
          <w:b w:val="0"/>
          <w:bCs w:val="0"/>
          <w:color w:val="000000"/>
          <w:szCs w:val="21"/>
          <w:highlight w:val="none"/>
          <w:lang w:eastAsia="zh-CN"/>
        </w:rPr>
        <w:t>（</w:t>
      </w:r>
      <w:r>
        <w:rPr>
          <w:rFonts w:hint="eastAsia" w:ascii="宋体" w:hAnsi="宋体" w:cs="宋体"/>
          <w:b w:val="0"/>
          <w:bCs w:val="0"/>
          <w:color w:val="000000"/>
          <w:szCs w:val="21"/>
          <w:highlight w:val="none"/>
          <w:lang w:val="en-US" w:eastAsia="zh-CN"/>
        </w:rPr>
        <w:t>2</w:t>
      </w:r>
      <w:r>
        <w:rPr>
          <w:rFonts w:hint="eastAsia" w:ascii="宋体" w:hAnsi="宋体" w:cs="宋体"/>
          <w:b w:val="0"/>
          <w:bCs w:val="0"/>
          <w:color w:val="000000"/>
          <w:szCs w:val="21"/>
          <w:highlight w:val="none"/>
          <w:lang w:eastAsia="zh-CN"/>
        </w:rPr>
        <w:t>）</w:t>
      </w:r>
      <w:r>
        <w:rPr>
          <w:rFonts w:hint="eastAsia" w:ascii="宋体" w:hAnsi="宋体" w:eastAsia="宋体" w:cs="宋体"/>
          <w:color w:val="000000"/>
          <w:szCs w:val="21"/>
        </w:rPr>
        <w:t>中标</w:t>
      </w:r>
      <w:r>
        <w:rPr>
          <w:rFonts w:hint="eastAsia" w:ascii="宋体" w:hAnsi="宋体" w:cs="宋体"/>
          <w:color w:val="000000"/>
          <w:szCs w:val="21"/>
          <w:lang w:val="en-US" w:eastAsia="zh-CN"/>
        </w:rPr>
        <w:t>供应商</w:t>
      </w:r>
      <w:r>
        <w:rPr>
          <w:rFonts w:hint="eastAsia" w:ascii="宋体" w:hAnsi="宋体" w:eastAsia="宋体" w:cs="宋体"/>
          <w:color w:val="000000"/>
          <w:szCs w:val="21"/>
        </w:rPr>
        <w:t>负责设备设施的操作和管理。设备包括但不限于：各类机电设备、供配电、照明（含外墙）系统、智能化系统、应急系统、电子监控系统、通讯系统、建筑物设施等。</w:t>
      </w:r>
    </w:p>
    <w:p w14:paraId="21C031E2">
      <w:pPr>
        <w:widowControl/>
        <w:spacing w:line="420" w:lineRule="exact"/>
        <w:ind w:firstLine="420"/>
        <w:rPr>
          <w:rFonts w:hint="eastAsia" w:ascii="宋体" w:hAnsi="宋体" w:cs="宋体"/>
          <w:color w:val="000000"/>
          <w:szCs w:val="21"/>
        </w:rPr>
      </w:pPr>
      <w:r>
        <w:rPr>
          <w:rFonts w:hint="eastAsia" w:ascii="宋体" w:hAnsi="宋体" w:cs="宋体"/>
          <w:b w:val="0"/>
          <w:bCs w:val="0"/>
          <w:color w:val="000000"/>
          <w:szCs w:val="21"/>
          <w:highlight w:val="none"/>
          <w:lang w:eastAsia="zh-CN"/>
        </w:rPr>
        <w:t>（</w:t>
      </w:r>
      <w:r>
        <w:rPr>
          <w:rFonts w:hint="eastAsia" w:ascii="宋体" w:hAnsi="宋体" w:cs="宋体"/>
          <w:b w:val="0"/>
          <w:bCs w:val="0"/>
          <w:color w:val="000000"/>
          <w:szCs w:val="21"/>
          <w:highlight w:val="none"/>
          <w:lang w:val="en-US" w:eastAsia="zh-CN"/>
        </w:rPr>
        <w:t>3</w:t>
      </w:r>
      <w:r>
        <w:rPr>
          <w:rFonts w:hint="eastAsia" w:ascii="宋体" w:hAnsi="宋体" w:cs="宋体"/>
          <w:b w:val="0"/>
          <w:bCs w:val="0"/>
          <w:color w:val="000000"/>
          <w:szCs w:val="21"/>
          <w:highlight w:val="none"/>
          <w:lang w:eastAsia="zh-CN"/>
        </w:rPr>
        <w:t>）</w:t>
      </w:r>
      <w:r>
        <w:rPr>
          <w:rFonts w:hint="eastAsia" w:ascii="宋体" w:hAnsi="宋体" w:cs="宋体"/>
          <w:color w:val="000000"/>
          <w:szCs w:val="21"/>
        </w:rPr>
        <w:t>在日常使用过程中要制定使用运行制度和操作规程，定人、定时开关设备，及时发现设备和设施在使用过程中的隐患并及时处理，杜绝安全事故发生（非</w:t>
      </w:r>
      <w:r>
        <w:rPr>
          <w:rFonts w:hint="eastAsia"/>
          <w:lang w:val="en-US" w:eastAsia="zh-CN"/>
        </w:rPr>
        <w:t>中标供应商</w:t>
      </w:r>
      <w:r>
        <w:rPr>
          <w:rFonts w:hint="eastAsia" w:ascii="宋体" w:hAnsi="宋体" w:cs="宋体"/>
          <w:color w:val="000000"/>
          <w:szCs w:val="21"/>
        </w:rPr>
        <w:t>维护保养的也要定期与维护保养单位了解保养巡检情况，在使用设备过程中发现问题及时通知维护检修单位维护检修，并及时上报</w:t>
      </w:r>
      <w:r>
        <w:rPr>
          <w:rFonts w:hint="eastAsia" w:ascii="宋体" w:hAnsi="宋体" w:cs="宋体"/>
          <w:color w:val="000000"/>
          <w:szCs w:val="21"/>
          <w:lang w:eastAsia="zh-CN"/>
        </w:rPr>
        <w:t>采购人</w:t>
      </w:r>
      <w:r>
        <w:rPr>
          <w:rFonts w:hint="eastAsia" w:ascii="宋体" w:hAnsi="宋体" w:cs="宋体"/>
          <w:color w:val="000000"/>
          <w:szCs w:val="21"/>
        </w:rPr>
        <w:t>）。</w:t>
      </w:r>
    </w:p>
    <w:p w14:paraId="6B0E6ACA">
      <w:pPr>
        <w:keepNext w:val="0"/>
        <w:keepLines w:val="0"/>
        <w:pageBreakBefore w:val="0"/>
        <w:widowControl/>
        <w:bidi w:val="0"/>
        <w:spacing w:line="400" w:lineRule="exact"/>
        <w:ind w:right="0" w:firstLine="420"/>
        <w:jc w:val="both"/>
        <w:outlineLvl w:val="9"/>
        <w:rPr>
          <w:rFonts w:hint="eastAsia" w:ascii="宋体" w:hAnsi="宋体" w:cs="宋体"/>
          <w:color w:val="000000"/>
          <w:szCs w:val="21"/>
          <w:highlight w:val="none"/>
        </w:rPr>
      </w:pPr>
      <w:r>
        <w:rPr>
          <w:rFonts w:hint="eastAsia" w:ascii="宋体" w:hAnsi="宋体" w:cs="宋体"/>
          <w:b w:val="0"/>
          <w:bCs w:val="0"/>
          <w:color w:val="000000"/>
          <w:szCs w:val="21"/>
          <w:highlight w:val="none"/>
          <w:lang w:eastAsia="zh-CN"/>
        </w:rPr>
        <w:t>（</w:t>
      </w:r>
      <w:r>
        <w:rPr>
          <w:rFonts w:hint="eastAsia" w:ascii="宋体" w:hAnsi="宋体" w:cs="宋体"/>
          <w:b w:val="0"/>
          <w:bCs w:val="0"/>
          <w:color w:val="000000"/>
          <w:szCs w:val="21"/>
          <w:highlight w:val="none"/>
          <w:lang w:val="en-US" w:eastAsia="zh-CN"/>
        </w:rPr>
        <w:t>4</w:t>
      </w:r>
      <w:r>
        <w:rPr>
          <w:rFonts w:hint="eastAsia" w:ascii="宋体" w:hAnsi="宋体" w:cs="宋体"/>
          <w:b w:val="0"/>
          <w:bCs w:val="0"/>
          <w:color w:val="000000"/>
          <w:szCs w:val="21"/>
          <w:highlight w:val="none"/>
          <w:lang w:eastAsia="zh-CN"/>
        </w:rPr>
        <w:t>）</w:t>
      </w:r>
      <w:r>
        <w:rPr>
          <w:rFonts w:hint="eastAsia" w:ascii="宋体" w:hAnsi="宋体" w:cs="宋体"/>
          <w:color w:val="000000"/>
          <w:szCs w:val="21"/>
        </w:rPr>
        <w:t>根据消防管理部门的有关要求和规定，</w:t>
      </w:r>
      <w:r>
        <w:rPr>
          <w:rFonts w:hint="eastAsia" w:ascii="宋体" w:hAnsi="宋体" w:cs="宋体"/>
          <w:color w:val="000000"/>
          <w:szCs w:val="21"/>
          <w:lang w:eastAsia="zh-CN"/>
        </w:rPr>
        <w:t>中标供应商</w:t>
      </w:r>
      <w:r>
        <w:rPr>
          <w:rFonts w:hint="eastAsia" w:ascii="宋体" w:hAnsi="宋体" w:cs="宋体"/>
          <w:color w:val="000000"/>
          <w:szCs w:val="21"/>
        </w:rPr>
        <w:t>对消防系统的管理要制定详细的管理制度、培训计划、实施方案和管理机构的设置方案。</w:t>
      </w:r>
    </w:p>
    <w:p w14:paraId="57577344">
      <w:pPr>
        <w:keepNext w:val="0"/>
        <w:keepLines w:val="0"/>
        <w:pageBreakBefore w:val="0"/>
        <w:widowControl/>
        <w:bidi w:val="0"/>
        <w:spacing w:line="400" w:lineRule="exact"/>
        <w:ind w:right="0" w:firstLine="420"/>
        <w:jc w:val="both"/>
        <w:outlineLvl w:val="9"/>
        <w:rPr>
          <w:rFonts w:hint="eastAsia" w:ascii="宋体" w:hAnsi="宋体" w:cs="宋体"/>
          <w:color w:val="000000"/>
          <w:szCs w:val="21"/>
          <w:highlight w:val="none"/>
        </w:rPr>
      </w:pPr>
      <w:r>
        <w:rPr>
          <w:rFonts w:hint="eastAsia" w:ascii="宋体" w:hAnsi="宋体" w:cs="宋体"/>
          <w:b w:val="0"/>
          <w:bCs w:val="0"/>
          <w:color w:val="000000"/>
          <w:szCs w:val="21"/>
          <w:highlight w:val="none"/>
          <w:lang w:eastAsia="zh-CN"/>
        </w:rPr>
        <w:t>（</w:t>
      </w:r>
      <w:r>
        <w:rPr>
          <w:rFonts w:hint="eastAsia" w:ascii="宋体" w:hAnsi="宋体" w:cs="宋体"/>
          <w:b w:val="0"/>
          <w:bCs w:val="0"/>
          <w:color w:val="000000"/>
          <w:szCs w:val="21"/>
          <w:highlight w:val="none"/>
          <w:lang w:val="en-US" w:eastAsia="zh-CN"/>
        </w:rPr>
        <w:t>5</w:t>
      </w:r>
      <w:r>
        <w:rPr>
          <w:rFonts w:hint="eastAsia" w:ascii="宋体" w:hAnsi="宋体" w:cs="宋体"/>
          <w:b w:val="0"/>
          <w:bCs w:val="0"/>
          <w:color w:val="000000"/>
          <w:szCs w:val="21"/>
          <w:highlight w:val="none"/>
          <w:lang w:eastAsia="zh-CN"/>
        </w:rPr>
        <w:t>）</w:t>
      </w:r>
      <w:r>
        <w:rPr>
          <w:rFonts w:hint="eastAsia" w:ascii="宋体" w:hAnsi="宋体" w:cs="宋体"/>
          <w:color w:val="000000"/>
          <w:szCs w:val="21"/>
        </w:rPr>
        <w:t>监控、智能报警设施的数量、布局、功能、监控范围等属于安全机密，严禁向他人泄露，对相关工作人员定期进行保密培训，违者按法律法规要求承担后果。</w:t>
      </w:r>
    </w:p>
    <w:p w14:paraId="104D685F">
      <w:pPr>
        <w:widowControl/>
        <w:spacing w:line="420" w:lineRule="exact"/>
        <w:ind w:firstLine="420"/>
        <w:rPr>
          <w:rFonts w:hint="eastAsia" w:ascii="宋体" w:hAnsi="宋体" w:cs="宋体"/>
          <w:color w:val="000000"/>
          <w:szCs w:val="21"/>
        </w:rPr>
      </w:pPr>
      <w:r>
        <w:rPr>
          <w:rFonts w:hint="eastAsia" w:ascii="宋体" w:hAnsi="宋体" w:cs="宋体"/>
          <w:b w:val="0"/>
          <w:bCs w:val="0"/>
          <w:color w:val="000000"/>
          <w:szCs w:val="21"/>
          <w:highlight w:val="none"/>
          <w:lang w:eastAsia="zh-CN"/>
        </w:rPr>
        <w:t>（</w:t>
      </w:r>
      <w:r>
        <w:rPr>
          <w:rFonts w:hint="eastAsia" w:ascii="宋体" w:hAnsi="宋体" w:cs="宋体"/>
          <w:b w:val="0"/>
          <w:bCs w:val="0"/>
          <w:color w:val="000000"/>
          <w:szCs w:val="21"/>
          <w:highlight w:val="none"/>
          <w:lang w:val="en-US" w:eastAsia="zh-CN"/>
        </w:rPr>
        <w:t>6</w:t>
      </w:r>
      <w:r>
        <w:rPr>
          <w:rFonts w:hint="eastAsia" w:ascii="宋体" w:hAnsi="宋体" w:cs="宋体"/>
          <w:b w:val="0"/>
          <w:bCs w:val="0"/>
          <w:color w:val="000000"/>
          <w:szCs w:val="21"/>
          <w:highlight w:val="none"/>
          <w:lang w:eastAsia="zh-CN"/>
        </w:rPr>
        <w:t>）</w:t>
      </w:r>
      <w:r>
        <w:rPr>
          <w:rFonts w:hint="eastAsia" w:ascii="宋体" w:hAnsi="宋体" w:cs="宋体"/>
          <w:color w:val="000000"/>
          <w:szCs w:val="21"/>
          <w:lang w:val="en-US" w:eastAsia="zh-CN"/>
        </w:rPr>
        <w:t>保安</w:t>
      </w:r>
      <w:r>
        <w:rPr>
          <w:rFonts w:hint="eastAsia" w:ascii="宋体" w:hAnsi="宋体" w:cs="宋体"/>
          <w:color w:val="000000"/>
          <w:szCs w:val="21"/>
        </w:rPr>
        <w:t>人员能处理和应对公共秩序管理维护工作，能正确使用各类消防器材和设备，能够熟悉、掌握处理各类刑事、治安案件和各类灾害性事故的应急预案；</w:t>
      </w:r>
    </w:p>
    <w:p w14:paraId="026FCF4F">
      <w:pPr>
        <w:widowControl/>
        <w:spacing w:line="420" w:lineRule="exact"/>
        <w:ind w:firstLine="420"/>
        <w:rPr>
          <w:rFonts w:hint="eastAsia" w:ascii="宋体" w:hAnsi="宋体" w:cs="宋体"/>
          <w:color w:val="000000"/>
          <w:szCs w:val="21"/>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lang w:eastAsia="zh-CN"/>
        </w:rPr>
        <w:t>）</w:t>
      </w:r>
      <w:r>
        <w:rPr>
          <w:rFonts w:hint="eastAsia" w:ascii="宋体" w:hAnsi="宋体" w:cs="宋体"/>
          <w:color w:val="000000"/>
          <w:szCs w:val="21"/>
          <w:lang w:eastAsia="zh-CN"/>
        </w:rPr>
        <w:t>中标供应商</w:t>
      </w:r>
      <w:r>
        <w:rPr>
          <w:rFonts w:hint="eastAsia" w:ascii="宋体" w:hAnsi="宋体" w:cs="宋体"/>
          <w:color w:val="000000"/>
          <w:szCs w:val="21"/>
        </w:rPr>
        <w:t>需制定各类服务人员培训计划并定期进行培训，建立健全各类规章管理制度，完善各类应急处置预案，并定期组织应急处置演练。</w:t>
      </w:r>
    </w:p>
    <w:p w14:paraId="5BBFB2FF">
      <w:pPr>
        <w:widowControl/>
        <w:spacing w:line="420" w:lineRule="exact"/>
        <w:ind w:firstLine="420"/>
        <w:rPr>
          <w:rFonts w:hint="eastAsia" w:ascii="宋体" w:hAnsi="宋体" w:cs="宋体"/>
          <w:color w:val="000000"/>
          <w:szCs w:val="21"/>
          <w:lang w:val="en-US" w:eastAsia="zh-CN"/>
        </w:rPr>
      </w:pPr>
      <w:r>
        <w:rPr>
          <w:rFonts w:hint="eastAsia" w:ascii="宋体" w:hAnsi="宋体" w:cs="宋体"/>
          <w:color w:val="000000"/>
          <w:szCs w:val="21"/>
          <w:lang w:val="en-US" w:eastAsia="zh-CN"/>
        </w:rPr>
        <w:t>（8）为提高办公区规范化管理，中标人须在该办公区域设置人脸识别门禁管理系统、车辆出入识别门禁管理系统等相关规范化管理智能化设施，设置方案需征得采购人同意且需接入采购人现有智慧系统，确保数据互联互通。相关智能化软硬件设施建设、维护等费用由中标人自行承担。中标人须严格遵守保密管理相关规定，做好系统人员信息等数据安全管控，严禁出现数据泄露情况。</w:t>
      </w:r>
    </w:p>
    <w:p w14:paraId="098D01A4">
      <w:pPr>
        <w:pStyle w:val="2"/>
        <w:rPr>
          <w:rFonts w:hint="eastAsia"/>
        </w:rPr>
      </w:pPr>
    </w:p>
    <w:p w14:paraId="49378A6A">
      <w:pPr>
        <w:pStyle w:val="203"/>
        <w:spacing w:line="400" w:lineRule="exact"/>
        <w:ind w:firstLine="422"/>
        <w:rPr>
          <w:rFonts w:ascii="宋体" w:hAnsi="宋体" w:cs="宋体"/>
          <w:b/>
          <w:bCs/>
          <w:color w:val="000000"/>
          <w:szCs w:val="21"/>
          <w:highlight w:val="none"/>
        </w:rPr>
      </w:pPr>
      <w:r>
        <w:rPr>
          <w:rFonts w:hint="eastAsia" w:ascii="宋体" w:hAnsi="宋体" w:cs="宋体"/>
          <w:b/>
          <w:bCs/>
          <w:color w:val="000000"/>
          <w:szCs w:val="21"/>
          <w:highlight w:val="none"/>
          <w:lang w:val="en-US" w:eastAsia="zh-CN"/>
        </w:rPr>
        <w:t xml:space="preserve">7.2 </w:t>
      </w:r>
      <w:r>
        <w:rPr>
          <w:rFonts w:hint="eastAsia" w:ascii="宋体" w:hAnsi="宋体" w:cs="宋体"/>
          <w:b/>
          <w:bCs/>
          <w:color w:val="000000"/>
          <w:szCs w:val="21"/>
          <w:highlight w:val="none"/>
        </w:rPr>
        <w:t>管理服务费用及财务管理要求</w:t>
      </w:r>
    </w:p>
    <w:p w14:paraId="263FEC75">
      <w:pPr>
        <w:spacing w:line="480" w:lineRule="exact"/>
        <w:ind w:firstLine="420"/>
        <w:rPr>
          <w:rFonts w:hint="eastAsia" w:ascii="宋体" w:hAnsi="宋体" w:cs="宋体"/>
          <w:bCs/>
          <w:color w:val="000000"/>
          <w:szCs w:val="21"/>
        </w:rPr>
      </w:pPr>
      <w:r>
        <w:rPr>
          <w:rFonts w:hint="eastAsia" w:ascii="宋体" w:hAnsi="宋体" w:cs="宋体"/>
          <w:bCs/>
          <w:color w:val="000000"/>
          <w:szCs w:val="21"/>
          <w:lang w:val="en-US" w:eastAsia="zh-CN"/>
        </w:rPr>
        <w:t>（1）</w:t>
      </w:r>
      <w:r>
        <w:rPr>
          <w:rFonts w:hint="eastAsia" w:ascii="宋体" w:hAnsi="宋体" w:cs="宋体"/>
          <w:bCs/>
          <w:color w:val="000000"/>
          <w:szCs w:val="21"/>
        </w:rPr>
        <w:t>用于物业管理服务的操作实施时所用水电费用由</w:t>
      </w:r>
      <w:r>
        <w:rPr>
          <w:rFonts w:hint="eastAsia" w:ascii="宋体" w:hAnsi="宋体" w:cs="宋体"/>
          <w:bCs/>
          <w:color w:val="000000"/>
          <w:szCs w:val="21"/>
          <w:lang w:eastAsia="zh-CN"/>
        </w:rPr>
        <w:t>采购人</w:t>
      </w:r>
      <w:r>
        <w:rPr>
          <w:rFonts w:hint="eastAsia" w:ascii="宋体" w:hAnsi="宋体" w:cs="宋体"/>
          <w:bCs/>
          <w:color w:val="000000"/>
          <w:szCs w:val="21"/>
        </w:rPr>
        <w:t>承担。</w:t>
      </w:r>
    </w:p>
    <w:p w14:paraId="4A5338E0">
      <w:pPr>
        <w:tabs>
          <w:tab w:val="left" w:pos="840"/>
        </w:tabs>
        <w:spacing w:line="460" w:lineRule="exact"/>
        <w:ind w:firstLine="420"/>
        <w:rPr>
          <w:rFonts w:hint="eastAsia"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物业管理服务人员缺岗的，按其岗位平均每月人员开支的标准扣除服务费。 扣除的费用</w:t>
      </w:r>
      <w:r>
        <w:rPr>
          <w:rFonts w:hint="eastAsia" w:ascii="宋体" w:hAnsi="宋体" w:cs="宋体"/>
          <w:color w:val="000000"/>
          <w:szCs w:val="21"/>
          <w:lang w:val="en-US" w:eastAsia="zh-CN"/>
        </w:rPr>
        <w:t>采购人</w:t>
      </w:r>
      <w:r>
        <w:rPr>
          <w:rFonts w:hint="eastAsia" w:ascii="宋体" w:hAnsi="宋体" w:cs="宋体"/>
          <w:color w:val="000000"/>
          <w:szCs w:val="21"/>
        </w:rPr>
        <w:t>可用于其他顶岗人员的加班或奖励费用。</w:t>
      </w:r>
    </w:p>
    <w:p w14:paraId="1430AD89">
      <w:pPr>
        <w:tabs>
          <w:tab w:val="left" w:pos="840"/>
        </w:tabs>
        <w:spacing w:line="460" w:lineRule="exact"/>
        <w:ind w:firstLine="420"/>
        <w:rPr>
          <w:rFonts w:hint="eastAsia" w:ascii="宋体" w:hAnsi="宋体" w:cs="宋体"/>
          <w:bCs/>
          <w:color w:val="000000"/>
          <w:szCs w:val="21"/>
        </w:rPr>
      </w:pPr>
      <w:r>
        <w:rPr>
          <w:rFonts w:hint="eastAsia" w:ascii="宋体" w:hAnsi="宋体" w:cs="宋体"/>
          <w:bCs/>
          <w:color w:val="000000"/>
          <w:szCs w:val="21"/>
          <w:lang w:val="en-US" w:eastAsia="zh-CN"/>
        </w:rPr>
        <w:t>（3）</w:t>
      </w:r>
      <w:r>
        <w:rPr>
          <w:rFonts w:hint="eastAsia" w:ascii="宋体" w:hAnsi="宋体" w:cs="宋体"/>
          <w:bCs/>
          <w:color w:val="000000"/>
          <w:szCs w:val="21"/>
        </w:rPr>
        <w:t>报价必须含以下部分，包括：</w:t>
      </w:r>
    </w:p>
    <w:p w14:paraId="337D37F0">
      <w:pPr>
        <w:tabs>
          <w:tab w:val="left" w:pos="840"/>
        </w:tabs>
        <w:spacing w:line="460" w:lineRule="exact"/>
        <w:ind w:firstLine="420"/>
        <w:rPr>
          <w:rFonts w:hint="eastAsia" w:ascii="宋体" w:hAnsi="宋体" w:cs="宋体"/>
          <w:bCs/>
          <w:color w:val="000000"/>
          <w:szCs w:val="21"/>
        </w:rPr>
      </w:pPr>
      <w:r>
        <w:rPr>
          <w:rFonts w:ascii="Calibri" w:hAnsi="Calibri" w:cs="Calibri"/>
          <w:color w:val="000000"/>
          <w:szCs w:val="21"/>
          <w:highlight w:val="none"/>
        </w:rPr>
        <w:t>①</w:t>
      </w:r>
      <w:r>
        <w:rPr>
          <w:rFonts w:hint="eastAsia" w:ascii="宋体" w:hAnsi="宋体" w:cs="宋体"/>
          <w:bCs/>
          <w:color w:val="000000"/>
          <w:szCs w:val="21"/>
        </w:rPr>
        <w:t>服务的价格：包含办公设备费用，工作人员工作服、工资、社会保险、</w:t>
      </w:r>
      <w:r>
        <w:rPr>
          <w:rFonts w:hint="eastAsia" w:ascii="宋体" w:hAnsi="宋体" w:cs="宋体"/>
          <w:bCs/>
          <w:color w:val="000000"/>
          <w:szCs w:val="21"/>
          <w:lang w:val="en-US" w:eastAsia="zh-CN"/>
        </w:rPr>
        <w:t>公积金、</w:t>
      </w:r>
      <w:r>
        <w:rPr>
          <w:rFonts w:hint="eastAsia" w:ascii="宋体" w:hAnsi="宋体" w:cs="宋体"/>
          <w:bCs/>
          <w:color w:val="000000"/>
          <w:szCs w:val="21"/>
        </w:rPr>
        <w:t>高温补助、节假日奖金、节日装饰及加班工资、餐费补助、税金、各类保洁、消毒及易耗器具等费用，以及所有围绕办公区维修、保洁、安保、绿化、维护服务等所需一切工具装备费用。</w:t>
      </w:r>
    </w:p>
    <w:p w14:paraId="6D73E687">
      <w:pPr>
        <w:pStyle w:val="203"/>
        <w:spacing w:line="400" w:lineRule="exact"/>
        <w:jc w:val="left"/>
        <w:rPr>
          <w:rFonts w:hint="eastAsia" w:ascii="宋体" w:hAnsi="宋体" w:cs="宋体"/>
          <w:bCs/>
          <w:color w:val="000000"/>
          <w:szCs w:val="21"/>
        </w:rPr>
      </w:pPr>
      <w:r>
        <w:rPr>
          <w:rFonts w:ascii="Calibri" w:hAnsi="Calibri" w:cs="Calibri"/>
          <w:color w:val="000000"/>
          <w:szCs w:val="21"/>
          <w:highlight w:val="none"/>
        </w:rPr>
        <w:t>②</w:t>
      </w:r>
      <w:r>
        <w:rPr>
          <w:rFonts w:hint="eastAsia" w:ascii="宋体" w:hAnsi="宋体" w:cs="宋体"/>
          <w:bCs/>
          <w:color w:val="000000"/>
          <w:szCs w:val="21"/>
        </w:rPr>
        <w:t>必要的保险费用和各项税金。</w:t>
      </w:r>
    </w:p>
    <w:p w14:paraId="1F6CC06B">
      <w:pPr>
        <w:pStyle w:val="203"/>
        <w:spacing w:line="400" w:lineRule="exact"/>
        <w:jc w:val="left"/>
        <w:rPr>
          <w:rFonts w:hint="eastAsia" w:ascii="宋体" w:hAnsi="宋体" w:cs="宋体"/>
          <w:bCs/>
          <w:color w:val="auto"/>
          <w:szCs w:val="21"/>
          <w:lang w:val="en-US" w:eastAsia="zh-CN"/>
        </w:rPr>
      </w:pPr>
      <w:r>
        <w:rPr>
          <w:rFonts w:hint="eastAsia" w:ascii="宋体" w:hAnsi="宋体" w:cs="宋体"/>
          <w:bCs/>
          <w:color w:val="auto"/>
          <w:szCs w:val="21"/>
          <w:lang w:eastAsia="zh-CN"/>
        </w:rPr>
        <w:t>（</w:t>
      </w:r>
      <w:r>
        <w:rPr>
          <w:rFonts w:hint="eastAsia" w:ascii="宋体" w:hAnsi="宋体" w:cs="宋体"/>
          <w:bCs/>
          <w:color w:val="auto"/>
          <w:szCs w:val="21"/>
          <w:lang w:val="en-US" w:eastAsia="zh-CN"/>
        </w:rPr>
        <w:t>4</w:t>
      </w:r>
      <w:r>
        <w:rPr>
          <w:rFonts w:hint="eastAsia" w:ascii="宋体" w:hAnsi="宋体" w:cs="宋体"/>
          <w:bCs/>
          <w:color w:val="auto"/>
          <w:szCs w:val="21"/>
          <w:lang w:eastAsia="zh-CN"/>
        </w:rPr>
        <w:t>）</w:t>
      </w:r>
      <w:r>
        <w:rPr>
          <w:rFonts w:hint="eastAsia" w:ascii="宋体" w:hAnsi="宋体" w:cs="宋体"/>
          <w:bCs/>
          <w:color w:val="auto"/>
          <w:szCs w:val="21"/>
          <w:lang w:val="en-US" w:eastAsia="zh-CN"/>
        </w:rPr>
        <w:t>中标供应商负责对服务范围内非财政资金保障单位（如国有企业、私营企业等）收缴物业服务费。物业服务费计取标准按照以下公式核算：物业服务费单价＝中标总价 ÷ 总服务面积 ×（该单位实际使用建筑面积＋应分摊公共区域面积）。中标供应商应将上述物业服务费收缴款项全额及时上缴采购人，不得截留、挪用或抵扣。</w:t>
      </w:r>
    </w:p>
    <w:p w14:paraId="5C4A3A4F">
      <w:pPr>
        <w:pStyle w:val="203"/>
        <w:spacing w:line="400" w:lineRule="exact"/>
        <w:ind w:firstLine="0"/>
        <w:jc w:val="left"/>
        <w:rPr>
          <w:rFonts w:hint="eastAsia" w:ascii="宋体" w:hAnsi="宋体" w:cs="宋体"/>
          <w:bCs/>
          <w:color w:val="auto"/>
          <w:szCs w:val="21"/>
          <w:lang w:val="en-US" w:eastAsia="zh-CN"/>
        </w:rPr>
      </w:pPr>
      <w:r>
        <w:rPr>
          <w:rFonts w:hint="eastAsia" w:ascii="宋体" w:hAnsi="宋体" w:cs="宋体"/>
          <w:bCs/>
          <w:color w:val="auto"/>
          <w:szCs w:val="21"/>
          <w:lang w:val="en-US" w:eastAsia="zh-CN"/>
        </w:rPr>
        <w:t>（5）中标供应商需承担中标合同生效之日止的前期相关费用，费用标准</w:t>
      </w:r>
      <w:r>
        <w:rPr>
          <w:rFonts w:hint="eastAsia"/>
          <w:color w:val="auto"/>
          <w:lang w:val="en-US" w:eastAsia="zh-CN"/>
        </w:rPr>
        <w:t>按中标价相应物业中人员经费总额除以365天进行核算，物料费用约5万元（以实际支出为准）。</w:t>
      </w:r>
      <w:r>
        <w:rPr>
          <w:rFonts w:hint="eastAsia" w:ascii="宋体" w:hAnsi="宋体" w:cs="宋体"/>
          <w:bCs/>
          <w:color w:val="auto"/>
          <w:szCs w:val="21"/>
          <w:lang w:val="en-US" w:eastAsia="zh-CN"/>
        </w:rPr>
        <w:t>物业1</w:t>
      </w:r>
      <w:r>
        <w:rPr>
          <w:rFonts w:hint="eastAsia"/>
          <w:color w:val="auto"/>
          <w:highlight w:val="none"/>
          <w:lang w:val="en-US" w:eastAsia="zh-CN"/>
        </w:rPr>
        <w:t>（</w:t>
      </w:r>
      <w:r>
        <w:rPr>
          <w:rFonts w:hint="eastAsia"/>
          <w:color w:val="auto"/>
          <w:highlight w:val="none"/>
          <w:lang w:eastAsia="zh-CN"/>
        </w:rPr>
        <w:t>桂林市建设大厦、桂林投资发展商务大厦(桂林市市直机关第二办公区)</w:t>
      </w:r>
      <w:r>
        <w:rPr>
          <w:rFonts w:hint="eastAsia"/>
          <w:color w:val="auto"/>
          <w:highlight w:val="none"/>
          <w:lang w:val="en-US" w:eastAsia="zh-CN"/>
        </w:rPr>
        <w:t>）</w:t>
      </w:r>
      <w:r>
        <w:rPr>
          <w:rFonts w:hint="eastAsia" w:ascii="宋体" w:hAnsi="宋体" w:cs="宋体"/>
          <w:color w:val="auto"/>
          <w:szCs w:val="21"/>
          <w:highlight w:val="none"/>
          <w:lang w:val="en-US" w:eastAsia="zh-CN"/>
        </w:rPr>
        <w:t>自2026年3月22日起至</w:t>
      </w:r>
      <w:r>
        <w:rPr>
          <w:rFonts w:hint="eastAsia"/>
          <w:color w:val="auto"/>
          <w:lang w:eastAsia="zh-CN"/>
        </w:rPr>
        <w:t>新中标供应商正式进场日</w:t>
      </w:r>
      <w:r>
        <w:rPr>
          <w:rFonts w:hint="eastAsia" w:ascii="宋体" w:hAnsi="宋体" w:cs="宋体"/>
          <w:color w:val="auto"/>
          <w:szCs w:val="21"/>
          <w:highlight w:val="none"/>
          <w:lang w:val="en-US" w:eastAsia="zh-CN"/>
        </w:rPr>
        <w:t>止，物业2（</w:t>
      </w:r>
      <w:r>
        <w:rPr>
          <w:rFonts w:hint="eastAsia"/>
          <w:color w:val="auto"/>
          <w:highlight w:val="none"/>
        </w:rPr>
        <w:t>桂林市</w:t>
      </w:r>
      <w:r>
        <w:rPr>
          <w:rFonts w:hint="eastAsia"/>
          <w:color w:val="auto"/>
          <w:highlight w:val="none"/>
          <w:lang w:eastAsia="zh-CN"/>
        </w:rPr>
        <w:t>交通枢纽指挥中心（鼎晟大厦）</w:t>
      </w:r>
      <w:r>
        <w:rPr>
          <w:rFonts w:hint="eastAsia" w:ascii="宋体" w:hAnsi="宋体" w:cs="宋体"/>
          <w:color w:val="auto"/>
          <w:szCs w:val="21"/>
          <w:highlight w:val="none"/>
          <w:lang w:val="en-US" w:eastAsia="zh-CN"/>
        </w:rPr>
        <w:t>）自2026年5月29日起至</w:t>
      </w:r>
      <w:r>
        <w:rPr>
          <w:rFonts w:hint="eastAsia"/>
          <w:color w:val="auto"/>
          <w:lang w:eastAsia="zh-CN"/>
        </w:rPr>
        <w:t>新中标供应商正式进场日</w:t>
      </w:r>
      <w:r>
        <w:rPr>
          <w:rFonts w:hint="eastAsia" w:ascii="宋体" w:hAnsi="宋体" w:cs="宋体"/>
          <w:color w:val="auto"/>
          <w:szCs w:val="21"/>
          <w:highlight w:val="none"/>
          <w:lang w:val="en-US" w:eastAsia="zh-CN"/>
        </w:rPr>
        <w:t>止，按实际天数结算。</w:t>
      </w:r>
    </w:p>
    <w:p w14:paraId="76FB1650">
      <w:pPr>
        <w:pStyle w:val="203"/>
        <w:spacing w:line="400" w:lineRule="exact"/>
        <w:jc w:val="left"/>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（6）</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报价明细表中涉及设施设备维护维修费用须按报价约定全部用于项目设施设备维护维修。单项维护维修费用不足时应从其他项目费用中调剂。</w:t>
      </w:r>
    </w:p>
    <w:p w14:paraId="1EDF97F3">
      <w:pPr>
        <w:spacing w:line="460" w:lineRule="exact"/>
        <w:ind w:firstLine="422"/>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7.3</w:t>
      </w:r>
      <w:r>
        <w:rPr>
          <w:rFonts w:hint="eastAsia" w:ascii="宋体" w:hAnsi="宋体" w:cs="宋体"/>
          <w:b/>
          <w:bCs/>
          <w:color w:val="000000"/>
          <w:szCs w:val="21"/>
          <w:highlight w:val="none"/>
        </w:rPr>
        <w:t>人员保障要求</w:t>
      </w:r>
    </w:p>
    <w:p w14:paraId="48B4DD63">
      <w:pPr>
        <w:pStyle w:val="203"/>
        <w:keepNext w:val="0"/>
        <w:keepLines w:val="0"/>
        <w:pageBreakBefore w:val="0"/>
        <w:bidi w:val="0"/>
        <w:spacing w:line="360" w:lineRule="auto"/>
        <w:outlineLvl w:val="9"/>
        <w:rPr>
          <w:rFonts w:ascii="宋体" w:hAnsi="宋体" w:cs="宋体"/>
          <w:color w:val="000000"/>
          <w:szCs w:val="21"/>
          <w:highlight w:val="none"/>
        </w:rPr>
      </w:pPr>
      <w:r>
        <w:rPr>
          <w:rFonts w:hint="eastAsia" w:ascii="宋体" w:hAnsi="宋体" w:cs="宋体"/>
          <w:color w:val="000000"/>
          <w:szCs w:val="21"/>
          <w:highlight w:val="none"/>
        </w:rPr>
        <w:t>（1）为平稳过渡，</w:t>
      </w:r>
      <w:r>
        <w:rPr>
          <w:rFonts w:hint="eastAsia" w:ascii="宋体" w:hAnsi="宋体" w:cs="宋体"/>
          <w:color w:val="000000"/>
          <w:szCs w:val="21"/>
          <w:highlight w:val="none"/>
          <w:lang w:eastAsia="zh-CN"/>
        </w:rPr>
        <w:t>中标供应商</w:t>
      </w:r>
      <w:r>
        <w:rPr>
          <w:rFonts w:hint="eastAsia" w:ascii="宋体" w:hAnsi="宋体" w:cs="宋体"/>
          <w:color w:val="000000"/>
          <w:szCs w:val="21"/>
          <w:highlight w:val="none"/>
        </w:rPr>
        <w:t>须</w:t>
      </w:r>
      <w:r>
        <w:rPr>
          <w:rFonts w:hint="eastAsia" w:ascii="宋体" w:hAnsi="宋体" w:cs="宋体"/>
          <w:color w:val="000000"/>
          <w:szCs w:val="21"/>
          <w:highlight w:val="none"/>
          <w:lang w:eastAsia="zh-CN"/>
        </w:rPr>
        <w:t>优先</w:t>
      </w:r>
      <w:r>
        <w:rPr>
          <w:rFonts w:hint="eastAsia" w:ascii="宋体" w:hAnsi="宋体" w:cs="宋体"/>
          <w:color w:val="000000"/>
          <w:szCs w:val="21"/>
          <w:highlight w:val="none"/>
        </w:rPr>
        <w:t>接纳自愿留在本项目现有的服务人员，服务期结束后须妥善安置项目服务人员。</w:t>
      </w:r>
    </w:p>
    <w:p w14:paraId="3BBDB282">
      <w:pPr>
        <w:keepNext w:val="0"/>
        <w:keepLines w:val="0"/>
        <w:pageBreakBefore w:val="0"/>
        <w:bidi w:val="0"/>
        <w:spacing w:line="360" w:lineRule="auto"/>
        <w:ind w:firstLine="420"/>
        <w:outlineLvl w:val="9"/>
        <w:rPr>
          <w:rFonts w:hint="eastAsia" w:ascii="宋体" w:hAnsi="宋体" w:cs="宋体"/>
          <w:b/>
          <w:color w:val="000000"/>
          <w:szCs w:val="21"/>
        </w:rPr>
      </w:pPr>
      <w:r>
        <w:rPr>
          <w:rFonts w:hint="eastAsia" w:ascii="宋体" w:hAnsi="宋体" w:cs="宋体"/>
          <w:color w:val="000000"/>
          <w:szCs w:val="21"/>
          <w:lang w:eastAsia="zh-CN"/>
        </w:rPr>
        <w:t>（</w:t>
      </w:r>
      <w:r>
        <w:rPr>
          <w:rFonts w:hint="eastAsia" w:ascii="宋体" w:hAnsi="宋体" w:cs="宋体"/>
          <w:color w:val="000000"/>
          <w:szCs w:val="21"/>
          <w:lang w:val="en-US" w:eastAsia="zh-CN"/>
        </w:rPr>
        <w:t>2</w:t>
      </w:r>
      <w:r>
        <w:rPr>
          <w:rFonts w:hint="eastAsia" w:ascii="宋体" w:hAnsi="宋体" w:cs="宋体"/>
          <w:color w:val="000000"/>
          <w:szCs w:val="21"/>
          <w:lang w:eastAsia="zh-CN"/>
        </w:rPr>
        <w:t>）</w:t>
      </w:r>
      <w:r>
        <w:rPr>
          <w:rFonts w:hint="eastAsia" w:ascii="宋体" w:hAnsi="宋体" w:cs="宋体"/>
          <w:color w:val="000000"/>
          <w:szCs w:val="21"/>
        </w:rPr>
        <w:t>按照《劳动合同法》的规定与员工签订劳动合同并依据国家、广西壮族自治区人民政府和桂林有关最低工资标准的规定要求以及缴纳各种社会保险的规定要求向员工支付工资和缴纳社保及其他保险。并保证从业人员在国家规定的节假日值班时，按照国家有关规定给予从业人员三倍工资。投标人投标报价必须按该条款要求充分考虑各类人员的工资、社保、</w:t>
      </w:r>
      <w:r>
        <w:rPr>
          <w:rFonts w:hint="eastAsia" w:ascii="宋体" w:hAnsi="宋体" w:cs="宋体"/>
          <w:color w:val="000000"/>
          <w:szCs w:val="21"/>
          <w:lang w:val="en-US" w:eastAsia="zh-CN"/>
        </w:rPr>
        <w:t>公积金、</w:t>
      </w:r>
      <w:r>
        <w:rPr>
          <w:rFonts w:hint="eastAsia" w:ascii="宋体" w:hAnsi="宋体" w:cs="宋体"/>
          <w:color w:val="000000"/>
          <w:szCs w:val="21"/>
        </w:rPr>
        <w:t>加班费、福利、其他应缴保险及其他各项费用。</w:t>
      </w:r>
      <w:r>
        <w:rPr>
          <w:rFonts w:hint="eastAsia" w:ascii="宋体" w:hAnsi="宋体" w:cs="宋体"/>
          <w:b/>
          <w:color w:val="000000"/>
          <w:szCs w:val="21"/>
        </w:rPr>
        <w:t>要求在投标文件中必须单列出对该项内容的承诺函，否则投标无效。</w:t>
      </w:r>
    </w:p>
    <w:p w14:paraId="7D788829">
      <w:pPr>
        <w:keepNext w:val="0"/>
        <w:keepLines w:val="0"/>
        <w:pageBreakBefore w:val="0"/>
        <w:tabs>
          <w:tab w:val="left" w:pos="1635"/>
        </w:tabs>
        <w:bidi w:val="0"/>
        <w:spacing w:line="400" w:lineRule="exact"/>
        <w:ind w:firstLine="435"/>
        <w:outlineLvl w:val="9"/>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按照《</w:t>
      </w:r>
      <w:r>
        <w:rPr>
          <w:rFonts w:hint="eastAsia" w:ascii="宋体" w:hAnsi="宋体" w:cs="宋体"/>
          <w:color w:val="000000" w:themeColor="text1"/>
          <w:szCs w:val="21"/>
          <w:highlight w:val="none"/>
          <w14:textFill>
            <w14:solidFill>
              <w14:schemeClr w14:val="tx1"/>
            </w14:solidFill>
          </w14:textFill>
        </w:rPr>
        <w:t>《中华人民共和国政府采购法》第四十八条规定</w:t>
      </w:r>
      <w:r>
        <w:rPr>
          <w:rFonts w:hint="eastAsia" w:ascii="宋体" w:hAnsi="宋体" w:cs="宋体"/>
          <w:color w:val="000000" w:themeColor="text1"/>
          <w:szCs w:val="21"/>
          <w:highlight w:val="none"/>
          <w:lang w:eastAsia="zh-CN"/>
          <w14:textFill>
            <w14:solidFill>
              <w14:schemeClr w14:val="tx1"/>
            </w14:solidFill>
          </w14:textFill>
        </w:rPr>
        <w:t>，本项目</w:t>
      </w:r>
      <w:r>
        <w:rPr>
          <w:rFonts w:hint="eastAsia" w:ascii="宋体" w:hAnsi="宋体" w:cs="宋体"/>
          <w:color w:val="000000" w:themeColor="text1"/>
          <w:szCs w:val="21"/>
          <w:highlight w:val="none"/>
          <w14:textFill>
            <w14:solidFill>
              <w14:schemeClr w14:val="tx1"/>
            </w14:solidFill>
          </w14:textFill>
        </w:rPr>
        <w:t>经采购人同意，中标供应商可以依法采取分包方式履行合同。政府采购合同分包履行的，中标供应商就采购项目和分包项目向采购人负责，分包供应商就分包项目承担责任。</w:t>
      </w:r>
    </w:p>
    <w:p w14:paraId="58720BB2">
      <w:pPr>
        <w:keepNext w:val="0"/>
        <w:keepLines w:val="0"/>
        <w:pageBreakBefore w:val="0"/>
        <w:bidi w:val="0"/>
        <w:spacing w:line="360" w:lineRule="auto"/>
        <w:ind w:firstLine="420"/>
        <w:outlineLvl w:val="9"/>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eastAsia="zh-CN"/>
          <w14:textFill>
            <w14:solidFill>
              <w14:schemeClr w14:val="tx1"/>
            </w14:solidFill>
          </w14:textFill>
        </w:rPr>
        <w:t>中标供应商</w:t>
      </w:r>
      <w:r>
        <w:rPr>
          <w:rFonts w:hint="eastAsia" w:ascii="宋体" w:hAnsi="宋体" w:cs="宋体"/>
          <w:color w:val="000000" w:themeColor="text1"/>
          <w:szCs w:val="21"/>
          <w14:textFill>
            <w14:solidFill>
              <w14:schemeClr w14:val="tx1"/>
            </w14:solidFill>
          </w14:textFill>
        </w:rPr>
        <w:t>如在合同履行过程不按招标文件要求及投标文件承诺安排从业人员岗位及工作、不与从业人员签订劳动合同、不为从业人员购缴纳社会保</w:t>
      </w:r>
      <w:r>
        <w:rPr>
          <w:rFonts w:hint="eastAsia" w:ascii="宋体" w:hAnsi="宋体" w:cs="宋体"/>
          <w:color w:val="000000" w:themeColor="text1"/>
          <w:szCs w:val="21"/>
          <w:lang w:eastAsia="zh-CN"/>
          <w14:textFill>
            <w14:solidFill>
              <w14:schemeClr w14:val="tx1"/>
            </w14:solidFill>
          </w14:textFill>
        </w:rPr>
        <w:t>险</w:t>
      </w:r>
      <w:r>
        <w:rPr>
          <w:rFonts w:hint="eastAsia" w:ascii="宋体" w:hAnsi="宋体" w:cs="宋体"/>
          <w:color w:val="000000" w:themeColor="text1"/>
          <w:szCs w:val="21"/>
          <w14:textFill>
            <w14:solidFill>
              <w14:schemeClr w14:val="tx1"/>
            </w14:solidFill>
          </w14:textFill>
        </w:rPr>
        <w:t>（</w:t>
      </w:r>
      <w:r>
        <w:rPr>
          <w:rFonts w:hint="eastAsia" w:eastAsia="宋体" w:cs="Times New Roman"/>
          <w:color w:val="000000" w:themeColor="text1"/>
          <w:sz w:val="21"/>
          <w:szCs w:val="21"/>
          <w:vertAlign w:val="baseline"/>
          <w:lang w:val="en-US" w:eastAsia="zh-CN"/>
          <w14:textFill>
            <w14:solidFill>
              <w14:schemeClr w14:val="tx1"/>
            </w14:solidFill>
          </w14:textFill>
        </w:rPr>
        <w:t>老、医疗（含生育）、工伤、失业</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公积金</w:t>
      </w:r>
      <w:r>
        <w:rPr>
          <w:rFonts w:hint="eastAsia" w:eastAsia="宋体" w:cs="Times New Roman"/>
          <w:color w:val="000000" w:themeColor="text1"/>
          <w:sz w:val="21"/>
          <w:szCs w:val="21"/>
          <w:vertAlign w:val="baseline"/>
          <w:lang w:val="en-US" w:eastAsia="zh-CN"/>
          <w14:textFill>
            <w14:solidFill>
              <w14:schemeClr w14:val="tx1"/>
            </w14:solidFill>
          </w14:textFill>
        </w:rPr>
        <w:t>并</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执行《广西壮族自治区人民政府关于调整全区最低工资标准的通知》（桂政发</w:t>
      </w:r>
      <w:r>
        <w:rPr>
          <w:rFonts w:hint="eastAsia" w:ascii="宋体" w:hAnsi="宋体" w:eastAsia="宋体" w:cs="宋体"/>
          <w:color w:val="000000" w:themeColor="text1"/>
          <w:sz w:val="21"/>
          <w:szCs w:val="21"/>
          <w:highlight w:val="none"/>
          <w:lang w:val="en-US" w:eastAsia="zh-CN"/>
          <w14:textFill>
            <w14:solidFill>
              <w14:schemeClr w14:val="tx1"/>
            </w14:solidFill>
          </w14:textFill>
        </w:rPr>
        <w:t>[2025]</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16号）</w:t>
      </w:r>
      <w:r>
        <w:rPr>
          <w:rFonts w:hint="eastAsia" w:ascii="宋体" w:hAnsi="宋体" w:cs="宋体"/>
          <w:color w:val="000000" w:themeColor="text1"/>
          <w:szCs w:val="21"/>
          <w14:textFill>
            <w14:solidFill>
              <w14:schemeClr w14:val="tx1"/>
            </w14:solidFill>
          </w14:textFill>
        </w:rPr>
        <w:t>及违法国家相关法律法规并给</w:t>
      </w:r>
      <w:r>
        <w:rPr>
          <w:rFonts w:hint="eastAsia" w:ascii="宋体" w:hAnsi="宋体" w:cs="宋体"/>
          <w:color w:val="000000" w:themeColor="text1"/>
          <w:szCs w:val="21"/>
          <w:lang w:eastAsia="zh-CN"/>
          <w14:textFill>
            <w14:solidFill>
              <w14:schemeClr w14:val="tx1"/>
            </w14:solidFill>
          </w14:textFill>
        </w:rPr>
        <w:t>采购人</w:t>
      </w:r>
      <w:r>
        <w:rPr>
          <w:rFonts w:hint="eastAsia" w:ascii="宋体" w:hAnsi="宋体" w:cs="宋体"/>
          <w:color w:val="000000" w:themeColor="text1"/>
          <w:szCs w:val="21"/>
          <w14:textFill>
            <w14:solidFill>
              <w14:schemeClr w14:val="tx1"/>
            </w14:solidFill>
          </w14:textFill>
        </w:rPr>
        <w:t>造成影响的，则视</w:t>
      </w:r>
      <w:r>
        <w:rPr>
          <w:rFonts w:hint="eastAsia" w:ascii="宋体" w:hAnsi="宋体" w:cs="宋体"/>
          <w:color w:val="000000" w:themeColor="text1"/>
          <w:szCs w:val="21"/>
          <w:lang w:eastAsia="zh-CN"/>
          <w14:textFill>
            <w14:solidFill>
              <w14:schemeClr w14:val="tx1"/>
            </w14:solidFill>
          </w14:textFill>
        </w:rPr>
        <w:t>中标供应商</w:t>
      </w:r>
      <w:r>
        <w:rPr>
          <w:rFonts w:hint="eastAsia" w:ascii="宋体" w:hAnsi="宋体" w:cs="宋体"/>
          <w:color w:val="000000" w:themeColor="text1"/>
          <w:szCs w:val="21"/>
          <w14:textFill>
            <w14:solidFill>
              <w14:schemeClr w14:val="tx1"/>
            </w14:solidFill>
          </w14:textFill>
        </w:rPr>
        <w:t>违约，</w:t>
      </w:r>
      <w:r>
        <w:rPr>
          <w:rFonts w:hint="eastAsia" w:ascii="宋体" w:hAnsi="宋体" w:cs="宋体"/>
          <w:color w:val="000000" w:themeColor="text1"/>
          <w:szCs w:val="21"/>
          <w:lang w:eastAsia="zh-CN"/>
          <w14:textFill>
            <w14:solidFill>
              <w14:schemeClr w14:val="tx1"/>
            </w14:solidFill>
          </w14:textFill>
        </w:rPr>
        <w:t>采购人</w:t>
      </w:r>
      <w:r>
        <w:rPr>
          <w:rFonts w:hint="eastAsia" w:ascii="宋体" w:hAnsi="宋体" w:cs="宋体"/>
          <w:color w:val="000000" w:themeColor="text1"/>
          <w:szCs w:val="21"/>
          <w14:textFill>
            <w14:solidFill>
              <w14:schemeClr w14:val="tx1"/>
            </w14:solidFill>
          </w14:textFill>
        </w:rPr>
        <w:t>可</w:t>
      </w:r>
      <w:r>
        <w:rPr>
          <w:rFonts w:hint="eastAsia" w:ascii="宋体" w:hAnsi="宋体" w:cs="宋体"/>
          <w:color w:val="000000" w:themeColor="text1"/>
          <w:szCs w:val="21"/>
          <w:lang w:eastAsia="zh-CN"/>
          <w14:textFill>
            <w14:solidFill>
              <w14:schemeClr w14:val="tx1"/>
            </w14:solidFill>
          </w14:textFill>
        </w:rPr>
        <w:t>依法终</w:t>
      </w:r>
      <w:r>
        <w:rPr>
          <w:rFonts w:hint="eastAsia" w:ascii="宋体" w:hAnsi="宋体" w:cs="宋体"/>
          <w:color w:val="000000" w:themeColor="text1"/>
          <w:szCs w:val="21"/>
          <w14:textFill>
            <w14:solidFill>
              <w14:schemeClr w14:val="tx1"/>
            </w14:solidFill>
          </w14:textFill>
        </w:rPr>
        <w:t>止合同。</w:t>
      </w:r>
    </w:p>
    <w:p w14:paraId="1CD6E3A5">
      <w:pPr>
        <w:keepNext w:val="0"/>
        <w:keepLines w:val="0"/>
        <w:pageBreakBefore w:val="0"/>
        <w:widowControl/>
        <w:bidi w:val="0"/>
        <w:spacing w:line="360" w:lineRule="auto"/>
        <w:ind w:firstLine="420"/>
        <w:jc w:val="both"/>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eastAsia="zh-CN"/>
          <w14:textFill>
            <w14:solidFill>
              <w14:schemeClr w14:val="tx1"/>
            </w14:solidFill>
          </w14:textFill>
        </w:rPr>
        <w:t>中标供应商</w:t>
      </w:r>
      <w:r>
        <w:rPr>
          <w:rFonts w:hint="eastAsia" w:ascii="宋体" w:hAnsi="宋体" w:cs="宋体"/>
          <w:color w:val="000000" w:themeColor="text1"/>
          <w:szCs w:val="21"/>
          <w14:textFill>
            <w14:solidFill>
              <w14:schemeClr w14:val="tx1"/>
            </w14:solidFill>
          </w14:textFill>
        </w:rPr>
        <w:t>如在合同履行过程不按</w:t>
      </w:r>
      <w:r>
        <w:rPr>
          <w:rFonts w:hint="eastAsia" w:ascii="宋体" w:hAnsi="宋体" w:cs="宋体"/>
          <w:color w:val="000000" w:themeColor="text1"/>
          <w:szCs w:val="21"/>
          <w:lang w:eastAsia="zh-CN"/>
          <w14:textFill>
            <w14:solidFill>
              <w14:schemeClr w14:val="tx1"/>
            </w14:solidFill>
          </w14:textFill>
        </w:rPr>
        <w:t>采购人</w:t>
      </w:r>
      <w:r>
        <w:rPr>
          <w:rFonts w:hint="eastAsia" w:ascii="宋体" w:hAnsi="宋体" w:cs="宋体"/>
          <w:color w:val="000000" w:themeColor="text1"/>
          <w:szCs w:val="21"/>
          <w14:textFill>
            <w14:solidFill>
              <w14:schemeClr w14:val="tx1"/>
            </w14:solidFill>
          </w14:textFill>
        </w:rPr>
        <w:t>要求进行或工作不到位的，</w:t>
      </w:r>
      <w:r>
        <w:rPr>
          <w:rFonts w:hint="eastAsia" w:ascii="宋体" w:hAnsi="宋体" w:cs="宋体"/>
          <w:color w:val="000000" w:themeColor="text1"/>
          <w:szCs w:val="21"/>
          <w:lang w:eastAsia="zh-CN"/>
          <w14:textFill>
            <w14:solidFill>
              <w14:schemeClr w14:val="tx1"/>
            </w14:solidFill>
          </w14:textFill>
        </w:rPr>
        <w:t>采购人</w:t>
      </w:r>
      <w:r>
        <w:rPr>
          <w:rFonts w:hint="eastAsia" w:ascii="宋体" w:hAnsi="宋体" w:cs="宋体"/>
          <w:color w:val="000000" w:themeColor="text1"/>
          <w:szCs w:val="21"/>
          <w14:textFill>
            <w14:solidFill>
              <w14:schemeClr w14:val="tx1"/>
            </w14:solidFill>
          </w14:textFill>
        </w:rPr>
        <w:t>可扣除中标</w:t>
      </w:r>
      <w:r>
        <w:rPr>
          <w:rFonts w:hint="eastAsia" w:ascii="宋体" w:hAnsi="宋体" w:cs="宋体"/>
          <w:color w:val="000000" w:themeColor="text1"/>
          <w:szCs w:val="21"/>
          <w:lang w:val="en-US" w:eastAsia="zh-CN"/>
          <w14:textFill>
            <w14:solidFill>
              <w14:schemeClr w14:val="tx1"/>
            </w14:solidFill>
          </w14:textFill>
        </w:rPr>
        <w:t>单位</w:t>
      </w:r>
      <w:r>
        <w:rPr>
          <w:rFonts w:hint="eastAsia" w:ascii="宋体" w:hAnsi="宋体" w:cs="宋体"/>
          <w:color w:val="000000" w:themeColor="text1"/>
          <w:szCs w:val="21"/>
          <w14:textFill>
            <w14:solidFill>
              <w14:schemeClr w14:val="tx1"/>
            </w14:solidFill>
          </w14:textFill>
        </w:rPr>
        <w:t>当月物业管理费，甚至情节严重的可单方面中止合同。</w:t>
      </w:r>
    </w:p>
    <w:p w14:paraId="72BE0211">
      <w:pPr>
        <w:pStyle w:val="14"/>
        <w:ind w:firstLine="420" w:firstLineChars="200"/>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b/>
          <w:bCs/>
          <w:color w:val="000000" w:themeColor="text1"/>
          <w:lang w:eastAsia="zh-CN"/>
          <w14:textFill>
            <w14:solidFill>
              <w14:schemeClr w14:val="tx1"/>
            </w14:solidFill>
          </w14:textFill>
        </w:rPr>
        <w:t>须在投标文件中提供报价明细表，格式见第六章</w:t>
      </w:r>
      <w:r>
        <w:rPr>
          <w:rFonts w:hint="eastAsia"/>
          <w:b/>
          <w:bCs/>
          <w:color w:val="000000" w:themeColor="text1"/>
          <w:lang w:val="en-US" w:eastAsia="zh-CN"/>
          <w14:textFill>
            <w14:solidFill>
              <w14:schemeClr w14:val="tx1"/>
            </w14:solidFill>
          </w14:textFill>
        </w:rPr>
        <w:t xml:space="preserve"> 投标文件（格式）。</w:t>
      </w:r>
    </w:p>
    <w:p w14:paraId="2D7FB569">
      <w:pPr>
        <w:pStyle w:val="207"/>
        <w:rPr>
          <w:rFonts w:hint="eastAsia"/>
          <w:b/>
          <w:bCs/>
          <w:color w:val="000000"/>
          <w:highlight w:val="none"/>
          <w:lang w:eastAsia="zh-CN"/>
        </w:rPr>
      </w:pPr>
    </w:p>
    <w:p w14:paraId="3A8BCD38">
      <w:pPr>
        <w:keepNext w:val="0"/>
        <w:keepLines w:val="0"/>
        <w:pageBreakBefore w:val="0"/>
        <w:widowControl w:val="0"/>
        <w:bidi w:val="0"/>
        <w:spacing w:line="340" w:lineRule="exact"/>
        <w:ind w:firstLine="422"/>
        <w:outlineLvl w:val="9"/>
        <w:rPr>
          <w:rFonts w:ascii="宋体" w:hAnsi="宋体" w:cs="宋体"/>
          <w:b/>
          <w:bCs/>
          <w:color w:val="000000"/>
          <w:szCs w:val="21"/>
          <w:highlight w:val="none"/>
        </w:rPr>
      </w:pPr>
      <w:r>
        <w:rPr>
          <w:rFonts w:hint="eastAsia" w:ascii="宋体" w:hAnsi="宋体" w:cs="宋体"/>
          <w:b/>
          <w:bCs/>
          <w:color w:val="000000"/>
          <w:szCs w:val="21"/>
          <w:highlight w:val="none"/>
          <w:lang w:val="en-US" w:eastAsia="zh-CN"/>
        </w:rPr>
        <w:t>7</w:t>
      </w:r>
      <w:r>
        <w:rPr>
          <w:rFonts w:hint="eastAsia" w:ascii="宋体" w:hAnsi="宋体" w:cs="宋体"/>
          <w:b/>
          <w:bCs/>
          <w:color w:val="000000"/>
          <w:szCs w:val="21"/>
          <w:highlight w:val="none"/>
        </w:rPr>
        <w:t>.</w:t>
      </w:r>
      <w:r>
        <w:rPr>
          <w:rFonts w:hint="eastAsia" w:ascii="宋体" w:hAnsi="宋体" w:cs="宋体"/>
          <w:b/>
          <w:bCs/>
          <w:color w:val="000000"/>
          <w:szCs w:val="21"/>
          <w:highlight w:val="none"/>
          <w:lang w:val="en-US" w:eastAsia="zh-CN"/>
        </w:rPr>
        <w:t>4</w:t>
      </w:r>
      <w:r>
        <w:rPr>
          <w:rFonts w:hint="eastAsia" w:ascii="宋体" w:hAnsi="宋体" w:cs="宋体"/>
          <w:b/>
          <w:bCs/>
          <w:color w:val="000000"/>
          <w:szCs w:val="21"/>
          <w:highlight w:val="none"/>
        </w:rPr>
        <w:t>工作时间要求：</w:t>
      </w:r>
    </w:p>
    <w:p w14:paraId="04ACF9BA">
      <w:pPr>
        <w:keepNext w:val="0"/>
        <w:keepLines w:val="0"/>
        <w:pageBreakBefore w:val="0"/>
        <w:widowControl w:val="0"/>
        <w:bidi w:val="0"/>
        <w:spacing w:line="340" w:lineRule="exact"/>
        <w:ind w:left="0" w:right="0" w:firstLine="420"/>
        <w:jc w:val="both"/>
        <w:outlineLvl w:val="9"/>
        <w:rPr>
          <w:rFonts w:ascii="宋体" w:hAnsi="宋体" w:cs="宋体"/>
          <w:color w:val="000000"/>
          <w:szCs w:val="21"/>
          <w:highlight w:val="none"/>
        </w:rPr>
      </w:pPr>
      <w:r>
        <w:rPr>
          <w:rFonts w:hint="eastAsia" w:ascii="宋体" w:hAnsi="宋体" w:cs="宋体"/>
          <w:color w:val="000000"/>
          <w:szCs w:val="21"/>
          <w:highlight w:val="none"/>
          <w:lang w:eastAsia="zh-CN"/>
        </w:rPr>
        <w:t>保安岗</w:t>
      </w:r>
      <w:r>
        <w:rPr>
          <w:rFonts w:hint="eastAsia" w:ascii="宋体" w:hAnsi="宋体" w:cs="宋体"/>
          <w:color w:val="000000"/>
          <w:szCs w:val="21"/>
          <w:highlight w:val="none"/>
        </w:rPr>
        <w:t>、消</w:t>
      </w:r>
      <w:r>
        <w:rPr>
          <w:rFonts w:hint="eastAsia" w:ascii="宋体" w:hAnsi="宋体" w:cs="宋体"/>
          <w:color w:val="000000"/>
          <w:szCs w:val="21"/>
          <w:highlight w:val="none"/>
          <w:lang w:eastAsia="zh-CN"/>
        </w:rPr>
        <w:t>防</w:t>
      </w:r>
      <w:r>
        <w:rPr>
          <w:rFonts w:hint="eastAsia" w:ascii="宋体" w:hAnsi="宋体" w:cs="宋体"/>
          <w:color w:val="000000"/>
          <w:szCs w:val="21"/>
          <w:highlight w:val="none"/>
        </w:rPr>
        <w:t>控</w:t>
      </w:r>
      <w:r>
        <w:rPr>
          <w:rFonts w:hint="eastAsia" w:ascii="宋体" w:hAnsi="宋体" w:cs="宋体"/>
          <w:color w:val="000000"/>
          <w:szCs w:val="21"/>
          <w:highlight w:val="none"/>
          <w:lang w:eastAsia="zh-CN"/>
        </w:rPr>
        <w:t>制室、工程维修</w:t>
      </w:r>
      <w:r>
        <w:rPr>
          <w:rFonts w:hint="eastAsia" w:ascii="宋体" w:hAnsi="宋体" w:cs="宋体"/>
          <w:color w:val="000000"/>
          <w:szCs w:val="21"/>
          <w:highlight w:val="none"/>
        </w:rPr>
        <w:t>实行双岗制每天24小时值班</w:t>
      </w:r>
      <w:r>
        <w:rPr>
          <w:rFonts w:hint="eastAsia" w:ascii="宋体" w:hAnsi="宋体" w:cs="宋体"/>
          <w:color w:val="000000"/>
          <w:szCs w:val="21"/>
          <w:highlight w:val="none"/>
          <w:lang w:eastAsia="zh-CN"/>
        </w:rPr>
        <w:t>；中央空调机房</w:t>
      </w:r>
      <w:r>
        <w:rPr>
          <w:rFonts w:hint="eastAsia" w:ascii="宋体" w:hAnsi="宋体" w:cs="宋体"/>
          <w:color w:val="000000"/>
          <w:szCs w:val="21"/>
          <w:highlight w:val="none"/>
        </w:rPr>
        <w:t>实行</w:t>
      </w:r>
      <w:r>
        <w:rPr>
          <w:rFonts w:hint="eastAsia" w:ascii="宋体" w:hAnsi="宋体" w:cs="宋体"/>
          <w:color w:val="000000"/>
          <w:szCs w:val="21"/>
          <w:highlight w:val="none"/>
          <w:lang w:eastAsia="zh-CN"/>
        </w:rPr>
        <w:t>单</w:t>
      </w:r>
      <w:r>
        <w:rPr>
          <w:rFonts w:hint="eastAsia" w:ascii="宋体" w:hAnsi="宋体" w:cs="宋体"/>
          <w:color w:val="000000"/>
          <w:szCs w:val="21"/>
          <w:highlight w:val="none"/>
        </w:rPr>
        <w:t>岗制每天24小时值</w:t>
      </w:r>
      <w:r>
        <w:rPr>
          <w:rFonts w:hint="eastAsia" w:ascii="宋体" w:hAnsi="宋体" w:cs="宋体"/>
          <w:color w:val="000000"/>
          <w:szCs w:val="21"/>
          <w:highlight w:val="none"/>
          <w:lang w:eastAsia="zh-CN"/>
        </w:rPr>
        <w:t>班。</w:t>
      </w:r>
      <w:r>
        <w:rPr>
          <w:rFonts w:hint="eastAsia" w:ascii="宋体" w:hAnsi="宋体" w:cs="宋体"/>
          <w:color w:val="000000"/>
          <w:szCs w:val="21"/>
          <w:highlight w:val="none"/>
        </w:rPr>
        <w:t>保洁</w:t>
      </w:r>
      <w:r>
        <w:rPr>
          <w:rFonts w:hint="eastAsia" w:ascii="宋体" w:hAnsi="宋体" w:cs="宋体"/>
          <w:color w:val="000000"/>
          <w:szCs w:val="21"/>
          <w:highlight w:val="none"/>
          <w:lang w:eastAsia="zh-CN"/>
        </w:rPr>
        <w:t>部上班时间为</w:t>
      </w:r>
      <w:r>
        <w:rPr>
          <w:rFonts w:hint="eastAsia" w:ascii="宋体" w:hAnsi="宋体" w:cs="宋体"/>
          <w:color w:val="000000"/>
          <w:szCs w:val="21"/>
          <w:highlight w:val="none"/>
          <w:lang w:val="en-US" w:eastAsia="zh-CN"/>
        </w:rPr>
        <w:t>6:30-11:00</w:t>
      </w:r>
      <w:r>
        <w:rPr>
          <w:rFonts w:hint="eastAsia" w:ascii="宋体" w:hAnsi="宋体" w:cs="宋体"/>
          <w:color w:val="000000"/>
          <w:szCs w:val="21"/>
          <w:lang w:val="en-US" w:eastAsia="zh-CN"/>
        </w:rPr>
        <w:t>,</w:t>
      </w:r>
      <w:r>
        <w:rPr>
          <w:rFonts w:hint="eastAsia" w:ascii="宋体" w:hAnsi="宋体" w:cs="宋体"/>
          <w:color w:val="000000"/>
          <w:szCs w:val="21"/>
          <w:highlight w:val="none"/>
          <w:lang w:val="en-US" w:eastAsia="zh-CN"/>
        </w:rPr>
        <w:t>14:30-18：00</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工程部上班时间</w:t>
      </w:r>
      <w:r>
        <w:rPr>
          <w:rFonts w:hint="eastAsia" w:ascii="宋体" w:hAnsi="宋体" w:cs="宋体"/>
          <w:color w:val="000000"/>
          <w:szCs w:val="21"/>
          <w:highlight w:val="none"/>
          <w:lang w:eastAsia="zh-CN"/>
        </w:rPr>
        <w:t>为</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0－1</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：00，</w:t>
      </w:r>
      <w:r>
        <w:rPr>
          <w:rFonts w:hint="eastAsia" w:ascii="宋体" w:hAnsi="宋体" w:cs="宋体"/>
          <w:color w:val="000000"/>
          <w:szCs w:val="21"/>
          <w:highlight w:val="none"/>
          <w:lang w:val="en-US" w:eastAsia="zh-CN"/>
        </w:rPr>
        <w:t>14:30-18:00；法定</w:t>
      </w:r>
      <w:r>
        <w:rPr>
          <w:rFonts w:hint="eastAsia" w:ascii="宋体" w:hAnsi="宋体" w:cs="宋体"/>
          <w:color w:val="000000"/>
          <w:szCs w:val="21"/>
          <w:highlight w:val="none"/>
          <w:lang w:eastAsia="zh-CN"/>
        </w:rPr>
        <w:t>节假日需安排</w:t>
      </w:r>
      <w:r>
        <w:rPr>
          <w:rFonts w:hint="eastAsia" w:ascii="宋体" w:hAnsi="宋体" w:cs="宋体"/>
          <w:color w:val="000000"/>
          <w:szCs w:val="21"/>
          <w:highlight w:val="none"/>
          <w:lang w:val="en-US" w:eastAsia="zh-CN"/>
        </w:rPr>
        <w:t>1名</w:t>
      </w:r>
      <w:r>
        <w:rPr>
          <w:rFonts w:hint="eastAsia" w:ascii="宋体" w:hAnsi="宋体" w:cs="宋体"/>
          <w:color w:val="000000"/>
          <w:szCs w:val="21"/>
          <w:highlight w:val="none"/>
          <w:lang w:eastAsia="zh-CN"/>
        </w:rPr>
        <w:t>副部长以上领导、</w:t>
      </w:r>
      <w:r>
        <w:rPr>
          <w:rFonts w:hint="eastAsia" w:ascii="宋体" w:hAnsi="宋体" w:cs="宋体"/>
          <w:color w:val="000000"/>
          <w:szCs w:val="21"/>
          <w:highlight w:val="none"/>
          <w:lang w:val="en-US" w:eastAsia="zh-CN"/>
        </w:rPr>
        <w:t>2名保洁员</w:t>
      </w:r>
      <w:r>
        <w:rPr>
          <w:rFonts w:hint="eastAsia" w:ascii="宋体" w:hAnsi="宋体" w:cs="宋体"/>
          <w:color w:val="000000"/>
          <w:szCs w:val="21"/>
          <w:highlight w:val="none"/>
        </w:rPr>
        <w:t>值班</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如遇抗台、抗震等特殊情况，24小时到场服务。</w:t>
      </w:r>
    </w:p>
    <w:p w14:paraId="7EABE6A2">
      <w:pPr>
        <w:keepNext w:val="0"/>
        <w:keepLines w:val="0"/>
        <w:pageBreakBefore w:val="0"/>
        <w:widowControl w:val="0"/>
        <w:bidi w:val="0"/>
        <w:spacing w:line="340" w:lineRule="exact"/>
        <w:ind w:firstLine="422"/>
        <w:outlineLvl w:val="9"/>
        <w:rPr>
          <w:rFonts w:ascii="宋体" w:hAnsi="宋体" w:cs="宋体"/>
          <w:b/>
          <w:bCs/>
          <w:color w:val="000000"/>
          <w:szCs w:val="21"/>
          <w:highlight w:val="none"/>
        </w:rPr>
      </w:pPr>
      <w:r>
        <w:rPr>
          <w:rFonts w:hint="eastAsia" w:ascii="宋体" w:hAnsi="宋体" w:cs="宋体"/>
          <w:b/>
          <w:bCs/>
          <w:color w:val="000000"/>
          <w:szCs w:val="21"/>
          <w:highlight w:val="none"/>
          <w:lang w:val="en-US" w:eastAsia="zh-CN"/>
        </w:rPr>
        <w:t>7</w:t>
      </w:r>
      <w:r>
        <w:rPr>
          <w:rFonts w:hint="eastAsia" w:ascii="宋体" w:hAnsi="宋体" w:cs="宋体"/>
          <w:b/>
          <w:bCs/>
          <w:color w:val="000000"/>
          <w:szCs w:val="21"/>
          <w:highlight w:val="none"/>
        </w:rPr>
        <w:t>.</w:t>
      </w:r>
      <w:r>
        <w:rPr>
          <w:rFonts w:hint="eastAsia" w:ascii="宋体" w:hAnsi="宋体" w:cs="宋体"/>
          <w:b/>
          <w:bCs/>
          <w:color w:val="000000"/>
          <w:szCs w:val="21"/>
          <w:highlight w:val="none"/>
          <w:lang w:val="en-US" w:eastAsia="zh-CN"/>
        </w:rPr>
        <w:t>5</w:t>
      </w:r>
      <w:r>
        <w:rPr>
          <w:rFonts w:hint="eastAsia" w:ascii="宋体" w:hAnsi="宋体" w:cs="宋体"/>
          <w:b/>
          <w:bCs/>
          <w:color w:val="000000"/>
          <w:szCs w:val="21"/>
          <w:highlight w:val="none"/>
        </w:rPr>
        <w:t>检查与考核</w:t>
      </w:r>
    </w:p>
    <w:p w14:paraId="7BE979E5">
      <w:pPr>
        <w:keepNext w:val="0"/>
        <w:keepLines w:val="0"/>
        <w:pageBreakBefore w:val="0"/>
        <w:widowControl w:val="0"/>
        <w:bidi w:val="0"/>
        <w:spacing w:line="340" w:lineRule="exact"/>
        <w:ind w:firstLine="420"/>
        <w:outlineLvl w:val="9"/>
        <w:rPr>
          <w:rFonts w:hint="eastAsia" w:ascii="宋体" w:hAnsi="宋体" w:cs="宋体"/>
          <w:color w:val="000000"/>
          <w:szCs w:val="21"/>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lang w:eastAsia="zh-CN"/>
        </w:rPr>
        <w:t>）</w:t>
      </w:r>
      <w:r>
        <w:rPr>
          <w:rFonts w:hint="eastAsia" w:ascii="宋体" w:hAnsi="宋体" w:cs="宋体"/>
          <w:color w:val="000000"/>
          <w:szCs w:val="21"/>
        </w:rPr>
        <w:t>中标人应接受</w:t>
      </w:r>
      <w:r>
        <w:rPr>
          <w:rFonts w:hint="eastAsia" w:ascii="宋体" w:hAnsi="宋体" w:cs="宋体"/>
          <w:color w:val="000000"/>
          <w:szCs w:val="21"/>
          <w:lang w:eastAsia="zh-CN"/>
        </w:rPr>
        <w:t>采购人</w:t>
      </w:r>
      <w:r>
        <w:rPr>
          <w:rFonts w:hint="eastAsia" w:ascii="宋体" w:hAnsi="宋体" w:cs="宋体"/>
          <w:color w:val="000000"/>
          <w:szCs w:val="21"/>
        </w:rPr>
        <w:t>或第三方的随时检查。如因质量未达到目标，</w:t>
      </w:r>
      <w:r>
        <w:rPr>
          <w:rFonts w:hint="eastAsia" w:ascii="宋体" w:hAnsi="宋体" w:cs="宋体"/>
          <w:color w:val="000000"/>
          <w:szCs w:val="21"/>
          <w:lang w:eastAsia="zh-CN"/>
        </w:rPr>
        <w:t>采购人</w:t>
      </w:r>
      <w:r>
        <w:rPr>
          <w:rFonts w:hint="eastAsia" w:ascii="宋体" w:hAnsi="宋体" w:cs="宋体"/>
          <w:color w:val="000000"/>
          <w:szCs w:val="21"/>
        </w:rPr>
        <w:t>有权要求其整改，同时中标人应承担责任和经济赔偿（扣款或终止合同）。</w:t>
      </w:r>
    </w:p>
    <w:p w14:paraId="55ED91F8">
      <w:pPr>
        <w:keepNext w:val="0"/>
        <w:keepLines w:val="0"/>
        <w:pageBreakBefore w:val="0"/>
        <w:widowControl w:val="0"/>
        <w:bidi w:val="0"/>
        <w:spacing w:line="340" w:lineRule="exact"/>
        <w:ind w:firstLine="420"/>
        <w:outlineLvl w:val="9"/>
        <w:rPr>
          <w:rFonts w:hint="eastAsia" w:ascii="宋体" w:hAnsi="宋体" w:cs="宋体"/>
          <w:color w:val="000000"/>
          <w:szCs w:val="21"/>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lang w:eastAsia="zh-CN"/>
        </w:rPr>
        <w:t>）</w:t>
      </w:r>
      <w:r>
        <w:rPr>
          <w:rFonts w:hint="eastAsia" w:ascii="宋体" w:hAnsi="宋体" w:cs="宋体"/>
          <w:color w:val="000000"/>
          <w:szCs w:val="21"/>
          <w:lang w:eastAsia="zh-CN"/>
        </w:rPr>
        <w:t>采购人</w:t>
      </w:r>
      <w:r>
        <w:rPr>
          <w:rFonts w:hint="eastAsia" w:ascii="宋体" w:hAnsi="宋体" w:cs="宋体"/>
          <w:color w:val="000000"/>
          <w:szCs w:val="21"/>
        </w:rPr>
        <w:t>对项目物业服务每月进行考核，80分为及格。如达不到规定要求，出现重大管理失误、管理服务水平下降等现象，</w:t>
      </w:r>
      <w:r>
        <w:rPr>
          <w:rFonts w:hint="eastAsia" w:ascii="宋体" w:hAnsi="宋体" w:cs="宋体"/>
          <w:color w:val="000000"/>
          <w:szCs w:val="21"/>
          <w:lang w:eastAsia="zh-CN"/>
        </w:rPr>
        <w:t>采购人</w:t>
      </w:r>
      <w:r>
        <w:rPr>
          <w:rFonts w:hint="eastAsia" w:ascii="宋体" w:hAnsi="宋体" w:cs="宋体"/>
          <w:color w:val="000000"/>
          <w:szCs w:val="21"/>
        </w:rPr>
        <w:t>可终止管理服务合同并进行财务审计，由中标单位承担违约和赔偿责任。</w:t>
      </w:r>
    </w:p>
    <w:p w14:paraId="1A205A6A">
      <w:pPr>
        <w:keepNext w:val="0"/>
        <w:keepLines w:val="0"/>
        <w:pageBreakBefore w:val="0"/>
        <w:widowControl w:val="0"/>
        <w:bidi w:val="0"/>
        <w:spacing w:line="340" w:lineRule="exact"/>
        <w:ind w:left="0" w:right="0" w:firstLine="420"/>
        <w:jc w:val="both"/>
        <w:outlineLvl w:val="9"/>
        <w:rPr>
          <w:rFonts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lang w:eastAsia="zh-CN"/>
        </w:rPr>
        <w:t>）</w:t>
      </w:r>
      <w:r>
        <w:rPr>
          <w:rFonts w:hint="eastAsia" w:ascii="宋体" w:hAnsi="宋体" w:cs="宋体"/>
          <w:color w:val="000000"/>
          <w:szCs w:val="21"/>
          <w:lang w:eastAsia="zh-CN"/>
        </w:rPr>
        <w:t>采购人</w:t>
      </w:r>
      <w:r>
        <w:rPr>
          <w:rFonts w:hint="eastAsia" w:ascii="宋体" w:hAnsi="宋体" w:cs="宋体"/>
          <w:color w:val="000000"/>
          <w:szCs w:val="21"/>
        </w:rPr>
        <w:t>每年度委托一次专业评估公司对中标人一年的物业服务予以评估，如评估公司得出的评审结论为不合格，则视为中标人未按合同执行，</w:t>
      </w:r>
      <w:r>
        <w:rPr>
          <w:rFonts w:hint="eastAsia" w:ascii="宋体" w:hAnsi="宋体" w:cs="宋体"/>
          <w:color w:val="000000"/>
          <w:szCs w:val="21"/>
          <w:lang w:eastAsia="zh-CN"/>
        </w:rPr>
        <w:t>采购人</w:t>
      </w:r>
      <w:r>
        <w:rPr>
          <w:rFonts w:hint="eastAsia" w:ascii="宋体" w:hAnsi="宋体" w:cs="宋体"/>
          <w:color w:val="000000"/>
          <w:szCs w:val="21"/>
        </w:rPr>
        <w:t>可以与中标人解除合同，中标人自行承担相应的责任及经济损失。</w:t>
      </w:r>
    </w:p>
    <w:p w14:paraId="1340E3CC">
      <w:pPr>
        <w:spacing w:line="400" w:lineRule="exact"/>
        <w:rPr>
          <w:rFonts w:ascii="宋体" w:hAnsi="宋体" w:cs="宋体"/>
          <w:b/>
          <w:color w:val="000000"/>
          <w:szCs w:val="21"/>
          <w:highlight w:val="none"/>
        </w:rPr>
      </w:pPr>
      <w:r>
        <w:rPr>
          <w:rFonts w:hint="eastAsia" w:ascii="宋体" w:hAnsi="宋体" w:cs="宋体"/>
          <w:b/>
          <w:color w:val="000000"/>
          <w:szCs w:val="21"/>
          <w:highlight w:val="none"/>
        </w:rPr>
        <w:t>附：考核表</w:t>
      </w:r>
    </w:p>
    <w:tbl>
      <w:tblPr>
        <w:tblStyle w:val="30"/>
        <w:tblpPr w:leftFromText="180" w:rightFromText="180" w:vertAnchor="text" w:horzAnchor="margin" w:tblpXSpec="center" w:tblpY="11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2758"/>
        <w:gridCol w:w="603"/>
        <w:gridCol w:w="3791"/>
        <w:gridCol w:w="567"/>
        <w:gridCol w:w="567"/>
      </w:tblGrid>
      <w:tr w14:paraId="29A4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987" w:type="dxa"/>
            <w:gridSpan w:val="7"/>
            <w:tcBorders>
              <w:top w:val="single" w:color="auto" w:sz="4" w:space="0"/>
              <w:left w:val="single" w:color="auto" w:sz="4" w:space="0"/>
              <w:bottom w:val="single" w:color="auto" w:sz="4" w:space="0"/>
              <w:right w:val="single" w:color="auto" w:sz="4" w:space="0"/>
            </w:tcBorders>
            <w:noWrap w:val="0"/>
            <w:vAlign w:val="center"/>
          </w:tcPr>
          <w:p w14:paraId="51ECC097">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一、日常管理考核表</w:t>
            </w:r>
          </w:p>
        </w:tc>
      </w:tr>
      <w:tr w14:paraId="56C8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14:paraId="672A2C0F">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1318B2">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项目</w:t>
            </w:r>
          </w:p>
        </w:tc>
        <w:tc>
          <w:tcPr>
            <w:tcW w:w="2758" w:type="dxa"/>
            <w:tcBorders>
              <w:top w:val="single" w:color="auto" w:sz="4" w:space="0"/>
              <w:left w:val="single" w:color="auto" w:sz="4" w:space="0"/>
              <w:bottom w:val="single" w:color="auto" w:sz="4" w:space="0"/>
              <w:right w:val="single" w:color="auto" w:sz="4" w:space="0"/>
            </w:tcBorders>
            <w:noWrap w:val="0"/>
            <w:vAlign w:val="center"/>
          </w:tcPr>
          <w:p w14:paraId="60AD707F">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评价内容</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504AD55E">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标准分</w:t>
            </w:r>
          </w:p>
        </w:tc>
        <w:tc>
          <w:tcPr>
            <w:tcW w:w="3791" w:type="dxa"/>
            <w:tcBorders>
              <w:top w:val="single" w:color="auto" w:sz="4" w:space="0"/>
              <w:left w:val="single" w:color="auto" w:sz="4" w:space="0"/>
              <w:bottom w:val="single" w:color="auto" w:sz="4" w:space="0"/>
              <w:right w:val="single" w:color="auto" w:sz="4" w:space="0"/>
            </w:tcBorders>
            <w:noWrap w:val="0"/>
            <w:vAlign w:val="center"/>
          </w:tcPr>
          <w:p w14:paraId="12065485">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评分标准</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715BE7DD">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得分</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00BE7603">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备注</w:t>
            </w:r>
          </w:p>
        </w:tc>
      </w:tr>
      <w:tr w14:paraId="26C1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14:paraId="192EF13E">
            <w:pPr>
              <w:keepNext w:val="0"/>
              <w:keepLines w:val="0"/>
              <w:pageBreakBefore w:val="0"/>
              <w:bidi w:val="0"/>
              <w:spacing w:line="240" w:lineRule="auto"/>
              <w:ind w:firstLine="420"/>
              <w:jc w:val="center"/>
              <w:outlineLvl w:val="9"/>
              <w:rPr>
                <w:rFonts w:ascii="宋体" w:hAnsi="宋体" w:cs="宋体"/>
                <w:color w:val="000000"/>
                <w:szCs w:val="21"/>
                <w:highlight w:val="none"/>
              </w:rPr>
            </w:pPr>
            <w:r>
              <w:rPr>
                <w:rFonts w:hint="eastAsia" w:ascii="宋体" w:hAnsi="宋体" w:cs="宋体"/>
                <w:color w:val="000000"/>
                <w:szCs w:val="21"/>
                <w:highlight w:val="none"/>
              </w:rPr>
              <w:t>1</w:t>
            </w:r>
          </w:p>
          <w:p w14:paraId="007493E6">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1</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4850BB88">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管理体系及制度（50）</w:t>
            </w:r>
          </w:p>
          <w:p w14:paraId="2E7AD6E6">
            <w:pPr>
              <w:keepNext w:val="0"/>
              <w:keepLines w:val="0"/>
              <w:pageBreakBefore w:val="0"/>
              <w:bidi w:val="0"/>
              <w:spacing w:line="240" w:lineRule="auto"/>
              <w:outlineLvl w:val="9"/>
              <w:rPr>
                <w:rFonts w:ascii="宋体" w:hAnsi="宋体" w:cs="宋体"/>
                <w:color w:val="000000"/>
                <w:szCs w:val="21"/>
                <w:highlight w:val="none"/>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2969DE02">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1、按照国家质量管理有关要求，建立科学有效管理体系</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1A4DB082">
            <w:pPr>
              <w:keepNext w:val="0"/>
              <w:keepLines w:val="0"/>
              <w:pageBreakBefore w:val="0"/>
              <w:widowControl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4</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53564DD0">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管理体系完整清晰，功能齐全得满分；</w:t>
            </w:r>
          </w:p>
          <w:p w14:paraId="7589B7F0">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已建立管理体系但不够完整清晰扣2分；</w:t>
            </w:r>
          </w:p>
          <w:p w14:paraId="2D29B00A">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未建立管理体系本子项不得分。</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2AA5CB31">
            <w:pPr>
              <w:keepNext w:val="0"/>
              <w:keepLines w:val="0"/>
              <w:pageBreakBefore w:val="0"/>
              <w:bidi w:val="0"/>
              <w:spacing w:line="240" w:lineRule="auto"/>
              <w:jc w:val="center"/>
              <w:outlineLvl w:val="9"/>
              <w:rPr>
                <w:rFonts w:ascii="宋体" w:hAnsi="宋体" w:cs="宋体"/>
                <w:color w:val="000000"/>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7A08B1F1">
            <w:pPr>
              <w:keepNext w:val="0"/>
              <w:keepLines w:val="0"/>
              <w:pageBreakBefore w:val="0"/>
              <w:bidi w:val="0"/>
              <w:spacing w:line="240" w:lineRule="auto"/>
              <w:jc w:val="center"/>
              <w:outlineLvl w:val="9"/>
              <w:rPr>
                <w:rFonts w:ascii="宋体" w:hAnsi="宋体" w:cs="宋体"/>
                <w:color w:val="000000"/>
                <w:szCs w:val="21"/>
                <w:highlight w:val="none"/>
              </w:rPr>
            </w:pPr>
          </w:p>
        </w:tc>
      </w:tr>
      <w:tr w14:paraId="1659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38378B12">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2A1C358">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7E4ADB5C">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2、按照国家</w:t>
            </w:r>
            <w:r>
              <w:rPr>
                <w:rFonts w:hint="eastAsia" w:ascii="宋体" w:hAnsi="宋体" w:cs="宋体"/>
                <w:color w:val="000000"/>
                <w:szCs w:val="21"/>
              </w:rPr>
              <w:t>环境管理体系</w:t>
            </w:r>
            <w:r>
              <w:rPr>
                <w:rFonts w:hint="eastAsia" w:ascii="宋体" w:hAnsi="宋体" w:cs="宋体"/>
                <w:color w:val="000000"/>
                <w:szCs w:val="21"/>
                <w:highlight w:val="none"/>
              </w:rPr>
              <w:t>要求，建立科学有效管理体系</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31902FED">
            <w:pPr>
              <w:keepNext w:val="0"/>
              <w:keepLines w:val="0"/>
              <w:pageBreakBefore w:val="0"/>
              <w:widowControl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4</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0FDD5153">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管理体系完整清晰，功能齐全得满分；</w:t>
            </w:r>
          </w:p>
          <w:p w14:paraId="09D62B25">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已建立管理体系但不够完整清晰扣2分；</w:t>
            </w:r>
          </w:p>
          <w:p w14:paraId="3FEF76C9">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未建立管理体系本子项不得分。</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7E318621">
            <w:pPr>
              <w:keepNext w:val="0"/>
              <w:keepLines w:val="0"/>
              <w:pageBreakBefore w:val="0"/>
              <w:bidi w:val="0"/>
              <w:spacing w:line="240" w:lineRule="auto"/>
              <w:jc w:val="center"/>
              <w:outlineLvl w:val="9"/>
              <w:rPr>
                <w:rFonts w:ascii="宋体" w:hAnsi="宋体" w:cs="宋体"/>
                <w:color w:val="000000"/>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6DD75DFA">
            <w:pPr>
              <w:keepNext w:val="0"/>
              <w:keepLines w:val="0"/>
              <w:pageBreakBefore w:val="0"/>
              <w:bidi w:val="0"/>
              <w:spacing w:line="240" w:lineRule="auto"/>
              <w:jc w:val="center"/>
              <w:outlineLvl w:val="9"/>
              <w:rPr>
                <w:rFonts w:ascii="宋体" w:hAnsi="宋体" w:cs="宋体"/>
                <w:color w:val="000000"/>
                <w:szCs w:val="21"/>
                <w:highlight w:val="none"/>
              </w:rPr>
            </w:pPr>
          </w:p>
        </w:tc>
      </w:tr>
      <w:tr w14:paraId="6A42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13969E4A">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764A863">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1ABBAFB4">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3、按照职业健康安全管理有关要求，建立科学有效管理体系</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681EBD71">
            <w:pPr>
              <w:keepNext w:val="0"/>
              <w:keepLines w:val="0"/>
              <w:pageBreakBefore w:val="0"/>
              <w:widowControl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4</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0AB0B327">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管理体系完整清晰，功能齐全得满分；</w:t>
            </w:r>
          </w:p>
          <w:p w14:paraId="712B6111">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已建立管理体系但不够完整清晰扣2分；</w:t>
            </w:r>
          </w:p>
          <w:p w14:paraId="09A790D5">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未建立管理体系本子项不得分。</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7673CDE6">
            <w:pPr>
              <w:keepNext w:val="0"/>
              <w:keepLines w:val="0"/>
              <w:pageBreakBefore w:val="0"/>
              <w:bidi w:val="0"/>
              <w:spacing w:line="240" w:lineRule="auto"/>
              <w:jc w:val="center"/>
              <w:outlineLvl w:val="9"/>
              <w:rPr>
                <w:rFonts w:ascii="宋体" w:hAnsi="宋体" w:cs="宋体"/>
                <w:color w:val="000000"/>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1483EB4C">
            <w:pPr>
              <w:keepNext w:val="0"/>
              <w:keepLines w:val="0"/>
              <w:pageBreakBefore w:val="0"/>
              <w:bidi w:val="0"/>
              <w:spacing w:line="240" w:lineRule="auto"/>
              <w:jc w:val="center"/>
              <w:outlineLvl w:val="9"/>
              <w:rPr>
                <w:rFonts w:ascii="宋体" w:hAnsi="宋体" w:cs="宋体"/>
                <w:color w:val="000000"/>
                <w:szCs w:val="21"/>
                <w:highlight w:val="none"/>
              </w:rPr>
            </w:pPr>
          </w:p>
        </w:tc>
      </w:tr>
      <w:tr w14:paraId="4F19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15E410B9">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906BEEC">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51340C68">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4、规范化控制程序应能覆盖全部业务事项（如人事和劳动关系管理、保洁管理、绿化管理、节能管理、设备管理、</w:t>
            </w:r>
            <w:r>
              <w:rPr>
                <w:rFonts w:hint="eastAsia" w:ascii="宋体" w:hAnsi="宋体" w:cs="宋体"/>
                <w:color w:val="000000"/>
                <w:szCs w:val="21"/>
                <w:highlight w:val="none"/>
                <w:lang w:eastAsia="zh-CN"/>
              </w:rPr>
              <w:t>保安</w:t>
            </w:r>
            <w:r>
              <w:rPr>
                <w:rFonts w:hint="eastAsia" w:ascii="宋体" w:hAnsi="宋体" w:cs="宋体"/>
                <w:color w:val="000000"/>
                <w:szCs w:val="21"/>
                <w:highlight w:val="none"/>
              </w:rPr>
              <w:t>消防、公共设施使用维护、大楼管理维护等）</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335359A3">
            <w:pPr>
              <w:keepNext w:val="0"/>
              <w:keepLines w:val="0"/>
              <w:pageBreakBefore w:val="0"/>
              <w:widowControl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6</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704280F0">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存在未能覆盖业务事项，每发现1项扣1分。</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2C16C852">
            <w:pPr>
              <w:keepNext w:val="0"/>
              <w:keepLines w:val="0"/>
              <w:pageBreakBefore w:val="0"/>
              <w:bidi w:val="0"/>
              <w:spacing w:line="240" w:lineRule="auto"/>
              <w:jc w:val="center"/>
              <w:outlineLvl w:val="9"/>
              <w:rPr>
                <w:rFonts w:ascii="宋体" w:hAnsi="宋体" w:cs="宋体"/>
                <w:color w:val="000000"/>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63A1C732">
            <w:pPr>
              <w:keepNext w:val="0"/>
              <w:keepLines w:val="0"/>
              <w:pageBreakBefore w:val="0"/>
              <w:bidi w:val="0"/>
              <w:spacing w:line="240" w:lineRule="auto"/>
              <w:jc w:val="center"/>
              <w:outlineLvl w:val="9"/>
              <w:rPr>
                <w:rFonts w:ascii="宋体" w:hAnsi="宋体" w:cs="宋体"/>
                <w:color w:val="000000"/>
                <w:szCs w:val="21"/>
                <w:highlight w:val="none"/>
              </w:rPr>
            </w:pPr>
          </w:p>
        </w:tc>
      </w:tr>
      <w:tr w14:paraId="6AE9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330D8612">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9B6539B">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7D60F582">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5、应编制组织结构图，并能明确表述部门、班组间的隶属关系</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25BD2D8E">
            <w:pPr>
              <w:keepNext w:val="0"/>
              <w:keepLines w:val="0"/>
              <w:pageBreakBefore w:val="0"/>
              <w:widowControl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4</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52625EE0">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未编制组织结构图本子项不得分；</w:t>
            </w:r>
          </w:p>
          <w:p w14:paraId="409698B8">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已编制但未能明确表述隶属关系的扣2分。</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8FB8846">
            <w:pPr>
              <w:keepNext w:val="0"/>
              <w:keepLines w:val="0"/>
              <w:pageBreakBefore w:val="0"/>
              <w:bidi w:val="0"/>
              <w:spacing w:line="240" w:lineRule="auto"/>
              <w:jc w:val="center"/>
              <w:outlineLvl w:val="9"/>
              <w:rPr>
                <w:rFonts w:ascii="宋体" w:hAnsi="宋体" w:cs="宋体"/>
                <w:color w:val="000000"/>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13F60457">
            <w:pPr>
              <w:keepNext w:val="0"/>
              <w:keepLines w:val="0"/>
              <w:pageBreakBefore w:val="0"/>
              <w:bidi w:val="0"/>
              <w:spacing w:line="240" w:lineRule="auto"/>
              <w:jc w:val="center"/>
              <w:outlineLvl w:val="9"/>
              <w:rPr>
                <w:rFonts w:ascii="宋体" w:hAnsi="宋体" w:cs="宋体"/>
                <w:color w:val="000000"/>
                <w:szCs w:val="21"/>
                <w:highlight w:val="none"/>
              </w:rPr>
            </w:pPr>
          </w:p>
        </w:tc>
      </w:tr>
      <w:tr w14:paraId="5309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3D525B40">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EC2A327">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79A2842A">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6、应编制文件规定各类人员岗位职责和履职职要求，并应以文件形式正式发布</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5BE1BE70">
            <w:pPr>
              <w:keepNext w:val="0"/>
              <w:keepLines w:val="0"/>
              <w:pageBreakBefore w:val="0"/>
              <w:widowControl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6</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31CB4E08">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未编制岗位职责和任职要求文件的本子项不得分；</w:t>
            </w:r>
          </w:p>
          <w:p w14:paraId="6D711024">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已编制岗位职责和任职要求文件但未正式发布扣2分；</w:t>
            </w:r>
          </w:p>
          <w:p w14:paraId="7DF34418">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岗位职责有缺项、漏项，一项扣1分。</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0D5E64C0">
            <w:pPr>
              <w:keepNext w:val="0"/>
              <w:keepLines w:val="0"/>
              <w:pageBreakBefore w:val="0"/>
              <w:bidi w:val="0"/>
              <w:spacing w:line="240" w:lineRule="auto"/>
              <w:jc w:val="center"/>
              <w:outlineLvl w:val="9"/>
              <w:rPr>
                <w:rFonts w:ascii="宋体" w:hAnsi="宋体" w:cs="宋体"/>
                <w:color w:val="000000"/>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02572AF0">
            <w:pPr>
              <w:keepNext w:val="0"/>
              <w:keepLines w:val="0"/>
              <w:pageBreakBefore w:val="0"/>
              <w:bidi w:val="0"/>
              <w:spacing w:line="240" w:lineRule="auto"/>
              <w:jc w:val="center"/>
              <w:outlineLvl w:val="9"/>
              <w:rPr>
                <w:rFonts w:ascii="宋体" w:hAnsi="宋体" w:cs="宋体"/>
                <w:color w:val="000000"/>
                <w:szCs w:val="21"/>
                <w:highlight w:val="none"/>
              </w:rPr>
            </w:pPr>
          </w:p>
        </w:tc>
      </w:tr>
      <w:tr w14:paraId="0DBA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664A09D5">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27D896E">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778AD659">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7、建立值班工考评和奖惩制度，检查和交接班记录，保存期限不</w:t>
            </w:r>
            <w:r>
              <w:rPr>
                <w:rFonts w:hint="eastAsia" w:ascii="宋体" w:hAnsi="宋体" w:cs="宋体"/>
                <w:color w:val="000000"/>
                <w:szCs w:val="21"/>
                <w:highlight w:val="none"/>
                <w:lang w:val="en-US" w:eastAsia="zh-CN"/>
              </w:rPr>
              <w:t>得</w:t>
            </w:r>
            <w:r>
              <w:rPr>
                <w:rFonts w:hint="eastAsia" w:ascii="宋体" w:hAnsi="宋体" w:cs="宋体"/>
                <w:color w:val="000000"/>
                <w:szCs w:val="21"/>
                <w:highlight w:val="none"/>
              </w:rPr>
              <w:t>少于2年</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4084D10A">
            <w:pPr>
              <w:keepNext w:val="0"/>
              <w:keepLines w:val="0"/>
              <w:pageBreakBefore w:val="0"/>
              <w:widowControl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6</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593B35B4">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未建立制度扣2分；</w:t>
            </w:r>
          </w:p>
          <w:p w14:paraId="165C61E0">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随机抽查值班和交接班记录，发现1项不符合规定扣1分；</w:t>
            </w:r>
          </w:p>
          <w:p w14:paraId="1E328755">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记录保存期限达不到2年扣1分。</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66F53B73">
            <w:pPr>
              <w:keepNext w:val="0"/>
              <w:keepLines w:val="0"/>
              <w:pageBreakBefore w:val="0"/>
              <w:bidi w:val="0"/>
              <w:spacing w:line="240" w:lineRule="auto"/>
              <w:jc w:val="center"/>
              <w:outlineLvl w:val="9"/>
              <w:rPr>
                <w:rFonts w:ascii="宋体" w:hAnsi="宋体" w:cs="宋体"/>
                <w:color w:val="000000"/>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248E54F8">
            <w:pPr>
              <w:keepNext w:val="0"/>
              <w:keepLines w:val="0"/>
              <w:pageBreakBefore w:val="0"/>
              <w:bidi w:val="0"/>
              <w:spacing w:line="240" w:lineRule="auto"/>
              <w:jc w:val="center"/>
              <w:outlineLvl w:val="9"/>
              <w:rPr>
                <w:rFonts w:ascii="宋体" w:hAnsi="宋体" w:cs="宋体"/>
                <w:color w:val="000000"/>
                <w:szCs w:val="21"/>
                <w:highlight w:val="none"/>
              </w:rPr>
            </w:pPr>
          </w:p>
        </w:tc>
      </w:tr>
      <w:tr w14:paraId="5CB3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35135029">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FD17AA1">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4FC2061F">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8、建立员工考评和奖惩制度，每年度对优秀员工进行奖励</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44B3D3B9">
            <w:pPr>
              <w:keepNext w:val="0"/>
              <w:keepLines w:val="0"/>
              <w:pageBreakBefore w:val="0"/>
              <w:widowControl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6</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302004B3">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未建立制度扣2分；</w:t>
            </w:r>
          </w:p>
          <w:p w14:paraId="7E69D197">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未按制度对员工实施年度考评，本子项不得分；未对优秀员工进行奖励扣1分。</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1D821E96">
            <w:pPr>
              <w:keepNext w:val="0"/>
              <w:keepLines w:val="0"/>
              <w:pageBreakBefore w:val="0"/>
              <w:bidi w:val="0"/>
              <w:spacing w:line="240" w:lineRule="auto"/>
              <w:jc w:val="center"/>
              <w:outlineLvl w:val="9"/>
              <w:rPr>
                <w:rFonts w:ascii="宋体" w:hAnsi="宋体" w:cs="宋体"/>
                <w:color w:val="000000"/>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730C34F1">
            <w:pPr>
              <w:keepNext w:val="0"/>
              <w:keepLines w:val="0"/>
              <w:pageBreakBefore w:val="0"/>
              <w:bidi w:val="0"/>
              <w:spacing w:line="240" w:lineRule="auto"/>
              <w:jc w:val="center"/>
              <w:outlineLvl w:val="9"/>
              <w:rPr>
                <w:rFonts w:ascii="宋体" w:hAnsi="宋体" w:cs="宋体"/>
                <w:color w:val="000000"/>
                <w:szCs w:val="21"/>
                <w:highlight w:val="none"/>
              </w:rPr>
            </w:pPr>
          </w:p>
        </w:tc>
      </w:tr>
      <w:tr w14:paraId="49B9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39F8EA6F">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67CCF4A">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6C068486">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9、控烟管理制度，合理设置吸烟点</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3639FA8F">
            <w:pPr>
              <w:keepNext w:val="0"/>
              <w:keepLines w:val="0"/>
              <w:pageBreakBefore w:val="0"/>
              <w:widowControl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5</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07E7DCEA">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未建立制度扣2分；</w:t>
            </w:r>
          </w:p>
          <w:p w14:paraId="405DC4D1">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设置点不符合控烟条例，发现1处扣1分。</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6940845B">
            <w:pPr>
              <w:keepNext w:val="0"/>
              <w:keepLines w:val="0"/>
              <w:pageBreakBefore w:val="0"/>
              <w:bidi w:val="0"/>
              <w:spacing w:line="240" w:lineRule="auto"/>
              <w:jc w:val="center"/>
              <w:outlineLvl w:val="9"/>
              <w:rPr>
                <w:rFonts w:ascii="宋体" w:hAnsi="宋体" w:cs="宋体"/>
                <w:color w:val="000000"/>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50A78FED">
            <w:pPr>
              <w:keepNext w:val="0"/>
              <w:keepLines w:val="0"/>
              <w:pageBreakBefore w:val="0"/>
              <w:bidi w:val="0"/>
              <w:spacing w:line="240" w:lineRule="auto"/>
              <w:jc w:val="center"/>
              <w:outlineLvl w:val="9"/>
              <w:rPr>
                <w:rFonts w:ascii="宋体" w:hAnsi="宋体" w:cs="宋体"/>
                <w:color w:val="000000"/>
                <w:szCs w:val="21"/>
                <w:highlight w:val="none"/>
              </w:rPr>
            </w:pPr>
          </w:p>
        </w:tc>
      </w:tr>
      <w:tr w14:paraId="609F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534077A7">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884CAFA">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58" w:type="dxa"/>
            <w:tcBorders>
              <w:top w:val="single" w:color="auto" w:sz="4" w:space="0"/>
              <w:left w:val="single" w:color="auto" w:sz="4" w:space="0"/>
              <w:bottom w:val="single" w:color="auto" w:sz="4" w:space="0"/>
              <w:right w:val="single" w:color="auto" w:sz="4" w:space="0"/>
            </w:tcBorders>
            <w:noWrap w:val="0"/>
            <w:vAlign w:val="center"/>
          </w:tcPr>
          <w:p w14:paraId="1D3CCF2D">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10、保密管理制度</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4B5E3AF8">
            <w:pPr>
              <w:keepNext w:val="0"/>
              <w:keepLines w:val="0"/>
              <w:pageBreakBefore w:val="0"/>
              <w:widowControl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5</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3248D0E9">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未建立制度扣2分；</w:t>
            </w:r>
          </w:p>
          <w:p w14:paraId="7671B873">
            <w:pPr>
              <w:keepNext w:val="0"/>
              <w:keepLines w:val="0"/>
              <w:pageBreakBefore w:val="0"/>
              <w:widowControl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建立制度，并提供全员培训且签订保密协议得满分，缺少一项资料扣3分。</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3A634460">
            <w:pPr>
              <w:keepNext w:val="0"/>
              <w:keepLines w:val="0"/>
              <w:pageBreakBefore w:val="0"/>
              <w:bidi w:val="0"/>
              <w:spacing w:line="240" w:lineRule="auto"/>
              <w:jc w:val="center"/>
              <w:outlineLvl w:val="9"/>
              <w:rPr>
                <w:rFonts w:ascii="宋体" w:hAnsi="宋体" w:cs="宋体"/>
                <w:color w:val="000000"/>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16E7DD90">
            <w:pPr>
              <w:keepNext w:val="0"/>
              <w:keepLines w:val="0"/>
              <w:pageBreakBefore w:val="0"/>
              <w:bidi w:val="0"/>
              <w:spacing w:line="240" w:lineRule="auto"/>
              <w:jc w:val="center"/>
              <w:outlineLvl w:val="9"/>
              <w:rPr>
                <w:rFonts w:ascii="宋体" w:hAnsi="宋体" w:cs="宋体"/>
                <w:color w:val="000000"/>
                <w:szCs w:val="21"/>
                <w:highlight w:val="none"/>
              </w:rPr>
            </w:pPr>
          </w:p>
        </w:tc>
      </w:tr>
      <w:tr w14:paraId="36FB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14:paraId="664E6626">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CB9594B">
            <w:pPr>
              <w:keepNext w:val="0"/>
              <w:keepLines w:val="0"/>
              <w:pageBreakBefore w:val="0"/>
              <w:bidi w:val="0"/>
              <w:spacing w:line="240" w:lineRule="auto"/>
              <w:jc w:val="center"/>
              <w:outlineLvl w:val="9"/>
              <w:rPr>
                <w:rFonts w:ascii="宋体" w:hAnsi="宋体" w:cs="宋体"/>
                <w:color w:val="000000"/>
                <w:szCs w:val="21"/>
                <w:highlight w:val="none"/>
                <w:shd w:val="clear" w:color="auto" w:fill="auto"/>
              </w:rPr>
            </w:pPr>
            <w:r>
              <w:rPr>
                <w:rFonts w:hint="eastAsia" w:ascii="宋体" w:hAnsi="宋体" w:cs="宋体"/>
                <w:color w:val="000000"/>
                <w:szCs w:val="21"/>
                <w:highlight w:val="none"/>
                <w:shd w:val="clear" w:color="auto" w:fill="auto"/>
              </w:rPr>
              <w:t>人员落实（10）</w:t>
            </w:r>
          </w:p>
        </w:tc>
        <w:tc>
          <w:tcPr>
            <w:tcW w:w="2758" w:type="dxa"/>
            <w:tcBorders>
              <w:top w:val="single" w:color="auto" w:sz="4" w:space="0"/>
              <w:left w:val="single" w:color="auto" w:sz="4" w:space="0"/>
              <w:bottom w:val="single" w:color="auto" w:sz="4" w:space="0"/>
              <w:right w:val="single" w:color="auto" w:sz="4" w:space="0"/>
            </w:tcBorders>
            <w:noWrap w:val="0"/>
            <w:vAlign w:val="center"/>
          </w:tcPr>
          <w:p w14:paraId="6DEC88F4">
            <w:pPr>
              <w:keepNext w:val="0"/>
              <w:keepLines w:val="0"/>
              <w:pageBreakBefore w:val="0"/>
              <w:bidi w:val="0"/>
              <w:spacing w:line="240" w:lineRule="auto"/>
              <w:outlineLvl w:val="9"/>
              <w:rPr>
                <w:rFonts w:ascii="宋体" w:hAnsi="宋体" w:cs="宋体"/>
                <w:color w:val="000000"/>
                <w:szCs w:val="21"/>
                <w:highlight w:val="none"/>
                <w:shd w:val="clear" w:color="auto" w:fill="auto"/>
              </w:rPr>
            </w:pPr>
            <w:r>
              <w:rPr>
                <w:rFonts w:hint="eastAsia" w:ascii="宋体" w:hAnsi="宋体" w:cs="宋体"/>
                <w:color w:val="000000"/>
                <w:szCs w:val="21"/>
                <w:highlight w:val="none"/>
                <w:shd w:val="clear" w:color="auto" w:fill="auto"/>
              </w:rPr>
              <w:t>各个岗位必须保持满员。</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0D1CE2DD">
            <w:pPr>
              <w:keepNext w:val="0"/>
              <w:keepLines w:val="0"/>
              <w:pageBreakBefore w:val="0"/>
              <w:bidi w:val="0"/>
              <w:spacing w:line="240" w:lineRule="auto"/>
              <w:jc w:val="center"/>
              <w:outlineLvl w:val="9"/>
              <w:rPr>
                <w:rFonts w:ascii="宋体" w:hAnsi="宋体" w:cs="宋体"/>
                <w:color w:val="000000"/>
                <w:szCs w:val="21"/>
                <w:highlight w:val="none"/>
                <w:shd w:val="clear" w:color="auto" w:fill="auto"/>
              </w:rPr>
            </w:pPr>
            <w:r>
              <w:rPr>
                <w:rFonts w:hint="eastAsia" w:ascii="宋体" w:hAnsi="宋体" w:cs="宋体"/>
                <w:color w:val="000000"/>
                <w:szCs w:val="21"/>
                <w:highlight w:val="none"/>
                <w:shd w:val="clear" w:color="auto" w:fill="auto"/>
              </w:rPr>
              <w:t>10</w:t>
            </w:r>
          </w:p>
        </w:tc>
        <w:tc>
          <w:tcPr>
            <w:tcW w:w="3791" w:type="dxa"/>
            <w:tcBorders>
              <w:top w:val="single" w:color="auto" w:sz="4" w:space="0"/>
              <w:left w:val="single" w:color="auto" w:sz="4" w:space="0"/>
              <w:bottom w:val="single" w:color="auto" w:sz="4" w:space="0"/>
              <w:right w:val="single" w:color="auto" w:sz="4" w:space="0"/>
            </w:tcBorders>
            <w:noWrap w:val="0"/>
            <w:vAlign w:val="center"/>
          </w:tcPr>
          <w:p w14:paraId="5F7BA46C">
            <w:pPr>
              <w:keepNext w:val="0"/>
              <w:keepLines w:val="0"/>
              <w:pageBreakBefore w:val="0"/>
              <w:bidi w:val="0"/>
              <w:spacing w:line="240" w:lineRule="auto"/>
              <w:jc w:val="both"/>
              <w:outlineLvl w:val="9"/>
              <w:rPr>
                <w:rFonts w:ascii="宋体" w:hAnsi="宋体" w:cs="宋体"/>
                <w:color w:val="000000"/>
                <w:szCs w:val="21"/>
                <w:highlight w:val="none"/>
                <w:shd w:val="clear" w:color="auto" w:fill="auto"/>
              </w:rPr>
            </w:pPr>
            <w:r>
              <w:rPr>
                <w:rFonts w:hint="eastAsia" w:ascii="宋体" w:hAnsi="宋体" w:cs="宋体"/>
                <w:color w:val="000000"/>
                <w:szCs w:val="21"/>
                <w:highlight w:val="none"/>
                <w:shd w:val="clear" w:color="auto" w:fill="auto"/>
              </w:rPr>
              <w:t>各个岗位满员不扣分，每缺一人扣2分。</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41C3CA1C">
            <w:pPr>
              <w:keepNext w:val="0"/>
              <w:keepLines w:val="0"/>
              <w:pageBreakBefore w:val="0"/>
              <w:bidi w:val="0"/>
              <w:spacing w:line="240" w:lineRule="auto"/>
              <w:jc w:val="center"/>
              <w:outlineLvl w:val="9"/>
              <w:rPr>
                <w:rFonts w:ascii="宋体" w:hAnsi="宋体" w:cs="宋体"/>
                <w:color w:val="000000"/>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34A96449">
            <w:pPr>
              <w:keepNext w:val="0"/>
              <w:keepLines w:val="0"/>
              <w:pageBreakBefore w:val="0"/>
              <w:bidi w:val="0"/>
              <w:spacing w:line="240" w:lineRule="auto"/>
              <w:jc w:val="center"/>
              <w:outlineLvl w:val="9"/>
              <w:rPr>
                <w:rFonts w:ascii="宋体" w:hAnsi="宋体" w:cs="宋体"/>
                <w:color w:val="000000"/>
                <w:szCs w:val="21"/>
                <w:highlight w:val="none"/>
              </w:rPr>
            </w:pPr>
          </w:p>
        </w:tc>
      </w:tr>
      <w:tr w14:paraId="720E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14:paraId="30421E42">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84BC790">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质量指标（30）</w:t>
            </w:r>
          </w:p>
        </w:tc>
        <w:tc>
          <w:tcPr>
            <w:tcW w:w="2758" w:type="dxa"/>
            <w:tcBorders>
              <w:top w:val="single" w:color="auto" w:sz="4" w:space="0"/>
              <w:left w:val="single" w:color="auto" w:sz="4" w:space="0"/>
              <w:bottom w:val="single" w:color="auto" w:sz="4" w:space="0"/>
              <w:right w:val="single" w:color="auto" w:sz="4" w:space="0"/>
            </w:tcBorders>
            <w:noWrap w:val="0"/>
            <w:vAlign w:val="center"/>
          </w:tcPr>
          <w:p w14:paraId="1A80C6B3">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服务投诉处置率达到100%，有服务投</w:t>
            </w:r>
            <w:r>
              <w:rPr>
                <w:rFonts w:hint="eastAsia" w:ascii="宋体" w:hAnsi="宋体" w:cs="宋体"/>
                <w:color w:val="000000"/>
                <w:szCs w:val="21"/>
                <w:highlight w:val="none"/>
                <w:lang w:val="en-US" w:eastAsia="zh-CN"/>
              </w:rPr>
              <w:t>诉</w:t>
            </w:r>
            <w:r>
              <w:rPr>
                <w:rFonts w:hint="eastAsia" w:ascii="宋体" w:hAnsi="宋体" w:cs="宋体"/>
                <w:color w:val="000000"/>
                <w:szCs w:val="21"/>
                <w:highlight w:val="none"/>
              </w:rPr>
              <w:t>和处理记录。</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45CC5D04">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30</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3FB606FF">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服务投诉有一项未处理，扣5分；</w:t>
            </w:r>
          </w:p>
          <w:p w14:paraId="56A85AFB">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物业服务满意度以第三方测评结果为准；</w:t>
            </w:r>
          </w:p>
          <w:p w14:paraId="1CE4A1C9">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无服务投诉和处理记录扣5分。</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6D1E9A85">
            <w:pPr>
              <w:keepNext w:val="0"/>
              <w:keepLines w:val="0"/>
              <w:pageBreakBefore w:val="0"/>
              <w:bidi w:val="0"/>
              <w:spacing w:line="240" w:lineRule="auto"/>
              <w:jc w:val="center"/>
              <w:outlineLvl w:val="9"/>
              <w:rPr>
                <w:rFonts w:ascii="宋体" w:hAnsi="宋体" w:cs="宋体"/>
                <w:color w:val="000000"/>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30B8B498">
            <w:pPr>
              <w:keepNext w:val="0"/>
              <w:keepLines w:val="0"/>
              <w:pageBreakBefore w:val="0"/>
              <w:bidi w:val="0"/>
              <w:spacing w:line="240" w:lineRule="auto"/>
              <w:jc w:val="center"/>
              <w:outlineLvl w:val="9"/>
              <w:rPr>
                <w:rFonts w:ascii="宋体" w:hAnsi="宋体" w:cs="宋体"/>
                <w:color w:val="000000"/>
                <w:szCs w:val="21"/>
                <w:highlight w:val="none"/>
              </w:rPr>
            </w:pPr>
          </w:p>
        </w:tc>
      </w:tr>
      <w:tr w14:paraId="52C7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14:paraId="28FEB988">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4</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57E55A">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人员培训及应急预案的演练（10）</w:t>
            </w:r>
          </w:p>
        </w:tc>
        <w:tc>
          <w:tcPr>
            <w:tcW w:w="2758" w:type="dxa"/>
            <w:tcBorders>
              <w:top w:val="single" w:color="auto" w:sz="4" w:space="0"/>
              <w:left w:val="single" w:color="auto" w:sz="4" w:space="0"/>
              <w:bottom w:val="single" w:color="auto" w:sz="4" w:space="0"/>
              <w:right w:val="single" w:color="auto" w:sz="4" w:space="0"/>
            </w:tcBorders>
            <w:noWrap w:val="0"/>
            <w:vAlign w:val="center"/>
          </w:tcPr>
          <w:p w14:paraId="78380DD3">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有无计划及是否按时按计划进行</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601E4FA8">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10</w:t>
            </w:r>
          </w:p>
        </w:tc>
        <w:tc>
          <w:tcPr>
            <w:tcW w:w="3791" w:type="dxa"/>
            <w:tcBorders>
              <w:top w:val="single" w:color="auto" w:sz="4" w:space="0"/>
              <w:left w:val="single" w:color="auto" w:sz="4" w:space="0"/>
              <w:bottom w:val="single" w:color="auto" w:sz="4" w:space="0"/>
              <w:right w:val="single" w:color="auto" w:sz="4" w:space="0"/>
            </w:tcBorders>
            <w:noWrap w:val="0"/>
            <w:vAlign w:val="top"/>
          </w:tcPr>
          <w:p w14:paraId="3583D682">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没有培训计划或不按计划进行，扣3分；</w:t>
            </w:r>
          </w:p>
          <w:p w14:paraId="2501B675">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没有应急预案演练方案或不按时按要求执行，扣4分；</w:t>
            </w:r>
          </w:p>
          <w:p w14:paraId="031C78AD">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没有培训计划或应急预案演练，本子项不得分。</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375B7C8F">
            <w:pPr>
              <w:keepNext w:val="0"/>
              <w:keepLines w:val="0"/>
              <w:pageBreakBefore w:val="0"/>
              <w:bidi w:val="0"/>
              <w:spacing w:line="240" w:lineRule="auto"/>
              <w:jc w:val="center"/>
              <w:outlineLvl w:val="9"/>
              <w:rPr>
                <w:rFonts w:ascii="宋体" w:hAnsi="宋体" w:cs="宋体"/>
                <w:color w:val="000000"/>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00BF8E02">
            <w:pPr>
              <w:keepNext w:val="0"/>
              <w:keepLines w:val="0"/>
              <w:pageBreakBefore w:val="0"/>
              <w:bidi w:val="0"/>
              <w:spacing w:line="240" w:lineRule="auto"/>
              <w:jc w:val="center"/>
              <w:outlineLvl w:val="9"/>
              <w:rPr>
                <w:rFonts w:ascii="宋体" w:hAnsi="宋体" w:cs="宋体"/>
                <w:color w:val="000000"/>
                <w:szCs w:val="21"/>
                <w:highlight w:val="none"/>
              </w:rPr>
            </w:pPr>
          </w:p>
        </w:tc>
      </w:tr>
      <w:tr w14:paraId="6B64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853" w:type="dxa"/>
            <w:gridSpan w:val="5"/>
            <w:tcBorders>
              <w:top w:val="single" w:color="auto" w:sz="4" w:space="0"/>
              <w:left w:val="single" w:color="auto" w:sz="4" w:space="0"/>
              <w:bottom w:val="single" w:color="auto" w:sz="4" w:space="0"/>
              <w:right w:val="single" w:color="auto" w:sz="4" w:space="0"/>
            </w:tcBorders>
            <w:noWrap w:val="0"/>
            <w:vAlign w:val="center"/>
          </w:tcPr>
          <w:p w14:paraId="307062B9">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合   计  100  分</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04027119">
            <w:pPr>
              <w:keepNext w:val="0"/>
              <w:keepLines w:val="0"/>
              <w:pageBreakBefore w:val="0"/>
              <w:bidi w:val="0"/>
              <w:spacing w:line="240" w:lineRule="auto"/>
              <w:jc w:val="center"/>
              <w:outlineLvl w:val="9"/>
              <w:rPr>
                <w:rFonts w:ascii="宋体" w:hAnsi="宋体" w:cs="宋体"/>
                <w:color w:val="000000"/>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118D009B">
            <w:pPr>
              <w:keepNext w:val="0"/>
              <w:keepLines w:val="0"/>
              <w:pageBreakBefore w:val="0"/>
              <w:bidi w:val="0"/>
              <w:spacing w:line="240" w:lineRule="auto"/>
              <w:jc w:val="center"/>
              <w:outlineLvl w:val="9"/>
              <w:rPr>
                <w:rFonts w:ascii="宋体" w:hAnsi="宋体" w:cs="宋体"/>
                <w:color w:val="000000"/>
                <w:szCs w:val="21"/>
                <w:highlight w:val="none"/>
              </w:rPr>
            </w:pPr>
          </w:p>
        </w:tc>
      </w:tr>
    </w:tbl>
    <w:p w14:paraId="337B2316">
      <w:pPr>
        <w:keepNext w:val="0"/>
        <w:keepLines w:val="0"/>
        <w:pageBreakBefore w:val="0"/>
        <w:bidi w:val="0"/>
        <w:spacing w:line="240" w:lineRule="auto"/>
        <w:outlineLvl w:val="9"/>
        <w:rPr>
          <w:color w:val="000000"/>
          <w:highlight w:val="none"/>
        </w:rPr>
      </w:pPr>
      <w:r>
        <w:rPr>
          <w:color w:val="000000"/>
          <w:highlight w:val="none"/>
        </w:rPr>
        <w:br w:type="page" w:clear="all"/>
      </w:r>
    </w:p>
    <w:tbl>
      <w:tblPr>
        <w:tblStyle w:val="30"/>
        <w:tblpPr w:leftFromText="180" w:rightFromText="180" w:vertAnchor="text" w:horzAnchor="margin" w:tblpXSpec="center" w:tblpY="265"/>
        <w:tblOverlap w:val="never"/>
        <w:tblW w:w="0" w:type="auto"/>
        <w:jc w:val="center"/>
        <w:tblLayout w:type="fixed"/>
        <w:tblCellMar>
          <w:top w:w="0" w:type="dxa"/>
          <w:left w:w="108" w:type="dxa"/>
          <w:bottom w:w="0" w:type="dxa"/>
          <w:right w:w="108" w:type="dxa"/>
        </w:tblCellMar>
      </w:tblPr>
      <w:tblGrid>
        <w:gridCol w:w="601"/>
        <w:gridCol w:w="11"/>
        <w:gridCol w:w="1013"/>
        <w:gridCol w:w="4"/>
        <w:gridCol w:w="2758"/>
        <w:gridCol w:w="7"/>
        <w:gridCol w:w="920"/>
        <w:gridCol w:w="11"/>
        <w:gridCol w:w="3675"/>
        <w:gridCol w:w="12"/>
        <w:gridCol w:w="555"/>
        <w:gridCol w:w="8"/>
        <w:gridCol w:w="417"/>
        <w:gridCol w:w="8"/>
      </w:tblGrid>
      <w:tr w14:paraId="6909C3A7">
        <w:tblPrEx>
          <w:tblCellMar>
            <w:top w:w="0" w:type="dxa"/>
            <w:left w:w="108" w:type="dxa"/>
            <w:bottom w:w="0" w:type="dxa"/>
            <w:right w:w="108" w:type="dxa"/>
          </w:tblCellMar>
        </w:tblPrEx>
        <w:trPr>
          <w:gridAfter w:val="1"/>
          <w:wAfter w:w="8" w:type="dxa"/>
          <w:trHeight w:val="678" w:hRule="atLeast"/>
          <w:jc w:val="center"/>
        </w:trPr>
        <w:tc>
          <w:tcPr>
            <w:tcW w:w="9992" w:type="dxa"/>
            <w:gridSpan w:val="13"/>
            <w:tcBorders>
              <w:top w:val="nil"/>
              <w:left w:val="nil"/>
              <w:bottom w:val="single" w:color="000000" w:sz="4" w:space="0"/>
              <w:right w:val="nil"/>
            </w:tcBorders>
            <w:noWrap w:val="0"/>
            <w:vAlign w:val="center"/>
          </w:tcPr>
          <w:p w14:paraId="1BDF936F">
            <w:pPr>
              <w:keepNext w:val="0"/>
              <w:keepLines w:val="0"/>
              <w:pageBreakBefore w:val="0"/>
              <w:bidi w:val="0"/>
              <w:spacing w:line="240" w:lineRule="auto"/>
              <w:ind w:firstLine="422"/>
              <w:jc w:val="center"/>
              <w:outlineLvl w:val="9"/>
              <w:rPr>
                <w:rFonts w:ascii="宋体" w:hAnsi="宋体" w:cs="宋体"/>
                <w:b/>
                <w:bCs/>
                <w:color w:val="000000"/>
                <w:szCs w:val="21"/>
                <w:highlight w:val="none"/>
              </w:rPr>
            </w:pPr>
            <w:r>
              <w:rPr>
                <w:rFonts w:hint="eastAsia" w:ascii="宋体" w:hAnsi="宋体" w:cs="宋体"/>
                <w:b/>
                <w:bCs/>
                <w:color w:val="000000"/>
                <w:szCs w:val="21"/>
                <w:highlight w:val="none"/>
              </w:rPr>
              <w:t>二、保洁服务考核表</w:t>
            </w:r>
          </w:p>
        </w:tc>
      </w:tr>
      <w:tr w14:paraId="47BDA133">
        <w:tblPrEx>
          <w:tblCellMar>
            <w:top w:w="0" w:type="dxa"/>
            <w:left w:w="108" w:type="dxa"/>
            <w:bottom w:w="0" w:type="dxa"/>
            <w:right w:w="108" w:type="dxa"/>
          </w:tblCellMar>
        </w:tblPrEx>
        <w:trPr>
          <w:gridAfter w:val="1"/>
          <w:wAfter w:w="8" w:type="dxa"/>
          <w:trHeight w:val="456" w:hRule="atLeast"/>
          <w:jc w:val="center"/>
        </w:trPr>
        <w:tc>
          <w:tcPr>
            <w:tcW w:w="601" w:type="dxa"/>
            <w:tcBorders>
              <w:top w:val="nil"/>
              <w:left w:val="single" w:color="auto" w:sz="4" w:space="0"/>
              <w:bottom w:val="single" w:color="auto" w:sz="4" w:space="0"/>
              <w:right w:val="single" w:color="auto" w:sz="4" w:space="0"/>
            </w:tcBorders>
            <w:noWrap w:val="0"/>
            <w:vAlign w:val="center"/>
          </w:tcPr>
          <w:p w14:paraId="489ABB24">
            <w:pPr>
              <w:keepNext w:val="0"/>
              <w:keepLines w:val="0"/>
              <w:pageBreakBefore w:val="0"/>
              <w:widowControl/>
              <w:bidi w:val="0"/>
              <w:spacing w:line="240" w:lineRule="auto"/>
              <w:jc w:val="center"/>
              <w:outlineLvl w:val="9"/>
              <w:rPr>
                <w:rFonts w:ascii="宋体" w:hAnsi="宋体" w:cs="宋体"/>
                <w:b/>
                <w:color w:val="000000"/>
                <w:szCs w:val="21"/>
                <w:highlight w:val="none"/>
              </w:rPr>
            </w:pPr>
            <w:r>
              <w:rPr>
                <w:rFonts w:hint="eastAsia" w:ascii="宋体" w:hAnsi="宋体" w:cs="宋体"/>
                <w:b/>
                <w:color w:val="000000"/>
                <w:szCs w:val="21"/>
                <w:highlight w:val="none"/>
              </w:rPr>
              <w:t>序号</w:t>
            </w:r>
          </w:p>
        </w:tc>
        <w:tc>
          <w:tcPr>
            <w:tcW w:w="1028" w:type="dxa"/>
            <w:gridSpan w:val="3"/>
            <w:tcBorders>
              <w:top w:val="nil"/>
              <w:left w:val="nil"/>
              <w:bottom w:val="single" w:color="auto" w:sz="4" w:space="0"/>
              <w:right w:val="single" w:color="auto" w:sz="4" w:space="0"/>
            </w:tcBorders>
            <w:noWrap w:val="0"/>
            <w:vAlign w:val="center"/>
          </w:tcPr>
          <w:p w14:paraId="67B180E4">
            <w:pPr>
              <w:keepNext w:val="0"/>
              <w:keepLines w:val="0"/>
              <w:pageBreakBefore w:val="0"/>
              <w:widowControl/>
              <w:bidi w:val="0"/>
              <w:spacing w:line="240" w:lineRule="auto"/>
              <w:jc w:val="center"/>
              <w:outlineLvl w:val="9"/>
              <w:rPr>
                <w:rFonts w:ascii="宋体" w:hAnsi="宋体" w:cs="宋体"/>
                <w:b/>
                <w:color w:val="000000"/>
                <w:szCs w:val="21"/>
                <w:highlight w:val="none"/>
              </w:rPr>
            </w:pPr>
            <w:r>
              <w:rPr>
                <w:rFonts w:hint="eastAsia" w:ascii="宋体" w:hAnsi="宋体" w:cs="宋体"/>
                <w:b/>
                <w:color w:val="000000"/>
                <w:szCs w:val="21"/>
                <w:highlight w:val="none"/>
              </w:rPr>
              <w:t>项目</w:t>
            </w:r>
          </w:p>
        </w:tc>
        <w:tc>
          <w:tcPr>
            <w:tcW w:w="2765" w:type="dxa"/>
            <w:gridSpan w:val="2"/>
            <w:tcBorders>
              <w:top w:val="nil"/>
              <w:left w:val="nil"/>
              <w:bottom w:val="single" w:color="auto" w:sz="4" w:space="0"/>
              <w:right w:val="single" w:color="auto" w:sz="4" w:space="0"/>
            </w:tcBorders>
            <w:noWrap w:val="0"/>
            <w:vAlign w:val="center"/>
          </w:tcPr>
          <w:p w14:paraId="5B4B5348">
            <w:pPr>
              <w:keepNext w:val="0"/>
              <w:keepLines w:val="0"/>
              <w:pageBreakBefore w:val="0"/>
              <w:widowControl/>
              <w:bidi w:val="0"/>
              <w:spacing w:line="240" w:lineRule="auto"/>
              <w:jc w:val="center"/>
              <w:outlineLvl w:val="9"/>
              <w:rPr>
                <w:rFonts w:ascii="宋体" w:hAnsi="宋体" w:cs="宋体"/>
                <w:b/>
                <w:color w:val="000000"/>
                <w:szCs w:val="21"/>
                <w:highlight w:val="none"/>
              </w:rPr>
            </w:pPr>
            <w:r>
              <w:rPr>
                <w:rFonts w:hint="eastAsia" w:ascii="宋体" w:hAnsi="宋体" w:cs="宋体"/>
                <w:b/>
                <w:color w:val="000000"/>
                <w:szCs w:val="21"/>
                <w:highlight w:val="none"/>
              </w:rPr>
              <w:t>评价内容</w:t>
            </w:r>
          </w:p>
        </w:tc>
        <w:tc>
          <w:tcPr>
            <w:tcW w:w="920" w:type="dxa"/>
            <w:tcBorders>
              <w:top w:val="nil"/>
              <w:left w:val="nil"/>
              <w:bottom w:val="single" w:color="auto" w:sz="4" w:space="0"/>
              <w:right w:val="single" w:color="auto" w:sz="4" w:space="0"/>
            </w:tcBorders>
            <w:noWrap w:val="0"/>
            <w:vAlign w:val="center"/>
          </w:tcPr>
          <w:p w14:paraId="7A776C89">
            <w:pPr>
              <w:keepNext w:val="0"/>
              <w:keepLines w:val="0"/>
              <w:pageBreakBefore w:val="0"/>
              <w:widowControl/>
              <w:bidi w:val="0"/>
              <w:spacing w:line="240" w:lineRule="auto"/>
              <w:jc w:val="center"/>
              <w:outlineLvl w:val="9"/>
              <w:rPr>
                <w:rFonts w:ascii="宋体" w:hAnsi="宋体" w:cs="宋体"/>
                <w:b/>
                <w:color w:val="000000"/>
                <w:szCs w:val="21"/>
                <w:highlight w:val="none"/>
              </w:rPr>
            </w:pPr>
            <w:r>
              <w:rPr>
                <w:rFonts w:hint="eastAsia" w:ascii="宋体" w:hAnsi="宋体" w:cs="宋体"/>
                <w:b/>
                <w:color w:val="000000"/>
                <w:szCs w:val="21"/>
                <w:highlight w:val="none"/>
              </w:rPr>
              <w:t>标准分</w:t>
            </w:r>
          </w:p>
        </w:tc>
        <w:tc>
          <w:tcPr>
            <w:tcW w:w="3686" w:type="dxa"/>
            <w:gridSpan w:val="2"/>
            <w:tcBorders>
              <w:top w:val="nil"/>
              <w:left w:val="nil"/>
              <w:bottom w:val="single" w:color="auto" w:sz="4" w:space="0"/>
              <w:right w:val="single" w:color="auto" w:sz="4" w:space="0"/>
            </w:tcBorders>
            <w:noWrap w:val="0"/>
            <w:vAlign w:val="center"/>
          </w:tcPr>
          <w:p w14:paraId="487D144C">
            <w:pPr>
              <w:keepNext w:val="0"/>
              <w:keepLines w:val="0"/>
              <w:pageBreakBefore w:val="0"/>
              <w:widowControl/>
              <w:bidi w:val="0"/>
              <w:spacing w:line="240" w:lineRule="auto"/>
              <w:jc w:val="center"/>
              <w:outlineLvl w:val="9"/>
              <w:rPr>
                <w:rFonts w:ascii="宋体" w:hAnsi="宋体" w:cs="宋体"/>
                <w:b/>
                <w:color w:val="000000"/>
                <w:szCs w:val="21"/>
                <w:highlight w:val="none"/>
              </w:rPr>
            </w:pPr>
            <w:r>
              <w:rPr>
                <w:rFonts w:hint="eastAsia" w:ascii="宋体" w:hAnsi="宋体" w:cs="宋体"/>
                <w:b/>
                <w:color w:val="000000"/>
                <w:szCs w:val="21"/>
                <w:highlight w:val="none"/>
              </w:rPr>
              <w:t>评分标准</w:t>
            </w:r>
          </w:p>
        </w:tc>
        <w:tc>
          <w:tcPr>
            <w:tcW w:w="567" w:type="dxa"/>
            <w:gridSpan w:val="2"/>
            <w:tcBorders>
              <w:top w:val="nil"/>
              <w:left w:val="nil"/>
              <w:bottom w:val="single" w:color="auto" w:sz="4" w:space="0"/>
              <w:right w:val="single" w:color="auto" w:sz="4" w:space="0"/>
            </w:tcBorders>
            <w:noWrap w:val="0"/>
            <w:vAlign w:val="center"/>
          </w:tcPr>
          <w:p w14:paraId="2C3EFF0E">
            <w:pPr>
              <w:keepNext w:val="0"/>
              <w:keepLines w:val="0"/>
              <w:pageBreakBefore w:val="0"/>
              <w:widowControl/>
              <w:bidi w:val="0"/>
              <w:spacing w:line="240" w:lineRule="auto"/>
              <w:jc w:val="center"/>
              <w:outlineLvl w:val="9"/>
              <w:rPr>
                <w:rFonts w:ascii="宋体" w:hAnsi="宋体" w:cs="宋体"/>
                <w:b/>
                <w:color w:val="000000"/>
                <w:szCs w:val="21"/>
                <w:highlight w:val="none"/>
              </w:rPr>
            </w:pPr>
            <w:r>
              <w:rPr>
                <w:rFonts w:hint="eastAsia" w:ascii="宋体" w:hAnsi="宋体" w:cs="宋体"/>
                <w:b/>
                <w:color w:val="000000"/>
                <w:szCs w:val="21"/>
                <w:highlight w:val="none"/>
              </w:rPr>
              <w:t>得分</w:t>
            </w:r>
          </w:p>
        </w:tc>
        <w:tc>
          <w:tcPr>
            <w:tcW w:w="425" w:type="dxa"/>
            <w:gridSpan w:val="2"/>
            <w:tcBorders>
              <w:top w:val="nil"/>
              <w:left w:val="nil"/>
              <w:bottom w:val="single" w:color="auto" w:sz="4" w:space="0"/>
              <w:right w:val="single" w:color="auto" w:sz="4" w:space="0"/>
            </w:tcBorders>
            <w:noWrap w:val="0"/>
            <w:vAlign w:val="center"/>
          </w:tcPr>
          <w:p w14:paraId="67DC18D7">
            <w:pPr>
              <w:keepNext w:val="0"/>
              <w:keepLines w:val="0"/>
              <w:pageBreakBefore w:val="0"/>
              <w:widowControl/>
              <w:bidi w:val="0"/>
              <w:spacing w:line="240" w:lineRule="auto"/>
              <w:jc w:val="center"/>
              <w:outlineLvl w:val="9"/>
              <w:rPr>
                <w:rFonts w:ascii="宋体" w:hAnsi="宋体" w:cs="宋体"/>
                <w:b/>
                <w:color w:val="000000"/>
                <w:szCs w:val="21"/>
                <w:highlight w:val="none"/>
              </w:rPr>
            </w:pPr>
            <w:r>
              <w:rPr>
                <w:rFonts w:hint="eastAsia" w:ascii="宋体" w:hAnsi="宋体" w:cs="宋体"/>
                <w:b/>
                <w:color w:val="000000"/>
                <w:szCs w:val="21"/>
                <w:highlight w:val="none"/>
              </w:rPr>
              <w:t>备注</w:t>
            </w:r>
          </w:p>
        </w:tc>
      </w:tr>
      <w:tr w14:paraId="540D70BA">
        <w:tblPrEx>
          <w:tblCellMar>
            <w:top w:w="0" w:type="dxa"/>
            <w:left w:w="108" w:type="dxa"/>
            <w:bottom w:w="0" w:type="dxa"/>
            <w:right w:w="108" w:type="dxa"/>
          </w:tblCellMar>
        </w:tblPrEx>
        <w:trPr>
          <w:gridAfter w:val="1"/>
          <w:wAfter w:w="8" w:type="dxa"/>
          <w:trHeight w:val="1101" w:hRule="atLeast"/>
          <w:jc w:val="center"/>
        </w:trPr>
        <w:tc>
          <w:tcPr>
            <w:tcW w:w="601" w:type="dxa"/>
            <w:vMerge w:val="restart"/>
            <w:tcBorders>
              <w:top w:val="nil"/>
              <w:left w:val="single" w:color="auto" w:sz="4" w:space="0"/>
              <w:bottom w:val="single" w:color="auto" w:sz="4" w:space="0"/>
              <w:right w:val="single" w:color="auto" w:sz="4" w:space="0"/>
            </w:tcBorders>
            <w:noWrap w:val="0"/>
            <w:vAlign w:val="center"/>
          </w:tcPr>
          <w:p w14:paraId="66CE86AC">
            <w:pPr>
              <w:keepNext w:val="0"/>
              <w:keepLines w:val="0"/>
              <w:pageBreakBefore w:val="0"/>
              <w:widowControl/>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1</w:t>
            </w:r>
          </w:p>
        </w:tc>
        <w:tc>
          <w:tcPr>
            <w:tcW w:w="1028" w:type="dxa"/>
            <w:gridSpan w:val="3"/>
            <w:vMerge w:val="restart"/>
            <w:tcBorders>
              <w:top w:val="nil"/>
              <w:left w:val="single" w:color="auto" w:sz="4" w:space="0"/>
              <w:bottom w:val="single" w:color="auto" w:sz="4" w:space="0"/>
              <w:right w:val="single" w:color="auto" w:sz="4" w:space="0"/>
            </w:tcBorders>
            <w:noWrap w:val="0"/>
            <w:vAlign w:val="center"/>
          </w:tcPr>
          <w:p w14:paraId="4B6C181F">
            <w:pPr>
              <w:keepNext w:val="0"/>
              <w:keepLines w:val="0"/>
              <w:pageBreakBefore w:val="0"/>
              <w:widowControl/>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服务行为(12）</w:t>
            </w:r>
          </w:p>
        </w:tc>
        <w:tc>
          <w:tcPr>
            <w:tcW w:w="2765" w:type="dxa"/>
            <w:gridSpan w:val="2"/>
            <w:tcBorders>
              <w:top w:val="nil"/>
              <w:left w:val="nil"/>
              <w:bottom w:val="single" w:color="auto" w:sz="4" w:space="0"/>
              <w:right w:val="single" w:color="auto" w:sz="4" w:space="0"/>
            </w:tcBorders>
            <w:noWrap w:val="0"/>
            <w:vAlign w:val="center"/>
          </w:tcPr>
          <w:p w14:paraId="16EC432C">
            <w:pPr>
              <w:keepNext w:val="0"/>
              <w:keepLines w:val="0"/>
              <w:pageBreakBefore w:val="0"/>
              <w:widowControl/>
              <w:bidi w:val="0"/>
              <w:spacing w:line="240" w:lineRule="auto"/>
              <w:ind w:left="-107" w:firstLine="126"/>
              <w:jc w:val="left"/>
              <w:outlineLvl w:val="9"/>
              <w:rPr>
                <w:rFonts w:ascii="宋体" w:hAnsi="宋体" w:cs="宋体"/>
                <w:color w:val="000000"/>
                <w:szCs w:val="21"/>
                <w:highlight w:val="none"/>
              </w:rPr>
            </w:pPr>
            <w:r>
              <w:rPr>
                <w:rFonts w:hint="eastAsia" w:ascii="宋体" w:hAnsi="宋体" w:cs="宋体"/>
                <w:color w:val="000000"/>
                <w:szCs w:val="21"/>
                <w:highlight w:val="none"/>
              </w:rPr>
              <w:t>1.按规定穿工作服，着工作鞋并保持整洁，不穿高跟鞋及露脚趾凉鞋</w:t>
            </w:r>
          </w:p>
        </w:tc>
        <w:tc>
          <w:tcPr>
            <w:tcW w:w="920" w:type="dxa"/>
            <w:tcBorders>
              <w:top w:val="nil"/>
              <w:left w:val="nil"/>
              <w:bottom w:val="single" w:color="auto" w:sz="4" w:space="0"/>
              <w:right w:val="single" w:color="auto" w:sz="4" w:space="0"/>
            </w:tcBorders>
            <w:noWrap w:val="0"/>
            <w:vAlign w:val="center"/>
          </w:tcPr>
          <w:p w14:paraId="61B64811">
            <w:pPr>
              <w:keepNext w:val="0"/>
              <w:keepLines w:val="0"/>
              <w:pageBreakBefore w:val="0"/>
              <w:widowControl/>
              <w:bidi w:val="0"/>
              <w:spacing w:line="240" w:lineRule="auto"/>
              <w:ind w:left="-107" w:firstLine="126"/>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86" w:type="dxa"/>
            <w:gridSpan w:val="2"/>
            <w:tcBorders>
              <w:top w:val="nil"/>
              <w:left w:val="nil"/>
              <w:bottom w:val="single" w:color="auto" w:sz="4" w:space="0"/>
              <w:right w:val="single" w:color="auto" w:sz="4" w:space="0"/>
            </w:tcBorders>
            <w:noWrap w:val="0"/>
            <w:vAlign w:val="center"/>
          </w:tcPr>
          <w:p w14:paraId="15410AEF">
            <w:pPr>
              <w:keepNext w:val="0"/>
              <w:keepLines w:val="0"/>
              <w:pageBreakBefore w:val="0"/>
              <w:widowControl/>
              <w:bidi w:val="0"/>
              <w:spacing w:line="240" w:lineRule="auto"/>
              <w:ind w:left="-107" w:firstLine="126"/>
              <w:jc w:val="left"/>
              <w:outlineLvl w:val="9"/>
              <w:rPr>
                <w:rFonts w:ascii="宋体" w:hAnsi="宋体" w:cs="宋体"/>
                <w:color w:val="000000"/>
                <w:szCs w:val="21"/>
                <w:highlight w:val="none"/>
              </w:rPr>
            </w:pPr>
            <w:r>
              <w:rPr>
                <w:rFonts w:hint="eastAsia" w:ascii="宋体" w:hAnsi="宋体" w:cs="宋体"/>
                <w:color w:val="000000"/>
                <w:szCs w:val="21"/>
                <w:highlight w:val="none"/>
              </w:rPr>
              <w:t>现场抽查，每发现1人违反规定，扣0.5分。</w:t>
            </w:r>
          </w:p>
        </w:tc>
        <w:tc>
          <w:tcPr>
            <w:tcW w:w="567" w:type="dxa"/>
            <w:gridSpan w:val="2"/>
            <w:tcBorders>
              <w:top w:val="nil"/>
              <w:left w:val="nil"/>
              <w:bottom w:val="single" w:color="auto" w:sz="4" w:space="0"/>
              <w:right w:val="single" w:color="auto" w:sz="4" w:space="0"/>
            </w:tcBorders>
            <w:noWrap w:val="0"/>
            <w:vAlign w:val="bottom"/>
          </w:tcPr>
          <w:p w14:paraId="4E0467E0">
            <w:pPr>
              <w:keepNext w:val="0"/>
              <w:keepLines w:val="0"/>
              <w:pageBreakBefore w:val="0"/>
              <w:widowControl/>
              <w:bidi w:val="0"/>
              <w:spacing w:line="240" w:lineRule="auto"/>
              <w:jc w:val="center"/>
              <w:outlineLvl w:val="9"/>
              <w:rPr>
                <w:rFonts w:ascii="宋体" w:hAnsi="宋体" w:cs="宋体"/>
                <w:color w:val="000000"/>
                <w:szCs w:val="21"/>
                <w:highlight w:val="none"/>
              </w:rPr>
            </w:pPr>
          </w:p>
        </w:tc>
        <w:tc>
          <w:tcPr>
            <w:tcW w:w="425" w:type="dxa"/>
            <w:gridSpan w:val="2"/>
            <w:tcBorders>
              <w:top w:val="nil"/>
              <w:left w:val="nil"/>
              <w:bottom w:val="single" w:color="auto" w:sz="4" w:space="0"/>
              <w:right w:val="single" w:color="auto" w:sz="4" w:space="0"/>
            </w:tcBorders>
            <w:noWrap w:val="0"/>
            <w:vAlign w:val="bottom"/>
          </w:tcPr>
          <w:p w14:paraId="53D23BE5">
            <w:pPr>
              <w:keepNext w:val="0"/>
              <w:keepLines w:val="0"/>
              <w:pageBreakBefore w:val="0"/>
              <w:widowControl/>
              <w:bidi w:val="0"/>
              <w:spacing w:line="240" w:lineRule="auto"/>
              <w:jc w:val="center"/>
              <w:outlineLvl w:val="9"/>
              <w:rPr>
                <w:rFonts w:ascii="宋体" w:hAnsi="宋体" w:cs="宋体"/>
                <w:color w:val="000000"/>
                <w:szCs w:val="21"/>
                <w:highlight w:val="none"/>
              </w:rPr>
            </w:pPr>
          </w:p>
        </w:tc>
      </w:tr>
      <w:tr w14:paraId="7BD00C07">
        <w:tblPrEx>
          <w:tblCellMar>
            <w:top w:w="0" w:type="dxa"/>
            <w:left w:w="108" w:type="dxa"/>
            <w:bottom w:w="0" w:type="dxa"/>
            <w:right w:w="108" w:type="dxa"/>
          </w:tblCellMar>
        </w:tblPrEx>
        <w:trPr>
          <w:gridAfter w:val="1"/>
          <w:wAfter w:w="8" w:type="dxa"/>
          <w:trHeight w:val="644" w:hRule="atLeast"/>
          <w:jc w:val="center"/>
        </w:trPr>
        <w:tc>
          <w:tcPr>
            <w:tcW w:w="601" w:type="dxa"/>
            <w:vMerge w:val="continue"/>
            <w:tcBorders>
              <w:top w:val="nil"/>
              <w:left w:val="single" w:color="auto" w:sz="4" w:space="0"/>
              <w:bottom w:val="single" w:color="auto" w:sz="4" w:space="0"/>
              <w:right w:val="single" w:color="auto" w:sz="4" w:space="0"/>
            </w:tcBorders>
            <w:noWrap w:val="0"/>
            <w:vAlign w:val="center"/>
          </w:tcPr>
          <w:p w14:paraId="3B8755D0">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8" w:type="dxa"/>
            <w:gridSpan w:val="3"/>
            <w:vMerge w:val="continue"/>
            <w:tcBorders>
              <w:top w:val="nil"/>
              <w:left w:val="single" w:color="auto" w:sz="4" w:space="0"/>
              <w:bottom w:val="single" w:color="auto" w:sz="4" w:space="0"/>
              <w:right w:val="single" w:color="auto" w:sz="4" w:space="0"/>
            </w:tcBorders>
            <w:noWrap w:val="0"/>
            <w:vAlign w:val="center"/>
          </w:tcPr>
          <w:p w14:paraId="1652503B">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5" w:type="dxa"/>
            <w:gridSpan w:val="2"/>
            <w:tcBorders>
              <w:top w:val="nil"/>
              <w:left w:val="nil"/>
              <w:bottom w:val="single" w:color="auto" w:sz="4" w:space="0"/>
              <w:right w:val="single" w:color="auto" w:sz="4" w:space="0"/>
            </w:tcBorders>
            <w:noWrap w:val="0"/>
            <w:vAlign w:val="center"/>
          </w:tcPr>
          <w:p w14:paraId="0F54EB1C">
            <w:pPr>
              <w:keepNext w:val="0"/>
              <w:keepLines w:val="0"/>
              <w:pageBreakBefore w:val="0"/>
              <w:widowControl/>
              <w:bidi w:val="0"/>
              <w:spacing w:line="240" w:lineRule="auto"/>
              <w:ind w:left="-107" w:right="185" w:firstLine="126"/>
              <w:jc w:val="left"/>
              <w:outlineLvl w:val="9"/>
              <w:rPr>
                <w:rFonts w:ascii="宋体" w:hAnsi="宋体" w:cs="宋体"/>
                <w:color w:val="000000"/>
                <w:szCs w:val="21"/>
                <w:highlight w:val="none"/>
              </w:rPr>
            </w:pPr>
            <w:r>
              <w:rPr>
                <w:rFonts w:hint="eastAsia" w:ascii="宋体" w:hAnsi="宋体" w:cs="宋体"/>
                <w:color w:val="000000"/>
                <w:szCs w:val="21"/>
                <w:highlight w:val="none"/>
              </w:rPr>
              <w:t>2.仪表规范、整洁、自然，文明用语</w:t>
            </w:r>
          </w:p>
        </w:tc>
        <w:tc>
          <w:tcPr>
            <w:tcW w:w="920" w:type="dxa"/>
            <w:tcBorders>
              <w:top w:val="nil"/>
              <w:left w:val="nil"/>
              <w:bottom w:val="single" w:color="auto" w:sz="4" w:space="0"/>
              <w:right w:val="single" w:color="auto" w:sz="4" w:space="0"/>
            </w:tcBorders>
            <w:noWrap w:val="0"/>
            <w:vAlign w:val="center"/>
          </w:tcPr>
          <w:p w14:paraId="117432E6">
            <w:pPr>
              <w:keepNext w:val="0"/>
              <w:keepLines w:val="0"/>
              <w:pageBreakBefore w:val="0"/>
              <w:widowControl/>
              <w:bidi w:val="0"/>
              <w:spacing w:line="240" w:lineRule="auto"/>
              <w:ind w:left="-107" w:firstLine="126"/>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86" w:type="dxa"/>
            <w:gridSpan w:val="2"/>
            <w:tcBorders>
              <w:top w:val="nil"/>
              <w:left w:val="nil"/>
              <w:bottom w:val="single" w:color="auto" w:sz="4" w:space="0"/>
              <w:right w:val="single" w:color="auto" w:sz="4" w:space="0"/>
            </w:tcBorders>
            <w:noWrap w:val="0"/>
            <w:vAlign w:val="center"/>
          </w:tcPr>
          <w:p w14:paraId="5A55BF45">
            <w:pPr>
              <w:keepNext w:val="0"/>
              <w:keepLines w:val="0"/>
              <w:pageBreakBefore w:val="0"/>
              <w:widowControl/>
              <w:bidi w:val="0"/>
              <w:spacing w:line="240" w:lineRule="auto"/>
              <w:ind w:left="-107" w:firstLine="126"/>
              <w:jc w:val="left"/>
              <w:outlineLvl w:val="9"/>
              <w:rPr>
                <w:rFonts w:ascii="宋体" w:hAnsi="宋体" w:cs="宋体"/>
                <w:color w:val="000000"/>
                <w:szCs w:val="21"/>
                <w:highlight w:val="none"/>
              </w:rPr>
            </w:pPr>
            <w:r>
              <w:rPr>
                <w:rFonts w:hint="eastAsia" w:ascii="宋体" w:hAnsi="宋体" w:cs="宋体"/>
                <w:color w:val="000000"/>
                <w:szCs w:val="21"/>
                <w:highlight w:val="none"/>
              </w:rPr>
              <w:t>现场抽查，每发现1人违反规定，扣0.5分。</w:t>
            </w:r>
          </w:p>
        </w:tc>
        <w:tc>
          <w:tcPr>
            <w:tcW w:w="567" w:type="dxa"/>
            <w:gridSpan w:val="2"/>
            <w:tcBorders>
              <w:top w:val="nil"/>
              <w:left w:val="nil"/>
              <w:bottom w:val="single" w:color="auto" w:sz="4" w:space="0"/>
              <w:right w:val="single" w:color="auto" w:sz="4" w:space="0"/>
            </w:tcBorders>
            <w:noWrap w:val="0"/>
            <w:vAlign w:val="bottom"/>
          </w:tcPr>
          <w:p w14:paraId="15AAC333">
            <w:pPr>
              <w:keepNext w:val="0"/>
              <w:keepLines w:val="0"/>
              <w:pageBreakBefore w:val="0"/>
              <w:widowControl/>
              <w:bidi w:val="0"/>
              <w:spacing w:line="240" w:lineRule="auto"/>
              <w:jc w:val="center"/>
              <w:outlineLvl w:val="9"/>
              <w:rPr>
                <w:rFonts w:ascii="宋体" w:hAnsi="宋体" w:cs="宋体"/>
                <w:color w:val="000000"/>
                <w:szCs w:val="21"/>
                <w:highlight w:val="none"/>
              </w:rPr>
            </w:pPr>
          </w:p>
        </w:tc>
        <w:tc>
          <w:tcPr>
            <w:tcW w:w="425" w:type="dxa"/>
            <w:gridSpan w:val="2"/>
            <w:tcBorders>
              <w:top w:val="nil"/>
              <w:left w:val="nil"/>
              <w:bottom w:val="single" w:color="auto" w:sz="4" w:space="0"/>
              <w:right w:val="single" w:color="auto" w:sz="4" w:space="0"/>
            </w:tcBorders>
            <w:noWrap w:val="0"/>
            <w:vAlign w:val="bottom"/>
          </w:tcPr>
          <w:p w14:paraId="22C34CFD">
            <w:pPr>
              <w:keepNext w:val="0"/>
              <w:keepLines w:val="0"/>
              <w:pageBreakBefore w:val="0"/>
              <w:widowControl/>
              <w:bidi w:val="0"/>
              <w:spacing w:line="240" w:lineRule="auto"/>
              <w:jc w:val="center"/>
              <w:outlineLvl w:val="9"/>
              <w:rPr>
                <w:rFonts w:ascii="宋体" w:hAnsi="宋体" w:cs="宋体"/>
                <w:color w:val="000000"/>
                <w:szCs w:val="21"/>
                <w:highlight w:val="none"/>
              </w:rPr>
            </w:pPr>
          </w:p>
        </w:tc>
      </w:tr>
      <w:tr w14:paraId="60ED6EF9">
        <w:tblPrEx>
          <w:tblCellMar>
            <w:top w:w="0" w:type="dxa"/>
            <w:left w:w="108" w:type="dxa"/>
            <w:bottom w:w="0" w:type="dxa"/>
            <w:right w:w="108" w:type="dxa"/>
          </w:tblCellMar>
        </w:tblPrEx>
        <w:trPr>
          <w:gridAfter w:val="1"/>
          <w:wAfter w:w="8" w:type="dxa"/>
          <w:trHeight w:val="688" w:hRule="atLeast"/>
          <w:jc w:val="center"/>
        </w:trPr>
        <w:tc>
          <w:tcPr>
            <w:tcW w:w="601" w:type="dxa"/>
            <w:vMerge w:val="continue"/>
            <w:tcBorders>
              <w:top w:val="nil"/>
              <w:left w:val="single" w:color="auto" w:sz="4" w:space="0"/>
              <w:bottom w:val="single" w:color="auto" w:sz="4" w:space="0"/>
              <w:right w:val="single" w:color="auto" w:sz="4" w:space="0"/>
            </w:tcBorders>
            <w:noWrap w:val="0"/>
            <w:vAlign w:val="center"/>
          </w:tcPr>
          <w:p w14:paraId="2148C471">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8" w:type="dxa"/>
            <w:gridSpan w:val="3"/>
            <w:vMerge w:val="continue"/>
            <w:tcBorders>
              <w:top w:val="nil"/>
              <w:left w:val="single" w:color="auto" w:sz="4" w:space="0"/>
              <w:bottom w:val="single" w:color="auto" w:sz="4" w:space="0"/>
              <w:right w:val="single" w:color="auto" w:sz="4" w:space="0"/>
            </w:tcBorders>
            <w:noWrap w:val="0"/>
            <w:vAlign w:val="center"/>
          </w:tcPr>
          <w:p w14:paraId="4A9FF053">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5" w:type="dxa"/>
            <w:gridSpan w:val="2"/>
            <w:tcBorders>
              <w:top w:val="nil"/>
              <w:left w:val="nil"/>
              <w:bottom w:val="single" w:color="auto" w:sz="4" w:space="0"/>
              <w:right w:val="single" w:color="auto" w:sz="4" w:space="0"/>
            </w:tcBorders>
            <w:noWrap w:val="0"/>
            <w:vAlign w:val="center"/>
          </w:tcPr>
          <w:p w14:paraId="153C5DEC">
            <w:pPr>
              <w:keepNext w:val="0"/>
              <w:keepLines w:val="0"/>
              <w:pageBreakBefore w:val="0"/>
              <w:widowControl/>
              <w:bidi w:val="0"/>
              <w:spacing w:line="240" w:lineRule="auto"/>
              <w:ind w:left="-107" w:firstLine="126"/>
              <w:jc w:val="left"/>
              <w:outlineLvl w:val="9"/>
              <w:rPr>
                <w:rFonts w:ascii="宋体" w:hAnsi="宋体" w:cs="宋体"/>
                <w:color w:val="000000"/>
                <w:szCs w:val="21"/>
                <w:highlight w:val="none"/>
              </w:rPr>
            </w:pPr>
            <w:r>
              <w:rPr>
                <w:rFonts w:hint="eastAsia" w:ascii="宋体" w:hAnsi="宋体" w:cs="宋体"/>
                <w:color w:val="000000"/>
                <w:szCs w:val="21"/>
                <w:highlight w:val="none"/>
              </w:rPr>
              <w:t>3.工作人员在办公区域应做到走路轻，操作轻，说话轻</w:t>
            </w:r>
          </w:p>
        </w:tc>
        <w:tc>
          <w:tcPr>
            <w:tcW w:w="920" w:type="dxa"/>
            <w:tcBorders>
              <w:top w:val="nil"/>
              <w:left w:val="nil"/>
              <w:bottom w:val="single" w:color="auto" w:sz="4" w:space="0"/>
              <w:right w:val="single" w:color="auto" w:sz="4" w:space="0"/>
            </w:tcBorders>
            <w:noWrap w:val="0"/>
            <w:vAlign w:val="center"/>
          </w:tcPr>
          <w:p w14:paraId="05A99F46">
            <w:pPr>
              <w:keepNext w:val="0"/>
              <w:keepLines w:val="0"/>
              <w:pageBreakBefore w:val="0"/>
              <w:widowControl/>
              <w:bidi w:val="0"/>
              <w:spacing w:line="240" w:lineRule="auto"/>
              <w:ind w:left="-107" w:firstLine="126"/>
              <w:jc w:val="center"/>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3686" w:type="dxa"/>
            <w:gridSpan w:val="2"/>
            <w:tcBorders>
              <w:top w:val="nil"/>
              <w:left w:val="nil"/>
              <w:bottom w:val="single" w:color="auto" w:sz="4" w:space="0"/>
              <w:right w:val="single" w:color="auto" w:sz="4" w:space="0"/>
            </w:tcBorders>
            <w:noWrap w:val="0"/>
            <w:vAlign w:val="center"/>
          </w:tcPr>
          <w:p w14:paraId="25600C0B">
            <w:pPr>
              <w:keepNext w:val="0"/>
              <w:keepLines w:val="0"/>
              <w:pageBreakBefore w:val="0"/>
              <w:widowControl/>
              <w:bidi w:val="0"/>
              <w:spacing w:line="240" w:lineRule="auto"/>
              <w:ind w:left="-107" w:firstLine="126"/>
              <w:jc w:val="left"/>
              <w:outlineLvl w:val="9"/>
              <w:rPr>
                <w:rFonts w:ascii="宋体" w:hAnsi="宋体" w:cs="宋体"/>
                <w:color w:val="000000"/>
                <w:szCs w:val="21"/>
                <w:highlight w:val="none"/>
              </w:rPr>
            </w:pPr>
            <w:r>
              <w:rPr>
                <w:rFonts w:hint="eastAsia" w:ascii="宋体" w:hAnsi="宋体" w:cs="宋体"/>
                <w:color w:val="000000"/>
                <w:szCs w:val="21"/>
                <w:highlight w:val="none"/>
              </w:rPr>
              <w:t>现场抽查，每发现1人违反规定，扣0.5分。</w:t>
            </w:r>
          </w:p>
        </w:tc>
        <w:tc>
          <w:tcPr>
            <w:tcW w:w="567" w:type="dxa"/>
            <w:gridSpan w:val="2"/>
            <w:tcBorders>
              <w:top w:val="nil"/>
              <w:left w:val="nil"/>
              <w:bottom w:val="single" w:color="auto" w:sz="4" w:space="0"/>
              <w:right w:val="single" w:color="auto" w:sz="4" w:space="0"/>
            </w:tcBorders>
            <w:noWrap w:val="0"/>
            <w:vAlign w:val="bottom"/>
          </w:tcPr>
          <w:p w14:paraId="46457DC3">
            <w:pPr>
              <w:keepNext w:val="0"/>
              <w:keepLines w:val="0"/>
              <w:pageBreakBefore w:val="0"/>
              <w:widowControl/>
              <w:bidi w:val="0"/>
              <w:spacing w:line="240" w:lineRule="auto"/>
              <w:jc w:val="center"/>
              <w:outlineLvl w:val="9"/>
              <w:rPr>
                <w:rFonts w:ascii="宋体" w:hAnsi="宋体" w:cs="宋体"/>
                <w:color w:val="000000"/>
                <w:szCs w:val="21"/>
                <w:highlight w:val="none"/>
              </w:rPr>
            </w:pPr>
          </w:p>
        </w:tc>
        <w:tc>
          <w:tcPr>
            <w:tcW w:w="425" w:type="dxa"/>
            <w:gridSpan w:val="2"/>
            <w:tcBorders>
              <w:top w:val="nil"/>
              <w:left w:val="nil"/>
              <w:bottom w:val="single" w:color="auto" w:sz="4" w:space="0"/>
              <w:right w:val="single" w:color="auto" w:sz="4" w:space="0"/>
            </w:tcBorders>
            <w:noWrap w:val="0"/>
            <w:vAlign w:val="bottom"/>
          </w:tcPr>
          <w:p w14:paraId="71EA886A">
            <w:pPr>
              <w:keepNext w:val="0"/>
              <w:keepLines w:val="0"/>
              <w:pageBreakBefore w:val="0"/>
              <w:widowControl/>
              <w:bidi w:val="0"/>
              <w:spacing w:line="240" w:lineRule="auto"/>
              <w:jc w:val="center"/>
              <w:outlineLvl w:val="9"/>
              <w:rPr>
                <w:rFonts w:ascii="宋体" w:hAnsi="宋体" w:cs="宋体"/>
                <w:color w:val="000000"/>
                <w:szCs w:val="21"/>
                <w:highlight w:val="none"/>
              </w:rPr>
            </w:pPr>
          </w:p>
        </w:tc>
      </w:tr>
      <w:tr w14:paraId="187C8D6A">
        <w:tblPrEx>
          <w:tblCellMar>
            <w:top w:w="0" w:type="dxa"/>
            <w:left w:w="108" w:type="dxa"/>
            <w:bottom w:w="0" w:type="dxa"/>
            <w:right w:w="108" w:type="dxa"/>
          </w:tblCellMar>
        </w:tblPrEx>
        <w:trPr>
          <w:gridAfter w:val="1"/>
          <w:wAfter w:w="8" w:type="dxa"/>
          <w:trHeight w:val="688" w:hRule="atLeast"/>
          <w:jc w:val="center"/>
        </w:trPr>
        <w:tc>
          <w:tcPr>
            <w:tcW w:w="601" w:type="dxa"/>
            <w:vMerge w:val="continue"/>
            <w:tcBorders>
              <w:top w:val="nil"/>
              <w:left w:val="single" w:color="auto" w:sz="4" w:space="0"/>
              <w:bottom w:val="single" w:color="auto" w:sz="4" w:space="0"/>
              <w:right w:val="single" w:color="auto" w:sz="4" w:space="0"/>
            </w:tcBorders>
            <w:noWrap w:val="0"/>
            <w:vAlign w:val="center"/>
          </w:tcPr>
          <w:p w14:paraId="69D9FAFA">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8" w:type="dxa"/>
            <w:gridSpan w:val="3"/>
            <w:vMerge w:val="continue"/>
            <w:tcBorders>
              <w:top w:val="nil"/>
              <w:left w:val="single" w:color="auto" w:sz="4" w:space="0"/>
              <w:bottom w:val="single" w:color="auto" w:sz="4" w:space="0"/>
              <w:right w:val="single" w:color="auto" w:sz="4" w:space="0"/>
            </w:tcBorders>
            <w:noWrap w:val="0"/>
            <w:vAlign w:val="center"/>
          </w:tcPr>
          <w:p w14:paraId="522B0059">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5" w:type="dxa"/>
            <w:gridSpan w:val="2"/>
            <w:tcBorders>
              <w:top w:val="nil"/>
              <w:left w:val="nil"/>
              <w:bottom w:val="single" w:color="auto" w:sz="4" w:space="0"/>
              <w:right w:val="single" w:color="auto" w:sz="4" w:space="0"/>
            </w:tcBorders>
            <w:noWrap w:val="0"/>
            <w:vAlign w:val="center"/>
          </w:tcPr>
          <w:p w14:paraId="2B58C1CF">
            <w:pPr>
              <w:keepNext w:val="0"/>
              <w:keepLines w:val="0"/>
              <w:pageBreakBefore w:val="0"/>
              <w:widowControl/>
              <w:bidi w:val="0"/>
              <w:spacing w:line="240" w:lineRule="auto"/>
              <w:ind w:left="-107" w:firstLine="126"/>
              <w:jc w:val="left"/>
              <w:outlineLvl w:val="9"/>
              <w:rPr>
                <w:rFonts w:ascii="宋体" w:hAnsi="宋体" w:cs="宋体"/>
                <w:color w:val="000000"/>
                <w:szCs w:val="21"/>
                <w:highlight w:val="none"/>
              </w:rPr>
            </w:pPr>
            <w:r>
              <w:rPr>
                <w:rFonts w:hint="eastAsia" w:ascii="宋体" w:hAnsi="宋体" w:cs="宋体"/>
                <w:color w:val="000000"/>
                <w:szCs w:val="21"/>
                <w:highlight w:val="none"/>
              </w:rPr>
              <w:t>4.在规定时间提供服务，并且在特殊情况时及时服务</w:t>
            </w:r>
          </w:p>
        </w:tc>
        <w:tc>
          <w:tcPr>
            <w:tcW w:w="920" w:type="dxa"/>
            <w:tcBorders>
              <w:top w:val="nil"/>
              <w:left w:val="nil"/>
              <w:bottom w:val="single" w:color="auto" w:sz="4" w:space="0"/>
              <w:right w:val="single" w:color="auto" w:sz="4" w:space="0"/>
            </w:tcBorders>
            <w:noWrap w:val="0"/>
            <w:vAlign w:val="center"/>
          </w:tcPr>
          <w:p w14:paraId="7937B7D0">
            <w:pPr>
              <w:keepNext w:val="0"/>
              <w:keepLines w:val="0"/>
              <w:pageBreakBefore w:val="0"/>
              <w:widowControl/>
              <w:bidi w:val="0"/>
              <w:spacing w:line="240" w:lineRule="auto"/>
              <w:ind w:left="-107" w:firstLine="126"/>
              <w:jc w:val="center"/>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3686" w:type="dxa"/>
            <w:gridSpan w:val="2"/>
            <w:tcBorders>
              <w:top w:val="nil"/>
              <w:left w:val="nil"/>
              <w:bottom w:val="single" w:color="auto" w:sz="4" w:space="0"/>
              <w:right w:val="single" w:color="auto" w:sz="4" w:space="0"/>
            </w:tcBorders>
            <w:noWrap w:val="0"/>
            <w:vAlign w:val="center"/>
          </w:tcPr>
          <w:p w14:paraId="0EDD36C4">
            <w:pPr>
              <w:keepNext w:val="0"/>
              <w:keepLines w:val="0"/>
              <w:pageBreakBefore w:val="0"/>
              <w:widowControl/>
              <w:bidi w:val="0"/>
              <w:spacing w:line="240" w:lineRule="auto"/>
              <w:ind w:left="-107" w:firstLine="126"/>
              <w:jc w:val="left"/>
              <w:outlineLvl w:val="9"/>
              <w:rPr>
                <w:rFonts w:ascii="宋体" w:hAnsi="宋体" w:cs="宋体"/>
                <w:color w:val="000000"/>
                <w:szCs w:val="21"/>
                <w:highlight w:val="none"/>
              </w:rPr>
            </w:pPr>
            <w:r>
              <w:rPr>
                <w:rFonts w:hint="eastAsia" w:ascii="宋体" w:hAnsi="宋体" w:cs="宋体"/>
                <w:color w:val="000000"/>
                <w:szCs w:val="21"/>
                <w:highlight w:val="none"/>
              </w:rPr>
              <w:t>现场抽查，发现1人违反规定，本子项不得分。</w:t>
            </w:r>
          </w:p>
        </w:tc>
        <w:tc>
          <w:tcPr>
            <w:tcW w:w="567" w:type="dxa"/>
            <w:gridSpan w:val="2"/>
            <w:tcBorders>
              <w:top w:val="nil"/>
              <w:left w:val="nil"/>
              <w:bottom w:val="single" w:color="auto" w:sz="4" w:space="0"/>
              <w:right w:val="single" w:color="auto" w:sz="4" w:space="0"/>
            </w:tcBorders>
            <w:noWrap w:val="0"/>
            <w:vAlign w:val="bottom"/>
          </w:tcPr>
          <w:p w14:paraId="66D80B31">
            <w:pPr>
              <w:keepNext w:val="0"/>
              <w:keepLines w:val="0"/>
              <w:pageBreakBefore w:val="0"/>
              <w:widowControl/>
              <w:bidi w:val="0"/>
              <w:spacing w:line="240" w:lineRule="auto"/>
              <w:jc w:val="center"/>
              <w:outlineLvl w:val="9"/>
              <w:rPr>
                <w:rFonts w:ascii="宋体" w:hAnsi="宋体" w:cs="宋体"/>
                <w:color w:val="000000"/>
                <w:szCs w:val="21"/>
                <w:highlight w:val="none"/>
              </w:rPr>
            </w:pPr>
          </w:p>
        </w:tc>
        <w:tc>
          <w:tcPr>
            <w:tcW w:w="425" w:type="dxa"/>
            <w:gridSpan w:val="2"/>
            <w:tcBorders>
              <w:top w:val="nil"/>
              <w:left w:val="nil"/>
              <w:bottom w:val="single" w:color="auto" w:sz="4" w:space="0"/>
              <w:right w:val="single" w:color="auto" w:sz="4" w:space="0"/>
            </w:tcBorders>
            <w:noWrap w:val="0"/>
            <w:vAlign w:val="bottom"/>
          </w:tcPr>
          <w:p w14:paraId="433EB3C5">
            <w:pPr>
              <w:keepNext w:val="0"/>
              <w:keepLines w:val="0"/>
              <w:pageBreakBefore w:val="0"/>
              <w:widowControl/>
              <w:bidi w:val="0"/>
              <w:spacing w:line="240" w:lineRule="auto"/>
              <w:jc w:val="center"/>
              <w:outlineLvl w:val="9"/>
              <w:rPr>
                <w:rFonts w:ascii="宋体" w:hAnsi="宋体" w:cs="宋体"/>
                <w:color w:val="000000"/>
                <w:szCs w:val="21"/>
                <w:highlight w:val="none"/>
              </w:rPr>
            </w:pPr>
          </w:p>
        </w:tc>
      </w:tr>
      <w:tr w14:paraId="097A1E5E">
        <w:tblPrEx>
          <w:tblCellMar>
            <w:top w:w="0" w:type="dxa"/>
            <w:left w:w="108" w:type="dxa"/>
            <w:bottom w:w="0" w:type="dxa"/>
            <w:right w:w="108" w:type="dxa"/>
          </w:tblCellMar>
        </w:tblPrEx>
        <w:trPr>
          <w:gridAfter w:val="1"/>
          <w:wAfter w:w="8" w:type="dxa"/>
          <w:trHeight w:val="644" w:hRule="atLeast"/>
          <w:jc w:val="center"/>
        </w:trPr>
        <w:tc>
          <w:tcPr>
            <w:tcW w:w="601" w:type="dxa"/>
            <w:vMerge w:val="continue"/>
            <w:tcBorders>
              <w:top w:val="nil"/>
              <w:left w:val="single" w:color="auto" w:sz="4" w:space="0"/>
              <w:bottom w:val="single" w:color="auto" w:sz="4" w:space="0"/>
              <w:right w:val="single" w:color="auto" w:sz="4" w:space="0"/>
            </w:tcBorders>
            <w:noWrap w:val="0"/>
            <w:vAlign w:val="center"/>
          </w:tcPr>
          <w:p w14:paraId="06322260">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8" w:type="dxa"/>
            <w:gridSpan w:val="3"/>
            <w:vMerge w:val="continue"/>
            <w:tcBorders>
              <w:top w:val="nil"/>
              <w:left w:val="single" w:color="auto" w:sz="4" w:space="0"/>
              <w:bottom w:val="single" w:color="auto" w:sz="4" w:space="0"/>
              <w:right w:val="single" w:color="auto" w:sz="4" w:space="0"/>
            </w:tcBorders>
            <w:noWrap w:val="0"/>
            <w:vAlign w:val="center"/>
          </w:tcPr>
          <w:p w14:paraId="71C77280">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5" w:type="dxa"/>
            <w:gridSpan w:val="2"/>
            <w:tcBorders>
              <w:top w:val="nil"/>
              <w:left w:val="nil"/>
              <w:bottom w:val="single" w:color="auto" w:sz="4" w:space="0"/>
              <w:right w:val="single" w:color="auto" w:sz="4" w:space="0"/>
            </w:tcBorders>
            <w:noWrap w:val="0"/>
            <w:vAlign w:val="center"/>
          </w:tcPr>
          <w:p w14:paraId="67DDB6E7">
            <w:pPr>
              <w:keepNext w:val="0"/>
              <w:keepLines w:val="0"/>
              <w:pageBreakBefore w:val="0"/>
              <w:widowControl/>
              <w:bidi w:val="0"/>
              <w:spacing w:line="240" w:lineRule="auto"/>
              <w:ind w:left="-107" w:firstLine="126"/>
              <w:jc w:val="left"/>
              <w:outlineLvl w:val="9"/>
              <w:rPr>
                <w:rFonts w:ascii="宋体" w:hAnsi="宋体" w:cs="宋体"/>
                <w:color w:val="000000"/>
                <w:szCs w:val="21"/>
                <w:highlight w:val="none"/>
              </w:rPr>
            </w:pPr>
            <w:r>
              <w:rPr>
                <w:rFonts w:hint="eastAsia" w:ascii="宋体" w:hAnsi="宋体" w:cs="宋体"/>
                <w:color w:val="000000"/>
                <w:szCs w:val="21"/>
                <w:highlight w:val="none"/>
              </w:rPr>
              <w:t>5.不在休息房内煮饭、炒菜和用餐</w:t>
            </w:r>
          </w:p>
        </w:tc>
        <w:tc>
          <w:tcPr>
            <w:tcW w:w="920" w:type="dxa"/>
            <w:tcBorders>
              <w:top w:val="nil"/>
              <w:left w:val="nil"/>
              <w:bottom w:val="single" w:color="auto" w:sz="4" w:space="0"/>
              <w:right w:val="single" w:color="auto" w:sz="4" w:space="0"/>
            </w:tcBorders>
            <w:noWrap w:val="0"/>
            <w:vAlign w:val="center"/>
          </w:tcPr>
          <w:p w14:paraId="4A6C9C03">
            <w:pPr>
              <w:keepNext w:val="0"/>
              <w:keepLines w:val="0"/>
              <w:pageBreakBefore w:val="0"/>
              <w:widowControl/>
              <w:bidi w:val="0"/>
              <w:spacing w:line="240" w:lineRule="auto"/>
              <w:ind w:left="-107" w:firstLine="126"/>
              <w:jc w:val="center"/>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3686" w:type="dxa"/>
            <w:gridSpan w:val="2"/>
            <w:tcBorders>
              <w:top w:val="nil"/>
              <w:left w:val="nil"/>
              <w:bottom w:val="single" w:color="auto" w:sz="4" w:space="0"/>
              <w:right w:val="single" w:color="auto" w:sz="4" w:space="0"/>
            </w:tcBorders>
            <w:noWrap w:val="0"/>
            <w:vAlign w:val="center"/>
          </w:tcPr>
          <w:p w14:paraId="1E905DF1">
            <w:pPr>
              <w:keepNext w:val="0"/>
              <w:keepLines w:val="0"/>
              <w:pageBreakBefore w:val="0"/>
              <w:widowControl/>
              <w:bidi w:val="0"/>
              <w:spacing w:line="240" w:lineRule="auto"/>
              <w:ind w:left="-107" w:firstLine="126"/>
              <w:jc w:val="left"/>
              <w:outlineLvl w:val="9"/>
              <w:rPr>
                <w:rFonts w:ascii="宋体" w:hAnsi="宋体" w:cs="宋体"/>
                <w:color w:val="000000"/>
                <w:szCs w:val="21"/>
                <w:highlight w:val="none"/>
              </w:rPr>
            </w:pPr>
            <w:r>
              <w:rPr>
                <w:rFonts w:hint="eastAsia" w:ascii="宋体" w:hAnsi="宋体" w:cs="宋体"/>
                <w:color w:val="000000"/>
                <w:szCs w:val="21"/>
                <w:highlight w:val="none"/>
              </w:rPr>
              <w:t>抽查保洁工作场所，发现1人违反规定，本子项不得分。</w:t>
            </w:r>
          </w:p>
        </w:tc>
        <w:tc>
          <w:tcPr>
            <w:tcW w:w="567" w:type="dxa"/>
            <w:gridSpan w:val="2"/>
            <w:tcBorders>
              <w:top w:val="nil"/>
              <w:left w:val="nil"/>
              <w:bottom w:val="single" w:color="auto" w:sz="4" w:space="0"/>
              <w:right w:val="single" w:color="auto" w:sz="4" w:space="0"/>
            </w:tcBorders>
            <w:noWrap w:val="0"/>
            <w:vAlign w:val="bottom"/>
          </w:tcPr>
          <w:p w14:paraId="57EAFB9F">
            <w:pPr>
              <w:keepNext w:val="0"/>
              <w:keepLines w:val="0"/>
              <w:pageBreakBefore w:val="0"/>
              <w:widowControl/>
              <w:bidi w:val="0"/>
              <w:spacing w:line="240" w:lineRule="auto"/>
              <w:jc w:val="center"/>
              <w:outlineLvl w:val="9"/>
              <w:rPr>
                <w:rFonts w:ascii="宋体" w:hAnsi="宋体" w:cs="宋体"/>
                <w:color w:val="000000"/>
                <w:szCs w:val="21"/>
                <w:highlight w:val="none"/>
              </w:rPr>
            </w:pPr>
          </w:p>
        </w:tc>
        <w:tc>
          <w:tcPr>
            <w:tcW w:w="425" w:type="dxa"/>
            <w:gridSpan w:val="2"/>
            <w:tcBorders>
              <w:top w:val="nil"/>
              <w:left w:val="nil"/>
              <w:bottom w:val="single" w:color="auto" w:sz="4" w:space="0"/>
              <w:right w:val="single" w:color="auto" w:sz="4" w:space="0"/>
            </w:tcBorders>
            <w:noWrap w:val="0"/>
            <w:vAlign w:val="bottom"/>
          </w:tcPr>
          <w:p w14:paraId="54CA89E8">
            <w:pPr>
              <w:keepNext w:val="0"/>
              <w:keepLines w:val="0"/>
              <w:pageBreakBefore w:val="0"/>
              <w:widowControl/>
              <w:bidi w:val="0"/>
              <w:spacing w:line="240" w:lineRule="auto"/>
              <w:jc w:val="center"/>
              <w:outlineLvl w:val="9"/>
              <w:rPr>
                <w:rFonts w:ascii="宋体" w:hAnsi="宋体" w:cs="宋体"/>
                <w:color w:val="000000"/>
                <w:szCs w:val="21"/>
                <w:highlight w:val="none"/>
              </w:rPr>
            </w:pPr>
          </w:p>
        </w:tc>
      </w:tr>
      <w:tr w14:paraId="630873FD">
        <w:tblPrEx>
          <w:tblCellMar>
            <w:top w:w="0" w:type="dxa"/>
            <w:left w:w="108" w:type="dxa"/>
            <w:bottom w:w="0" w:type="dxa"/>
            <w:right w:w="108" w:type="dxa"/>
          </w:tblCellMar>
        </w:tblPrEx>
        <w:trPr>
          <w:gridAfter w:val="1"/>
          <w:wAfter w:w="8" w:type="dxa"/>
          <w:trHeight w:val="1310" w:hRule="atLeast"/>
          <w:jc w:val="center"/>
        </w:trPr>
        <w:tc>
          <w:tcPr>
            <w:tcW w:w="601" w:type="dxa"/>
            <w:vMerge w:val="restart"/>
            <w:tcBorders>
              <w:top w:val="single" w:color="auto" w:sz="4" w:space="0"/>
              <w:left w:val="single" w:color="auto" w:sz="4" w:space="0"/>
              <w:bottom w:val="single" w:color="auto" w:sz="4" w:space="0"/>
              <w:right w:val="single" w:color="auto" w:sz="4" w:space="0"/>
            </w:tcBorders>
            <w:noWrap w:val="0"/>
            <w:vAlign w:val="center"/>
          </w:tcPr>
          <w:p w14:paraId="62091122">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1028"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09C6AC34">
            <w:pPr>
              <w:keepNext w:val="0"/>
              <w:keepLines w:val="0"/>
              <w:pageBreakBefore w:val="0"/>
              <w:widowControl/>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保洁总体要求(24)</w:t>
            </w:r>
          </w:p>
        </w:tc>
        <w:tc>
          <w:tcPr>
            <w:tcW w:w="2765" w:type="dxa"/>
            <w:gridSpan w:val="2"/>
            <w:tcBorders>
              <w:top w:val="single" w:color="auto" w:sz="4" w:space="0"/>
              <w:left w:val="single" w:color="auto" w:sz="4" w:space="0"/>
              <w:bottom w:val="single" w:color="auto" w:sz="4" w:space="0"/>
              <w:right w:val="single" w:color="auto" w:sz="4" w:space="0"/>
            </w:tcBorders>
            <w:noWrap w:val="0"/>
            <w:vAlign w:val="center"/>
          </w:tcPr>
          <w:p w14:paraId="118B1554">
            <w:pPr>
              <w:keepNext w:val="0"/>
              <w:keepLines w:val="0"/>
              <w:pageBreakBefore w:val="0"/>
              <w:widowControl/>
              <w:bidi w:val="0"/>
              <w:spacing w:line="240" w:lineRule="auto"/>
              <w:ind w:left="-107" w:firstLine="126"/>
              <w:jc w:val="left"/>
              <w:outlineLvl w:val="9"/>
              <w:rPr>
                <w:rFonts w:ascii="宋体" w:hAnsi="宋体" w:cs="宋体"/>
                <w:color w:val="000000"/>
                <w:szCs w:val="21"/>
                <w:highlight w:val="none"/>
              </w:rPr>
            </w:pPr>
            <w:r>
              <w:rPr>
                <w:rFonts w:hint="eastAsia" w:ascii="宋体" w:hAnsi="宋体" w:cs="宋体"/>
                <w:color w:val="000000"/>
                <w:szCs w:val="21"/>
                <w:highlight w:val="none"/>
              </w:rPr>
              <w:t>1.各次重大活动之前，应制订保洁作业方案，</w:t>
            </w:r>
            <w:r>
              <w:rPr>
                <w:rFonts w:hint="eastAsia" w:ascii="宋体" w:hAnsi="宋体" w:cs="宋体"/>
                <w:color w:val="000000"/>
                <w:szCs w:val="21"/>
              </w:rPr>
              <w:t>精心</w:t>
            </w:r>
            <w:r>
              <w:rPr>
                <w:rFonts w:hint="eastAsia" w:ascii="宋体" w:hAnsi="宋体" w:cs="宋体"/>
                <w:color w:val="000000"/>
                <w:szCs w:val="21"/>
                <w:highlight w:val="none"/>
              </w:rPr>
              <w:t>准备，做好各场所和区域的保洁工作并服务于重大活动</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555A1AC3">
            <w:pPr>
              <w:keepNext w:val="0"/>
              <w:keepLines w:val="0"/>
              <w:pageBreakBefore w:val="0"/>
              <w:widowControl/>
              <w:bidi w:val="0"/>
              <w:spacing w:line="240" w:lineRule="auto"/>
              <w:ind w:left="-107" w:firstLine="126"/>
              <w:jc w:val="center"/>
              <w:outlineLvl w:val="9"/>
              <w:rPr>
                <w:rFonts w:ascii="宋体" w:hAnsi="宋体" w:cs="宋体"/>
                <w:color w:val="000000"/>
                <w:szCs w:val="21"/>
                <w:highlight w:val="none"/>
              </w:rPr>
            </w:pPr>
            <w:r>
              <w:rPr>
                <w:rFonts w:hint="eastAsia" w:ascii="宋体" w:hAnsi="宋体" w:cs="宋体"/>
                <w:color w:val="000000"/>
                <w:szCs w:val="21"/>
                <w:highlight w:val="none"/>
              </w:rPr>
              <w:t>4</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1DF41313">
            <w:pPr>
              <w:keepNext w:val="0"/>
              <w:keepLines w:val="0"/>
              <w:pageBreakBefore w:val="0"/>
              <w:widowControl/>
              <w:bidi w:val="0"/>
              <w:spacing w:line="240" w:lineRule="auto"/>
              <w:ind w:left="-107" w:firstLine="126"/>
              <w:jc w:val="left"/>
              <w:outlineLvl w:val="9"/>
              <w:rPr>
                <w:rFonts w:ascii="宋体" w:hAnsi="宋体" w:cs="宋体"/>
                <w:color w:val="000000"/>
                <w:szCs w:val="21"/>
                <w:highlight w:val="none"/>
              </w:rPr>
            </w:pPr>
            <w:r>
              <w:rPr>
                <w:rFonts w:hint="eastAsia" w:ascii="宋体" w:hAnsi="宋体" w:cs="宋体"/>
                <w:color w:val="000000"/>
                <w:szCs w:val="21"/>
                <w:highlight w:val="none"/>
              </w:rPr>
              <w:t>未制订保洁方案，本子项不得分；                        未按方案实施，发生1次“保洁事故”，本子项不得分。</w:t>
            </w:r>
          </w:p>
        </w:tc>
        <w:tc>
          <w:tcPr>
            <w:tcW w:w="567" w:type="dxa"/>
            <w:gridSpan w:val="2"/>
            <w:tcBorders>
              <w:top w:val="single" w:color="auto" w:sz="4" w:space="0"/>
              <w:left w:val="single" w:color="auto" w:sz="4" w:space="0"/>
              <w:bottom w:val="single" w:color="auto" w:sz="4" w:space="0"/>
              <w:right w:val="single" w:color="auto" w:sz="4" w:space="0"/>
            </w:tcBorders>
            <w:noWrap w:val="0"/>
            <w:vAlign w:val="bottom"/>
          </w:tcPr>
          <w:p w14:paraId="208BFB4C">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bottom"/>
          </w:tcPr>
          <w:p w14:paraId="31D036D1">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69E692CA">
        <w:tblPrEx>
          <w:tblCellMar>
            <w:top w:w="0" w:type="dxa"/>
            <w:left w:w="108" w:type="dxa"/>
            <w:bottom w:w="0" w:type="dxa"/>
            <w:right w:w="108" w:type="dxa"/>
          </w:tblCellMar>
        </w:tblPrEx>
        <w:trPr>
          <w:gridAfter w:val="1"/>
          <w:wAfter w:w="8" w:type="dxa"/>
          <w:trHeight w:val="1028" w:hRule="atLeast"/>
          <w:jc w:val="center"/>
        </w:trPr>
        <w:tc>
          <w:tcPr>
            <w:tcW w:w="601" w:type="dxa"/>
            <w:vMerge w:val="continue"/>
            <w:tcBorders>
              <w:top w:val="single" w:color="auto" w:sz="4" w:space="0"/>
              <w:left w:val="single" w:color="auto" w:sz="4" w:space="0"/>
              <w:bottom w:val="single" w:color="auto" w:sz="4" w:space="0"/>
              <w:right w:val="single" w:color="auto" w:sz="4" w:space="0"/>
            </w:tcBorders>
            <w:noWrap w:val="0"/>
            <w:vAlign w:val="center"/>
          </w:tcPr>
          <w:p w14:paraId="59E3D559">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1DD9D60">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5" w:type="dxa"/>
            <w:gridSpan w:val="2"/>
            <w:tcBorders>
              <w:top w:val="single" w:color="auto" w:sz="4" w:space="0"/>
              <w:left w:val="single" w:color="auto" w:sz="4" w:space="0"/>
              <w:bottom w:val="single" w:color="auto" w:sz="4" w:space="0"/>
              <w:right w:val="single" w:color="auto" w:sz="4" w:space="0"/>
            </w:tcBorders>
            <w:noWrap w:val="0"/>
            <w:vAlign w:val="center"/>
          </w:tcPr>
          <w:p w14:paraId="59BDF4F4">
            <w:pPr>
              <w:keepNext w:val="0"/>
              <w:keepLines w:val="0"/>
              <w:pageBreakBefore w:val="0"/>
              <w:widowControl/>
              <w:bidi w:val="0"/>
              <w:spacing w:line="240" w:lineRule="auto"/>
              <w:ind w:left="-107" w:firstLine="126"/>
              <w:jc w:val="left"/>
              <w:outlineLvl w:val="9"/>
              <w:rPr>
                <w:rFonts w:ascii="宋体" w:hAnsi="宋体" w:cs="宋体"/>
                <w:color w:val="000000"/>
                <w:szCs w:val="21"/>
                <w:highlight w:val="none"/>
              </w:rPr>
            </w:pPr>
            <w:r>
              <w:rPr>
                <w:rFonts w:hint="eastAsia" w:ascii="宋体" w:hAnsi="宋体" w:cs="宋体"/>
                <w:color w:val="000000"/>
                <w:szCs w:val="21"/>
                <w:highlight w:val="none"/>
              </w:rPr>
              <w:t>2.应建立投诉记录表，及时查实投诉答复、整改</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21AFD427">
            <w:pPr>
              <w:keepNext w:val="0"/>
              <w:keepLines w:val="0"/>
              <w:pageBreakBefore w:val="0"/>
              <w:widowControl/>
              <w:bidi w:val="0"/>
              <w:spacing w:line="240" w:lineRule="auto"/>
              <w:ind w:left="-107" w:firstLine="126"/>
              <w:jc w:val="center"/>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6F304278">
            <w:pPr>
              <w:keepNext w:val="0"/>
              <w:keepLines w:val="0"/>
              <w:pageBreakBefore w:val="0"/>
              <w:widowControl/>
              <w:bidi w:val="0"/>
              <w:spacing w:line="240" w:lineRule="auto"/>
              <w:ind w:left="-107" w:firstLine="420"/>
              <w:jc w:val="left"/>
              <w:outlineLvl w:val="9"/>
              <w:rPr>
                <w:rFonts w:ascii="宋体" w:hAnsi="宋体" w:cs="宋体"/>
                <w:color w:val="000000"/>
                <w:szCs w:val="21"/>
                <w:highlight w:val="none"/>
              </w:rPr>
            </w:pPr>
            <w:r>
              <w:rPr>
                <w:rFonts w:hint="eastAsia" w:ascii="宋体" w:hAnsi="宋体" w:cs="宋体"/>
                <w:color w:val="000000"/>
                <w:szCs w:val="21"/>
                <w:highlight w:val="none"/>
              </w:rPr>
              <w:t xml:space="preserve">未建立投诉记录表本子项不得分；                   </w:t>
            </w:r>
          </w:p>
          <w:p w14:paraId="3BD7A728">
            <w:pPr>
              <w:keepNext w:val="0"/>
              <w:keepLines w:val="0"/>
              <w:pageBreakBefore w:val="0"/>
              <w:widowControl/>
              <w:bidi w:val="0"/>
              <w:spacing w:line="240" w:lineRule="auto"/>
              <w:ind w:left="-107" w:firstLine="420"/>
              <w:jc w:val="left"/>
              <w:outlineLvl w:val="9"/>
              <w:rPr>
                <w:rFonts w:ascii="宋体" w:hAnsi="宋体" w:cs="宋体"/>
                <w:color w:val="000000"/>
                <w:szCs w:val="21"/>
                <w:highlight w:val="none"/>
              </w:rPr>
            </w:pPr>
            <w:r>
              <w:rPr>
                <w:rFonts w:hint="eastAsia" w:ascii="宋体" w:hAnsi="宋体" w:cs="宋体"/>
                <w:color w:val="000000"/>
                <w:szCs w:val="21"/>
                <w:highlight w:val="none"/>
              </w:rPr>
              <w:t xml:space="preserve">抽查验证投诉，发生1次投诉未及时处理，本子项不得分。 </w:t>
            </w:r>
          </w:p>
        </w:tc>
        <w:tc>
          <w:tcPr>
            <w:tcW w:w="567" w:type="dxa"/>
            <w:gridSpan w:val="2"/>
            <w:tcBorders>
              <w:top w:val="single" w:color="auto" w:sz="4" w:space="0"/>
              <w:left w:val="single" w:color="auto" w:sz="4" w:space="0"/>
              <w:bottom w:val="single" w:color="auto" w:sz="4" w:space="0"/>
              <w:right w:val="single" w:color="auto" w:sz="4" w:space="0"/>
            </w:tcBorders>
            <w:noWrap w:val="0"/>
            <w:vAlign w:val="bottom"/>
          </w:tcPr>
          <w:p w14:paraId="343D6CA4">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bottom"/>
          </w:tcPr>
          <w:p w14:paraId="62634133">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0808CEF6">
        <w:tblPrEx>
          <w:tblCellMar>
            <w:top w:w="0" w:type="dxa"/>
            <w:left w:w="108" w:type="dxa"/>
            <w:bottom w:w="0" w:type="dxa"/>
            <w:right w:w="108" w:type="dxa"/>
          </w:tblCellMar>
        </w:tblPrEx>
        <w:trPr>
          <w:gridAfter w:val="1"/>
          <w:wAfter w:w="8" w:type="dxa"/>
          <w:trHeight w:val="679" w:hRule="atLeast"/>
          <w:jc w:val="center"/>
        </w:trPr>
        <w:tc>
          <w:tcPr>
            <w:tcW w:w="601" w:type="dxa"/>
            <w:vMerge w:val="continue"/>
            <w:tcBorders>
              <w:top w:val="single" w:color="auto" w:sz="4" w:space="0"/>
              <w:left w:val="single" w:color="auto" w:sz="4" w:space="0"/>
              <w:bottom w:val="single" w:color="auto" w:sz="4" w:space="0"/>
              <w:right w:val="single" w:color="auto" w:sz="4" w:space="0"/>
            </w:tcBorders>
            <w:noWrap w:val="0"/>
            <w:vAlign w:val="center"/>
          </w:tcPr>
          <w:p w14:paraId="0089A046">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E56B799">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5" w:type="dxa"/>
            <w:gridSpan w:val="2"/>
            <w:tcBorders>
              <w:top w:val="single" w:color="auto" w:sz="4" w:space="0"/>
              <w:left w:val="single" w:color="auto" w:sz="4" w:space="0"/>
              <w:bottom w:val="single" w:color="auto" w:sz="4" w:space="0"/>
              <w:right w:val="single" w:color="auto" w:sz="4" w:space="0"/>
            </w:tcBorders>
            <w:noWrap w:val="0"/>
            <w:vAlign w:val="center"/>
          </w:tcPr>
          <w:p w14:paraId="33BFBA31">
            <w:pPr>
              <w:keepNext w:val="0"/>
              <w:keepLines w:val="0"/>
              <w:pageBreakBefore w:val="0"/>
              <w:widowControl/>
              <w:bidi w:val="0"/>
              <w:spacing w:line="240" w:lineRule="auto"/>
              <w:ind w:left="-107" w:firstLine="126"/>
              <w:jc w:val="left"/>
              <w:outlineLvl w:val="9"/>
              <w:rPr>
                <w:rFonts w:ascii="宋体" w:hAnsi="宋体" w:cs="宋体"/>
                <w:color w:val="000000"/>
                <w:szCs w:val="21"/>
                <w:highlight w:val="none"/>
              </w:rPr>
            </w:pPr>
            <w:r>
              <w:rPr>
                <w:rFonts w:hint="eastAsia" w:ascii="宋体" w:hAnsi="宋体" w:cs="宋体"/>
                <w:color w:val="000000"/>
                <w:szCs w:val="21"/>
                <w:highlight w:val="none"/>
              </w:rPr>
              <w:t>3.环卫设施完备，设有可回收和不可回收垃圾箱，垃圾中转站（点）环境卫生符合规定要求</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74CB3DA2">
            <w:pPr>
              <w:keepNext w:val="0"/>
              <w:keepLines w:val="0"/>
              <w:pageBreakBefore w:val="0"/>
              <w:widowControl/>
              <w:bidi w:val="0"/>
              <w:spacing w:line="240" w:lineRule="auto"/>
              <w:ind w:left="-107" w:firstLine="126"/>
              <w:jc w:val="center"/>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706F7FA2">
            <w:pPr>
              <w:keepNext w:val="0"/>
              <w:keepLines w:val="0"/>
              <w:pageBreakBefore w:val="0"/>
              <w:widowControl/>
              <w:bidi w:val="0"/>
              <w:spacing w:line="240" w:lineRule="auto"/>
              <w:ind w:left="-107" w:firstLine="126"/>
              <w:jc w:val="left"/>
              <w:outlineLvl w:val="9"/>
              <w:rPr>
                <w:rFonts w:ascii="宋体" w:hAnsi="宋体" w:cs="宋体"/>
                <w:color w:val="000000"/>
                <w:szCs w:val="21"/>
                <w:highlight w:val="none"/>
              </w:rPr>
            </w:pPr>
            <w:r>
              <w:rPr>
                <w:rFonts w:hint="eastAsia" w:ascii="宋体" w:hAnsi="宋体" w:cs="宋体"/>
                <w:color w:val="000000"/>
                <w:szCs w:val="21"/>
                <w:highlight w:val="none"/>
              </w:rPr>
              <w:t>现场抽查，每发现1处违反规定，扣0.5分。</w:t>
            </w:r>
          </w:p>
        </w:tc>
        <w:tc>
          <w:tcPr>
            <w:tcW w:w="567" w:type="dxa"/>
            <w:gridSpan w:val="2"/>
            <w:tcBorders>
              <w:top w:val="single" w:color="auto" w:sz="4" w:space="0"/>
              <w:left w:val="single" w:color="auto" w:sz="4" w:space="0"/>
              <w:bottom w:val="single" w:color="auto" w:sz="4" w:space="0"/>
              <w:right w:val="single" w:color="auto" w:sz="4" w:space="0"/>
            </w:tcBorders>
            <w:noWrap w:val="0"/>
            <w:vAlign w:val="bottom"/>
          </w:tcPr>
          <w:p w14:paraId="7B088769">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bottom"/>
          </w:tcPr>
          <w:p w14:paraId="6B8AFE31">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340A3DE2">
        <w:tblPrEx>
          <w:tblCellMar>
            <w:top w:w="0" w:type="dxa"/>
            <w:left w:w="108" w:type="dxa"/>
            <w:bottom w:w="0" w:type="dxa"/>
            <w:right w:w="108" w:type="dxa"/>
          </w:tblCellMar>
        </w:tblPrEx>
        <w:trPr>
          <w:gridAfter w:val="1"/>
          <w:wAfter w:w="8" w:type="dxa"/>
          <w:trHeight w:val="722" w:hRule="atLeast"/>
          <w:jc w:val="center"/>
        </w:trPr>
        <w:tc>
          <w:tcPr>
            <w:tcW w:w="601" w:type="dxa"/>
            <w:vMerge w:val="continue"/>
            <w:tcBorders>
              <w:top w:val="single" w:color="auto" w:sz="4" w:space="0"/>
              <w:left w:val="single" w:color="auto" w:sz="4" w:space="0"/>
              <w:bottom w:val="single" w:color="auto" w:sz="4" w:space="0"/>
              <w:right w:val="single" w:color="auto" w:sz="4" w:space="0"/>
            </w:tcBorders>
            <w:noWrap w:val="0"/>
            <w:vAlign w:val="center"/>
          </w:tcPr>
          <w:p w14:paraId="254748F4">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780682D">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5" w:type="dxa"/>
            <w:gridSpan w:val="2"/>
            <w:tcBorders>
              <w:top w:val="single" w:color="auto" w:sz="4" w:space="0"/>
              <w:left w:val="single" w:color="auto" w:sz="4" w:space="0"/>
              <w:bottom w:val="single" w:color="auto" w:sz="4" w:space="0"/>
              <w:right w:val="single" w:color="auto" w:sz="4" w:space="0"/>
            </w:tcBorders>
            <w:noWrap w:val="0"/>
            <w:vAlign w:val="center"/>
          </w:tcPr>
          <w:p w14:paraId="5E08A4AD">
            <w:pPr>
              <w:keepNext w:val="0"/>
              <w:keepLines w:val="0"/>
              <w:pageBreakBefore w:val="0"/>
              <w:widowControl/>
              <w:bidi w:val="0"/>
              <w:spacing w:line="240" w:lineRule="auto"/>
              <w:ind w:left="-107" w:firstLine="126"/>
              <w:jc w:val="left"/>
              <w:outlineLvl w:val="9"/>
              <w:rPr>
                <w:rFonts w:ascii="宋体" w:hAnsi="宋体" w:cs="宋体"/>
                <w:color w:val="000000"/>
                <w:szCs w:val="21"/>
                <w:highlight w:val="none"/>
              </w:rPr>
            </w:pPr>
            <w:r>
              <w:rPr>
                <w:rFonts w:hint="eastAsia" w:ascii="宋体" w:hAnsi="宋体" w:cs="宋体"/>
                <w:color w:val="000000"/>
                <w:szCs w:val="21"/>
                <w:highlight w:val="none"/>
              </w:rPr>
              <w:t>4.垃圾日产日清，定期对垃圾堆放处进行卫生消毒灭杀虫害并记录</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2E9A1BED">
            <w:pPr>
              <w:keepNext w:val="0"/>
              <w:keepLines w:val="0"/>
              <w:pageBreakBefore w:val="0"/>
              <w:widowControl/>
              <w:bidi w:val="0"/>
              <w:spacing w:line="240" w:lineRule="auto"/>
              <w:ind w:left="-107" w:firstLine="126"/>
              <w:jc w:val="center"/>
              <w:outlineLvl w:val="9"/>
              <w:rPr>
                <w:rFonts w:ascii="宋体" w:hAnsi="宋体" w:cs="宋体"/>
                <w:color w:val="000000"/>
                <w:szCs w:val="21"/>
                <w:highlight w:val="none"/>
              </w:rPr>
            </w:pPr>
            <w:r>
              <w:rPr>
                <w:rFonts w:hint="eastAsia" w:ascii="宋体" w:hAnsi="宋体" w:cs="宋体"/>
                <w:color w:val="000000"/>
                <w:szCs w:val="21"/>
                <w:highlight w:val="none"/>
              </w:rPr>
              <w:t>4</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713EB34B">
            <w:pPr>
              <w:keepNext w:val="0"/>
              <w:keepLines w:val="0"/>
              <w:pageBreakBefore w:val="0"/>
              <w:widowControl/>
              <w:bidi w:val="0"/>
              <w:spacing w:line="240" w:lineRule="auto"/>
              <w:ind w:left="-107" w:firstLine="126"/>
              <w:jc w:val="left"/>
              <w:outlineLvl w:val="9"/>
              <w:rPr>
                <w:rFonts w:ascii="宋体" w:hAnsi="宋体" w:cs="宋体"/>
                <w:color w:val="000000"/>
                <w:szCs w:val="21"/>
                <w:highlight w:val="none"/>
              </w:rPr>
            </w:pPr>
            <w:r>
              <w:rPr>
                <w:rFonts w:hint="eastAsia" w:ascii="宋体" w:hAnsi="宋体" w:cs="宋体"/>
                <w:color w:val="000000"/>
                <w:szCs w:val="21"/>
                <w:highlight w:val="none"/>
              </w:rPr>
              <w:t>未建立记录本子项不得分；                             现场检查记录不完整，不可追溯的扣1分。</w:t>
            </w:r>
          </w:p>
        </w:tc>
        <w:tc>
          <w:tcPr>
            <w:tcW w:w="567" w:type="dxa"/>
            <w:gridSpan w:val="2"/>
            <w:tcBorders>
              <w:top w:val="single" w:color="auto" w:sz="4" w:space="0"/>
              <w:left w:val="single" w:color="auto" w:sz="4" w:space="0"/>
              <w:bottom w:val="single" w:color="auto" w:sz="4" w:space="0"/>
              <w:right w:val="single" w:color="auto" w:sz="4" w:space="0"/>
            </w:tcBorders>
            <w:noWrap w:val="0"/>
            <w:vAlign w:val="bottom"/>
          </w:tcPr>
          <w:p w14:paraId="6A055E16">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bottom"/>
          </w:tcPr>
          <w:p w14:paraId="64797A3B">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0880D70A">
        <w:tblPrEx>
          <w:tblCellMar>
            <w:top w:w="0" w:type="dxa"/>
            <w:left w:w="108" w:type="dxa"/>
            <w:bottom w:w="0" w:type="dxa"/>
            <w:right w:w="108" w:type="dxa"/>
          </w:tblCellMar>
        </w:tblPrEx>
        <w:trPr>
          <w:gridAfter w:val="1"/>
          <w:wAfter w:w="8" w:type="dxa"/>
          <w:trHeight w:val="765" w:hRule="atLeast"/>
          <w:jc w:val="center"/>
        </w:trPr>
        <w:tc>
          <w:tcPr>
            <w:tcW w:w="601" w:type="dxa"/>
            <w:vMerge w:val="continue"/>
            <w:tcBorders>
              <w:top w:val="single" w:color="auto" w:sz="4" w:space="0"/>
              <w:left w:val="single" w:color="auto" w:sz="4" w:space="0"/>
              <w:bottom w:val="single" w:color="auto" w:sz="4" w:space="0"/>
              <w:right w:val="single" w:color="auto" w:sz="4" w:space="0"/>
            </w:tcBorders>
            <w:noWrap w:val="0"/>
            <w:vAlign w:val="center"/>
          </w:tcPr>
          <w:p w14:paraId="6A42C169">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F13CF6B">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5" w:type="dxa"/>
            <w:gridSpan w:val="2"/>
            <w:tcBorders>
              <w:top w:val="single" w:color="auto" w:sz="4" w:space="0"/>
              <w:left w:val="single" w:color="auto" w:sz="4" w:space="0"/>
              <w:bottom w:val="single" w:color="auto" w:sz="4" w:space="0"/>
              <w:right w:val="single" w:color="auto" w:sz="4" w:space="0"/>
            </w:tcBorders>
            <w:noWrap w:val="0"/>
            <w:vAlign w:val="center"/>
          </w:tcPr>
          <w:p w14:paraId="6B5F6844">
            <w:pPr>
              <w:keepNext w:val="0"/>
              <w:keepLines w:val="0"/>
              <w:pageBreakBefore w:val="0"/>
              <w:widowControl/>
              <w:bidi w:val="0"/>
              <w:spacing w:line="240" w:lineRule="auto"/>
              <w:ind w:left="-107" w:firstLine="126"/>
              <w:jc w:val="left"/>
              <w:outlineLvl w:val="9"/>
              <w:rPr>
                <w:rFonts w:ascii="宋体" w:hAnsi="宋体" w:cs="宋体"/>
                <w:color w:val="000000"/>
                <w:szCs w:val="21"/>
                <w:highlight w:val="none"/>
              </w:rPr>
            </w:pPr>
            <w:r>
              <w:rPr>
                <w:rFonts w:hint="eastAsia" w:ascii="宋体" w:hAnsi="宋体" w:cs="宋体"/>
                <w:color w:val="000000"/>
                <w:szCs w:val="21"/>
                <w:highlight w:val="none"/>
              </w:rPr>
              <w:t>5.楼道、楼梯、楼梯扶栏地面、墙面、天花板无垃圾、积尘等</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772EE082">
            <w:pPr>
              <w:keepNext w:val="0"/>
              <w:keepLines w:val="0"/>
              <w:pageBreakBefore w:val="0"/>
              <w:widowControl/>
              <w:bidi w:val="0"/>
              <w:spacing w:line="240" w:lineRule="auto"/>
              <w:ind w:left="-107" w:firstLine="126"/>
              <w:jc w:val="center"/>
              <w:outlineLvl w:val="9"/>
              <w:rPr>
                <w:rFonts w:ascii="宋体" w:hAnsi="宋体" w:cs="宋体"/>
                <w:color w:val="000000"/>
                <w:szCs w:val="21"/>
                <w:highlight w:val="none"/>
              </w:rPr>
            </w:pPr>
            <w:r>
              <w:rPr>
                <w:rFonts w:hint="eastAsia" w:ascii="宋体" w:hAnsi="宋体" w:cs="宋体"/>
                <w:color w:val="000000"/>
                <w:szCs w:val="21"/>
                <w:highlight w:val="none"/>
              </w:rPr>
              <w:t>4</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2A632893">
            <w:pPr>
              <w:keepNext w:val="0"/>
              <w:keepLines w:val="0"/>
              <w:pageBreakBefore w:val="0"/>
              <w:widowControl/>
              <w:bidi w:val="0"/>
              <w:spacing w:line="240" w:lineRule="auto"/>
              <w:ind w:left="-107" w:firstLine="126"/>
              <w:jc w:val="left"/>
              <w:outlineLvl w:val="9"/>
              <w:rPr>
                <w:rFonts w:ascii="宋体" w:hAnsi="宋体" w:cs="宋体"/>
                <w:color w:val="000000"/>
                <w:szCs w:val="21"/>
                <w:highlight w:val="none"/>
              </w:rPr>
            </w:pPr>
            <w:r>
              <w:rPr>
                <w:rFonts w:hint="eastAsia" w:ascii="宋体" w:hAnsi="宋体" w:cs="宋体"/>
                <w:color w:val="000000"/>
                <w:szCs w:val="21"/>
                <w:highlight w:val="none"/>
              </w:rPr>
              <w:t>现场抽查，每发现1处违反规定，扣0.5分。</w:t>
            </w:r>
          </w:p>
        </w:tc>
        <w:tc>
          <w:tcPr>
            <w:tcW w:w="567" w:type="dxa"/>
            <w:gridSpan w:val="2"/>
            <w:tcBorders>
              <w:top w:val="single" w:color="auto" w:sz="4" w:space="0"/>
              <w:left w:val="single" w:color="auto" w:sz="4" w:space="0"/>
              <w:bottom w:val="single" w:color="auto" w:sz="4" w:space="0"/>
              <w:right w:val="single" w:color="auto" w:sz="4" w:space="0"/>
            </w:tcBorders>
            <w:noWrap w:val="0"/>
            <w:vAlign w:val="bottom"/>
          </w:tcPr>
          <w:p w14:paraId="05ACF887">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bottom"/>
          </w:tcPr>
          <w:p w14:paraId="2403A58D">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031BAE88">
        <w:tblPrEx>
          <w:tblCellMar>
            <w:top w:w="0" w:type="dxa"/>
            <w:left w:w="108" w:type="dxa"/>
            <w:bottom w:w="0" w:type="dxa"/>
            <w:right w:w="108" w:type="dxa"/>
          </w:tblCellMar>
        </w:tblPrEx>
        <w:trPr>
          <w:gridAfter w:val="1"/>
          <w:wAfter w:w="8" w:type="dxa"/>
          <w:trHeight w:val="765" w:hRule="atLeast"/>
          <w:jc w:val="center"/>
        </w:trPr>
        <w:tc>
          <w:tcPr>
            <w:tcW w:w="601" w:type="dxa"/>
            <w:vMerge w:val="continue"/>
            <w:tcBorders>
              <w:top w:val="single" w:color="auto" w:sz="4" w:space="0"/>
              <w:left w:val="single" w:color="auto" w:sz="4" w:space="0"/>
              <w:bottom w:val="single" w:color="auto" w:sz="4" w:space="0"/>
              <w:right w:val="single" w:color="auto" w:sz="4" w:space="0"/>
            </w:tcBorders>
            <w:noWrap w:val="0"/>
            <w:vAlign w:val="center"/>
          </w:tcPr>
          <w:p w14:paraId="12D84FBA">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7D73FCD">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5" w:type="dxa"/>
            <w:gridSpan w:val="2"/>
            <w:tcBorders>
              <w:top w:val="single" w:color="auto" w:sz="4" w:space="0"/>
              <w:left w:val="single" w:color="auto" w:sz="4" w:space="0"/>
              <w:bottom w:val="single" w:color="auto" w:sz="4" w:space="0"/>
              <w:right w:val="single" w:color="auto" w:sz="4" w:space="0"/>
            </w:tcBorders>
            <w:noWrap w:val="0"/>
            <w:vAlign w:val="center"/>
          </w:tcPr>
          <w:p w14:paraId="3D235E5B">
            <w:pPr>
              <w:keepNext w:val="0"/>
              <w:keepLines w:val="0"/>
              <w:pageBreakBefore w:val="0"/>
              <w:widowControl/>
              <w:bidi w:val="0"/>
              <w:spacing w:line="240" w:lineRule="auto"/>
              <w:ind w:left="-107" w:firstLine="126"/>
              <w:jc w:val="left"/>
              <w:outlineLvl w:val="9"/>
              <w:rPr>
                <w:rFonts w:ascii="宋体" w:hAnsi="宋体" w:cs="宋体"/>
                <w:color w:val="000000"/>
                <w:szCs w:val="21"/>
                <w:highlight w:val="none"/>
              </w:rPr>
            </w:pPr>
            <w:r>
              <w:rPr>
                <w:rFonts w:hint="eastAsia" w:ascii="宋体" w:hAnsi="宋体" w:cs="宋体"/>
                <w:color w:val="000000"/>
                <w:szCs w:val="21"/>
                <w:highlight w:val="none"/>
              </w:rPr>
              <w:t>6.遇下雨天，在大堂进出口铺设防湿防滑地毯并树“小心防滑”告示牌，及时拖擦，无积水</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04690C5C">
            <w:pPr>
              <w:keepNext w:val="0"/>
              <w:keepLines w:val="0"/>
              <w:pageBreakBefore w:val="0"/>
              <w:widowControl/>
              <w:bidi w:val="0"/>
              <w:spacing w:line="240" w:lineRule="auto"/>
              <w:ind w:left="-107" w:firstLine="126"/>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6078EAE2">
            <w:pPr>
              <w:keepNext w:val="0"/>
              <w:keepLines w:val="0"/>
              <w:pageBreakBefore w:val="0"/>
              <w:widowControl/>
              <w:bidi w:val="0"/>
              <w:spacing w:line="240" w:lineRule="auto"/>
              <w:ind w:left="-107" w:firstLine="126"/>
              <w:jc w:val="left"/>
              <w:outlineLvl w:val="9"/>
              <w:rPr>
                <w:rFonts w:ascii="宋体" w:hAnsi="宋体" w:cs="宋体"/>
                <w:color w:val="000000"/>
                <w:szCs w:val="21"/>
                <w:highlight w:val="none"/>
              </w:rPr>
            </w:pPr>
            <w:r>
              <w:rPr>
                <w:rFonts w:hint="eastAsia" w:ascii="宋体" w:hAnsi="宋体" w:cs="宋体"/>
                <w:color w:val="000000"/>
                <w:szCs w:val="21"/>
                <w:highlight w:val="none"/>
              </w:rPr>
              <w:t>未及时采取措施、未设立标识本子项不得分；未及时拖擦有积水扣1分。</w:t>
            </w:r>
          </w:p>
        </w:tc>
        <w:tc>
          <w:tcPr>
            <w:tcW w:w="567" w:type="dxa"/>
            <w:gridSpan w:val="2"/>
            <w:tcBorders>
              <w:top w:val="single" w:color="auto" w:sz="4" w:space="0"/>
              <w:left w:val="single" w:color="auto" w:sz="4" w:space="0"/>
              <w:bottom w:val="single" w:color="auto" w:sz="4" w:space="0"/>
              <w:right w:val="single" w:color="auto" w:sz="4" w:space="0"/>
            </w:tcBorders>
            <w:noWrap w:val="0"/>
            <w:vAlign w:val="bottom"/>
          </w:tcPr>
          <w:p w14:paraId="782D7195">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bottom"/>
          </w:tcPr>
          <w:p w14:paraId="4F074AAC">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3A5D962A">
        <w:tblPrEx>
          <w:tblCellMar>
            <w:top w:w="0" w:type="dxa"/>
            <w:left w:w="108" w:type="dxa"/>
            <w:bottom w:w="0" w:type="dxa"/>
            <w:right w:w="108" w:type="dxa"/>
          </w:tblCellMar>
        </w:tblPrEx>
        <w:trPr>
          <w:gridAfter w:val="1"/>
          <w:wAfter w:w="8" w:type="dxa"/>
          <w:trHeight w:val="765" w:hRule="atLeast"/>
          <w:jc w:val="center"/>
        </w:trPr>
        <w:tc>
          <w:tcPr>
            <w:tcW w:w="601" w:type="dxa"/>
            <w:vMerge w:val="continue"/>
            <w:tcBorders>
              <w:top w:val="single" w:color="auto" w:sz="4" w:space="0"/>
              <w:left w:val="single" w:color="auto" w:sz="4" w:space="0"/>
              <w:bottom w:val="single" w:color="auto" w:sz="4" w:space="0"/>
              <w:right w:val="single" w:color="auto" w:sz="4" w:space="0"/>
            </w:tcBorders>
            <w:noWrap w:val="0"/>
            <w:vAlign w:val="center"/>
          </w:tcPr>
          <w:p w14:paraId="7E6E805B">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9345821">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5" w:type="dxa"/>
            <w:gridSpan w:val="2"/>
            <w:tcBorders>
              <w:top w:val="single" w:color="auto" w:sz="4" w:space="0"/>
              <w:left w:val="single" w:color="auto" w:sz="4" w:space="0"/>
              <w:bottom w:val="single" w:color="auto" w:sz="4" w:space="0"/>
              <w:right w:val="single" w:color="auto" w:sz="4" w:space="0"/>
            </w:tcBorders>
            <w:noWrap w:val="0"/>
            <w:vAlign w:val="center"/>
          </w:tcPr>
          <w:p w14:paraId="38EA233F">
            <w:pPr>
              <w:keepNext w:val="0"/>
              <w:keepLines w:val="0"/>
              <w:pageBreakBefore w:val="0"/>
              <w:widowControl/>
              <w:bidi w:val="0"/>
              <w:spacing w:line="240" w:lineRule="auto"/>
              <w:ind w:left="-107" w:firstLine="126"/>
              <w:jc w:val="left"/>
              <w:outlineLvl w:val="9"/>
              <w:rPr>
                <w:rFonts w:ascii="宋体" w:hAnsi="宋体" w:cs="宋体"/>
                <w:color w:val="000000"/>
                <w:szCs w:val="21"/>
                <w:highlight w:val="none"/>
              </w:rPr>
            </w:pPr>
            <w:r>
              <w:rPr>
                <w:rFonts w:hint="eastAsia" w:ascii="宋体" w:hAnsi="宋体" w:cs="宋体"/>
                <w:color w:val="000000"/>
                <w:szCs w:val="21"/>
                <w:highlight w:val="none"/>
              </w:rPr>
              <w:t>7.工作间内物品分类摆放，整洁有序</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71AB7764">
            <w:pPr>
              <w:keepNext w:val="0"/>
              <w:keepLines w:val="0"/>
              <w:pageBreakBefore w:val="0"/>
              <w:widowControl/>
              <w:bidi w:val="0"/>
              <w:spacing w:line="240" w:lineRule="auto"/>
              <w:ind w:left="-107" w:firstLine="126"/>
              <w:jc w:val="center"/>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05731E82">
            <w:pPr>
              <w:keepNext w:val="0"/>
              <w:keepLines w:val="0"/>
              <w:pageBreakBefore w:val="0"/>
              <w:widowControl/>
              <w:bidi w:val="0"/>
              <w:spacing w:line="240" w:lineRule="auto"/>
              <w:ind w:left="-107" w:firstLine="126"/>
              <w:jc w:val="left"/>
              <w:outlineLvl w:val="9"/>
              <w:rPr>
                <w:rFonts w:ascii="宋体" w:hAnsi="宋体" w:cs="宋体"/>
                <w:color w:val="000000"/>
                <w:szCs w:val="21"/>
                <w:highlight w:val="none"/>
              </w:rPr>
            </w:pPr>
            <w:r>
              <w:rPr>
                <w:rFonts w:hint="eastAsia" w:ascii="宋体" w:hAnsi="宋体" w:cs="宋体"/>
                <w:color w:val="000000"/>
                <w:szCs w:val="21"/>
                <w:highlight w:val="none"/>
              </w:rPr>
              <w:t>现场抽查，每发现1项违反规定，扣0.5分。</w:t>
            </w:r>
          </w:p>
        </w:tc>
        <w:tc>
          <w:tcPr>
            <w:tcW w:w="567" w:type="dxa"/>
            <w:gridSpan w:val="2"/>
            <w:tcBorders>
              <w:top w:val="single" w:color="auto" w:sz="4" w:space="0"/>
              <w:left w:val="single" w:color="auto" w:sz="4" w:space="0"/>
              <w:bottom w:val="single" w:color="auto" w:sz="4" w:space="0"/>
              <w:right w:val="single" w:color="auto" w:sz="4" w:space="0"/>
            </w:tcBorders>
            <w:noWrap w:val="0"/>
            <w:vAlign w:val="bottom"/>
          </w:tcPr>
          <w:p w14:paraId="4610D618">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bottom"/>
          </w:tcPr>
          <w:p w14:paraId="6783EBEA">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34325BD9">
        <w:tblPrEx>
          <w:tblCellMar>
            <w:top w:w="0" w:type="dxa"/>
            <w:left w:w="108" w:type="dxa"/>
            <w:bottom w:w="0" w:type="dxa"/>
            <w:right w:w="108" w:type="dxa"/>
          </w:tblCellMar>
        </w:tblPrEx>
        <w:trPr>
          <w:gridAfter w:val="1"/>
          <w:wAfter w:w="8" w:type="dxa"/>
          <w:trHeight w:val="765" w:hRule="atLeast"/>
          <w:jc w:val="center"/>
        </w:trPr>
        <w:tc>
          <w:tcPr>
            <w:tcW w:w="601" w:type="dxa"/>
            <w:vMerge w:val="continue"/>
            <w:tcBorders>
              <w:top w:val="single" w:color="auto" w:sz="4" w:space="0"/>
              <w:left w:val="single" w:color="auto" w:sz="4" w:space="0"/>
              <w:bottom w:val="single" w:color="auto" w:sz="4" w:space="0"/>
              <w:right w:val="single" w:color="auto" w:sz="4" w:space="0"/>
            </w:tcBorders>
            <w:noWrap w:val="0"/>
            <w:vAlign w:val="center"/>
          </w:tcPr>
          <w:p w14:paraId="1D87BA61">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34ADBEA">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5" w:type="dxa"/>
            <w:gridSpan w:val="2"/>
            <w:tcBorders>
              <w:top w:val="single" w:color="auto" w:sz="4" w:space="0"/>
              <w:left w:val="single" w:color="auto" w:sz="4" w:space="0"/>
              <w:bottom w:val="single" w:color="auto" w:sz="4" w:space="0"/>
              <w:right w:val="single" w:color="auto" w:sz="4" w:space="0"/>
            </w:tcBorders>
            <w:noWrap w:val="0"/>
            <w:vAlign w:val="center"/>
          </w:tcPr>
          <w:p w14:paraId="206A384D">
            <w:pPr>
              <w:keepNext w:val="0"/>
              <w:keepLines w:val="0"/>
              <w:pageBreakBefore w:val="0"/>
              <w:widowControl/>
              <w:bidi w:val="0"/>
              <w:spacing w:line="240" w:lineRule="auto"/>
              <w:ind w:left="-107" w:firstLine="126"/>
              <w:jc w:val="left"/>
              <w:outlineLvl w:val="9"/>
              <w:rPr>
                <w:rFonts w:ascii="宋体" w:hAnsi="宋体" w:cs="宋体"/>
                <w:color w:val="000000"/>
                <w:szCs w:val="21"/>
                <w:highlight w:val="none"/>
              </w:rPr>
            </w:pPr>
            <w:r>
              <w:rPr>
                <w:rFonts w:hint="eastAsia" w:ascii="宋体" w:hAnsi="宋体" w:cs="宋体"/>
                <w:color w:val="000000"/>
                <w:szCs w:val="21"/>
                <w:highlight w:val="none"/>
              </w:rPr>
              <w:t>8.消防通道通畅、整洁、无杂物堆放。干部职工停车、堆放物品占用消防通道，物业服务人员应劝阻，报有关部门并做好记录</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1B63A4AF">
            <w:pPr>
              <w:keepNext w:val="0"/>
              <w:keepLines w:val="0"/>
              <w:pageBreakBefore w:val="0"/>
              <w:widowControl/>
              <w:bidi w:val="0"/>
              <w:spacing w:line="240" w:lineRule="auto"/>
              <w:ind w:left="-107" w:firstLine="126"/>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09D270CA">
            <w:pPr>
              <w:keepNext w:val="0"/>
              <w:keepLines w:val="0"/>
              <w:pageBreakBefore w:val="0"/>
              <w:widowControl/>
              <w:bidi w:val="0"/>
              <w:spacing w:line="240" w:lineRule="auto"/>
              <w:ind w:left="-107" w:firstLine="126"/>
              <w:jc w:val="left"/>
              <w:outlineLvl w:val="9"/>
              <w:rPr>
                <w:rFonts w:ascii="宋体" w:hAnsi="宋体" w:cs="宋体"/>
                <w:color w:val="000000"/>
                <w:szCs w:val="21"/>
                <w:highlight w:val="none"/>
              </w:rPr>
            </w:pPr>
            <w:r>
              <w:rPr>
                <w:rFonts w:hint="eastAsia" w:ascii="宋体" w:hAnsi="宋体" w:cs="宋体"/>
                <w:color w:val="000000"/>
                <w:szCs w:val="21"/>
                <w:highlight w:val="none"/>
              </w:rPr>
              <w:t>现场抽查，发现1处违反规定，本子项不得分；能提供报告材料经证实不扣分。</w:t>
            </w:r>
          </w:p>
        </w:tc>
        <w:tc>
          <w:tcPr>
            <w:tcW w:w="567" w:type="dxa"/>
            <w:gridSpan w:val="2"/>
            <w:tcBorders>
              <w:top w:val="single" w:color="auto" w:sz="4" w:space="0"/>
              <w:left w:val="single" w:color="auto" w:sz="4" w:space="0"/>
              <w:bottom w:val="single" w:color="auto" w:sz="4" w:space="0"/>
              <w:right w:val="single" w:color="auto" w:sz="4" w:space="0"/>
            </w:tcBorders>
            <w:noWrap w:val="0"/>
            <w:vAlign w:val="bottom"/>
          </w:tcPr>
          <w:p w14:paraId="78B0AC51">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bottom"/>
          </w:tcPr>
          <w:p w14:paraId="670CCEFF">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7DAA4F10">
        <w:tblPrEx>
          <w:tblCellMar>
            <w:top w:w="0" w:type="dxa"/>
            <w:left w:w="108" w:type="dxa"/>
            <w:bottom w:w="0" w:type="dxa"/>
            <w:right w:w="108" w:type="dxa"/>
          </w:tblCellMar>
        </w:tblPrEx>
        <w:trPr>
          <w:gridAfter w:val="1"/>
          <w:wAfter w:w="8" w:type="dxa"/>
          <w:trHeight w:val="765" w:hRule="atLeast"/>
          <w:jc w:val="center"/>
        </w:trPr>
        <w:tc>
          <w:tcPr>
            <w:tcW w:w="601" w:type="dxa"/>
            <w:vMerge w:val="restart"/>
            <w:tcBorders>
              <w:top w:val="single" w:color="auto" w:sz="4" w:space="0"/>
              <w:left w:val="single" w:color="auto" w:sz="4" w:space="0"/>
              <w:bottom w:val="nil"/>
              <w:right w:val="single" w:color="auto" w:sz="4" w:space="0"/>
            </w:tcBorders>
            <w:noWrap w:val="0"/>
            <w:vAlign w:val="center"/>
          </w:tcPr>
          <w:p w14:paraId="57CA01F1">
            <w:pPr>
              <w:keepNext w:val="0"/>
              <w:keepLines w:val="0"/>
              <w:pageBreakBefore w:val="0"/>
              <w:widowControl/>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1028" w:type="dxa"/>
            <w:gridSpan w:val="3"/>
            <w:vMerge w:val="restart"/>
            <w:tcBorders>
              <w:top w:val="single" w:color="auto" w:sz="4" w:space="0"/>
              <w:left w:val="single" w:color="auto" w:sz="4" w:space="0"/>
              <w:bottom w:val="nil"/>
              <w:right w:val="single" w:color="auto" w:sz="4" w:space="0"/>
            </w:tcBorders>
            <w:noWrap w:val="0"/>
            <w:vAlign w:val="center"/>
          </w:tcPr>
          <w:p w14:paraId="726F2B42">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公共区域及设施保洁要求(37)</w:t>
            </w:r>
          </w:p>
        </w:tc>
        <w:tc>
          <w:tcPr>
            <w:tcW w:w="2765" w:type="dxa"/>
            <w:gridSpan w:val="2"/>
            <w:tcBorders>
              <w:top w:val="single" w:color="auto" w:sz="4" w:space="0"/>
              <w:left w:val="single" w:color="auto" w:sz="4" w:space="0"/>
              <w:bottom w:val="single" w:color="auto" w:sz="4" w:space="0"/>
              <w:right w:val="single" w:color="auto" w:sz="4" w:space="0"/>
            </w:tcBorders>
            <w:noWrap w:val="0"/>
            <w:vAlign w:val="center"/>
          </w:tcPr>
          <w:p w14:paraId="6025EE9E">
            <w:pPr>
              <w:keepNext w:val="0"/>
              <w:keepLines w:val="0"/>
              <w:pageBreakBefore w:val="0"/>
              <w:widowControl/>
              <w:bidi w:val="0"/>
              <w:spacing w:line="240" w:lineRule="auto"/>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1.大堂和公共区域的地面无明显积尘、污渍、烟蒂、垃圾；地毯无积尘</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57AA1E73">
            <w:pPr>
              <w:keepNext w:val="0"/>
              <w:keepLines w:val="0"/>
              <w:pageBreakBefore w:val="0"/>
              <w:widowControl/>
              <w:bidi w:val="0"/>
              <w:spacing w:line="240" w:lineRule="auto"/>
              <w:jc w:val="center"/>
              <w:outlineLvl w:val="9"/>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7B990680">
            <w:pPr>
              <w:keepNext w:val="0"/>
              <w:keepLines w:val="0"/>
              <w:pageBreakBefore w:val="0"/>
              <w:widowControl/>
              <w:bidi w:val="0"/>
              <w:spacing w:line="240" w:lineRule="auto"/>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现场抽查，每发现1处违反规定，扣0.5分。</w:t>
            </w:r>
          </w:p>
        </w:tc>
        <w:tc>
          <w:tcPr>
            <w:tcW w:w="567" w:type="dxa"/>
            <w:gridSpan w:val="2"/>
            <w:tcBorders>
              <w:top w:val="single" w:color="auto" w:sz="4" w:space="0"/>
              <w:left w:val="single" w:color="auto" w:sz="4" w:space="0"/>
              <w:bottom w:val="single" w:color="auto" w:sz="4" w:space="0"/>
              <w:right w:val="single" w:color="auto" w:sz="4" w:space="0"/>
            </w:tcBorders>
            <w:noWrap w:val="0"/>
            <w:vAlign w:val="bottom"/>
          </w:tcPr>
          <w:p w14:paraId="316B0351">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bottom"/>
          </w:tcPr>
          <w:p w14:paraId="55C1DDE2">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49324694">
        <w:tblPrEx>
          <w:tblCellMar>
            <w:top w:w="0" w:type="dxa"/>
            <w:left w:w="108" w:type="dxa"/>
            <w:bottom w:w="0" w:type="dxa"/>
            <w:right w:w="108" w:type="dxa"/>
          </w:tblCellMar>
        </w:tblPrEx>
        <w:trPr>
          <w:gridAfter w:val="1"/>
          <w:wAfter w:w="8" w:type="dxa"/>
          <w:trHeight w:val="765" w:hRule="atLeast"/>
          <w:jc w:val="center"/>
        </w:trPr>
        <w:tc>
          <w:tcPr>
            <w:tcW w:w="601" w:type="dxa"/>
            <w:vMerge w:val="continue"/>
            <w:tcBorders>
              <w:top w:val="nil"/>
              <w:left w:val="single" w:color="auto" w:sz="4" w:space="0"/>
              <w:bottom w:val="nil"/>
              <w:right w:val="single" w:color="auto" w:sz="4" w:space="0"/>
            </w:tcBorders>
            <w:noWrap w:val="0"/>
            <w:vAlign w:val="center"/>
          </w:tcPr>
          <w:p w14:paraId="7164A02D">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8" w:type="dxa"/>
            <w:gridSpan w:val="3"/>
            <w:vMerge w:val="continue"/>
            <w:tcBorders>
              <w:top w:val="nil"/>
              <w:left w:val="single" w:color="auto" w:sz="4" w:space="0"/>
              <w:bottom w:val="nil"/>
              <w:right w:val="single" w:color="auto" w:sz="4" w:space="0"/>
            </w:tcBorders>
            <w:noWrap w:val="0"/>
            <w:vAlign w:val="center"/>
          </w:tcPr>
          <w:p w14:paraId="3315A064">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5" w:type="dxa"/>
            <w:gridSpan w:val="2"/>
            <w:tcBorders>
              <w:top w:val="single" w:color="auto" w:sz="4" w:space="0"/>
              <w:left w:val="single" w:color="auto" w:sz="4" w:space="0"/>
              <w:bottom w:val="single" w:color="auto" w:sz="4" w:space="0"/>
              <w:right w:val="single" w:color="auto" w:sz="4" w:space="0"/>
            </w:tcBorders>
            <w:noWrap w:val="0"/>
            <w:vAlign w:val="center"/>
          </w:tcPr>
          <w:p w14:paraId="3BDE142E">
            <w:pPr>
              <w:keepNext w:val="0"/>
              <w:keepLines w:val="0"/>
              <w:pageBreakBefore w:val="0"/>
              <w:widowControl/>
              <w:bidi w:val="0"/>
              <w:spacing w:line="240" w:lineRule="auto"/>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2.大堂和公共区域墙面、墙饰完好清洁，台面、栏杆、椅子、灯座等光亮整洁，无明显积尘、污渍</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3BD74665">
            <w:pPr>
              <w:keepNext w:val="0"/>
              <w:keepLines w:val="0"/>
              <w:pageBreakBefore w:val="0"/>
              <w:widowControl/>
              <w:bidi w:val="0"/>
              <w:spacing w:line="240" w:lineRule="auto"/>
              <w:jc w:val="center"/>
              <w:outlineLvl w:val="9"/>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1F3A854E">
            <w:pPr>
              <w:keepNext w:val="0"/>
              <w:keepLines w:val="0"/>
              <w:pageBreakBefore w:val="0"/>
              <w:widowControl/>
              <w:bidi w:val="0"/>
              <w:spacing w:line="240" w:lineRule="auto"/>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现场抽查，每发现1处违反规定，扣0.5分。</w:t>
            </w:r>
          </w:p>
        </w:tc>
        <w:tc>
          <w:tcPr>
            <w:tcW w:w="567" w:type="dxa"/>
            <w:gridSpan w:val="2"/>
            <w:tcBorders>
              <w:top w:val="single" w:color="auto" w:sz="4" w:space="0"/>
              <w:left w:val="single" w:color="auto" w:sz="4" w:space="0"/>
              <w:bottom w:val="single" w:color="auto" w:sz="4" w:space="0"/>
              <w:right w:val="single" w:color="auto" w:sz="4" w:space="0"/>
            </w:tcBorders>
            <w:noWrap w:val="0"/>
            <w:vAlign w:val="bottom"/>
          </w:tcPr>
          <w:p w14:paraId="1DBFD5D0">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bottom"/>
          </w:tcPr>
          <w:p w14:paraId="43C0B0D3">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779800B0">
        <w:tblPrEx>
          <w:tblCellMar>
            <w:top w:w="0" w:type="dxa"/>
            <w:left w:w="108" w:type="dxa"/>
            <w:bottom w:w="0" w:type="dxa"/>
            <w:right w:w="108" w:type="dxa"/>
          </w:tblCellMar>
        </w:tblPrEx>
        <w:trPr>
          <w:gridAfter w:val="1"/>
          <w:wAfter w:w="8" w:type="dxa"/>
          <w:trHeight w:val="765" w:hRule="atLeast"/>
          <w:jc w:val="center"/>
        </w:trPr>
        <w:tc>
          <w:tcPr>
            <w:tcW w:w="601" w:type="dxa"/>
            <w:vMerge w:val="continue"/>
            <w:tcBorders>
              <w:top w:val="nil"/>
              <w:left w:val="single" w:color="auto" w:sz="4" w:space="0"/>
              <w:bottom w:val="nil"/>
              <w:right w:val="single" w:color="auto" w:sz="4" w:space="0"/>
            </w:tcBorders>
            <w:noWrap w:val="0"/>
            <w:vAlign w:val="center"/>
          </w:tcPr>
          <w:p w14:paraId="2D97BBEC">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8" w:type="dxa"/>
            <w:gridSpan w:val="3"/>
            <w:vMerge w:val="continue"/>
            <w:tcBorders>
              <w:top w:val="nil"/>
              <w:left w:val="single" w:color="auto" w:sz="4" w:space="0"/>
              <w:bottom w:val="nil"/>
              <w:right w:val="single" w:color="auto" w:sz="4" w:space="0"/>
            </w:tcBorders>
            <w:noWrap w:val="0"/>
            <w:vAlign w:val="center"/>
          </w:tcPr>
          <w:p w14:paraId="1AAB8DA2">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5" w:type="dxa"/>
            <w:gridSpan w:val="2"/>
            <w:tcBorders>
              <w:top w:val="single" w:color="auto" w:sz="4" w:space="0"/>
              <w:left w:val="single" w:color="auto" w:sz="4" w:space="0"/>
              <w:bottom w:val="single" w:color="auto" w:sz="4" w:space="0"/>
              <w:right w:val="single" w:color="auto" w:sz="4" w:space="0"/>
            </w:tcBorders>
            <w:noWrap w:val="0"/>
            <w:vAlign w:val="center"/>
          </w:tcPr>
          <w:p w14:paraId="1E8B89BB">
            <w:pPr>
              <w:keepNext w:val="0"/>
              <w:keepLines w:val="0"/>
              <w:pageBreakBefore w:val="0"/>
              <w:widowControl/>
              <w:bidi w:val="0"/>
              <w:spacing w:line="240" w:lineRule="auto"/>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3.大堂和公共区域玻璃门以及窗户玻璃（除室外一面）完好，无灰尘、污渍、手印等</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373216D1">
            <w:pPr>
              <w:keepNext w:val="0"/>
              <w:keepLines w:val="0"/>
              <w:pageBreakBefore w:val="0"/>
              <w:widowControl/>
              <w:bidi w:val="0"/>
              <w:spacing w:line="240" w:lineRule="auto"/>
              <w:jc w:val="center"/>
              <w:outlineLvl w:val="9"/>
              <w:rPr>
                <w:rFonts w:hint="eastAsia" w:ascii="宋体" w:hAnsi="宋体" w:cs="宋体"/>
                <w:color w:val="000000"/>
                <w:szCs w:val="21"/>
                <w:highlight w:val="none"/>
              </w:rPr>
            </w:pPr>
            <w:r>
              <w:rPr>
                <w:rFonts w:hint="eastAsia" w:ascii="宋体" w:hAnsi="宋体" w:cs="宋体"/>
                <w:color w:val="000000"/>
                <w:szCs w:val="21"/>
                <w:highlight w:val="none"/>
              </w:rPr>
              <w:t>4</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49BE46B3">
            <w:pPr>
              <w:keepNext w:val="0"/>
              <w:keepLines w:val="0"/>
              <w:pageBreakBefore w:val="0"/>
              <w:widowControl/>
              <w:bidi w:val="0"/>
              <w:spacing w:line="240" w:lineRule="auto"/>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现场抽查，在常态下，1米以外目视检查每发现1处不符合规定，扣0.5分。</w:t>
            </w:r>
          </w:p>
        </w:tc>
        <w:tc>
          <w:tcPr>
            <w:tcW w:w="567" w:type="dxa"/>
            <w:gridSpan w:val="2"/>
            <w:tcBorders>
              <w:top w:val="single" w:color="auto" w:sz="4" w:space="0"/>
              <w:left w:val="single" w:color="auto" w:sz="4" w:space="0"/>
              <w:bottom w:val="single" w:color="auto" w:sz="4" w:space="0"/>
              <w:right w:val="single" w:color="auto" w:sz="4" w:space="0"/>
            </w:tcBorders>
            <w:noWrap w:val="0"/>
            <w:vAlign w:val="bottom"/>
          </w:tcPr>
          <w:p w14:paraId="5586FFD6">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bottom"/>
          </w:tcPr>
          <w:p w14:paraId="13CF4CCE">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63799863">
        <w:tblPrEx>
          <w:tblCellMar>
            <w:top w:w="0" w:type="dxa"/>
            <w:left w:w="108" w:type="dxa"/>
            <w:bottom w:w="0" w:type="dxa"/>
            <w:right w:w="108" w:type="dxa"/>
          </w:tblCellMar>
        </w:tblPrEx>
        <w:trPr>
          <w:gridAfter w:val="1"/>
          <w:wAfter w:w="8" w:type="dxa"/>
          <w:trHeight w:val="765" w:hRule="atLeast"/>
          <w:jc w:val="center"/>
        </w:trPr>
        <w:tc>
          <w:tcPr>
            <w:tcW w:w="601" w:type="dxa"/>
            <w:vMerge w:val="continue"/>
            <w:tcBorders>
              <w:top w:val="nil"/>
              <w:left w:val="single" w:color="auto" w:sz="4" w:space="0"/>
              <w:bottom w:val="nil"/>
              <w:right w:val="single" w:color="auto" w:sz="4" w:space="0"/>
            </w:tcBorders>
            <w:noWrap w:val="0"/>
            <w:vAlign w:val="center"/>
          </w:tcPr>
          <w:p w14:paraId="31CD8ED2">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8" w:type="dxa"/>
            <w:gridSpan w:val="3"/>
            <w:vMerge w:val="continue"/>
            <w:tcBorders>
              <w:top w:val="nil"/>
              <w:left w:val="single" w:color="auto" w:sz="4" w:space="0"/>
              <w:bottom w:val="nil"/>
              <w:right w:val="single" w:color="auto" w:sz="4" w:space="0"/>
            </w:tcBorders>
            <w:noWrap w:val="0"/>
            <w:vAlign w:val="center"/>
          </w:tcPr>
          <w:p w14:paraId="51DFF558">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5" w:type="dxa"/>
            <w:gridSpan w:val="2"/>
            <w:tcBorders>
              <w:top w:val="single" w:color="auto" w:sz="4" w:space="0"/>
              <w:left w:val="single" w:color="auto" w:sz="4" w:space="0"/>
              <w:bottom w:val="single" w:color="auto" w:sz="4" w:space="0"/>
              <w:right w:val="single" w:color="auto" w:sz="4" w:space="0"/>
            </w:tcBorders>
            <w:noWrap w:val="0"/>
            <w:vAlign w:val="center"/>
          </w:tcPr>
          <w:p w14:paraId="001A2518">
            <w:pPr>
              <w:keepNext w:val="0"/>
              <w:keepLines w:val="0"/>
              <w:pageBreakBefore w:val="0"/>
              <w:widowControl/>
              <w:bidi w:val="0"/>
              <w:spacing w:line="240" w:lineRule="auto"/>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4.大堂和公共区域角落处无积尘、垃圾和蜘蛛网</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4736A360">
            <w:pPr>
              <w:keepNext w:val="0"/>
              <w:keepLines w:val="0"/>
              <w:pageBreakBefore w:val="0"/>
              <w:widowControl/>
              <w:bidi w:val="0"/>
              <w:spacing w:line="240" w:lineRule="auto"/>
              <w:jc w:val="center"/>
              <w:outlineLvl w:val="9"/>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44904426">
            <w:pPr>
              <w:keepNext w:val="0"/>
              <w:keepLines w:val="0"/>
              <w:pageBreakBefore w:val="0"/>
              <w:widowControl/>
              <w:bidi w:val="0"/>
              <w:spacing w:line="240" w:lineRule="auto"/>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现场抽查，每发现1处不符合规定，扣0.5分。</w:t>
            </w:r>
          </w:p>
        </w:tc>
        <w:tc>
          <w:tcPr>
            <w:tcW w:w="567" w:type="dxa"/>
            <w:gridSpan w:val="2"/>
            <w:tcBorders>
              <w:top w:val="single" w:color="auto" w:sz="4" w:space="0"/>
              <w:left w:val="single" w:color="auto" w:sz="4" w:space="0"/>
              <w:bottom w:val="single" w:color="auto" w:sz="4" w:space="0"/>
              <w:right w:val="single" w:color="auto" w:sz="4" w:space="0"/>
            </w:tcBorders>
            <w:noWrap w:val="0"/>
            <w:vAlign w:val="bottom"/>
          </w:tcPr>
          <w:p w14:paraId="10255CCC">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bottom"/>
          </w:tcPr>
          <w:p w14:paraId="0B898D42">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5564B785">
        <w:tblPrEx>
          <w:tblCellMar>
            <w:top w:w="0" w:type="dxa"/>
            <w:left w:w="108" w:type="dxa"/>
            <w:bottom w:w="0" w:type="dxa"/>
            <w:right w:w="108" w:type="dxa"/>
          </w:tblCellMar>
        </w:tblPrEx>
        <w:trPr>
          <w:gridAfter w:val="1"/>
          <w:wAfter w:w="8" w:type="dxa"/>
          <w:trHeight w:val="765" w:hRule="atLeast"/>
          <w:jc w:val="center"/>
        </w:trPr>
        <w:tc>
          <w:tcPr>
            <w:tcW w:w="601" w:type="dxa"/>
            <w:vMerge w:val="continue"/>
            <w:tcBorders>
              <w:top w:val="nil"/>
              <w:left w:val="single" w:color="auto" w:sz="4" w:space="0"/>
              <w:bottom w:val="nil"/>
              <w:right w:val="single" w:color="auto" w:sz="4" w:space="0"/>
            </w:tcBorders>
            <w:noWrap w:val="0"/>
            <w:vAlign w:val="center"/>
          </w:tcPr>
          <w:p w14:paraId="30DB97B1">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8" w:type="dxa"/>
            <w:gridSpan w:val="3"/>
            <w:vMerge w:val="continue"/>
            <w:tcBorders>
              <w:top w:val="nil"/>
              <w:left w:val="single" w:color="auto" w:sz="4" w:space="0"/>
              <w:bottom w:val="nil"/>
              <w:right w:val="single" w:color="auto" w:sz="4" w:space="0"/>
            </w:tcBorders>
            <w:noWrap w:val="0"/>
            <w:vAlign w:val="center"/>
          </w:tcPr>
          <w:p w14:paraId="654D1149">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5" w:type="dxa"/>
            <w:gridSpan w:val="2"/>
            <w:tcBorders>
              <w:top w:val="single" w:color="auto" w:sz="4" w:space="0"/>
              <w:left w:val="single" w:color="auto" w:sz="4" w:space="0"/>
              <w:bottom w:val="single" w:color="auto" w:sz="4" w:space="0"/>
              <w:right w:val="single" w:color="auto" w:sz="4" w:space="0"/>
            </w:tcBorders>
            <w:noWrap w:val="0"/>
            <w:vAlign w:val="center"/>
          </w:tcPr>
          <w:p w14:paraId="756A49BE">
            <w:pPr>
              <w:keepNext w:val="0"/>
              <w:keepLines w:val="0"/>
              <w:pageBreakBefore w:val="0"/>
              <w:widowControl/>
              <w:bidi w:val="0"/>
              <w:spacing w:line="240" w:lineRule="auto"/>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5.公用部位无垃圾、污渍等，无乱贴、乱画，无擅自占用和堆放杂物；公共玻璃窗（除室外一面）无积尘、污渍、蜘蛛网等。遇有干部职工在公共区域堆放物品和张贴宣传画等情况，物业服务人员有劝阻的责任，报有关部门并做好记录</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61444DEE">
            <w:pPr>
              <w:keepNext w:val="0"/>
              <w:keepLines w:val="0"/>
              <w:pageBreakBefore w:val="0"/>
              <w:widowControl/>
              <w:bidi w:val="0"/>
              <w:spacing w:line="240" w:lineRule="auto"/>
              <w:jc w:val="center"/>
              <w:outlineLvl w:val="9"/>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2CE554D8">
            <w:pPr>
              <w:keepNext w:val="0"/>
              <w:keepLines w:val="0"/>
              <w:pageBreakBefore w:val="0"/>
              <w:widowControl/>
              <w:bidi w:val="0"/>
              <w:spacing w:line="240" w:lineRule="auto"/>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现场抽查，每发现1处违反规定，扣1分； 能提供报告资料者不扣分。</w:t>
            </w:r>
          </w:p>
        </w:tc>
        <w:tc>
          <w:tcPr>
            <w:tcW w:w="567" w:type="dxa"/>
            <w:gridSpan w:val="2"/>
            <w:tcBorders>
              <w:top w:val="single" w:color="auto" w:sz="4" w:space="0"/>
              <w:left w:val="single" w:color="auto" w:sz="4" w:space="0"/>
              <w:bottom w:val="single" w:color="auto" w:sz="4" w:space="0"/>
              <w:right w:val="single" w:color="auto" w:sz="4" w:space="0"/>
            </w:tcBorders>
            <w:noWrap w:val="0"/>
            <w:vAlign w:val="bottom"/>
          </w:tcPr>
          <w:p w14:paraId="4562757F">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bottom"/>
          </w:tcPr>
          <w:p w14:paraId="6A7F108B">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4FACFC0E">
        <w:tblPrEx>
          <w:tblCellMar>
            <w:top w:w="0" w:type="dxa"/>
            <w:left w:w="108" w:type="dxa"/>
            <w:bottom w:w="0" w:type="dxa"/>
            <w:right w:w="108" w:type="dxa"/>
          </w:tblCellMar>
        </w:tblPrEx>
        <w:trPr>
          <w:gridAfter w:val="1"/>
          <w:wAfter w:w="8" w:type="dxa"/>
          <w:trHeight w:val="765" w:hRule="atLeast"/>
          <w:jc w:val="center"/>
        </w:trPr>
        <w:tc>
          <w:tcPr>
            <w:tcW w:w="601" w:type="dxa"/>
            <w:vMerge w:val="continue"/>
            <w:tcBorders>
              <w:top w:val="nil"/>
              <w:left w:val="single" w:color="auto" w:sz="4" w:space="0"/>
              <w:bottom w:val="nil"/>
              <w:right w:val="single" w:color="auto" w:sz="4" w:space="0"/>
            </w:tcBorders>
            <w:noWrap w:val="0"/>
            <w:vAlign w:val="center"/>
          </w:tcPr>
          <w:p w14:paraId="4C545B95">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8" w:type="dxa"/>
            <w:gridSpan w:val="3"/>
            <w:vMerge w:val="continue"/>
            <w:tcBorders>
              <w:top w:val="nil"/>
              <w:left w:val="single" w:color="auto" w:sz="4" w:space="0"/>
              <w:bottom w:val="nil"/>
              <w:right w:val="single" w:color="auto" w:sz="4" w:space="0"/>
            </w:tcBorders>
            <w:noWrap w:val="0"/>
            <w:vAlign w:val="center"/>
          </w:tcPr>
          <w:p w14:paraId="50F5D3CE">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5" w:type="dxa"/>
            <w:gridSpan w:val="2"/>
            <w:tcBorders>
              <w:top w:val="single" w:color="auto" w:sz="4" w:space="0"/>
              <w:left w:val="single" w:color="auto" w:sz="4" w:space="0"/>
              <w:bottom w:val="single" w:color="auto" w:sz="4" w:space="0"/>
              <w:right w:val="single" w:color="auto" w:sz="4" w:space="0"/>
            </w:tcBorders>
            <w:noWrap w:val="0"/>
            <w:vAlign w:val="center"/>
          </w:tcPr>
          <w:p w14:paraId="1F5C1BB0">
            <w:pPr>
              <w:keepNext w:val="0"/>
              <w:keepLines w:val="0"/>
              <w:pageBreakBefore w:val="0"/>
              <w:widowControl/>
              <w:bidi w:val="0"/>
              <w:spacing w:line="240" w:lineRule="auto"/>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6.扶手无积尘、污渍</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089F3AAF">
            <w:pPr>
              <w:keepNext w:val="0"/>
              <w:keepLines w:val="0"/>
              <w:pageBreakBefore w:val="0"/>
              <w:widowControl/>
              <w:bidi w:val="0"/>
              <w:spacing w:line="240" w:lineRule="auto"/>
              <w:jc w:val="center"/>
              <w:outlineLvl w:val="9"/>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05847A86">
            <w:pPr>
              <w:keepNext w:val="0"/>
              <w:keepLines w:val="0"/>
              <w:pageBreakBefore w:val="0"/>
              <w:widowControl/>
              <w:bidi w:val="0"/>
              <w:spacing w:line="240" w:lineRule="auto"/>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白手套检查法，现场抽查，每发现1处违反规定，扣0.5分。</w:t>
            </w:r>
          </w:p>
        </w:tc>
        <w:tc>
          <w:tcPr>
            <w:tcW w:w="567" w:type="dxa"/>
            <w:gridSpan w:val="2"/>
            <w:tcBorders>
              <w:top w:val="single" w:color="auto" w:sz="4" w:space="0"/>
              <w:left w:val="single" w:color="auto" w:sz="4" w:space="0"/>
              <w:bottom w:val="single" w:color="auto" w:sz="4" w:space="0"/>
              <w:right w:val="single" w:color="auto" w:sz="4" w:space="0"/>
            </w:tcBorders>
            <w:noWrap w:val="0"/>
            <w:vAlign w:val="bottom"/>
          </w:tcPr>
          <w:p w14:paraId="2DB1B51A">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bottom"/>
          </w:tcPr>
          <w:p w14:paraId="6F5BE90E">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58839137">
        <w:tblPrEx>
          <w:tblCellMar>
            <w:top w:w="0" w:type="dxa"/>
            <w:left w:w="108" w:type="dxa"/>
            <w:bottom w:w="0" w:type="dxa"/>
            <w:right w:w="108" w:type="dxa"/>
          </w:tblCellMar>
        </w:tblPrEx>
        <w:trPr>
          <w:gridAfter w:val="1"/>
          <w:wAfter w:w="8" w:type="dxa"/>
          <w:trHeight w:val="765" w:hRule="atLeast"/>
          <w:jc w:val="center"/>
        </w:trPr>
        <w:tc>
          <w:tcPr>
            <w:tcW w:w="601" w:type="dxa"/>
            <w:vMerge w:val="continue"/>
            <w:tcBorders>
              <w:top w:val="nil"/>
              <w:left w:val="single" w:color="auto" w:sz="4" w:space="0"/>
              <w:bottom w:val="nil"/>
              <w:right w:val="single" w:color="auto" w:sz="4" w:space="0"/>
            </w:tcBorders>
            <w:noWrap w:val="0"/>
            <w:vAlign w:val="center"/>
          </w:tcPr>
          <w:p w14:paraId="5DE57113">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8" w:type="dxa"/>
            <w:gridSpan w:val="3"/>
            <w:vMerge w:val="continue"/>
            <w:tcBorders>
              <w:top w:val="nil"/>
              <w:left w:val="single" w:color="auto" w:sz="4" w:space="0"/>
              <w:bottom w:val="nil"/>
              <w:right w:val="single" w:color="auto" w:sz="4" w:space="0"/>
            </w:tcBorders>
            <w:noWrap w:val="0"/>
            <w:vAlign w:val="center"/>
          </w:tcPr>
          <w:p w14:paraId="338F41E8">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5" w:type="dxa"/>
            <w:gridSpan w:val="2"/>
            <w:tcBorders>
              <w:top w:val="single" w:color="auto" w:sz="4" w:space="0"/>
              <w:left w:val="single" w:color="auto" w:sz="4" w:space="0"/>
              <w:bottom w:val="single" w:color="auto" w:sz="4" w:space="0"/>
              <w:right w:val="single" w:color="auto" w:sz="4" w:space="0"/>
            </w:tcBorders>
            <w:noWrap w:val="0"/>
            <w:vAlign w:val="center"/>
          </w:tcPr>
          <w:p w14:paraId="5E65AE56">
            <w:pPr>
              <w:keepNext w:val="0"/>
              <w:keepLines w:val="0"/>
              <w:pageBreakBefore w:val="0"/>
              <w:widowControl/>
              <w:bidi w:val="0"/>
              <w:spacing w:line="240" w:lineRule="auto"/>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7.电梯厅、电梯轿厢内定期消毒，干净整洁，无垃圾、污渍等</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40F6C186">
            <w:pPr>
              <w:keepNext w:val="0"/>
              <w:keepLines w:val="0"/>
              <w:pageBreakBefore w:val="0"/>
              <w:widowControl/>
              <w:bidi w:val="0"/>
              <w:spacing w:line="240" w:lineRule="auto"/>
              <w:jc w:val="center"/>
              <w:outlineLvl w:val="9"/>
              <w:rPr>
                <w:rFonts w:hint="eastAsia" w:ascii="宋体" w:hAnsi="宋体" w:cs="宋体"/>
                <w:color w:val="000000"/>
                <w:szCs w:val="21"/>
                <w:highlight w:val="none"/>
              </w:rPr>
            </w:pPr>
            <w:r>
              <w:rPr>
                <w:rFonts w:hint="eastAsia" w:ascii="宋体" w:hAnsi="宋体" w:cs="宋体"/>
                <w:color w:val="000000"/>
                <w:szCs w:val="21"/>
                <w:highlight w:val="none"/>
              </w:rPr>
              <w:t>4</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03998A4F">
            <w:pPr>
              <w:keepNext w:val="0"/>
              <w:keepLines w:val="0"/>
              <w:pageBreakBefore w:val="0"/>
              <w:widowControl/>
              <w:bidi w:val="0"/>
              <w:spacing w:line="240" w:lineRule="auto"/>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现场抽查，每发现1处违反规定，扣0.5分。</w:t>
            </w:r>
          </w:p>
        </w:tc>
        <w:tc>
          <w:tcPr>
            <w:tcW w:w="567" w:type="dxa"/>
            <w:gridSpan w:val="2"/>
            <w:tcBorders>
              <w:top w:val="single" w:color="auto" w:sz="4" w:space="0"/>
              <w:left w:val="single" w:color="auto" w:sz="4" w:space="0"/>
              <w:bottom w:val="single" w:color="auto" w:sz="4" w:space="0"/>
              <w:right w:val="single" w:color="auto" w:sz="4" w:space="0"/>
            </w:tcBorders>
            <w:noWrap w:val="0"/>
            <w:vAlign w:val="bottom"/>
          </w:tcPr>
          <w:p w14:paraId="0C3715EB">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bottom"/>
          </w:tcPr>
          <w:p w14:paraId="7E6ACB4F">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0C562DFC">
        <w:tblPrEx>
          <w:tblCellMar>
            <w:top w:w="0" w:type="dxa"/>
            <w:left w:w="108" w:type="dxa"/>
            <w:bottom w:w="0" w:type="dxa"/>
            <w:right w:w="108" w:type="dxa"/>
          </w:tblCellMar>
        </w:tblPrEx>
        <w:trPr>
          <w:gridAfter w:val="1"/>
          <w:wAfter w:w="8" w:type="dxa"/>
          <w:trHeight w:val="765" w:hRule="atLeast"/>
          <w:jc w:val="center"/>
        </w:trPr>
        <w:tc>
          <w:tcPr>
            <w:tcW w:w="601" w:type="dxa"/>
            <w:vMerge w:val="continue"/>
            <w:tcBorders>
              <w:top w:val="nil"/>
              <w:left w:val="single" w:color="auto" w:sz="4" w:space="0"/>
              <w:bottom w:val="nil"/>
              <w:right w:val="single" w:color="auto" w:sz="4" w:space="0"/>
            </w:tcBorders>
            <w:noWrap w:val="0"/>
            <w:vAlign w:val="center"/>
          </w:tcPr>
          <w:p w14:paraId="5EE51699">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8" w:type="dxa"/>
            <w:gridSpan w:val="3"/>
            <w:vMerge w:val="continue"/>
            <w:tcBorders>
              <w:top w:val="nil"/>
              <w:left w:val="single" w:color="auto" w:sz="4" w:space="0"/>
              <w:bottom w:val="nil"/>
              <w:right w:val="single" w:color="auto" w:sz="4" w:space="0"/>
            </w:tcBorders>
            <w:noWrap w:val="0"/>
            <w:vAlign w:val="center"/>
          </w:tcPr>
          <w:p w14:paraId="51A6B5D8">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5" w:type="dxa"/>
            <w:gridSpan w:val="2"/>
            <w:tcBorders>
              <w:top w:val="single" w:color="auto" w:sz="4" w:space="0"/>
              <w:left w:val="single" w:color="auto" w:sz="4" w:space="0"/>
              <w:bottom w:val="single" w:color="auto" w:sz="4" w:space="0"/>
              <w:right w:val="single" w:color="auto" w:sz="4" w:space="0"/>
            </w:tcBorders>
            <w:noWrap w:val="0"/>
            <w:vAlign w:val="center"/>
          </w:tcPr>
          <w:p w14:paraId="09675DD0">
            <w:pPr>
              <w:keepNext w:val="0"/>
              <w:keepLines w:val="0"/>
              <w:pageBreakBefore w:val="0"/>
              <w:widowControl/>
              <w:bidi w:val="0"/>
              <w:spacing w:line="240" w:lineRule="auto"/>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8.茶水间（桶）清洁卫生整齐</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50E227DD">
            <w:pPr>
              <w:keepNext w:val="0"/>
              <w:keepLines w:val="0"/>
              <w:pageBreakBefore w:val="0"/>
              <w:widowControl/>
              <w:bidi w:val="0"/>
              <w:spacing w:line="240" w:lineRule="auto"/>
              <w:jc w:val="center"/>
              <w:outlineLvl w:val="9"/>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7E38FD30">
            <w:pPr>
              <w:keepNext w:val="0"/>
              <w:keepLines w:val="0"/>
              <w:pageBreakBefore w:val="0"/>
              <w:widowControl/>
              <w:bidi w:val="0"/>
              <w:spacing w:line="240" w:lineRule="auto"/>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现场抽查，每发现1处违反规定，扣0.5分。</w:t>
            </w:r>
          </w:p>
        </w:tc>
        <w:tc>
          <w:tcPr>
            <w:tcW w:w="567" w:type="dxa"/>
            <w:gridSpan w:val="2"/>
            <w:tcBorders>
              <w:top w:val="single" w:color="auto" w:sz="4" w:space="0"/>
              <w:left w:val="single" w:color="auto" w:sz="4" w:space="0"/>
              <w:bottom w:val="single" w:color="auto" w:sz="4" w:space="0"/>
              <w:right w:val="single" w:color="auto" w:sz="4" w:space="0"/>
            </w:tcBorders>
            <w:noWrap w:val="0"/>
            <w:vAlign w:val="bottom"/>
          </w:tcPr>
          <w:p w14:paraId="15316F83">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bottom"/>
          </w:tcPr>
          <w:p w14:paraId="5D437725">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13EE7662">
        <w:tblPrEx>
          <w:tblCellMar>
            <w:top w:w="0" w:type="dxa"/>
            <w:left w:w="108" w:type="dxa"/>
            <w:bottom w:w="0" w:type="dxa"/>
            <w:right w:w="108" w:type="dxa"/>
          </w:tblCellMar>
        </w:tblPrEx>
        <w:trPr>
          <w:gridAfter w:val="1"/>
          <w:wAfter w:w="8" w:type="dxa"/>
          <w:trHeight w:val="765" w:hRule="atLeast"/>
          <w:jc w:val="center"/>
        </w:trPr>
        <w:tc>
          <w:tcPr>
            <w:tcW w:w="601" w:type="dxa"/>
            <w:vMerge w:val="continue"/>
            <w:tcBorders>
              <w:top w:val="nil"/>
              <w:left w:val="single" w:color="auto" w:sz="4" w:space="0"/>
              <w:bottom w:val="nil"/>
              <w:right w:val="single" w:color="auto" w:sz="4" w:space="0"/>
            </w:tcBorders>
            <w:noWrap w:val="0"/>
            <w:vAlign w:val="center"/>
          </w:tcPr>
          <w:p w14:paraId="2847613E">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8" w:type="dxa"/>
            <w:gridSpan w:val="3"/>
            <w:vMerge w:val="continue"/>
            <w:tcBorders>
              <w:top w:val="nil"/>
              <w:left w:val="single" w:color="auto" w:sz="4" w:space="0"/>
              <w:bottom w:val="nil"/>
              <w:right w:val="single" w:color="auto" w:sz="4" w:space="0"/>
            </w:tcBorders>
            <w:noWrap w:val="0"/>
            <w:vAlign w:val="center"/>
          </w:tcPr>
          <w:p w14:paraId="61E80014">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5" w:type="dxa"/>
            <w:gridSpan w:val="2"/>
            <w:tcBorders>
              <w:top w:val="single" w:color="auto" w:sz="4" w:space="0"/>
              <w:left w:val="single" w:color="auto" w:sz="4" w:space="0"/>
              <w:bottom w:val="single" w:color="auto" w:sz="4" w:space="0"/>
              <w:right w:val="single" w:color="auto" w:sz="4" w:space="0"/>
            </w:tcBorders>
            <w:noWrap w:val="0"/>
            <w:vAlign w:val="center"/>
          </w:tcPr>
          <w:p w14:paraId="0C37CE5D">
            <w:pPr>
              <w:keepNext w:val="0"/>
              <w:keepLines w:val="0"/>
              <w:pageBreakBefore w:val="0"/>
              <w:widowControl/>
              <w:bidi w:val="0"/>
              <w:spacing w:line="240" w:lineRule="auto"/>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9.门框、通风口、灯管等保持干净，无明显积尘</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4547D2F5">
            <w:pPr>
              <w:keepNext w:val="0"/>
              <w:keepLines w:val="0"/>
              <w:pageBreakBefore w:val="0"/>
              <w:widowControl/>
              <w:bidi w:val="0"/>
              <w:spacing w:line="240" w:lineRule="auto"/>
              <w:jc w:val="center"/>
              <w:outlineLvl w:val="9"/>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7A0F32A2">
            <w:pPr>
              <w:keepNext w:val="0"/>
              <w:keepLines w:val="0"/>
              <w:pageBreakBefore w:val="0"/>
              <w:widowControl/>
              <w:bidi w:val="0"/>
              <w:spacing w:line="240" w:lineRule="auto"/>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现场抽查，每发现1处违反规定，扣0.5分。</w:t>
            </w:r>
          </w:p>
        </w:tc>
        <w:tc>
          <w:tcPr>
            <w:tcW w:w="567" w:type="dxa"/>
            <w:gridSpan w:val="2"/>
            <w:tcBorders>
              <w:top w:val="single" w:color="auto" w:sz="4" w:space="0"/>
              <w:left w:val="single" w:color="auto" w:sz="4" w:space="0"/>
              <w:bottom w:val="single" w:color="auto" w:sz="4" w:space="0"/>
              <w:right w:val="single" w:color="auto" w:sz="4" w:space="0"/>
            </w:tcBorders>
            <w:noWrap w:val="0"/>
            <w:vAlign w:val="bottom"/>
          </w:tcPr>
          <w:p w14:paraId="2B3173AD">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bottom"/>
          </w:tcPr>
          <w:p w14:paraId="289A5F3B">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60D90AC1">
        <w:tblPrEx>
          <w:tblCellMar>
            <w:top w:w="0" w:type="dxa"/>
            <w:left w:w="108" w:type="dxa"/>
            <w:bottom w:w="0" w:type="dxa"/>
            <w:right w:w="108" w:type="dxa"/>
          </w:tblCellMar>
        </w:tblPrEx>
        <w:trPr>
          <w:gridAfter w:val="1"/>
          <w:wAfter w:w="8" w:type="dxa"/>
          <w:trHeight w:val="765" w:hRule="atLeast"/>
          <w:jc w:val="center"/>
        </w:trPr>
        <w:tc>
          <w:tcPr>
            <w:tcW w:w="601" w:type="dxa"/>
            <w:vMerge w:val="continue"/>
            <w:tcBorders>
              <w:top w:val="nil"/>
              <w:left w:val="single" w:color="auto" w:sz="4" w:space="0"/>
              <w:bottom w:val="nil"/>
              <w:right w:val="single" w:color="auto" w:sz="4" w:space="0"/>
            </w:tcBorders>
            <w:noWrap w:val="0"/>
            <w:vAlign w:val="center"/>
          </w:tcPr>
          <w:p w14:paraId="42BA8538">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8" w:type="dxa"/>
            <w:gridSpan w:val="3"/>
            <w:vMerge w:val="continue"/>
            <w:tcBorders>
              <w:top w:val="nil"/>
              <w:left w:val="single" w:color="auto" w:sz="4" w:space="0"/>
              <w:bottom w:val="nil"/>
              <w:right w:val="single" w:color="auto" w:sz="4" w:space="0"/>
            </w:tcBorders>
            <w:noWrap w:val="0"/>
            <w:vAlign w:val="center"/>
          </w:tcPr>
          <w:p w14:paraId="30FBEF37">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5" w:type="dxa"/>
            <w:gridSpan w:val="2"/>
            <w:tcBorders>
              <w:top w:val="single" w:color="auto" w:sz="4" w:space="0"/>
              <w:left w:val="single" w:color="auto" w:sz="4" w:space="0"/>
              <w:bottom w:val="single" w:color="auto" w:sz="4" w:space="0"/>
              <w:right w:val="single" w:color="auto" w:sz="4" w:space="0"/>
            </w:tcBorders>
            <w:noWrap w:val="0"/>
            <w:vAlign w:val="center"/>
          </w:tcPr>
          <w:p w14:paraId="4219AF6F">
            <w:pPr>
              <w:keepNext w:val="0"/>
              <w:keepLines w:val="0"/>
              <w:pageBreakBefore w:val="0"/>
              <w:widowControl/>
              <w:bidi w:val="0"/>
              <w:spacing w:line="240" w:lineRule="auto"/>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10.安全扶梯台阶无污物、垃圾，扶杆无损坏残缺、锈蚀和污渍</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1EACE85A">
            <w:pPr>
              <w:keepNext w:val="0"/>
              <w:keepLines w:val="0"/>
              <w:pageBreakBefore w:val="0"/>
              <w:widowControl/>
              <w:bidi w:val="0"/>
              <w:spacing w:line="240" w:lineRule="auto"/>
              <w:jc w:val="center"/>
              <w:outlineLvl w:val="9"/>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224BBF06">
            <w:pPr>
              <w:keepNext w:val="0"/>
              <w:keepLines w:val="0"/>
              <w:pageBreakBefore w:val="0"/>
              <w:widowControl/>
              <w:bidi w:val="0"/>
              <w:spacing w:line="240" w:lineRule="auto"/>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现场抽查，每发现1处违反规定，扣0.5分。</w:t>
            </w:r>
          </w:p>
        </w:tc>
        <w:tc>
          <w:tcPr>
            <w:tcW w:w="567" w:type="dxa"/>
            <w:gridSpan w:val="2"/>
            <w:tcBorders>
              <w:top w:val="single" w:color="auto" w:sz="4" w:space="0"/>
              <w:left w:val="single" w:color="auto" w:sz="4" w:space="0"/>
              <w:bottom w:val="single" w:color="auto" w:sz="4" w:space="0"/>
              <w:right w:val="single" w:color="auto" w:sz="4" w:space="0"/>
            </w:tcBorders>
            <w:noWrap w:val="0"/>
            <w:vAlign w:val="bottom"/>
          </w:tcPr>
          <w:p w14:paraId="6D33E954">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bottom"/>
          </w:tcPr>
          <w:p w14:paraId="26BEF456">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76BC5837">
        <w:tblPrEx>
          <w:tblCellMar>
            <w:top w:w="0" w:type="dxa"/>
            <w:left w:w="108" w:type="dxa"/>
            <w:bottom w:w="0" w:type="dxa"/>
            <w:right w:w="108" w:type="dxa"/>
          </w:tblCellMar>
        </w:tblPrEx>
        <w:trPr>
          <w:gridAfter w:val="1"/>
          <w:wAfter w:w="8" w:type="dxa"/>
          <w:trHeight w:val="765" w:hRule="atLeast"/>
          <w:jc w:val="center"/>
        </w:trPr>
        <w:tc>
          <w:tcPr>
            <w:tcW w:w="601" w:type="dxa"/>
            <w:vMerge w:val="continue"/>
            <w:tcBorders>
              <w:top w:val="nil"/>
              <w:left w:val="single" w:color="auto" w:sz="4" w:space="0"/>
              <w:bottom w:val="single" w:color="auto" w:sz="4" w:space="0"/>
              <w:right w:val="single" w:color="auto" w:sz="4" w:space="0"/>
            </w:tcBorders>
            <w:noWrap w:val="0"/>
            <w:vAlign w:val="center"/>
          </w:tcPr>
          <w:p w14:paraId="2095DF8F">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8" w:type="dxa"/>
            <w:gridSpan w:val="3"/>
            <w:vMerge w:val="continue"/>
            <w:tcBorders>
              <w:top w:val="nil"/>
              <w:left w:val="single" w:color="auto" w:sz="4" w:space="0"/>
              <w:bottom w:val="single" w:color="auto" w:sz="4" w:space="0"/>
              <w:right w:val="single" w:color="auto" w:sz="4" w:space="0"/>
            </w:tcBorders>
            <w:noWrap w:val="0"/>
            <w:vAlign w:val="center"/>
          </w:tcPr>
          <w:p w14:paraId="2D1F8DF4">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5" w:type="dxa"/>
            <w:gridSpan w:val="2"/>
            <w:tcBorders>
              <w:top w:val="single" w:color="auto" w:sz="4" w:space="0"/>
              <w:left w:val="single" w:color="auto" w:sz="4" w:space="0"/>
              <w:bottom w:val="single" w:color="auto" w:sz="4" w:space="0"/>
              <w:right w:val="single" w:color="auto" w:sz="4" w:space="0"/>
            </w:tcBorders>
            <w:noWrap w:val="0"/>
            <w:vAlign w:val="center"/>
          </w:tcPr>
          <w:p w14:paraId="61B6B76C">
            <w:pPr>
              <w:keepNext w:val="0"/>
              <w:keepLines w:val="0"/>
              <w:pageBreakBefore w:val="0"/>
              <w:widowControl/>
              <w:bidi w:val="0"/>
              <w:spacing w:line="240" w:lineRule="auto"/>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11.垃圾箱放置整齐，垃圾袋套在垃圾箱上，四周无散积垃圾，无异味</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47A5C010">
            <w:pPr>
              <w:keepNext w:val="0"/>
              <w:keepLines w:val="0"/>
              <w:pageBreakBefore w:val="0"/>
              <w:widowControl/>
              <w:bidi w:val="0"/>
              <w:spacing w:line="240" w:lineRule="auto"/>
              <w:jc w:val="center"/>
              <w:outlineLvl w:val="9"/>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040B97CF">
            <w:pPr>
              <w:keepNext w:val="0"/>
              <w:keepLines w:val="0"/>
              <w:pageBreakBefore w:val="0"/>
              <w:widowControl/>
              <w:bidi w:val="0"/>
              <w:spacing w:line="240" w:lineRule="auto"/>
              <w:jc w:val="left"/>
              <w:outlineLvl w:val="9"/>
              <w:rPr>
                <w:rFonts w:hint="eastAsia" w:ascii="宋体" w:hAnsi="宋体" w:cs="宋体"/>
                <w:color w:val="000000"/>
                <w:szCs w:val="21"/>
                <w:highlight w:val="none"/>
              </w:rPr>
            </w:pPr>
            <w:r>
              <w:rPr>
                <w:rFonts w:hint="eastAsia" w:ascii="宋体" w:hAnsi="宋体" w:cs="宋体"/>
                <w:color w:val="000000"/>
                <w:szCs w:val="21"/>
                <w:highlight w:val="none"/>
              </w:rPr>
              <w:t>现场抽查，每发现1处违反规定，扣0.5分。</w:t>
            </w:r>
          </w:p>
        </w:tc>
        <w:tc>
          <w:tcPr>
            <w:tcW w:w="567" w:type="dxa"/>
            <w:gridSpan w:val="2"/>
            <w:tcBorders>
              <w:top w:val="single" w:color="auto" w:sz="4" w:space="0"/>
              <w:left w:val="single" w:color="auto" w:sz="4" w:space="0"/>
              <w:bottom w:val="single" w:color="auto" w:sz="4" w:space="0"/>
              <w:right w:val="single" w:color="auto" w:sz="4" w:space="0"/>
            </w:tcBorders>
            <w:noWrap w:val="0"/>
            <w:vAlign w:val="bottom"/>
          </w:tcPr>
          <w:p w14:paraId="1BD4624E">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bottom"/>
          </w:tcPr>
          <w:p w14:paraId="450FAAE5">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222D9DC1">
        <w:tblPrEx>
          <w:tblCellMar>
            <w:top w:w="0" w:type="dxa"/>
            <w:left w:w="108" w:type="dxa"/>
            <w:bottom w:w="0" w:type="dxa"/>
            <w:right w:w="108" w:type="dxa"/>
          </w:tblCellMar>
        </w:tblPrEx>
        <w:trPr>
          <w:trHeight w:val="620" w:hRule="atLeast"/>
          <w:jc w:val="center"/>
        </w:trPr>
        <w:tc>
          <w:tcPr>
            <w:tcW w:w="612"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27D22017">
            <w:pPr>
              <w:keepNext w:val="0"/>
              <w:keepLines w:val="0"/>
              <w:pageBreakBefore w:val="0"/>
              <w:widowControl/>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4</w:t>
            </w:r>
          </w:p>
        </w:tc>
        <w:tc>
          <w:tcPr>
            <w:tcW w:w="1013" w:type="dxa"/>
            <w:vMerge w:val="restart"/>
            <w:tcBorders>
              <w:top w:val="single" w:color="auto" w:sz="4" w:space="0"/>
              <w:left w:val="single" w:color="auto" w:sz="4" w:space="0"/>
              <w:bottom w:val="single" w:color="auto" w:sz="4" w:space="0"/>
              <w:right w:val="single" w:color="auto" w:sz="4" w:space="0"/>
            </w:tcBorders>
            <w:noWrap w:val="0"/>
            <w:vAlign w:val="top"/>
          </w:tcPr>
          <w:p w14:paraId="104DCF8B">
            <w:pPr>
              <w:keepNext w:val="0"/>
              <w:keepLines w:val="0"/>
              <w:pageBreakBefore w:val="0"/>
              <w:widowControl/>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卫生间保洁9)</w:t>
            </w: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39DD125A">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1.卫生间空气流通，无异味；卫生洁具保持清洁，定期消毒，有记录</w:t>
            </w:r>
          </w:p>
        </w:tc>
        <w:tc>
          <w:tcPr>
            <w:tcW w:w="938" w:type="dxa"/>
            <w:gridSpan w:val="3"/>
            <w:tcBorders>
              <w:top w:val="single" w:color="auto" w:sz="4" w:space="0"/>
              <w:left w:val="single" w:color="auto" w:sz="4" w:space="0"/>
              <w:bottom w:val="single" w:color="auto" w:sz="4" w:space="0"/>
              <w:right w:val="single" w:color="auto" w:sz="4" w:space="0"/>
            </w:tcBorders>
            <w:noWrap w:val="0"/>
            <w:vAlign w:val="center"/>
          </w:tcPr>
          <w:p w14:paraId="6C58922B">
            <w:pPr>
              <w:keepNext w:val="0"/>
              <w:keepLines w:val="0"/>
              <w:pageBreakBefore w:val="0"/>
              <w:widowControl/>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87" w:type="dxa"/>
            <w:gridSpan w:val="2"/>
            <w:tcBorders>
              <w:top w:val="single" w:color="auto" w:sz="4" w:space="0"/>
              <w:left w:val="single" w:color="auto" w:sz="4" w:space="0"/>
              <w:bottom w:val="single" w:color="auto" w:sz="4" w:space="0"/>
              <w:right w:val="single" w:color="auto" w:sz="4" w:space="0"/>
            </w:tcBorders>
            <w:noWrap w:val="0"/>
            <w:vAlign w:val="center"/>
          </w:tcPr>
          <w:p w14:paraId="317FF532">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现场验证，每发现1处不符合规定，扣0.5分；抽查3-8项记录，每发现1项记录不全，扣0.5分</w:t>
            </w:r>
          </w:p>
        </w:tc>
        <w:tc>
          <w:tcPr>
            <w:tcW w:w="563" w:type="dxa"/>
            <w:gridSpan w:val="2"/>
            <w:tcBorders>
              <w:top w:val="single" w:color="auto" w:sz="4" w:space="0"/>
              <w:left w:val="single" w:color="auto" w:sz="4" w:space="0"/>
              <w:bottom w:val="single" w:color="auto" w:sz="4" w:space="0"/>
              <w:right w:val="single" w:color="auto" w:sz="4" w:space="0"/>
            </w:tcBorders>
            <w:noWrap w:val="0"/>
            <w:vAlign w:val="top"/>
          </w:tcPr>
          <w:p w14:paraId="5EBC2FF0">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top"/>
          </w:tcPr>
          <w:p w14:paraId="29894532">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05B367D7">
        <w:tblPrEx>
          <w:tblCellMar>
            <w:top w:w="0" w:type="dxa"/>
            <w:left w:w="108" w:type="dxa"/>
            <w:bottom w:w="0" w:type="dxa"/>
            <w:right w:w="108" w:type="dxa"/>
          </w:tblCellMar>
        </w:tblPrEx>
        <w:trPr>
          <w:trHeight w:val="620" w:hRule="atLeast"/>
          <w:jc w:val="center"/>
        </w:trPr>
        <w:tc>
          <w:tcPr>
            <w:tcW w:w="6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C518DBE">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4EDE31E9">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1A79D88B">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2.金属器具如水龙头等光亮无锈斑、污渍、浮尘</w:t>
            </w:r>
          </w:p>
        </w:tc>
        <w:tc>
          <w:tcPr>
            <w:tcW w:w="938" w:type="dxa"/>
            <w:gridSpan w:val="3"/>
            <w:tcBorders>
              <w:top w:val="single" w:color="auto" w:sz="4" w:space="0"/>
              <w:left w:val="single" w:color="auto" w:sz="4" w:space="0"/>
              <w:bottom w:val="single" w:color="auto" w:sz="4" w:space="0"/>
              <w:right w:val="single" w:color="auto" w:sz="4" w:space="0"/>
            </w:tcBorders>
            <w:noWrap w:val="0"/>
            <w:vAlign w:val="center"/>
          </w:tcPr>
          <w:p w14:paraId="6F92EF3C">
            <w:pPr>
              <w:keepNext w:val="0"/>
              <w:keepLines w:val="0"/>
              <w:pageBreakBefore w:val="0"/>
              <w:widowControl/>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3687" w:type="dxa"/>
            <w:gridSpan w:val="2"/>
            <w:tcBorders>
              <w:top w:val="single" w:color="auto" w:sz="4" w:space="0"/>
              <w:left w:val="single" w:color="auto" w:sz="4" w:space="0"/>
              <w:bottom w:val="single" w:color="auto" w:sz="4" w:space="0"/>
              <w:right w:val="single" w:color="auto" w:sz="4" w:space="0"/>
            </w:tcBorders>
            <w:noWrap w:val="0"/>
            <w:vAlign w:val="center"/>
          </w:tcPr>
          <w:p w14:paraId="71D56836">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在保洁后进行现场抽查，每发现1处违反规定，扣0.5分。</w:t>
            </w:r>
          </w:p>
        </w:tc>
        <w:tc>
          <w:tcPr>
            <w:tcW w:w="563" w:type="dxa"/>
            <w:gridSpan w:val="2"/>
            <w:tcBorders>
              <w:top w:val="single" w:color="auto" w:sz="4" w:space="0"/>
              <w:left w:val="single" w:color="auto" w:sz="4" w:space="0"/>
              <w:bottom w:val="single" w:color="auto" w:sz="4" w:space="0"/>
              <w:right w:val="single" w:color="auto" w:sz="4" w:space="0"/>
            </w:tcBorders>
            <w:noWrap w:val="0"/>
            <w:vAlign w:val="top"/>
          </w:tcPr>
          <w:p w14:paraId="283B4CC5">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top"/>
          </w:tcPr>
          <w:p w14:paraId="711CA553">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555B4B66">
        <w:tblPrEx>
          <w:tblCellMar>
            <w:top w:w="0" w:type="dxa"/>
            <w:left w:w="108" w:type="dxa"/>
            <w:bottom w:w="0" w:type="dxa"/>
            <w:right w:w="108" w:type="dxa"/>
          </w:tblCellMar>
        </w:tblPrEx>
        <w:trPr>
          <w:trHeight w:val="620" w:hRule="atLeast"/>
          <w:jc w:val="center"/>
        </w:trPr>
        <w:tc>
          <w:tcPr>
            <w:tcW w:w="6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FA6D00C">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0D9052E9">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4BFAE865">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3.盥洗台面干净、整洁（洗手液器下配接液盒），无水渍；镜面无灰尘、污痕、手印等</w:t>
            </w:r>
          </w:p>
        </w:tc>
        <w:tc>
          <w:tcPr>
            <w:tcW w:w="938" w:type="dxa"/>
            <w:gridSpan w:val="3"/>
            <w:tcBorders>
              <w:top w:val="single" w:color="auto" w:sz="4" w:space="0"/>
              <w:left w:val="single" w:color="auto" w:sz="4" w:space="0"/>
              <w:bottom w:val="single" w:color="auto" w:sz="4" w:space="0"/>
              <w:right w:val="single" w:color="auto" w:sz="4" w:space="0"/>
            </w:tcBorders>
            <w:noWrap w:val="0"/>
            <w:vAlign w:val="center"/>
          </w:tcPr>
          <w:p w14:paraId="3C5EDC07">
            <w:pPr>
              <w:keepNext w:val="0"/>
              <w:keepLines w:val="0"/>
              <w:pageBreakBefore w:val="0"/>
              <w:widowControl/>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3687" w:type="dxa"/>
            <w:gridSpan w:val="2"/>
            <w:tcBorders>
              <w:top w:val="single" w:color="auto" w:sz="4" w:space="0"/>
              <w:left w:val="single" w:color="auto" w:sz="4" w:space="0"/>
              <w:bottom w:val="single" w:color="auto" w:sz="4" w:space="0"/>
              <w:right w:val="single" w:color="auto" w:sz="4" w:space="0"/>
            </w:tcBorders>
            <w:noWrap w:val="0"/>
            <w:vAlign w:val="center"/>
          </w:tcPr>
          <w:p w14:paraId="0A5D953D">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在保洁后进行现场抽查，每发现1处违反规定，扣0.5分。</w:t>
            </w:r>
          </w:p>
        </w:tc>
        <w:tc>
          <w:tcPr>
            <w:tcW w:w="563" w:type="dxa"/>
            <w:gridSpan w:val="2"/>
            <w:tcBorders>
              <w:top w:val="single" w:color="auto" w:sz="4" w:space="0"/>
              <w:left w:val="single" w:color="auto" w:sz="4" w:space="0"/>
              <w:bottom w:val="single" w:color="auto" w:sz="4" w:space="0"/>
              <w:right w:val="single" w:color="auto" w:sz="4" w:space="0"/>
            </w:tcBorders>
            <w:noWrap w:val="0"/>
            <w:vAlign w:val="top"/>
          </w:tcPr>
          <w:p w14:paraId="5630BFDF">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top"/>
          </w:tcPr>
          <w:p w14:paraId="7D963ADF">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7E7600C5">
        <w:tblPrEx>
          <w:tblCellMar>
            <w:top w:w="0" w:type="dxa"/>
            <w:left w:w="108" w:type="dxa"/>
            <w:bottom w:w="0" w:type="dxa"/>
            <w:right w:w="108" w:type="dxa"/>
          </w:tblCellMar>
        </w:tblPrEx>
        <w:trPr>
          <w:trHeight w:val="620" w:hRule="atLeast"/>
          <w:jc w:val="center"/>
        </w:trPr>
        <w:tc>
          <w:tcPr>
            <w:tcW w:w="6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B5E642D">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47DAE098">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61E4BE27">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4.墙面四周干燥，无蛛网、积尘，地面无垃圾、积水、烟蒂</w:t>
            </w:r>
          </w:p>
        </w:tc>
        <w:tc>
          <w:tcPr>
            <w:tcW w:w="938" w:type="dxa"/>
            <w:gridSpan w:val="3"/>
            <w:tcBorders>
              <w:top w:val="single" w:color="auto" w:sz="4" w:space="0"/>
              <w:left w:val="single" w:color="auto" w:sz="4" w:space="0"/>
              <w:bottom w:val="single" w:color="auto" w:sz="4" w:space="0"/>
              <w:right w:val="single" w:color="auto" w:sz="4" w:space="0"/>
            </w:tcBorders>
            <w:noWrap w:val="0"/>
            <w:vAlign w:val="center"/>
          </w:tcPr>
          <w:p w14:paraId="00E04A02">
            <w:pPr>
              <w:keepNext w:val="0"/>
              <w:keepLines w:val="0"/>
              <w:pageBreakBefore w:val="0"/>
              <w:widowControl/>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3687" w:type="dxa"/>
            <w:gridSpan w:val="2"/>
            <w:tcBorders>
              <w:top w:val="single" w:color="auto" w:sz="4" w:space="0"/>
              <w:left w:val="single" w:color="auto" w:sz="4" w:space="0"/>
              <w:bottom w:val="single" w:color="auto" w:sz="4" w:space="0"/>
              <w:right w:val="single" w:color="auto" w:sz="4" w:space="0"/>
            </w:tcBorders>
            <w:noWrap w:val="0"/>
            <w:vAlign w:val="center"/>
          </w:tcPr>
          <w:p w14:paraId="2D712713">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现场抽查，每发现1处违反规定，扣0.5分。</w:t>
            </w:r>
          </w:p>
        </w:tc>
        <w:tc>
          <w:tcPr>
            <w:tcW w:w="563" w:type="dxa"/>
            <w:gridSpan w:val="2"/>
            <w:tcBorders>
              <w:top w:val="single" w:color="auto" w:sz="4" w:space="0"/>
              <w:left w:val="single" w:color="auto" w:sz="4" w:space="0"/>
              <w:bottom w:val="single" w:color="auto" w:sz="4" w:space="0"/>
              <w:right w:val="single" w:color="auto" w:sz="4" w:space="0"/>
            </w:tcBorders>
            <w:noWrap w:val="0"/>
            <w:vAlign w:val="top"/>
          </w:tcPr>
          <w:p w14:paraId="53899A1E">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top"/>
          </w:tcPr>
          <w:p w14:paraId="3EA4A1C0">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1F473FD3">
        <w:tblPrEx>
          <w:tblCellMar>
            <w:top w:w="0" w:type="dxa"/>
            <w:left w:w="108" w:type="dxa"/>
            <w:bottom w:w="0" w:type="dxa"/>
            <w:right w:w="108" w:type="dxa"/>
          </w:tblCellMar>
        </w:tblPrEx>
        <w:trPr>
          <w:trHeight w:val="620" w:hRule="atLeast"/>
          <w:jc w:val="center"/>
        </w:trPr>
        <w:tc>
          <w:tcPr>
            <w:tcW w:w="61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1BBAB4E">
            <w:pPr>
              <w:keepNext w:val="0"/>
              <w:keepLines w:val="0"/>
              <w:pageBreakBefore w:val="0"/>
              <w:widowControl/>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5</w:t>
            </w:r>
          </w:p>
        </w:tc>
        <w:tc>
          <w:tcPr>
            <w:tcW w:w="1013" w:type="dxa"/>
            <w:vMerge w:val="restart"/>
            <w:tcBorders>
              <w:top w:val="single" w:color="auto" w:sz="4" w:space="0"/>
              <w:left w:val="single" w:color="auto" w:sz="4" w:space="0"/>
              <w:bottom w:val="single" w:color="auto" w:sz="4" w:space="0"/>
              <w:right w:val="single" w:color="auto" w:sz="4" w:space="0"/>
            </w:tcBorders>
            <w:noWrap w:val="0"/>
            <w:vAlign w:val="center"/>
          </w:tcPr>
          <w:p w14:paraId="491D9FF6">
            <w:pPr>
              <w:keepNext w:val="0"/>
              <w:keepLines w:val="0"/>
              <w:pageBreakBefore w:val="0"/>
              <w:widowControl/>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室外地下车库保洁  (10)</w:t>
            </w: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7B0BAB41">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1.室内外道路清洁</w:t>
            </w:r>
            <w:r>
              <w:rPr>
                <w:rFonts w:hint="eastAsia" w:ascii="宋体" w:hAnsi="宋体" w:cs="宋体"/>
                <w:color w:val="000000"/>
                <w:szCs w:val="21"/>
              </w:rPr>
              <w:t>畅通</w:t>
            </w:r>
            <w:r>
              <w:rPr>
                <w:rFonts w:hint="eastAsia" w:ascii="宋体" w:hAnsi="宋体" w:cs="宋体"/>
                <w:color w:val="000000"/>
                <w:szCs w:val="21"/>
                <w:highlight w:val="none"/>
              </w:rPr>
              <w:t>，无堆积垃圾或杂物</w:t>
            </w:r>
          </w:p>
        </w:tc>
        <w:tc>
          <w:tcPr>
            <w:tcW w:w="938" w:type="dxa"/>
            <w:gridSpan w:val="3"/>
            <w:tcBorders>
              <w:top w:val="single" w:color="auto" w:sz="4" w:space="0"/>
              <w:left w:val="single" w:color="auto" w:sz="4" w:space="0"/>
              <w:bottom w:val="single" w:color="auto" w:sz="4" w:space="0"/>
              <w:right w:val="single" w:color="auto" w:sz="4" w:space="0"/>
            </w:tcBorders>
            <w:noWrap w:val="0"/>
            <w:vAlign w:val="center"/>
          </w:tcPr>
          <w:p w14:paraId="5005E37E">
            <w:pPr>
              <w:keepNext w:val="0"/>
              <w:keepLines w:val="0"/>
              <w:pageBreakBefore w:val="0"/>
              <w:widowControl/>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87" w:type="dxa"/>
            <w:gridSpan w:val="2"/>
            <w:tcBorders>
              <w:top w:val="single" w:color="auto" w:sz="4" w:space="0"/>
              <w:left w:val="single" w:color="auto" w:sz="4" w:space="0"/>
              <w:bottom w:val="single" w:color="auto" w:sz="4" w:space="0"/>
              <w:right w:val="single" w:color="auto" w:sz="4" w:space="0"/>
            </w:tcBorders>
            <w:noWrap w:val="0"/>
            <w:vAlign w:val="center"/>
          </w:tcPr>
          <w:p w14:paraId="48F1EB7B">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现场抽查，每发现1处违反规定，扣1分。</w:t>
            </w:r>
          </w:p>
        </w:tc>
        <w:tc>
          <w:tcPr>
            <w:tcW w:w="563" w:type="dxa"/>
            <w:gridSpan w:val="2"/>
            <w:tcBorders>
              <w:top w:val="single" w:color="auto" w:sz="4" w:space="0"/>
              <w:left w:val="single" w:color="auto" w:sz="4" w:space="0"/>
              <w:bottom w:val="single" w:color="auto" w:sz="4" w:space="0"/>
              <w:right w:val="single" w:color="auto" w:sz="4" w:space="0"/>
            </w:tcBorders>
            <w:noWrap w:val="0"/>
            <w:vAlign w:val="top"/>
          </w:tcPr>
          <w:p w14:paraId="12A76857">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top"/>
          </w:tcPr>
          <w:p w14:paraId="2DDE13C6">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5BC7D300">
        <w:tblPrEx>
          <w:tblCellMar>
            <w:top w:w="0" w:type="dxa"/>
            <w:left w:w="108" w:type="dxa"/>
            <w:bottom w:w="0" w:type="dxa"/>
            <w:right w:w="108" w:type="dxa"/>
          </w:tblCellMar>
        </w:tblPrEx>
        <w:trPr>
          <w:trHeight w:val="620" w:hRule="atLeast"/>
          <w:jc w:val="center"/>
        </w:trPr>
        <w:tc>
          <w:tcPr>
            <w:tcW w:w="6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AA915C2">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149AEEA4">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415EDB2C">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2.地下车库地面整洁，无垃圾、明显积水、杂物堆放，各类管道及消防设施无积尘</w:t>
            </w:r>
          </w:p>
        </w:tc>
        <w:tc>
          <w:tcPr>
            <w:tcW w:w="938" w:type="dxa"/>
            <w:gridSpan w:val="3"/>
            <w:tcBorders>
              <w:top w:val="single" w:color="auto" w:sz="4" w:space="0"/>
              <w:left w:val="single" w:color="auto" w:sz="4" w:space="0"/>
              <w:bottom w:val="single" w:color="auto" w:sz="4" w:space="0"/>
              <w:right w:val="single" w:color="auto" w:sz="4" w:space="0"/>
            </w:tcBorders>
            <w:noWrap w:val="0"/>
            <w:vAlign w:val="center"/>
          </w:tcPr>
          <w:p w14:paraId="5B43454F">
            <w:pPr>
              <w:keepNext w:val="0"/>
              <w:keepLines w:val="0"/>
              <w:pageBreakBefore w:val="0"/>
              <w:widowControl/>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3687" w:type="dxa"/>
            <w:gridSpan w:val="2"/>
            <w:tcBorders>
              <w:top w:val="single" w:color="auto" w:sz="4" w:space="0"/>
              <w:left w:val="single" w:color="auto" w:sz="4" w:space="0"/>
              <w:bottom w:val="single" w:color="auto" w:sz="4" w:space="0"/>
              <w:right w:val="single" w:color="auto" w:sz="4" w:space="0"/>
            </w:tcBorders>
            <w:noWrap w:val="0"/>
            <w:vAlign w:val="center"/>
          </w:tcPr>
          <w:p w14:paraId="56D550FD">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现场抽查，每发现1处违反规定，扣0.5分。</w:t>
            </w:r>
          </w:p>
        </w:tc>
        <w:tc>
          <w:tcPr>
            <w:tcW w:w="563" w:type="dxa"/>
            <w:gridSpan w:val="2"/>
            <w:tcBorders>
              <w:top w:val="single" w:color="auto" w:sz="4" w:space="0"/>
              <w:left w:val="single" w:color="auto" w:sz="4" w:space="0"/>
              <w:bottom w:val="single" w:color="auto" w:sz="4" w:space="0"/>
              <w:right w:val="single" w:color="auto" w:sz="4" w:space="0"/>
            </w:tcBorders>
            <w:noWrap w:val="0"/>
            <w:vAlign w:val="top"/>
          </w:tcPr>
          <w:p w14:paraId="7B49D4FF">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top"/>
          </w:tcPr>
          <w:p w14:paraId="7E020431">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465FDCC2">
        <w:tblPrEx>
          <w:tblCellMar>
            <w:top w:w="0" w:type="dxa"/>
            <w:left w:w="108" w:type="dxa"/>
            <w:bottom w:w="0" w:type="dxa"/>
            <w:right w:w="108" w:type="dxa"/>
          </w:tblCellMar>
        </w:tblPrEx>
        <w:trPr>
          <w:trHeight w:val="620" w:hRule="atLeast"/>
          <w:jc w:val="center"/>
        </w:trPr>
        <w:tc>
          <w:tcPr>
            <w:tcW w:w="6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915C948">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65AC28BD">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4C4FFDBC">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3.空气流通，无异味，无虫害、鼠害，有灭虫措施，并做好记录</w:t>
            </w:r>
          </w:p>
        </w:tc>
        <w:tc>
          <w:tcPr>
            <w:tcW w:w="938" w:type="dxa"/>
            <w:gridSpan w:val="3"/>
            <w:tcBorders>
              <w:top w:val="single" w:color="auto" w:sz="4" w:space="0"/>
              <w:left w:val="single" w:color="auto" w:sz="4" w:space="0"/>
              <w:bottom w:val="single" w:color="auto" w:sz="4" w:space="0"/>
              <w:right w:val="single" w:color="auto" w:sz="4" w:space="0"/>
            </w:tcBorders>
            <w:noWrap w:val="0"/>
            <w:vAlign w:val="center"/>
          </w:tcPr>
          <w:p w14:paraId="260553BF">
            <w:pPr>
              <w:keepNext w:val="0"/>
              <w:keepLines w:val="0"/>
              <w:pageBreakBefore w:val="0"/>
              <w:widowControl/>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3687" w:type="dxa"/>
            <w:gridSpan w:val="2"/>
            <w:tcBorders>
              <w:top w:val="single" w:color="auto" w:sz="4" w:space="0"/>
              <w:left w:val="single" w:color="auto" w:sz="4" w:space="0"/>
              <w:bottom w:val="single" w:color="auto" w:sz="4" w:space="0"/>
              <w:right w:val="single" w:color="auto" w:sz="4" w:space="0"/>
            </w:tcBorders>
            <w:noWrap w:val="0"/>
            <w:vAlign w:val="center"/>
          </w:tcPr>
          <w:p w14:paraId="1F5C7F22">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现场抽查，每发现1处违反规定，扣0.5分。</w:t>
            </w:r>
          </w:p>
        </w:tc>
        <w:tc>
          <w:tcPr>
            <w:tcW w:w="563" w:type="dxa"/>
            <w:gridSpan w:val="2"/>
            <w:tcBorders>
              <w:top w:val="single" w:color="auto" w:sz="4" w:space="0"/>
              <w:left w:val="single" w:color="auto" w:sz="4" w:space="0"/>
              <w:bottom w:val="single" w:color="auto" w:sz="4" w:space="0"/>
              <w:right w:val="single" w:color="auto" w:sz="4" w:space="0"/>
            </w:tcBorders>
            <w:noWrap w:val="0"/>
            <w:vAlign w:val="top"/>
          </w:tcPr>
          <w:p w14:paraId="07DD6911">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top"/>
          </w:tcPr>
          <w:p w14:paraId="24685992">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0B67B1BE">
        <w:tblPrEx>
          <w:tblCellMar>
            <w:top w:w="0" w:type="dxa"/>
            <w:left w:w="108" w:type="dxa"/>
            <w:bottom w:w="0" w:type="dxa"/>
            <w:right w:w="108" w:type="dxa"/>
          </w:tblCellMar>
        </w:tblPrEx>
        <w:trPr>
          <w:trHeight w:val="620" w:hRule="atLeast"/>
          <w:jc w:val="center"/>
        </w:trPr>
        <w:tc>
          <w:tcPr>
            <w:tcW w:w="6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FEE0B1A">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7BC5E038">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6E8BE57F">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4.室外场地的地面无垃圾、废纸和污水等</w:t>
            </w:r>
          </w:p>
        </w:tc>
        <w:tc>
          <w:tcPr>
            <w:tcW w:w="938" w:type="dxa"/>
            <w:gridSpan w:val="3"/>
            <w:tcBorders>
              <w:top w:val="single" w:color="auto" w:sz="4" w:space="0"/>
              <w:left w:val="single" w:color="auto" w:sz="4" w:space="0"/>
              <w:bottom w:val="single" w:color="auto" w:sz="4" w:space="0"/>
              <w:right w:val="single" w:color="auto" w:sz="4" w:space="0"/>
            </w:tcBorders>
            <w:noWrap w:val="0"/>
            <w:vAlign w:val="center"/>
          </w:tcPr>
          <w:p w14:paraId="32DC9E1A">
            <w:pPr>
              <w:keepNext w:val="0"/>
              <w:keepLines w:val="0"/>
              <w:pageBreakBefore w:val="0"/>
              <w:widowControl/>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87" w:type="dxa"/>
            <w:gridSpan w:val="2"/>
            <w:tcBorders>
              <w:top w:val="single" w:color="auto" w:sz="4" w:space="0"/>
              <w:left w:val="single" w:color="auto" w:sz="4" w:space="0"/>
              <w:bottom w:val="single" w:color="auto" w:sz="4" w:space="0"/>
              <w:right w:val="single" w:color="auto" w:sz="4" w:space="0"/>
            </w:tcBorders>
            <w:noWrap w:val="0"/>
            <w:vAlign w:val="center"/>
          </w:tcPr>
          <w:p w14:paraId="1A371851">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现场抽查，每发现1处违反规定，扣1分。</w:t>
            </w:r>
          </w:p>
        </w:tc>
        <w:tc>
          <w:tcPr>
            <w:tcW w:w="563" w:type="dxa"/>
            <w:gridSpan w:val="2"/>
            <w:tcBorders>
              <w:top w:val="single" w:color="auto" w:sz="4" w:space="0"/>
              <w:left w:val="single" w:color="auto" w:sz="4" w:space="0"/>
              <w:bottom w:val="single" w:color="auto" w:sz="4" w:space="0"/>
              <w:right w:val="single" w:color="auto" w:sz="4" w:space="0"/>
            </w:tcBorders>
            <w:noWrap w:val="0"/>
            <w:vAlign w:val="top"/>
          </w:tcPr>
          <w:p w14:paraId="2BA398DC">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top"/>
          </w:tcPr>
          <w:p w14:paraId="303BAA9C">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1E68BB77">
        <w:tblPrEx>
          <w:tblCellMar>
            <w:top w:w="0" w:type="dxa"/>
            <w:left w:w="108" w:type="dxa"/>
            <w:bottom w:w="0" w:type="dxa"/>
            <w:right w:w="108" w:type="dxa"/>
          </w:tblCellMar>
        </w:tblPrEx>
        <w:trPr>
          <w:trHeight w:val="620" w:hRule="atLeast"/>
          <w:jc w:val="center"/>
        </w:trPr>
        <w:tc>
          <w:tcPr>
            <w:tcW w:w="61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AFC2CE3">
            <w:pPr>
              <w:keepNext w:val="0"/>
              <w:keepLines w:val="0"/>
              <w:pageBreakBefore w:val="0"/>
              <w:widowControl/>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6</w:t>
            </w:r>
          </w:p>
        </w:tc>
        <w:tc>
          <w:tcPr>
            <w:tcW w:w="1013" w:type="dxa"/>
            <w:vMerge w:val="restart"/>
            <w:tcBorders>
              <w:top w:val="single" w:color="auto" w:sz="4" w:space="0"/>
              <w:left w:val="single" w:color="auto" w:sz="4" w:space="0"/>
              <w:bottom w:val="single" w:color="auto" w:sz="4" w:space="0"/>
              <w:right w:val="single" w:color="auto" w:sz="4" w:space="0"/>
            </w:tcBorders>
            <w:noWrap w:val="0"/>
            <w:vAlign w:val="top"/>
          </w:tcPr>
          <w:p w14:paraId="101AD09E">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应急管理(8)</w:t>
            </w: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3A442882">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1.有明确可操作的应急预案</w:t>
            </w:r>
          </w:p>
        </w:tc>
        <w:tc>
          <w:tcPr>
            <w:tcW w:w="938" w:type="dxa"/>
            <w:gridSpan w:val="3"/>
            <w:tcBorders>
              <w:top w:val="single" w:color="auto" w:sz="4" w:space="0"/>
              <w:left w:val="single" w:color="auto" w:sz="4" w:space="0"/>
              <w:bottom w:val="single" w:color="auto" w:sz="4" w:space="0"/>
              <w:right w:val="single" w:color="auto" w:sz="4" w:space="0"/>
            </w:tcBorders>
            <w:noWrap w:val="0"/>
            <w:vAlign w:val="center"/>
          </w:tcPr>
          <w:p w14:paraId="78AF3BF4">
            <w:pPr>
              <w:keepNext w:val="0"/>
              <w:keepLines w:val="0"/>
              <w:pageBreakBefore w:val="0"/>
              <w:widowControl/>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3687" w:type="dxa"/>
            <w:gridSpan w:val="2"/>
            <w:tcBorders>
              <w:top w:val="single" w:color="auto" w:sz="4" w:space="0"/>
              <w:left w:val="single" w:color="auto" w:sz="4" w:space="0"/>
              <w:bottom w:val="single" w:color="auto" w:sz="4" w:space="0"/>
              <w:right w:val="single" w:color="auto" w:sz="4" w:space="0"/>
            </w:tcBorders>
            <w:noWrap w:val="0"/>
            <w:vAlign w:val="center"/>
          </w:tcPr>
          <w:p w14:paraId="5F3A2F83">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未确定应急目标扣1分；未建立应急方案本子项不得分。</w:t>
            </w:r>
          </w:p>
        </w:tc>
        <w:tc>
          <w:tcPr>
            <w:tcW w:w="563" w:type="dxa"/>
            <w:gridSpan w:val="2"/>
            <w:tcBorders>
              <w:top w:val="single" w:color="auto" w:sz="4" w:space="0"/>
              <w:left w:val="single" w:color="auto" w:sz="4" w:space="0"/>
              <w:bottom w:val="single" w:color="auto" w:sz="4" w:space="0"/>
              <w:right w:val="single" w:color="auto" w:sz="4" w:space="0"/>
            </w:tcBorders>
            <w:noWrap w:val="0"/>
            <w:vAlign w:val="top"/>
          </w:tcPr>
          <w:p w14:paraId="26D64C16">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top"/>
          </w:tcPr>
          <w:p w14:paraId="2F37A930">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6A9A58B3">
        <w:tblPrEx>
          <w:tblCellMar>
            <w:top w:w="0" w:type="dxa"/>
            <w:left w:w="108" w:type="dxa"/>
            <w:bottom w:w="0" w:type="dxa"/>
            <w:right w:w="108" w:type="dxa"/>
          </w:tblCellMar>
        </w:tblPrEx>
        <w:trPr>
          <w:trHeight w:val="620" w:hRule="atLeast"/>
          <w:jc w:val="center"/>
        </w:trPr>
        <w:tc>
          <w:tcPr>
            <w:tcW w:w="6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54091D">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033E5548">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7F1EB12B">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2.建立应急指挥网络，并标明联络点及其负责人和联系电话</w:t>
            </w:r>
          </w:p>
        </w:tc>
        <w:tc>
          <w:tcPr>
            <w:tcW w:w="938" w:type="dxa"/>
            <w:gridSpan w:val="3"/>
            <w:tcBorders>
              <w:top w:val="single" w:color="auto" w:sz="4" w:space="0"/>
              <w:left w:val="single" w:color="auto" w:sz="4" w:space="0"/>
              <w:bottom w:val="single" w:color="auto" w:sz="4" w:space="0"/>
              <w:right w:val="single" w:color="auto" w:sz="4" w:space="0"/>
            </w:tcBorders>
            <w:noWrap w:val="0"/>
            <w:vAlign w:val="center"/>
          </w:tcPr>
          <w:p w14:paraId="4053E83F">
            <w:pPr>
              <w:keepNext w:val="0"/>
              <w:keepLines w:val="0"/>
              <w:pageBreakBefore w:val="0"/>
              <w:widowControl/>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3687" w:type="dxa"/>
            <w:gridSpan w:val="2"/>
            <w:tcBorders>
              <w:top w:val="single" w:color="auto" w:sz="4" w:space="0"/>
              <w:left w:val="single" w:color="auto" w:sz="4" w:space="0"/>
              <w:bottom w:val="single" w:color="auto" w:sz="4" w:space="0"/>
              <w:right w:val="single" w:color="auto" w:sz="4" w:space="0"/>
            </w:tcBorders>
            <w:noWrap w:val="0"/>
            <w:vAlign w:val="center"/>
          </w:tcPr>
          <w:p w14:paraId="1820BD6D">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未建立应急指挥网络扣2分； 应急指挥网络标注信息不全扣1分。</w:t>
            </w:r>
          </w:p>
        </w:tc>
        <w:tc>
          <w:tcPr>
            <w:tcW w:w="563" w:type="dxa"/>
            <w:gridSpan w:val="2"/>
            <w:tcBorders>
              <w:top w:val="single" w:color="auto" w:sz="4" w:space="0"/>
              <w:left w:val="single" w:color="auto" w:sz="4" w:space="0"/>
              <w:bottom w:val="single" w:color="auto" w:sz="4" w:space="0"/>
              <w:right w:val="single" w:color="auto" w:sz="4" w:space="0"/>
            </w:tcBorders>
            <w:noWrap w:val="0"/>
            <w:vAlign w:val="top"/>
          </w:tcPr>
          <w:p w14:paraId="493D7F7D">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top"/>
          </w:tcPr>
          <w:p w14:paraId="4FDD4BA5">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4326CBD1">
        <w:tblPrEx>
          <w:tblCellMar>
            <w:top w:w="0" w:type="dxa"/>
            <w:left w:w="108" w:type="dxa"/>
            <w:bottom w:w="0" w:type="dxa"/>
            <w:right w:w="108" w:type="dxa"/>
          </w:tblCellMar>
        </w:tblPrEx>
        <w:trPr>
          <w:trHeight w:val="620" w:hRule="atLeast"/>
          <w:jc w:val="center"/>
        </w:trPr>
        <w:tc>
          <w:tcPr>
            <w:tcW w:w="6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78C931F">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068E78D8">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53BBC11D">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3.编制并正式发布应急作业程序</w:t>
            </w:r>
          </w:p>
        </w:tc>
        <w:tc>
          <w:tcPr>
            <w:tcW w:w="938" w:type="dxa"/>
            <w:gridSpan w:val="3"/>
            <w:tcBorders>
              <w:top w:val="single" w:color="auto" w:sz="4" w:space="0"/>
              <w:left w:val="single" w:color="auto" w:sz="4" w:space="0"/>
              <w:bottom w:val="single" w:color="auto" w:sz="4" w:space="0"/>
              <w:right w:val="single" w:color="auto" w:sz="4" w:space="0"/>
            </w:tcBorders>
            <w:noWrap w:val="0"/>
            <w:vAlign w:val="center"/>
          </w:tcPr>
          <w:p w14:paraId="485D9B7E">
            <w:pPr>
              <w:keepNext w:val="0"/>
              <w:keepLines w:val="0"/>
              <w:pageBreakBefore w:val="0"/>
              <w:widowControl/>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3687" w:type="dxa"/>
            <w:gridSpan w:val="2"/>
            <w:tcBorders>
              <w:top w:val="single" w:color="auto" w:sz="4" w:space="0"/>
              <w:left w:val="single" w:color="auto" w:sz="4" w:space="0"/>
              <w:bottom w:val="single" w:color="auto" w:sz="4" w:space="0"/>
              <w:right w:val="single" w:color="auto" w:sz="4" w:space="0"/>
            </w:tcBorders>
            <w:noWrap w:val="0"/>
            <w:vAlign w:val="center"/>
          </w:tcPr>
          <w:p w14:paraId="24D75840">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未制订应急作业程序扣2分；无应急作业演习记录扣1分。</w:t>
            </w:r>
          </w:p>
        </w:tc>
        <w:tc>
          <w:tcPr>
            <w:tcW w:w="563" w:type="dxa"/>
            <w:gridSpan w:val="2"/>
            <w:tcBorders>
              <w:top w:val="single" w:color="auto" w:sz="4" w:space="0"/>
              <w:left w:val="single" w:color="auto" w:sz="4" w:space="0"/>
              <w:bottom w:val="single" w:color="auto" w:sz="4" w:space="0"/>
              <w:right w:val="single" w:color="auto" w:sz="4" w:space="0"/>
            </w:tcBorders>
            <w:noWrap w:val="0"/>
            <w:vAlign w:val="top"/>
          </w:tcPr>
          <w:p w14:paraId="61917F01">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top"/>
          </w:tcPr>
          <w:p w14:paraId="7E835AA8">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1435CA40">
        <w:tblPrEx>
          <w:tblCellMar>
            <w:top w:w="0" w:type="dxa"/>
            <w:left w:w="108" w:type="dxa"/>
            <w:bottom w:w="0" w:type="dxa"/>
            <w:right w:w="108" w:type="dxa"/>
          </w:tblCellMar>
        </w:tblPrEx>
        <w:trPr>
          <w:trHeight w:val="620" w:hRule="atLeast"/>
          <w:jc w:val="center"/>
        </w:trPr>
        <w:tc>
          <w:tcPr>
            <w:tcW w:w="6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29A252C">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14:paraId="73D4958F">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2E155FAD">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4.应急事件有记录，并及时总结，完善应急预案，整改存在问题</w:t>
            </w:r>
          </w:p>
        </w:tc>
        <w:tc>
          <w:tcPr>
            <w:tcW w:w="938" w:type="dxa"/>
            <w:gridSpan w:val="3"/>
            <w:tcBorders>
              <w:top w:val="single" w:color="auto" w:sz="4" w:space="0"/>
              <w:left w:val="single" w:color="auto" w:sz="4" w:space="0"/>
              <w:bottom w:val="single" w:color="auto" w:sz="4" w:space="0"/>
              <w:right w:val="single" w:color="auto" w:sz="4" w:space="0"/>
            </w:tcBorders>
            <w:noWrap w:val="0"/>
            <w:vAlign w:val="center"/>
          </w:tcPr>
          <w:p w14:paraId="1524547B">
            <w:pPr>
              <w:keepNext w:val="0"/>
              <w:keepLines w:val="0"/>
              <w:pageBreakBefore w:val="0"/>
              <w:widowControl/>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3687" w:type="dxa"/>
            <w:gridSpan w:val="2"/>
            <w:tcBorders>
              <w:top w:val="single" w:color="auto" w:sz="4" w:space="0"/>
              <w:left w:val="single" w:color="auto" w:sz="4" w:space="0"/>
              <w:bottom w:val="single" w:color="auto" w:sz="4" w:space="0"/>
              <w:right w:val="single" w:color="auto" w:sz="4" w:space="0"/>
            </w:tcBorders>
            <w:noWrap w:val="0"/>
            <w:vAlign w:val="center"/>
          </w:tcPr>
          <w:p w14:paraId="0E368F04">
            <w:pPr>
              <w:keepNext w:val="0"/>
              <w:keepLines w:val="0"/>
              <w:pageBreakBefore w:val="0"/>
              <w:widowControl/>
              <w:bidi w:val="0"/>
              <w:spacing w:line="240" w:lineRule="auto"/>
              <w:jc w:val="left"/>
              <w:outlineLvl w:val="9"/>
              <w:rPr>
                <w:rFonts w:ascii="宋体" w:hAnsi="宋体" w:cs="宋体"/>
                <w:color w:val="000000"/>
                <w:szCs w:val="21"/>
                <w:highlight w:val="none"/>
              </w:rPr>
            </w:pPr>
            <w:r>
              <w:rPr>
                <w:rFonts w:hint="eastAsia" w:ascii="宋体" w:hAnsi="宋体" w:cs="宋体"/>
                <w:color w:val="000000"/>
                <w:szCs w:val="21"/>
                <w:highlight w:val="none"/>
              </w:rPr>
              <w:t>应急事件发生后无记录扣2分； 未及时总结扣2分；没有整改措施扣2分。</w:t>
            </w:r>
          </w:p>
        </w:tc>
        <w:tc>
          <w:tcPr>
            <w:tcW w:w="563" w:type="dxa"/>
            <w:gridSpan w:val="2"/>
            <w:tcBorders>
              <w:top w:val="single" w:color="auto" w:sz="4" w:space="0"/>
              <w:left w:val="single" w:color="auto" w:sz="4" w:space="0"/>
              <w:bottom w:val="single" w:color="auto" w:sz="4" w:space="0"/>
              <w:right w:val="single" w:color="auto" w:sz="4" w:space="0"/>
            </w:tcBorders>
            <w:noWrap w:val="0"/>
            <w:vAlign w:val="top"/>
          </w:tcPr>
          <w:p w14:paraId="6015C412">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top"/>
          </w:tcPr>
          <w:p w14:paraId="75193014">
            <w:pPr>
              <w:keepNext w:val="0"/>
              <w:keepLines w:val="0"/>
              <w:pageBreakBefore w:val="0"/>
              <w:widowControl/>
              <w:bidi w:val="0"/>
              <w:spacing w:line="240" w:lineRule="auto"/>
              <w:jc w:val="left"/>
              <w:outlineLvl w:val="9"/>
              <w:rPr>
                <w:rFonts w:ascii="宋体" w:hAnsi="宋体" w:cs="宋体"/>
                <w:color w:val="000000"/>
                <w:szCs w:val="21"/>
                <w:highlight w:val="none"/>
              </w:rPr>
            </w:pPr>
          </w:p>
        </w:tc>
      </w:tr>
      <w:tr w14:paraId="4C255C48">
        <w:tblPrEx>
          <w:tblCellMar>
            <w:top w:w="0" w:type="dxa"/>
            <w:left w:w="108" w:type="dxa"/>
            <w:bottom w:w="0" w:type="dxa"/>
            <w:right w:w="108" w:type="dxa"/>
          </w:tblCellMar>
        </w:tblPrEx>
        <w:trPr>
          <w:trHeight w:val="90" w:hRule="atLeast"/>
          <w:jc w:val="center"/>
        </w:trPr>
        <w:tc>
          <w:tcPr>
            <w:tcW w:w="9012" w:type="dxa"/>
            <w:gridSpan w:val="10"/>
            <w:tcBorders>
              <w:top w:val="single" w:color="auto" w:sz="4" w:space="0"/>
              <w:left w:val="single" w:color="auto" w:sz="4" w:space="0"/>
              <w:bottom w:val="single" w:color="auto" w:sz="4" w:space="0"/>
              <w:right w:val="single" w:color="auto" w:sz="4" w:space="0"/>
            </w:tcBorders>
            <w:noWrap w:val="0"/>
            <w:vAlign w:val="center"/>
          </w:tcPr>
          <w:p w14:paraId="076E30DB">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合   计  100  分</w:t>
            </w:r>
          </w:p>
        </w:tc>
        <w:tc>
          <w:tcPr>
            <w:tcW w:w="563" w:type="dxa"/>
            <w:gridSpan w:val="2"/>
            <w:tcBorders>
              <w:top w:val="single" w:color="auto" w:sz="4" w:space="0"/>
              <w:left w:val="single" w:color="auto" w:sz="4" w:space="0"/>
              <w:bottom w:val="single" w:color="auto" w:sz="4" w:space="0"/>
              <w:right w:val="single" w:color="auto" w:sz="4" w:space="0"/>
            </w:tcBorders>
            <w:noWrap w:val="0"/>
            <w:vAlign w:val="center"/>
          </w:tcPr>
          <w:p w14:paraId="3422D83B">
            <w:pPr>
              <w:keepNext w:val="0"/>
              <w:keepLines w:val="0"/>
              <w:pageBreakBefore w:val="0"/>
              <w:bidi w:val="0"/>
              <w:spacing w:line="240" w:lineRule="auto"/>
              <w:jc w:val="center"/>
              <w:outlineLvl w:val="9"/>
              <w:rPr>
                <w:rFonts w:ascii="宋体" w:hAnsi="宋体" w:cs="宋体"/>
                <w:color w:val="000000"/>
                <w:szCs w:val="21"/>
                <w:highlight w:val="none"/>
              </w:rPr>
            </w:pPr>
          </w:p>
        </w:tc>
        <w:tc>
          <w:tcPr>
            <w:tcW w:w="425" w:type="dxa"/>
            <w:gridSpan w:val="2"/>
            <w:tcBorders>
              <w:top w:val="single" w:color="auto" w:sz="4" w:space="0"/>
              <w:left w:val="single" w:color="auto" w:sz="4" w:space="0"/>
              <w:bottom w:val="single" w:color="auto" w:sz="4" w:space="0"/>
              <w:right w:val="single" w:color="auto" w:sz="4" w:space="0"/>
            </w:tcBorders>
            <w:noWrap w:val="0"/>
            <w:vAlign w:val="center"/>
          </w:tcPr>
          <w:p w14:paraId="697724B0">
            <w:pPr>
              <w:keepNext w:val="0"/>
              <w:keepLines w:val="0"/>
              <w:pageBreakBefore w:val="0"/>
              <w:bidi w:val="0"/>
              <w:spacing w:line="240" w:lineRule="auto"/>
              <w:jc w:val="center"/>
              <w:outlineLvl w:val="9"/>
              <w:rPr>
                <w:rFonts w:ascii="宋体" w:hAnsi="宋体" w:cs="宋体"/>
                <w:color w:val="000000"/>
                <w:szCs w:val="21"/>
                <w:highlight w:val="none"/>
              </w:rPr>
            </w:pPr>
          </w:p>
        </w:tc>
      </w:tr>
    </w:tbl>
    <w:p w14:paraId="26AB7483">
      <w:pPr>
        <w:keepNext w:val="0"/>
        <w:keepLines w:val="0"/>
        <w:pageBreakBefore w:val="0"/>
        <w:bidi w:val="0"/>
        <w:spacing w:line="240" w:lineRule="auto"/>
        <w:ind w:left="420"/>
        <w:jc w:val="center"/>
        <w:outlineLvl w:val="9"/>
        <w:rPr>
          <w:rFonts w:hint="eastAsia" w:ascii="宋体" w:hAnsi="宋体" w:cs="宋体"/>
          <w:b/>
          <w:color w:val="000000"/>
          <w:szCs w:val="21"/>
          <w:highlight w:val="none"/>
        </w:rPr>
      </w:pPr>
      <w:r>
        <w:rPr>
          <w:rFonts w:hint="eastAsia" w:ascii="宋体" w:hAnsi="宋体" w:cs="宋体"/>
          <w:b/>
          <w:color w:val="000000"/>
          <w:szCs w:val="21"/>
          <w:highlight w:val="none"/>
        </w:rPr>
        <w:br w:type="page" w:clear="all"/>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25"/>
        <w:gridCol w:w="2762"/>
        <w:gridCol w:w="950"/>
        <w:gridCol w:w="3675"/>
        <w:gridCol w:w="575"/>
        <w:gridCol w:w="413"/>
      </w:tblGrid>
      <w:tr w14:paraId="7FDE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013" w:type="dxa"/>
            <w:gridSpan w:val="7"/>
            <w:tcBorders>
              <w:top w:val="single" w:color="auto" w:sz="4" w:space="0"/>
              <w:left w:val="single" w:color="auto" w:sz="4" w:space="0"/>
              <w:bottom w:val="single" w:color="auto" w:sz="4" w:space="0"/>
              <w:right w:val="single" w:color="auto" w:sz="4" w:space="0"/>
            </w:tcBorders>
            <w:noWrap w:val="0"/>
            <w:vAlign w:val="center"/>
          </w:tcPr>
          <w:p w14:paraId="2BF28436">
            <w:pPr>
              <w:keepNext w:val="0"/>
              <w:keepLines w:val="0"/>
              <w:pageBreakBefore w:val="0"/>
              <w:bidi w:val="0"/>
              <w:spacing w:line="240" w:lineRule="auto"/>
              <w:ind w:left="420"/>
              <w:jc w:val="center"/>
              <w:outlineLvl w:val="9"/>
              <w:rPr>
                <w:rFonts w:ascii="宋体" w:hAnsi="宋体" w:cs="宋体"/>
                <w:b/>
                <w:color w:val="000000"/>
                <w:szCs w:val="21"/>
                <w:highlight w:val="none"/>
              </w:rPr>
            </w:pPr>
            <w:r>
              <w:rPr>
                <w:rFonts w:hint="eastAsia" w:ascii="宋体" w:hAnsi="宋体" w:cs="宋体"/>
                <w:b/>
                <w:color w:val="000000"/>
                <w:szCs w:val="21"/>
                <w:highlight w:val="none"/>
              </w:rPr>
              <w:t>三、绿化服务考核表</w:t>
            </w:r>
          </w:p>
        </w:tc>
      </w:tr>
      <w:tr w14:paraId="3079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3C6D31E5">
            <w:pPr>
              <w:keepNext w:val="0"/>
              <w:keepLines w:val="0"/>
              <w:pageBreakBefore w:val="0"/>
              <w:bidi w:val="0"/>
              <w:spacing w:line="240" w:lineRule="auto"/>
              <w:jc w:val="center"/>
              <w:outlineLvl w:val="9"/>
              <w:rPr>
                <w:rFonts w:ascii="宋体" w:hAnsi="宋体" w:cs="宋体"/>
                <w:b/>
                <w:color w:val="000000"/>
                <w:szCs w:val="21"/>
                <w:highlight w:val="none"/>
              </w:rPr>
            </w:pPr>
            <w:r>
              <w:rPr>
                <w:rFonts w:hint="eastAsia" w:ascii="宋体" w:hAnsi="宋体" w:cs="宋体"/>
                <w:b/>
                <w:color w:val="000000"/>
                <w:szCs w:val="21"/>
                <w:highlight w:val="none"/>
              </w:rPr>
              <w:t>序号</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4246513D">
            <w:pPr>
              <w:keepNext w:val="0"/>
              <w:keepLines w:val="0"/>
              <w:pageBreakBefore w:val="0"/>
              <w:bidi w:val="0"/>
              <w:spacing w:line="240" w:lineRule="auto"/>
              <w:jc w:val="center"/>
              <w:outlineLvl w:val="9"/>
              <w:rPr>
                <w:rFonts w:ascii="宋体" w:hAnsi="宋体" w:cs="宋体"/>
                <w:b/>
                <w:color w:val="000000"/>
                <w:szCs w:val="21"/>
                <w:highlight w:val="none"/>
              </w:rPr>
            </w:pPr>
            <w:r>
              <w:rPr>
                <w:rFonts w:hint="eastAsia" w:ascii="宋体" w:hAnsi="宋体" w:cs="宋体"/>
                <w:b/>
                <w:color w:val="000000"/>
                <w:szCs w:val="21"/>
                <w:highlight w:val="none"/>
              </w:rPr>
              <w:t>项目</w:t>
            </w:r>
          </w:p>
        </w:tc>
        <w:tc>
          <w:tcPr>
            <w:tcW w:w="2762" w:type="dxa"/>
            <w:tcBorders>
              <w:top w:val="single" w:color="auto" w:sz="4" w:space="0"/>
              <w:left w:val="single" w:color="auto" w:sz="4" w:space="0"/>
              <w:bottom w:val="single" w:color="auto" w:sz="4" w:space="0"/>
              <w:right w:val="single" w:color="auto" w:sz="4" w:space="0"/>
            </w:tcBorders>
            <w:noWrap w:val="0"/>
            <w:vAlign w:val="center"/>
          </w:tcPr>
          <w:p w14:paraId="16A797C4">
            <w:pPr>
              <w:keepNext w:val="0"/>
              <w:keepLines w:val="0"/>
              <w:pageBreakBefore w:val="0"/>
              <w:bidi w:val="0"/>
              <w:spacing w:line="240" w:lineRule="auto"/>
              <w:jc w:val="center"/>
              <w:outlineLvl w:val="9"/>
              <w:rPr>
                <w:rFonts w:ascii="宋体" w:hAnsi="宋体" w:cs="宋体"/>
                <w:b/>
                <w:color w:val="000000"/>
                <w:szCs w:val="21"/>
                <w:highlight w:val="none"/>
              </w:rPr>
            </w:pPr>
            <w:r>
              <w:rPr>
                <w:rFonts w:hint="eastAsia" w:ascii="宋体" w:hAnsi="宋体" w:cs="宋体"/>
                <w:b/>
                <w:color w:val="000000"/>
                <w:szCs w:val="21"/>
                <w:highlight w:val="none"/>
              </w:rPr>
              <w:t>评价内容</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F13CC83">
            <w:pPr>
              <w:keepNext w:val="0"/>
              <w:keepLines w:val="0"/>
              <w:pageBreakBefore w:val="0"/>
              <w:bidi w:val="0"/>
              <w:spacing w:line="240" w:lineRule="auto"/>
              <w:jc w:val="center"/>
              <w:outlineLvl w:val="9"/>
              <w:rPr>
                <w:rFonts w:ascii="宋体" w:hAnsi="宋体" w:cs="宋体"/>
                <w:b/>
                <w:color w:val="000000"/>
                <w:szCs w:val="21"/>
                <w:highlight w:val="none"/>
              </w:rPr>
            </w:pPr>
            <w:r>
              <w:rPr>
                <w:rFonts w:hint="eastAsia" w:ascii="宋体" w:hAnsi="宋体" w:cs="宋体"/>
                <w:b/>
                <w:color w:val="000000"/>
                <w:szCs w:val="21"/>
                <w:highlight w:val="none"/>
              </w:rPr>
              <w:t>标准分</w:t>
            </w:r>
          </w:p>
        </w:tc>
        <w:tc>
          <w:tcPr>
            <w:tcW w:w="3675" w:type="dxa"/>
            <w:tcBorders>
              <w:top w:val="single" w:color="auto" w:sz="4" w:space="0"/>
              <w:left w:val="single" w:color="auto" w:sz="4" w:space="0"/>
              <w:bottom w:val="single" w:color="auto" w:sz="4" w:space="0"/>
              <w:right w:val="single" w:color="auto" w:sz="4" w:space="0"/>
            </w:tcBorders>
            <w:noWrap w:val="0"/>
            <w:vAlign w:val="center"/>
          </w:tcPr>
          <w:p w14:paraId="53EF851F">
            <w:pPr>
              <w:keepNext w:val="0"/>
              <w:keepLines w:val="0"/>
              <w:pageBreakBefore w:val="0"/>
              <w:bidi w:val="0"/>
              <w:spacing w:line="240" w:lineRule="auto"/>
              <w:jc w:val="center"/>
              <w:outlineLvl w:val="9"/>
              <w:rPr>
                <w:rFonts w:ascii="宋体" w:hAnsi="宋体" w:cs="宋体"/>
                <w:b/>
                <w:color w:val="000000"/>
                <w:szCs w:val="21"/>
                <w:highlight w:val="none"/>
              </w:rPr>
            </w:pPr>
            <w:r>
              <w:rPr>
                <w:rFonts w:hint="eastAsia" w:ascii="宋体" w:hAnsi="宋体" w:cs="宋体"/>
                <w:b/>
                <w:color w:val="000000"/>
                <w:szCs w:val="21"/>
                <w:highlight w:val="none"/>
              </w:rPr>
              <w:t>评分标准</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0C34E701">
            <w:pPr>
              <w:keepNext w:val="0"/>
              <w:keepLines w:val="0"/>
              <w:pageBreakBefore w:val="0"/>
              <w:bidi w:val="0"/>
              <w:spacing w:line="240" w:lineRule="auto"/>
              <w:jc w:val="center"/>
              <w:outlineLvl w:val="9"/>
              <w:rPr>
                <w:rFonts w:ascii="宋体" w:hAnsi="宋体" w:cs="宋体"/>
                <w:b/>
                <w:color w:val="000000"/>
                <w:szCs w:val="21"/>
                <w:highlight w:val="none"/>
              </w:rPr>
            </w:pPr>
            <w:r>
              <w:rPr>
                <w:rFonts w:hint="eastAsia" w:ascii="宋体" w:hAnsi="宋体" w:cs="宋体"/>
                <w:b/>
                <w:color w:val="000000"/>
                <w:szCs w:val="21"/>
                <w:highlight w:val="none"/>
              </w:rPr>
              <w:t>得分</w:t>
            </w:r>
          </w:p>
        </w:tc>
        <w:tc>
          <w:tcPr>
            <w:tcW w:w="413" w:type="dxa"/>
            <w:tcBorders>
              <w:top w:val="single" w:color="auto" w:sz="4" w:space="0"/>
              <w:left w:val="single" w:color="auto" w:sz="4" w:space="0"/>
              <w:bottom w:val="single" w:color="auto" w:sz="4" w:space="0"/>
              <w:right w:val="single" w:color="auto" w:sz="4" w:space="0"/>
            </w:tcBorders>
            <w:noWrap w:val="0"/>
            <w:vAlign w:val="center"/>
          </w:tcPr>
          <w:p w14:paraId="20B35814">
            <w:pPr>
              <w:keepNext w:val="0"/>
              <w:keepLines w:val="0"/>
              <w:pageBreakBefore w:val="0"/>
              <w:bidi w:val="0"/>
              <w:spacing w:line="240" w:lineRule="auto"/>
              <w:jc w:val="center"/>
              <w:outlineLvl w:val="9"/>
              <w:rPr>
                <w:rFonts w:ascii="宋体" w:hAnsi="宋体" w:cs="宋体"/>
                <w:b/>
                <w:color w:val="000000"/>
                <w:szCs w:val="21"/>
                <w:highlight w:val="none"/>
              </w:rPr>
            </w:pPr>
            <w:r>
              <w:rPr>
                <w:rFonts w:hint="eastAsia" w:ascii="宋体" w:hAnsi="宋体" w:cs="宋体"/>
                <w:b/>
                <w:color w:val="000000"/>
                <w:szCs w:val="21"/>
                <w:highlight w:val="none"/>
              </w:rPr>
              <w:t>备注</w:t>
            </w:r>
          </w:p>
        </w:tc>
      </w:tr>
      <w:tr w14:paraId="0213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14:paraId="436D0FA8">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1</w:t>
            </w:r>
          </w:p>
        </w:tc>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159C1BE4">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服务行为(16)</w:t>
            </w:r>
          </w:p>
        </w:tc>
        <w:tc>
          <w:tcPr>
            <w:tcW w:w="2762" w:type="dxa"/>
            <w:tcBorders>
              <w:top w:val="single" w:color="auto" w:sz="4" w:space="0"/>
              <w:left w:val="single" w:color="auto" w:sz="4" w:space="0"/>
              <w:bottom w:val="single" w:color="auto" w:sz="4" w:space="0"/>
              <w:right w:val="single" w:color="auto" w:sz="4" w:space="0"/>
            </w:tcBorders>
            <w:noWrap w:val="0"/>
            <w:vAlign w:val="top"/>
          </w:tcPr>
          <w:p w14:paraId="6AF3FED0">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1、按规定穿着工作服，工作鞋，并保持整洁</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AB91127">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5</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6F2391EE">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现场抽查，每发现1人违反规定，扣0.5分。</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5B37DC25">
            <w:pPr>
              <w:keepNext w:val="0"/>
              <w:keepLines w:val="0"/>
              <w:pageBreakBefore w:val="0"/>
              <w:bidi w:val="0"/>
              <w:spacing w:line="240" w:lineRule="auto"/>
              <w:jc w:val="center"/>
              <w:outlineLvl w:val="9"/>
              <w:rPr>
                <w:rFonts w:ascii="宋体" w:hAnsi="宋体" w:cs="宋体"/>
                <w:color w:val="000000"/>
                <w:szCs w:val="21"/>
                <w:highlight w:val="none"/>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0F65B24F">
            <w:pPr>
              <w:keepNext w:val="0"/>
              <w:keepLines w:val="0"/>
              <w:pageBreakBefore w:val="0"/>
              <w:bidi w:val="0"/>
              <w:spacing w:line="240" w:lineRule="auto"/>
              <w:jc w:val="center"/>
              <w:outlineLvl w:val="9"/>
              <w:rPr>
                <w:rFonts w:ascii="宋体" w:hAnsi="宋体" w:cs="宋体"/>
                <w:color w:val="000000"/>
                <w:szCs w:val="21"/>
                <w:highlight w:val="none"/>
              </w:rPr>
            </w:pPr>
          </w:p>
        </w:tc>
      </w:tr>
      <w:tr w14:paraId="04EA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3CDDCF04">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3128DDC3">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2" w:type="dxa"/>
            <w:tcBorders>
              <w:top w:val="single" w:color="auto" w:sz="4" w:space="0"/>
              <w:left w:val="single" w:color="auto" w:sz="4" w:space="0"/>
              <w:bottom w:val="single" w:color="auto" w:sz="4" w:space="0"/>
              <w:right w:val="single" w:color="auto" w:sz="4" w:space="0"/>
            </w:tcBorders>
            <w:noWrap w:val="0"/>
            <w:vAlign w:val="top"/>
          </w:tcPr>
          <w:p w14:paraId="224DDA53">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2、仪表规范、整洁，语言文明，礼貌待人</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57C7F17">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4</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0E6B8FA4">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现场抽查，每发现1人违反规定，扣0.5分。</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5E125DE7">
            <w:pPr>
              <w:keepNext w:val="0"/>
              <w:keepLines w:val="0"/>
              <w:pageBreakBefore w:val="0"/>
              <w:bidi w:val="0"/>
              <w:spacing w:line="240" w:lineRule="auto"/>
              <w:jc w:val="center"/>
              <w:outlineLvl w:val="9"/>
              <w:rPr>
                <w:rFonts w:ascii="宋体" w:hAnsi="宋体" w:cs="宋体"/>
                <w:color w:val="000000"/>
                <w:szCs w:val="21"/>
                <w:highlight w:val="none"/>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15CB899D">
            <w:pPr>
              <w:keepNext w:val="0"/>
              <w:keepLines w:val="0"/>
              <w:pageBreakBefore w:val="0"/>
              <w:bidi w:val="0"/>
              <w:spacing w:line="240" w:lineRule="auto"/>
              <w:jc w:val="center"/>
              <w:outlineLvl w:val="9"/>
              <w:rPr>
                <w:rFonts w:ascii="宋体" w:hAnsi="宋体" w:cs="宋体"/>
                <w:color w:val="000000"/>
                <w:szCs w:val="21"/>
                <w:highlight w:val="none"/>
              </w:rPr>
            </w:pPr>
          </w:p>
        </w:tc>
      </w:tr>
      <w:tr w14:paraId="5944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6542B18A">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64532B61">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2" w:type="dxa"/>
            <w:tcBorders>
              <w:top w:val="single" w:color="auto" w:sz="4" w:space="0"/>
              <w:left w:val="single" w:color="auto" w:sz="4" w:space="0"/>
              <w:bottom w:val="single" w:color="auto" w:sz="4" w:space="0"/>
              <w:right w:val="single" w:color="auto" w:sz="4" w:space="0"/>
            </w:tcBorders>
            <w:noWrap w:val="0"/>
            <w:vAlign w:val="top"/>
          </w:tcPr>
          <w:p w14:paraId="5475D939">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3、进入办公区域应做到走路轻、操作轻、说话轻，不大声交谈、喧哗</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F913CC4">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4</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6554D259">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现场抽查，每发现1人违反规定，扣0.5分。</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20540610">
            <w:pPr>
              <w:keepNext w:val="0"/>
              <w:keepLines w:val="0"/>
              <w:pageBreakBefore w:val="0"/>
              <w:bidi w:val="0"/>
              <w:spacing w:line="240" w:lineRule="auto"/>
              <w:jc w:val="center"/>
              <w:outlineLvl w:val="9"/>
              <w:rPr>
                <w:rFonts w:ascii="宋体" w:hAnsi="宋体" w:cs="宋体"/>
                <w:color w:val="000000"/>
                <w:szCs w:val="21"/>
                <w:highlight w:val="none"/>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6F94BDA6">
            <w:pPr>
              <w:keepNext w:val="0"/>
              <w:keepLines w:val="0"/>
              <w:pageBreakBefore w:val="0"/>
              <w:bidi w:val="0"/>
              <w:spacing w:line="240" w:lineRule="auto"/>
              <w:jc w:val="center"/>
              <w:outlineLvl w:val="9"/>
              <w:rPr>
                <w:rFonts w:ascii="宋体" w:hAnsi="宋体" w:cs="宋体"/>
                <w:color w:val="000000"/>
                <w:szCs w:val="21"/>
                <w:highlight w:val="none"/>
              </w:rPr>
            </w:pPr>
          </w:p>
        </w:tc>
      </w:tr>
      <w:tr w14:paraId="4009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4050C61B">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7FFFB234">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2" w:type="dxa"/>
            <w:tcBorders>
              <w:top w:val="single" w:color="auto" w:sz="4" w:space="0"/>
              <w:left w:val="single" w:color="auto" w:sz="4" w:space="0"/>
              <w:bottom w:val="single" w:color="auto" w:sz="4" w:space="0"/>
              <w:right w:val="single" w:color="auto" w:sz="4" w:space="0"/>
            </w:tcBorders>
            <w:noWrap w:val="0"/>
            <w:vAlign w:val="top"/>
          </w:tcPr>
          <w:p w14:paraId="49F46B35">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4、不在休息房内做饭、用餐</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21A0D9C">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3E0C133F">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抽查绿化工作场所，发现1人违反规定，本子项不得分。</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7708F6CB">
            <w:pPr>
              <w:keepNext w:val="0"/>
              <w:keepLines w:val="0"/>
              <w:pageBreakBefore w:val="0"/>
              <w:bidi w:val="0"/>
              <w:spacing w:line="240" w:lineRule="auto"/>
              <w:jc w:val="center"/>
              <w:outlineLvl w:val="9"/>
              <w:rPr>
                <w:rFonts w:ascii="宋体" w:hAnsi="宋体" w:cs="宋体"/>
                <w:color w:val="000000"/>
                <w:szCs w:val="21"/>
                <w:highlight w:val="none"/>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2AEF1F33">
            <w:pPr>
              <w:keepNext w:val="0"/>
              <w:keepLines w:val="0"/>
              <w:pageBreakBefore w:val="0"/>
              <w:bidi w:val="0"/>
              <w:spacing w:line="240" w:lineRule="auto"/>
              <w:jc w:val="center"/>
              <w:outlineLvl w:val="9"/>
              <w:rPr>
                <w:rFonts w:ascii="宋体" w:hAnsi="宋体" w:cs="宋体"/>
                <w:color w:val="000000"/>
                <w:szCs w:val="21"/>
                <w:highlight w:val="none"/>
              </w:rPr>
            </w:pPr>
          </w:p>
        </w:tc>
      </w:tr>
      <w:tr w14:paraId="662C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5E7E31EC">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4BFB8969">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2" w:type="dxa"/>
            <w:tcBorders>
              <w:top w:val="single" w:color="auto" w:sz="4" w:space="0"/>
              <w:left w:val="single" w:color="auto" w:sz="4" w:space="0"/>
              <w:bottom w:val="single" w:color="auto" w:sz="4" w:space="0"/>
              <w:right w:val="single" w:color="auto" w:sz="4" w:space="0"/>
            </w:tcBorders>
            <w:noWrap w:val="0"/>
            <w:vAlign w:val="top"/>
          </w:tcPr>
          <w:p w14:paraId="19B663A5">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5、在规定时间提供服务，并且在特殊情况时及时服务</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E2B2EAA">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1</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216EE4E3">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现场抽查，发现1次违反规定，本子项不得分。</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262BB2F2">
            <w:pPr>
              <w:keepNext w:val="0"/>
              <w:keepLines w:val="0"/>
              <w:pageBreakBefore w:val="0"/>
              <w:bidi w:val="0"/>
              <w:spacing w:line="240" w:lineRule="auto"/>
              <w:jc w:val="center"/>
              <w:outlineLvl w:val="9"/>
              <w:rPr>
                <w:rFonts w:ascii="宋体" w:hAnsi="宋体" w:cs="宋体"/>
                <w:color w:val="000000"/>
                <w:szCs w:val="21"/>
                <w:highlight w:val="none"/>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05F74DFC">
            <w:pPr>
              <w:keepNext w:val="0"/>
              <w:keepLines w:val="0"/>
              <w:pageBreakBefore w:val="0"/>
              <w:bidi w:val="0"/>
              <w:spacing w:line="240" w:lineRule="auto"/>
              <w:jc w:val="center"/>
              <w:outlineLvl w:val="9"/>
              <w:rPr>
                <w:rFonts w:ascii="宋体" w:hAnsi="宋体" w:cs="宋体"/>
                <w:color w:val="000000"/>
                <w:szCs w:val="21"/>
                <w:highlight w:val="none"/>
              </w:rPr>
            </w:pPr>
          </w:p>
        </w:tc>
      </w:tr>
      <w:tr w14:paraId="3B0A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0E1E8DAD">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608EFC9A">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绿化总体要求(10)</w:t>
            </w:r>
          </w:p>
        </w:tc>
        <w:tc>
          <w:tcPr>
            <w:tcW w:w="2762" w:type="dxa"/>
            <w:tcBorders>
              <w:top w:val="single" w:color="auto" w:sz="4" w:space="0"/>
              <w:left w:val="single" w:color="auto" w:sz="4" w:space="0"/>
              <w:bottom w:val="single" w:color="auto" w:sz="4" w:space="0"/>
              <w:right w:val="single" w:color="auto" w:sz="4" w:space="0"/>
            </w:tcBorders>
            <w:noWrap w:val="0"/>
            <w:vAlign w:val="top"/>
          </w:tcPr>
          <w:p w14:paraId="50414B13">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应建立投诉记录表，及时查实投诉并答复、整改</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37E340A">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10</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71F53E8A">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未建立投诉记录表本子项不得分；抽查验证投诉，发生1次投诉未及时处理，本子项不得分。</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4A6D9402">
            <w:pPr>
              <w:keepNext w:val="0"/>
              <w:keepLines w:val="0"/>
              <w:pageBreakBefore w:val="0"/>
              <w:bidi w:val="0"/>
              <w:spacing w:line="240" w:lineRule="auto"/>
              <w:jc w:val="center"/>
              <w:outlineLvl w:val="9"/>
              <w:rPr>
                <w:rFonts w:ascii="宋体" w:hAnsi="宋体" w:cs="宋体"/>
                <w:color w:val="000000"/>
                <w:szCs w:val="21"/>
                <w:highlight w:val="none"/>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7B680D4C">
            <w:pPr>
              <w:keepNext w:val="0"/>
              <w:keepLines w:val="0"/>
              <w:pageBreakBefore w:val="0"/>
              <w:bidi w:val="0"/>
              <w:spacing w:line="240" w:lineRule="auto"/>
              <w:jc w:val="center"/>
              <w:outlineLvl w:val="9"/>
              <w:rPr>
                <w:rFonts w:ascii="宋体" w:hAnsi="宋体" w:cs="宋体"/>
                <w:color w:val="000000"/>
                <w:szCs w:val="21"/>
                <w:highlight w:val="none"/>
              </w:rPr>
            </w:pPr>
          </w:p>
        </w:tc>
      </w:tr>
      <w:tr w14:paraId="7DEA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14:paraId="1DDCD536">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711C2911">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内部绿化(23)</w:t>
            </w:r>
          </w:p>
        </w:tc>
        <w:tc>
          <w:tcPr>
            <w:tcW w:w="2762" w:type="dxa"/>
            <w:tcBorders>
              <w:top w:val="single" w:color="auto" w:sz="4" w:space="0"/>
              <w:left w:val="single" w:color="auto" w:sz="4" w:space="0"/>
              <w:bottom w:val="single" w:color="auto" w:sz="4" w:space="0"/>
              <w:right w:val="single" w:color="auto" w:sz="4" w:space="0"/>
            </w:tcBorders>
            <w:noWrap w:val="0"/>
            <w:vAlign w:val="top"/>
          </w:tcPr>
          <w:p w14:paraId="71A8F9E1">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1、应编制绿化养护方案，合理规划大堂、楼面等公共场所的花卉盆景的摆放和布置</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E416A47">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6</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1B7F4893">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未编制绿化摆放方案本子项不得分；抽查绿化设计方案，缺一项，扣1分。</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56C21BA8">
            <w:pPr>
              <w:keepNext w:val="0"/>
              <w:keepLines w:val="0"/>
              <w:pageBreakBefore w:val="0"/>
              <w:bidi w:val="0"/>
              <w:spacing w:line="240" w:lineRule="auto"/>
              <w:jc w:val="center"/>
              <w:outlineLvl w:val="9"/>
              <w:rPr>
                <w:rFonts w:ascii="宋体" w:hAnsi="宋体" w:cs="宋体"/>
                <w:color w:val="000000"/>
                <w:szCs w:val="21"/>
                <w:highlight w:val="none"/>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76CB1E2F">
            <w:pPr>
              <w:keepNext w:val="0"/>
              <w:keepLines w:val="0"/>
              <w:pageBreakBefore w:val="0"/>
              <w:bidi w:val="0"/>
              <w:spacing w:line="240" w:lineRule="auto"/>
              <w:jc w:val="center"/>
              <w:outlineLvl w:val="9"/>
              <w:rPr>
                <w:rFonts w:ascii="宋体" w:hAnsi="宋体" w:cs="宋体"/>
                <w:color w:val="000000"/>
                <w:szCs w:val="21"/>
                <w:highlight w:val="none"/>
              </w:rPr>
            </w:pPr>
          </w:p>
        </w:tc>
      </w:tr>
      <w:tr w14:paraId="1CDF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42767ECD">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2A8D91AB">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2" w:type="dxa"/>
            <w:tcBorders>
              <w:top w:val="single" w:color="auto" w:sz="4" w:space="0"/>
              <w:left w:val="single" w:color="auto" w:sz="4" w:space="0"/>
              <w:bottom w:val="single" w:color="auto" w:sz="4" w:space="0"/>
              <w:right w:val="single" w:color="auto" w:sz="4" w:space="0"/>
            </w:tcBorders>
            <w:noWrap w:val="0"/>
            <w:vAlign w:val="top"/>
          </w:tcPr>
          <w:p w14:paraId="37EE8781">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2、应按绿化养护方案规定的作业顺序养护花卉盆景，并有作业记录，可追溯；适时修剪，无枯萎、凋谢花草，绿叶植物无枯枝黄叶</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AA44C1B">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6</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78FC595E">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现场抽查，未按养护方案作业，每发现1起违反规定，扣1分。</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577DB7C5">
            <w:pPr>
              <w:keepNext w:val="0"/>
              <w:keepLines w:val="0"/>
              <w:pageBreakBefore w:val="0"/>
              <w:bidi w:val="0"/>
              <w:spacing w:line="240" w:lineRule="auto"/>
              <w:jc w:val="center"/>
              <w:outlineLvl w:val="9"/>
              <w:rPr>
                <w:rFonts w:ascii="宋体" w:hAnsi="宋体" w:cs="宋体"/>
                <w:color w:val="000000"/>
                <w:szCs w:val="21"/>
                <w:highlight w:val="none"/>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745EE4C7">
            <w:pPr>
              <w:keepNext w:val="0"/>
              <w:keepLines w:val="0"/>
              <w:pageBreakBefore w:val="0"/>
              <w:bidi w:val="0"/>
              <w:spacing w:line="240" w:lineRule="auto"/>
              <w:jc w:val="center"/>
              <w:outlineLvl w:val="9"/>
              <w:rPr>
                <w:rFonts w:ascii="宋体" w:hAnsi="宋体" w:cs="宋体"/>
                <w:color w:val="000000"/>
                <w:szCs w:val="21"/>
                <w:highlight w:val="none"/>
              </w:rPr>
            </w:pPr>
          </w:p>
        </w:tc>
      </w:tr>
      <w:tr w14:paraId="379F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465E59E6">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26AF252F">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2" w:type="dxa"/>
            <w:tcBorders>
              <w:top w:val="single" w:color="auto" w:sz="4" w:space="0"/>
              <w:left w:val="single" w:color="auto" w:sz="4" w:space="0"/>
              <w:bottom w:val="single" w:color="auto" w:sz="4" w:space="0"/>
              <w:right w:val="single" w:color="auto" w:sz="4" w:space="0"/>
            </w:tcBorders>
            <w:noWrap w:val="0"/>
            <w:vAlign w:val="top"/>
          </w:tcPr>
          <w:p w14:paraId="187E5E9D">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3、定期浇水、保持长势良好，有记录</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8CBB943">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6</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02287E7C">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抽查工作记录，发现1次未按规定修剪花草、喷药杀虫、浇水、施肥，该子项不得分。</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42401ED0">
            <w:pPr>
              <w:keepNext w:val="0"/>
              <w:keepLines w:val="0"/>
              <w:pageBreakBefore w:val="0"/>
              <w:bidi w:val="0"/>
              <w:spacing w:line="240" w:lineRule="auto"/>
              <w:jc w:val="center"/>
              <w:outlineLvl w:val="9"/>
              <w:rPr>
                <w:rFonts w:ascii="宋体" w:hAnsi="宋体" w:cs="宋体"/>
                <w:color w:val="000000"/>
                <w:szCs w:val="21"/>
                <w:highlight w:val="none"/>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321C4F2E">
            <w:pPr>
              <w:keepNext w:val="0"/>
              <w:keepLines w:val="0"/>
              <w:pageBreakBefore w:val="0"/>
              <w:bidi w:val="0"/>
              <w:spacing w:line="240" w:lineRule="auto"/>
              <w:jc w:val="center"/>
              <w:outlineLvl w:val="9"/>
              <w:rPr>
                <w:rFonts w:ascii="宋体" w:hAnsi="宋体" w:cs="宋体"/>
                <w:color w:val="000000"/>
                <w:szCs w:val="21"/>
                <w:highlight w:val="none"/>
              </w:rPr>
            </w:pPr>
          </w:p>
        </w:tc>
      </w:tr>
      <w:tr w14:paraId="7856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313A68D7">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088751B5">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2" w:type="dxa"/>
            <w:tcBorders>
              <w:top w:val="single" w:color="auto" w:sz="4" w:space="0"/>
              <w:left w:val="single" w:color="auto" w:sz="4" w:space="0"/>
              <w:bottom w:val="single" w:color="auto" w:sz="4" w:space="0"/>
              <w:right w:val="single" w:color="auto" w:sz="4" w:space="0"/>
            </w:tcBorders>
            <w:noWrap w:val="0"/>
            <w:vAlign w:val="top"/>
          </w:tcPr>
          <w:p w14:paraId="38CFA5A5">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4、养护花草，不影响其他人的正常活动</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F5AA074">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5</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3582EDAA">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一经反映查实，每发现1次违反规定，扣1分。</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6716F47A">
            <w:pPr>
              <w:keepNext w:val="0"/>
              <w:keepLines w:val="0"/>
              <w:pageBreakBefore w:val="0"/>
              <w:bidi w:val="0"/>
              <w:spacing w:line="240" w:lineRule="auto"/>
              <w:jc w:val="center"/>
              <w:outlineLvl w:val="9"/>
              <w:rPr>
                <w:rFonts w:ascii="宋体" w:hAnsi="宋体" w:cs="宋体"/>
                <w:color w:val="000000"/>
                <w:szCs w:val="21"/>
                <w:highlight w:val="none"/>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26963888">
            <w:pPr>
              <w:keepNext w:val="0"/>
              <w:keepLines w:val="0"/>
              <w:pageBreakBefore w:val="0"/>
              <w:bidi w:val="0"/>
              <w:spacing w:line="240" w:lineRule="auto"/>
              <w:jc w:val="center"/>
              <w:outlineLvl w:val="9"/>
              <w:rPr>
                <w:rFonts w:ascii="宋体" w:hAnsi="宋体" w:cs="宋体"/>
                <w:color w:val="000000"/>
                <w:szCs w:val="21"/>
                <w:highlight w:val="none"/>
              </w:rPr>
            </w:pPr>
          </w:p>
        </w:tc>
      </w:tr>
      <w:tr w14:paraId="5327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14:paraId="123B24C8">
            <w:pPr>
              <w:keepNext w:val="0"/>
              <w:keepLines w:val="0"/>
              <w:pageBreakBefore w:val="0"/>
              <w:bidi w:val="0"/>
              <w:spacing w:line="240" w:lineRule="auto"/>
              <w:jc w:val="center"/>
              <w:outlineLvl w:val="9"/>
              <w:rPr>
                <w:rFonts w:ascii="宋体" w:hAnsi="宋体" w:cs="宋体"/>
                <w:color w:val="000000"/>
                <w:szCs w:val="21"/>
                <w:highlight w:val="none"/>
              </w:rPr>
            </w:pPr>
          </w:p>
        </w:tc>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013660EC">
            <w:pPr>
              <w:rPr>
                <w:color w:val="000000"/>
              </w:rPr>
            </w:pPr>
            <w:r>
              <w:rPr>
                <w:rFonts w:hint="eastAsia" w:ascii="宋体" w:hAnsi="宋体" w:cs="宋体"/>
                <w:color w:val="000000"/>
                <w:szCs w:val="21"/>
                <w:highlight w:val="none"/>
              </w:rPr>
              <w:t>绿化管理</w:t>
            </w:r>
          </w:p>
          <w:p w14:paraId="270D3EC0">
            <w:pPr>
              <w:keepNext w:val="0"/>
              <w:keepLines w:val="0"/>
              <w:pageBreakBefore w:val="0"/>
              <w:bidi w:val="0"/>
              <w:spacing w:line="240" w:lineRule="auto"/>
              <w:ind w:firstLine="0"/>
              <w:outlineLvl w:val="9"/>
              <w:rPr>
                <w:rFonts w:ascii="宋体" w:hAnsi="宋体" w:cs="宋体"/>
                <w:color w:val="000000"/>
                <w:szCs w:val="21"/>
                <w:highlight w:val="none"/>
              </w:rPr>
            </w:pPr>
            <w:r>
              <w:rPr>
                <w:rFonts w:hint="eastAsia" w:ascii="宋体" w:hAnsi="宋体" w:cs="宋体"/>
                <w:color w:val="000000"/>
                <w:szCs w:val="21"/>
                <w:highlight w:val="none"/>
              </w:rPr>
              <w:t>（40）</w:t>
            </w:r>
          </w:p>
        </w:tc>
        <w:tc>
          <w:tcPr>
            <w:tcW w:w="2762" w:type="dxa"/>
            <w:tcBorders>
              <w:top w:val="single" w:color="auto" w:sz="4" w:space="0"/>
              <w:left w:val="single" w:color="auto" w:sz="4" w:space="0"/>
              <w:bottom w:val="single" w:color="auto" w:sz="4" w:space="0"/>
              <w:right w:val="single" w:color="auto" w:sz="4" w:space="0"/>
            </w:tcBorders>
            <w:noWrap w:val="0"/>
            <w:vAlign w:val="top"/>
          </w:tcPr>
          <w:p w14:paraId="697EF327">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1、按照规划合理养护室外绿地植物，每次修剪后草坪高度不超过6mm，年普修8次以上</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B6C6991">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5</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376CC14E">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按规划随机抽查3处，每发现1处违反规划，扣1分。</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2311A08C">
            <w:pPr>
              <w:keepNext w:val="0"/>
              <w:keepLines w:val="0"/>
              <w:pageBreakBefore w:val="0"/>
              <w:bidi w:val="0"/>
              <w:spacing w:line="240" w:lineRule="auto"/>
              <w:jc w:val="center"/>
              <w:outlineLvl w:val="9"/>
              <w:rPr>
                <w:rFonts w:ascii="宋体" w:hAnsi="宋体" w:cs="宋体"/>
                <w:color w:val="000000"/>
                <w:szCs w:val="21"/>
                <w:highlight w:val="none"/>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3C2C3E15">
            <w:pPr>
              <w:keepNext w:val="0"/>
              <w:keepLines w:val="0"/>
              <w:pageBreakBefore w:val="0"/>
              <w:bidi w:val="0"/>
              <w:spacing w:line="240" w:lineRule="auto"/>
              <w:jc w:val="center"/>
              <w:outlineLvl w:val="9"/>
              <w:rPr>
                <w:rFonts w:ascii="宋体" w:hAnsi="宋体" w:cs="宋体"/>
                <w:color w:val="000000"/>
                <w:szCs w:val="21"/>
                <w:highlight w:val="none"/>
              </w:rPr>
            </w:pPr>
          </w:p>
        </w:tc>
      </w:tr>
      <w:tr w14:paraId="3856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0778D4AC">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7AF997B1">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2" w:type="dxa"/>
            <w:tcBorders>
              <w:top w:val="single" w:color="auto" w:sz="4" w:space="0"/>
              <w:left w:val="single" w:color="auto" w:sz="4" w:space="0"/>
              <w:bottom w:val="single" w:color="auto" w:sz="4" w:space="0"/>
              <w:right w:val="single" w:color="auto" w:sz="4" w:space="0"/>
            </w:tcBorders>
            <w:noWrap w:val="0"/>
            <w:vAlign w:val="top"/>
          </w:tcPr>
          <w:p w14:paraId="510A5FCF">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2、绿化护栏完好，无损坏，无明显锈蚀现象</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44AA7BB">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5</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432D005E">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现场抽查，每发现1处违反规定，扣1分。</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16E15B89">
            <w:pPr>
              <w:keepNext w:val="0"/>
              <w:keepLines w:val="0"/>
              <w:pageBreakBefore w:val="0"/>
              <w:bidi w:val="0"/>
              <w:spacing w:line="240" w:lineRule="auto"/>
              <w:jc w:val="center"/>
              <w:outlineLvl w:val="9"/>
              <w:rPr>
                <w:rFonts w:ascii="宋体" w:hAnsi="宋体" w:cs="宋体"/>
                <w:color w:val="000000"/>
                <w:szCs w:val="21"/>
                <w:highlight w:val="none"/>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6DE02048">
            <w:pPr>
              <w:keepNext w:val="0"/>
              <w:keepLines w:val="0"/>
              <w:pageBreakBefore w:val="0"/>
              <w:bidi w:val="0"/>
              <w:spacing w:line="240" w:lineRule="auto"/>
              <w:jc w:val="center"/>
              <w:outlineLvl w:val="9"/>
              <w:rPr>
                <w:rFonts w:ascii="宋体" w:hAnsi="宋体" w:cs="宋体"/>
                <w:color w:val="000000"/>
                <w:szCs w:val="21"/>
                <w:highlight w:val="none"/>
              </w:rPr>
            </w:pPr>
          </w:p>
        </w:tc>
      </w:tr>
      <w:tr w14:paraId="7E79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453F5782">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65E90EB6">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2" w:type="dxa"/>
            <w:tcBorders>
              <w:top w:val="single" w:color="auto" w:sz="4" w:space="0"/>
              <w:left w:val="single" w:color="auto" w:sz="4" w:space="0"/>
              <w:bottom w:val="single" w:color="auto" w:sz="4" w:space="0"/>
              <w:right w:val="single" w:color="auto" w:sz="4" w:space="0"/>
            </w:tcBorders>
            <w:noWrap w:val="0"/>
            <w:vAlign w:val="top"/>
          </w:tcPr>
          <w:p w14:paraId="4F4FC24C">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3、室外绿地无改变使用用途或占用现象，无践踏、被破坏</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F5E662A">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5</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2698DAE0">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按规定现场抽查，每发现1处违反规定，扣1分。</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5492C1A6">
            <w:pPr>
              <w:keepNext w:val="0"/>
              <w:keepLines w:val="0"/>
              <w:pageBreakBefore w:val="0"/>
              <w:bidi w:val="0"/>
              <w:spacing w:line="240" w:lineRule="auto"/>
              <w:jc w:val="center"/>
              <w:outlineLvl w:val="9"/>
              <w:rPr>
                <w:rFonts w:ascii="宋体" w:hAnsi="宋体" w:cs="宋体"/>
                <w:color w:val="000000"/>
                <w:szCs w:val="21"/>
                <w:highlight w:val="none"/>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538B67C8">
            <w:pPr>
              <w:keepNext w:val="0"/>
              <w:keepLines w:val="0"/>
              <w:pageBreakBefore w:val="0"/>
              <w:bidi w:val="0"/>
              <w:spacing w:line="240" w:lineRule="auto"/>
              <w:jc w:val="center"/>
              <w:outlineLvl w:val="9"/>
              <w:rPr>
                <w:rFonts w:ascii="宋体" w:hAnsi="宋体" w:cs="宋体"/>
                <w:color w:val="000000"/>
                <w:szCs w:val="21"/>
                <w:highlight w:val="none"/>
              </w:rPr>
            </w:pPr>
          </w:p>
        </w:tc>
      </w:tr>
      <w:tr w14:paraId="3F36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493699E2">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35AECB7C">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2" w:type="dxa"/>
            <w:tcBorders>
              <w:top w:val="single" w:color="auto" w:sz="4" w:space="0"/>
              <w:left w:val="single" w:color="auto" w:sz="4" w:space="0"/>
              <w:bottom w:val="single" w:color="auto" w:sz="4" w:space="0"/>
              <w:right w:val="single" w:color="auto" w:sz="4" w:space="0"/>
            </w:tcBorders>
            <w:noWrap w:val="0"/>
            <w:vAlign w:val="top"/>
          </w:tcPr>
          <w:p w14:paraId="5323AF42">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4、应编制绿化养护方案，定期修剪养护、浇水、施肥、喷药杀虫，有记录</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7E4E5A9">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5</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1F48670B">
            <w:pPr>
              <w:keepNext w:val="0"/>
              <w:keepLines w:val="0"/>
              <w:pageBreakBefore w:val="0"/>
              <w:bidi w:val="0"/>
              <w:spacing w:line="240" w:lineRule="auto"/>
              <w:ind w:firstLine="420"/>
              <w:outlineLvl w:val="9"/>
              <w:rPr>
                <w:rFonts w:ascii="宋体" w:hAnsi="宋体" w:cs="宋体"/>
                <w:color w:val="000000"/>
                <w:szCs w:val="21"/>
                <w:highlight w:val="none"/>
              </w:rPr>
            </w:pPr>
            <w:r>
              <w:rPr>
                <w:rFonts w:hint="eastAsia" w:ascii="宋体" w:hAnsi="宋体" w:cs="宋体"/>
                <w:color w:val="000000"/>
                <w:szCs w:val="21"/>
                <w:highlight w:val="none"/>
              </w:rPr>
              <w:t>未编制室外绿化养护方案本子项不得分；</w:t>
            </w:r>
          </w:p>
          <w:p w14:paraId="2018DBAC">
            <w:pPr>
              <w:keepNext w:val="0"/>
              <w:keepLines w:val="0"/>
              <w:pageBreakBefore w:val="0"/>
              <w:bidi w:val="0"/>
              <w:spacing w:line="240" w:lineRule="auto"/>
              <w:ind w:firstLine="420"/>
              <w:outlineLvl w:val="9"/>
              <w:rPr>
                <w:rFonts w:ascii="宋体" w:hAnsi="宋体" w:cs="宋体"/>
                <w:color w:val="000000"/>
                <w:szCs w:val="21"/>
                <w:highlight w:val="none"/>
              </w:rPr>
            </w:pPr>
            <w:r>
              <w:rPr>
                <w:rFonts w:hint="eastAsia" w:ascii="宋体" w:hAnsi="宋体" w:cs="宋体"/>
                <w:color w:val="000000"/>
                <w:szCs w:val="21"/>
                <w:highlight w:val="none"/>
              </w:rPr>
              <w:t>抽查记录，每发现1处违反规定，扣1分。</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35560F54">
            <w:pPr>
              <w:keepNext w:val="0"/>
              <w:keepLines w:val="0"/>
              <w:pageBreakBefore w:val="0"/>
              <w:bidi w:val="0"/>
              <w:spacing w:line="240" w:lineRule="auto"/>
              <w:jc w:val="center"/>
              <w:outlineLvl w:val="9"/>
              <w:rPr>
                <w:rFonts w:ascii="宋体" w:hAnsi="宋体" w:cs="宋体"/>
                <w:color w:val="000000"/>
                <w:szCs w:val="21"/>
                <w:highlight w:val="none"/>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6AB54F62">
            <w:pPr>
              <w:keepNext w:val="0"/>
              <w:keepLines w:val="0"/>
              <w:pageBreakBefore w:val="0"/>
              <w:bidi w:val="0"/>
              <w:spacing w:line="240" w:lineRule="auto"/>
              <w:jc w:val="center"/>
              <w:outlineLvl w:val="9"/>
              <w:rPr>
                <w:rFonts w:ascii="宋体" w:hAnsi="宋体" w:cs="宋体"/>
                <w:color w:val="000000"/>
                <w:szCs w:val="21"/>
                <w:highlight w:val="none"/>
              </w:rPr>
            </w:pPr>
          </w:p>
        </w:tc>
      </w:tr>
      <w:tr w14:paraId="04B0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28F6B918">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55946941">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2" w:type="dxa"/>
            <w:tcBorders>
              <w:top w:val="single" w:color="auto" w:sz="4" w:space="0"/>
              <w:left w:val="single" w:color="auto" w:sz="4" w:space="0"/>
              <w:bottom w:val="single" w:color="auto" w:sz="4" w:space="0"/>
              <w:right w:val="single" w:color="auto" w:sz="4" w:space="0"/>
            </w:tcBorders>
            <w:noWrap w:val="0"/>
            <w:vAlign w:val="top"/>
          </w:tcPr>
          <w:p w14:paraId="4DB670D2">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5、绿地中无纸屑、烟蒂、及废旧杂物</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D594854">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5</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4F74BBF5">
            <w:pPr>
              <w:keepNext w:val="0"/>
              <w:keepLines w:val="0"/>
              <w:pageBreakBefore w:val="0"/>
              <w:bidi w:val="0"/>
              <w:spacing w:line="240" w:lineRule="auto"/>
              <w:outlineLvl w:val="9"/>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现场抽查，每发现1处违反规定，扣1分。</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3F6719DF">
            <w:pPr>
              <w:keepNext w:val="0"/>
              <w:keepLines w:val="0"/>
              <w:pageBreakBefore w:val="0"/>
              <w:bidi w:val="0"/>
              <w:spacing w:line="240" w:lineRule="auto"/>
              <w:jc w:val="center"/>
              <w:outlineLvl w:val="9"/>
              <w:rPr>
                <w:rFonts w:ascii="宋体" w:hAnsi="宋体" w:cs="宋体"/>
                <w:color w:val="000000"/>
                <w:szCs w:val="21"/>
                <w:highlight w:val="none"/>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5C13669D">
            <w:pPr>
              <w:keepNext w:val="0"/>
              <w:keepLines w:val="0"/>
              <w:pageBreakBefore w:val="0"/>
              <w:bidi w:val="0"/>
              <w:spacing w:line="240" w:lineRule="auto"/>
              <w:jc w:val="center"/>
              <w:outlineLvl w:val="9"/>
              <w:rPr>
                <w:rFonts w:ascii="宋体" w:hAnsi="宋体" w:cs="宋体"/>
                <w:color w:val="000000"/>
                <w:szCs w:val="21"/>
                <w:highlight w:val="none"/>
              </w:rPr>
            </w:pPr>
          </w:p>
        </w:tc>
      </w:tr>
      <w:tr w14:paraId="136C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7A65DE17">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71C612F8">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2" w:type="dxa"/>
            <w:tcBorders>
              <w:top w:val="single" w:color="auto" w:sz="4" w:space="0"/>
              <w:left w:val="single" w:color="auto" w:sz="4" w:space="0"/>
              <w:bottom w:val="single" w:color="auto" w:sz="4" w:space="0"/>
              <w:right w:val="single" w:color="auto" w:sz="4" w:space="0"/>
            </w:tcBorders>
            <w:noWrap w:val="0"/>
            <w:vAlign w:val="top"/>
          </w:tcPr>
          <w:p w14:paraId="11C60CA9">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6、绿化草木修剪整齐，无明显枯枝、枯叶，无折损、斑秃现象，保持花草树木长势良好</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3957C04">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5</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62CA4D67">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现场抽查，每发现1处违反规定，扣1分。</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7565210D">
            <w:pPr>
              <w:keepNext w:val="0"/>
              <w:keepLines w:val="0"/>
              <w:pageBreakBefore w:val="0"/>
              <w:bidi w:val="0"/>
              <w:spacing w:line="240" w:lineRule="auto"/>
              <w:jc w:val="center"/>
              <w:outlineLvl w:val="9"/>
              <w:rPr>
                <w:rFonts w:ascii="宋体" w:hAnsi="宋体" w:cs="宋体"/>
                <w:color w:val="000000"/>
                <w:szCs w:val="21"/>
                <w:highlight w:val="none"/>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3F88D1C6">
            <w:pPr>
              <w:keepNext w:val="0"/>
              <w:keepLines w:val="0"/>
              <w:pageBreakBefore w:val="0"/>
              <w:bidi w:val="0"/>
              <w:spacing w:line="240" w:lineRule="auto"/>
              <w:jc w:val="center"/>
              <w:outlineLvl w:val="9"/>
              <w:rPr>
                <w:rFonts w:ascii="宋体" w:hAnsi="宋体" w:cs="宋体"/>
                <w:color w:val="000000"/>
                <w:szCs w:val="21"/>
                <w:highlight w:val="none"/>
              </w:rPr>
            </w:pPr>
          </w:p>
        </w:tc>
      </w:tr>
      <w:tr w14:paraId="69AD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1087DE3D">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1BBAF29A">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2" w:type="dxa"/>
            <w:tcBorders>
              <w:top w:val="single" w:color="auto" w:sz="4" w:space="0"/>
              <w:left w:val="single" w:color="auto" w:sz="4" w:space="0"/>
              <w:bottom w:val="single" w:color="auto" w:sz="4" w:space="0"/>
              <w:right w:val="single" w:color="auto" w:sz="4" w:space="0"/>
            </w:tcBorders>
            <w:noWrap w:val="0"/>
            <w:vAlign w:val="top"/>
          </w:tcPr>
          <w:p w14:paraId="3C68B6B9">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7、绿化地无成片、成行杂草</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17CF0D0">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5</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5CF372EF">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现场抽查，每发现1处违反规定，扣1分。</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38E7D6B8">
            <w:pPr>
              <w:keepNext w:val="0"/>
              <w:keepLines w:val="0"/>
              <w:pageBreakBefore w:val="0"/>
              <w:bidi w:val="0"/>
              <w:spacing w:line="240" w:lineRule="auto"/>
              <w:jc w:val="center"/>
              <w:outlineLvl w:val="9"/>
              <w:rPr>
                <w:rFonts w:ascii="宋体" w:hAnsi="宋体" w:cs="宋体"/>
                <w:color w:val="000000"/>
                <w:szCs w:val="21"/>
                <w:highlight w:val="none"/>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58D254DB">
            <w:pPr>
              <w:keepNext w:val="0"/>
              <w:keepLines w:val="0"/>
              <w:pageBreakBefore w:val="0"/>
              <w:bidi w:val="0"/>
              <w:spacing w:line="240" w:lineRule="auto"/>
              <w:jc w:val="center"/>
              <w:outlineLvl w:val="9"/>
              <w:rPr>
                <w:rFonts w:ascii="宋体" w:hAnsi="宋体" w:cs="宋体"/>
                <w:color w:val="000000"/>
                <w:szCs w:val="21"/>
                <w:highlight w:val="none"/>
              </w:rPr>
            </w:pPr>
          </w:p>
        </w:tc>
      </w:tr>
      <w:tr w14:paraId="5E77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41025865">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59FFDFD7">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2" w:type="dxa"/>
            <w:tcBorders>
              <w:top w:val="single" w:color="auto" w:sz="4" w:space="0"/>
              <w:left w:val="single" w:color="auto" w:sz="4" w:space="0"/>
              <w:bottom w:val="single" w:color="auto" w:sz="4" w:space="0"/>
              <w:right w:val="single" w:color="auto" w:sz="4" w:space="0"/>
            </w:tcBorders>
            <w:noWrap w:val="0"/>
            <w:vAlign w:val="top"/>
          </w:tcPr>
          <w:p w14:paraId="1F96EBFF">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8、树木生长树形</w:t>
            </w:r>
            <w:r>
              <w:rPr>
                <w:rFonts w:hint="eastAsia" w:ascii="宋体" w:hAnsi="宋体" w:cs="宋体"/>
                <w:color w:val="000000"/>
                <w:szCs w:val="21"/>
              </w:rPr>
              <w:t>完美</w:t>
            </w:r>
            <w:r>
              <w:rPr>
                <w:rFonts w:hint="eastAsia" w:ascii="宋体" w:hAnsi="宋体" w:cs="宋体"/>
                <w:color w:val="000000"/>
                <w:szCs w:val="21"/>
                <w:highlight w:val="none"/>
              </w:rPr>
              <w:t>，枝叶茂盛，整体观赏</w:t>
            </w:r>
            <w:r>
              <w:rPr>
                <w:rFonts w:hint="eastAsia" w:ascii="宋体" w:hAnsi="宋体" w:cs="宋体"/>
                <w:color w:val="000000"/>
                <w:szCs w:val="21"/>
              </w:rPr>
              <w:t>效果好</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52714DA">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5</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0AEF31D2">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现场抽查，每发现1处违反规定，扣1分。</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0C4F0895">
            <w:pPr>
              <w:keepNext w:val="0"/>
              <w:keepLines w:val="0"/>
              <w:pageBreakBefore w:val="0"/>
              <w:bidi w:val="0"/>
              <w:spacing w:line="240" w:lineRule="auto"/>
              <w:jc w:val="center"/>
              <w:outlineLvl w:val="9"/>
              <w:rPr>
                <w:rFonts w:ascii="宋体" w:hAnsi="宋体" w:cs="宋体"/>
                <w:color w:val="000000"/>
                <w:szCs w:val="21"/>
                <w:highlight w:val="none"/>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47A77842">
            <w:pPr>
              <w:keepNext w:val="0"/>
              <w:keepLines w:val="0"/>
              <w:pageBreakBefore w:val="0"/>
              <w:bidi w:val="0"/>
              <w:spacing w:line="240" w:lineRule="auto"/>
              <w:jc w:val="center"/>
              <w:outlineLvl w:val="9"/>
              <w:rPr>
                <w:rFonts w:ascii="宋体" w:hAnsi="宋体" w:cs="宋体"/>
                <w:color w:val="000000"/>
                <w:szCs w:val="21"/>
                <w:highlight w:val="none"/>
              </w:rPr>
            </w:pPr>
          </w:p>
        </w:tc>
      </w:tr>
      <w:tr w14:paraId="698E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14:paraId="77F3E431">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5</w:t>
            </w:r>
          </w:p>
        </w:tc>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0C2411A9">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应急管理（11）</w:t>
            </w:r>
          </w:p>
        </w:tc>
        <w:tc>
          <w:tcPr>
            <w:tcW w:w="2762" w:type="dxa"/>
            <w:tcBorders>
              <w:top w:val="single" w:color="auto" w:sz="4" w:space="0"/>
              <w:left w:val="single" w:color="auto" w:sz="4" w:space="0"/>
              <w:bottom w:val="single" w:color="auto" w:sz="4" w:space="0"/>
              <w:right w:val="single" w:color="auto" w:sz="4" w:space="0"/>
            </w:tcBorders>
            <w:noWrap w:val="0"/>
            <w:vAlign w:val="top"/>
          </w:tcPr>
          <w:p w14:paraId="519C1ADE">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1、有明确的应急方案</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71B00C2">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532A3528">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未确定应急目标扣1分；</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1DCAB120">
            <w:pPr>
              <w:keepNext w:val="0"/>
              <w:keepLines w:val="0"/>
              <w:pageBreakBefore w:val="0"/>
              <w:bidi w:val="0"/>
              <w:spacing w:line="240" w:lineRule="auto"/>
              <w:jc w:val="center"/>
              <w:outlineLvl w:val="9"/>
              <w:rPr>
                <w:rFonts w:ascii="宋体" w:hAnsi="宋体" w:cs="宋体"/>
                <w:color w:val="000000"/>
                <w:szCs w:val="21"/>
                <w:highlight w:val="none"/>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5167CB69">
            <w:pPr>
              <w:keepNext w:val="0"/>
              <w:keepLines w:val="0"/>
              <w:pageBreakBefore w:val="0"/>
              <w:bidi w:val="0"/>
              <w:spacing w:line="240" w:lineRule="auto"/>
              <w:jc w:val="center"/>
              <w:outlineLvl w:val="9"/>
              <w:rPr>
                <w:rFonts w:ascii="宋体" w:hAnsi="宋体" w:cs="宋体"/>
                <w:color w:val="000000"/>
                <w:szCs w:val="21"/>
                <w:highlight w:val="none"/>
              </w:rPr>
            </w:pPr>
          </w:p>
        </w:tc>
      </w:tr>
      <w:tr w14:paraId="12C9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3EE24EBF">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25D57B45">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2" w:type="dxa"/>
            <w:tcBorders>
              <w:top w:val="single" w:color="auto" w:sz="4" w:space="0"/>
              <w:left w:val="single" w:color="auto" w:sz="4" w:space="0"/>
              <w:bottom w:val="single" w:color="auto" w:sz="4" w:space="0"/>
              <w:right w:val="single" w:color="auto" w:sz="4" w:space="0"/>
            </w:tcBorders>
            <w:noWrap w:val="0"/>
            <w:vAlign w:val="top"/>
          </w:tcPr>
          <w:p w14:paraId="6CDA81C8">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2、建立应急指挥网络，并标明联络点及其负责人和联系电话</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89F43EF">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49E204FB">
            <w:pPr>
              <w:keepNext w:val="0"/>
              <w:keepLines w:val="0"/>
              <w:pageBreakBefore w:val="0"/>
              <w:bidi w:val="0"/>
              <w:spacing w:line="240" w:lineRule="auto"/>
              <w:ind w:firstLine="420"/>
              <w:outlineLvl w:val="9"/>
              <w:rPr>
                <w:rFonts w:ascii="宋体" w:hAnsi="宋体" w:cs="宋体"/>
                <w:color w:val="000000"/>
                <w:szCs w:val="21"/>
                <w:highlight w:val="none"/>
              </w:rPr>
            </w:pPr>
            <w:r>
              <w:rPr>
                <w:rFonts w:hint="eastAsia" w:ascii="宋体" w:hAnsi="宋体" w:cs="宋体"/>
                <w:color w:val="000000"/>
                <w:szCs w:val="21"/>
                <w:highlight w:val="none"/>
              </w:rPr>
              <w:t>未建立应急指挥网络扣3分；</w:t>
            </w:r>
          </w:p>
          <w:p w14:paraId="65A6D787">
            <w:pPr>
              <w:keepNext w:val="0"/>
              <w:keepLines w:val="0"/>
              <w:pageBreakBefore w:val="0"/>
              <w:bidi w:val="0"/>
              <w:spacing w:line="240" w:lineRule="auto"/>
              <w:ind w:firstLine="420"/>
              <w:outlineLvl w:val="9"/>
              <w:rPr>
                <w:rFonts w:ascii="宋体" w:hAnsi="宋体" w:cs="宋体"/>
                <w:color w:val="000000"/>
                <w:szCs w:val="21"/>
                <w:highlight w:val="none"/>
              </w:rPr>
            </w:pPr>
            <w:r>
              <w:rPr>
                <w:rFonts w:hint="eastAsia" w:ascii="宋体" w:hAnsi="宋体" w:cs="宋体"/>
                <w:color w:val="000000"/>
                <w:szCs w:val="21"/>
                <w:highlight w:val="none"/>
              </w:rPr>
              <w:t>应急指挥网络标注信息不全扣1分。</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3444FB9F">
            <w:pPr>
              <w:keepNext w:val="0"/>
              <w:keepLines w:val="0"/>
              <w:pageBreakBefore w:val="0"/>
              <w:bidi w:val="0"/>
              <w:spacing w:line="240" w:lineRule="auto"/>
              <w:jc w:val="center"/>
              <w:outlineLvl w:val="9"/>
              <w:rPr>
                <w:rFonts w:ascii="宋体" w:hAnsi="宋体" w:cs="宋体"/>
                <w:color w:val="000000"/>
                <w:szCs w:val="21"/>
                <w:highlight w:val="none"/>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2E9F2952">
            <w:pPr>
              <w:keepNext w:val="0"/>
              <w:keepLines w:val="0"/>
              <w:pageBreakBefore w:val="0"/>
              <w:bidi w:val="0"/>
              <w:spacing w:line="240" w:lineRule="auto"/>
              <w:jc w:val="center"/>
              <w:outlineLvl w:val="9"/>
              <w:rPr>
                <w:rFonts w:ascii="宋体" w:hAnsi="宋体" w:cs="宋体"/>
                <w:color w:val="000000"/>
                <w:szCs w:val="21"/>
                <w:highlight w:val="none"/>
              </w:rPr>
            </w:pPr>
          </w:p>
        </w:tc>
      </w:tr>
      <w:tr w14:paraId="28AF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5CA1DE76">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22B905B2">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2" w:type="dxa"/>
            <w:tcBorders>
              <w:top w:val="single" w:color="auto" w:sz="4" w:space="0"/>
              <w:left w:val="single" w:color="auto" w:sz="4" w:space="0"/>
              <w:bottom w:val="single" w:color="auto" w:sz="4" w:space="0"/>
              <w:right w:val="single" w:color="auto" w:sz="4" w:space="0"/>
            </w:tcBorders>
            <w:noWrap w:val="0"/>
            <w:vAlign w:val="top"/>
          </w:tcPr>
          <w:p w14:paraId="078B216E">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3、编制并正式发布应急作业程序</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0EEF2CC">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32C780AA">
            <w:pPr>
              <w:keepNext w:val="0"/>
              <w:keepLines w:val="0"/>
              <w:pageBreakBefore w:val="0"/>
              <w:bidi w:val="0"/>
              <w:spacing w:line="240" w:lineRule="auto"/>
              <w:ind w:firstLine="420"/>
              <w:outlineLvl w:val="9"/>
              <w:rPr>
                <w:rFonts w:ascii="宋体" w:hAnsi="宋体" w:cs="宋体"/>
                <w:color w:val="000000"/>
                <w:szCs w:val="21"/>
                <w:highlight w:val="none"/>
              </w:rPr>
            </w:pPr>
            <w:r>
              <w:rPr>
                <w:rFonts w:hint="eastAsia" w:ascii="宋体" w:hAnsi="宋体" w:cs="宋体"/>
                <w:color w:val="000000"/>
                <w:szCs w:val="21"/>
                <w:highlight w:val="none"/>
              </w:rPr>
              <w:t>未制订应急作业程序扣3分；</w:t>
            </w:r>
          </w:p>
          <w:p w14:paraId="648E8319">
            <w:pPr>
              <w:keepNext w:val="0"/>
              <w:keepLines w:val="0"/>
              <w:pageBreakBefore w:val="0"/>
              <w:bidi w:val="0"/>
              <w:spacing w:line="240" w:lineRule="auto"/>
              <w:ind w:firstLine="420"/>
              <w:outlineLvl w:val="9"/>
              <w:rPr>
                <w:rFonts w:ascii="宋体" w:hAnsi="宋体" w:cs="宋体"/>
                <w:color w:val="000000"/>
                <w:szCs w:val="21"/>
                <w:highlight w:val="none"/>
              </w:rPr>
            </w:pPr>
            <w:r>
              <w:rPr>
                <w:rFonts w:hint="eastAsia" w:ascii="宋体" w:hAnsi="宋体" w:cs="宋体"/>
                <w:color w:val="000000"/>
                <w:szCs w:val="21"/>
                <w:highlight w:val="none"/>
              </w:rPr>
              <w:t>无应急作业演习记录扣1分。</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2B88C7DE">
            <w:pPr>
              <w:keepNext w:val="0"/>
              <w:keepLines w:val="0"/>
              <w:pageBreakBefore w:val="0"/>
              <w:bidi w:val="0"/>
              <w:spacing w:line="240" w:lineRule="auto"/>
              <w:jc w:val="center"/>
              <w:outlineLvl w:val="9"/>
              <w:rPr>
                <w:rFonts w:ascii="宋体" w:hAnsi="宋体" w:cs="宋体"/>
                <w:color w:val="000000"/>
                <w:szCs w:val="21"/>
                <w:highlight w:val="none"/>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5D482C32">
            <w:pPr>
              <w:keepNext w:val="0"/>
              <w:keepLines w:val="0"/>
              <w:pageBreakBefore w:val="0"/>
              <w:bidi w:val="0"/>
              <w:spacing w:line="240" w:lineRule="auto"/>
              <w:jc w:val="center"/>
              <w:outlineLvl w:val="9"/>
              <w:rPr>
                <w:rFonts w:ascii="宋体" w:hAnsi="宋体" w:cs="宋体"/>
                <w:color w:val="000000"/>
                <w:szCs w:val="21"/>
                <w:highlight w:val="none"/>
              </w:rPr>
            </w:pPr>
          </w:p>
        </w:tc>
      </w:tr>
      <w:tr w14:paraId="1F2E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78281917">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1D852765">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62" w:type="dxa"/>
            <w:tcBorders>
              <w:top w:val="single" w:color="auto" w:sz="4" w:space="0"/>
              <w:left w:val="single" w:color="auto" w:sz="4" w:space="0"/>
              <w:bottom w:val="single" w:color="auto" w:sz="4" w:space="0"/>
              <w:right w:val="single" w:color="auto" w:sz="4" w:space="0"/>
            </w:tcBorders>
            <w:noWrap w:val="0"/>
            <w:vAlign w:val="top"/>
          </w:tcPr>
          <w:p w14:paraId="7E3C4A76">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4、应急事件有记录，并及时总结，完善应急预案，整改存在问题</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CCA309A">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3EB8AB56">
            <w:pPr>
              <w:keepNext w:val="0"/>
              <w:keepLines w:val="0"/>
              <w:pageBreakBefore w:val="0"/>
              <w:bidi w:val="0"/>
              <w:spacing w:line="240" w:lineRule="auto"/>
              <w:ind w:firstLine="420"/>
              <w:outlineLvl w:val="9"/>
              <w:rPr>
                <w:rFonts w:ascii="宋体" w:hAnsi="宋体" w:cs="宋体"/>
                <w:color w:val="000000"/>
                <w:szCs w:val="21"/>
                <w:highlight w:val="none"/>
              </w:rPr>
            </w:pPr>
            <w:r>
              <w:rPr>
                <w:rFonts w:hint="eastAsia" w:ascii="宋体" w:hAnsi="宋体" w:cs="宋体"/>
                <w:color w:val="000000"/>
                <w:szCs w:val="21"/>
                <w:highlight w:val="none"/>
              </w:rPr>
              <w:t>应急事件发生后无记录扣3分；</w:t>
            </w:r>
          </w:p>
          <w:p w14:paraId="0AEDDC32">
            <w:pPr>
              <w:keepNext w:val="0"/>
              <w:keepLines w:val="0"/>
              <w:pageBreakBefore w:val="0"/>
              <w:bidi w:val="0"/>
              <w:spacing w:line="240" w:lineRule="auto"/>
              <w:ind w:firstLine="420"/>
              <w:outlineLvl w:val="9"/>
              <w:rPr>
                <w:rFonts w:ascii="宋体" w:hAnsi="宋体" w:cs="宋体"/>
                <w:color w:val="000000"/>
                <w:szCs w:val="21"/>
                <w:highlight w:val="none"/>
              </w:rPr>
            </w:pPr>
            <w:r>
              <w:rPr>
                <w:rFonts w:hint="eastAsia" w:ascii="宋体" w:hAnsi="宋体" w:cs="宋体"/>
                <w:color w:val="000000"/>
                <w:szCs w:val="21"/>
                <w:highlight w:val="none"/>
              </w:rPr>
              <w:t>未及时总结，扣1分；</w:t>
            </w:r>
          </w:p>
          <w:p w14:paraId="18F52433">
            <w:pPr>
              <w:keepNext w:val="0"/>
              <w:keepLines w:val="0"/>
              <w:pageBreakBefore w:val="0"/>
              <w:bidi w:val="0"/>
              <w:spacing w:line="240" w:lineRule="auto"/>
              <w:ind w:firstLine="420"/>
              <w:outlineLvl w:val="9"/>
              <w:rPr>
                <w:rFonts w:ascii="宋体" w:hAnsi="宋体" w:cs="宋体"/>
                <w:color w:val="000000"/>
                <w:szCs w:val="21"/>
                <w:highlight w:val="none"/>
              </w:rPr>
            </w:pPr>
            <w:r>
              <w:rPr>
                <w:rFonts w:hint="eastAsia" w:ascii="宋体" w:hAnsi="宋体" w:cs="宋体"/>
                <w:color w:val="000000"/>
                <w:szCs w:val="21"/>
                <w:highlight w:val="none"/>
              </w:rPr>
              <w:t>没有整改措施扣1分。</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578E10CA">
            <w:pPr>
              <w:keepNext w:val="0"/>
              <w:keepLines w:val="0"/>
              <w:pageBreakBefore w:val="0"/>
              <w:bidi w:val="0"/>
              <w:spacing w:line="240" w:lineRule="auto"/>
              <w:jc w:val="center"/>
              <w:outlineLvl w:val="9"/>
              <w:rPr>
                <w:rFonts w:ascii="宋体" w:hAnsi="宋体" w:cs="宋体"/>
                <w:color w:val="000000"/>
                <w:szCs w:val="21"/>
                <w:highlight w:val="none"/>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01F44883">
            <w:pPr>
              <w:keepNext w:val="0"/>
              <w:keepLines w:val="0"/>
              <w:pageBreakBefore w:val="0"/>
              <w:bidi w:val="0"/>
              <w:spacing w:line="240" w:lineRule="auto"/>
              <w:jc w:val="center"/>
              <w:outlineLvl w:val="9"/>
              <w:rPr>
                <w:rFonts w:ascii="宋体" w:hAnsi="宋体" w:cs="宋体"/>
                <w:color w:val="000000"/>
                <w:szCs w:val="21"/>
                <w:highlight w:val="none"/>
              </w:rPr>
            </w:pPr>
          </w:p>
        </w:tc>
      </w:tr>
      <w:tr w14:paraId="33B1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025" w:type="dxa"/>
            <w:gridSpan w:val="5"/>
            <w:tcBorders>
              <w:top w:val="single" w:color="auto" w:sz="4" w:space="0"/>
              <w:left w:val="single" w:color="auto" w:sz="4" w:space="0"/>
              <w:bottom w:val="single" w:color="auto" w:sz="4" w:space="0"/>
              <w:right w:val="single" w:color="auto" w:sz="4" w:space="0"/>
            </w:tcBorders>
            <w:noWrap w:val="0"/>
            <w:vAlign w:val="center"/>
          </w:tcPr>
          <w:p w14:paraId="2B2271D5">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合   计   100  分</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1E613F5D">
            <w:pPr>
              <w:keepNext w:val="0"/>
              <w:keepLines w:val="0"/>
              <w:pageBreakBefore w:val="0"/>
              <w:bidi w:val="0"/>
              <w:spacing w:line="240" w:lineRule="auto"/>
              <w:jc w:val="center"/>
              <w:outlineLvl w:val="9"/>
              <w:rPr>
                <w:rFonts w:ascii="宋体" w:hAnsi="宋体" w:cs="宋体"/>
                <w:color w:val="000000"/>
                <w:szCs w:val="21"/>
                <w:highlight w:val="none"/>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5DF1121F">
            <w:pPr>
              <w:keepNext w:val="0"/>
              <w:keepLines w:val="0"/>
              <w:pageBreakBefore w:val="0"/>
              <w:bidi w:val="0"/>
              <w:spacing w:line="240" w:lineRule="auto"/>
              <w:jc w:val="center"/>
              <w:outlineLvl w:val="9"/>
              <w:rPr>
                <w:rFonts w:ascii="宋体" w:hAnsi="宋体" w:cs="宋体"/>
                <w:color w:val="000000"/>
                <w:szCs w:val="21"/>
                <w:highlight w:val="none"/>
              </w:rPr>
            </w:pPr>
          </w:p>
        </w:tc>
      </w:tr>
    </w:tbl>
    <w:p w14:paraId="202E5541">
      <w:pPr>
        <w:keepNext w:val="0"/>
        <w:keepLines w:val="0"/>
        <w:pageBreakBefore w:val="0"/>
        <w:bidi w:val="0"/>
        <w:spacing w:line="240" w:lineRule="auto"/>
        <w:outlineLvl w:val="9"/>
        <w:rPr>
          <w:rFonts w:ascii="宋体" w:hAnsi="宋体" w:cs="宋体"/>
          <w:b/>
          <w:color w:val="000000"/>
          <w:szCs w:val="21"/>
          <w:highlight w:val="none"/>
        </w:rPr>
      </w:pPr>
    </w:p>
    <w:p w14:paraId="5082D856">
      <w:pPr>
        <w:keepNext w:val="0"/>
        <w:keepLines w:val="0"/>
        <w:pageBreakBefore w:val="0"/>
        <w:bidi w:val="0"/>
        <w:spacing w:line="240" w:lineRule="auto"/>
        <w:ind w:firstLine="422"/>
        <w:outlineLvl w:val="9"/>
        <w:rPr>
          <w:rFonts w:ascii="宋体" w:hAnsi="宋体" w:cs="宋体"/>
          <w:b/>
          <w:color w:val="000000"/>
          <w:szCs w:val="21"/>
          <w:highlight w:val="none"/>
        </w:rPr>
      </w:pPr>
    </w:p>
    <w:p w14:paraId="0813F2ED">
      <w:pPr>
        <w:keepNext w:val="0"/>
        <w:keepLines w:val="0"/>
        <w:pageBreakBefore w:val="0"/>
        <w:bidi w:val="0"/>
        <w:spacing w:line="240" w:lineRule="auto"/>
        <w:ind w:firstLine="422"/>
        <w:outlineLvl w:val="9"/>
        <w:rPr>
          <w:rFonts w:ascii="宋体" w:hAnsi="宋体" w:cs="宋体"/>
          <w:b/>
          <w:color w:val="000000"/>
          <w:szCs w:val="21"/>
          <w:highlight w:val="none"/>
        </w:rPr>
      </w:pPr>
      <w:r>
        <w:rPr>
          <w:rFonts w:hint="eastAsia" w:ascii="宋体" w:hAnsi="宋体" w:cs="宋体"/>
          <w:b/>
          <w:bCs/>
          <w:color w:val="000000"/>
          <w:szCs w:val="21"/>
          <w:highlight w:val="none"/>
        </w:rPr>
        <w:t xml:space="preserve">                           四、设备保障服务考核表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08"/>
        <w:gridCol w:w="2793"/>
        <w:gridCol w:w="950"/>
        <w:gridCol w:w="3663"/>
        <w:gridCol w:w="575"/>
        <w:gridCol w:w="404"/>
      </w:tblGrid>
      <w:tr w14:paraId="2D41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09FF02">
            <w:pPr>
              <w:keepNext w:val="0"/>
              <w:keepLines w:val="0"/>
              <w:pageBreakBefore w:val="0"/>
              <w:bidi w:val="0"/>
              <w:spacing w:line="240" w:lineRule="auto"/>
              <w:jc w:val="center"/>
              <w:outlineLvl w:val="9"/>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0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20C6CC">
            <w:pPr>
              <w:keepNext w:val="0"/>
              <w:keepLines w:val="0"/>
              <w:pageBreakBefore w:val="0"/>
              <w:bidi w:val="0"/>
              <w:spacing w:line="240" w:lineRule="auto"/>
              <w:jc w:val="center"/>
              <w:outlineLvl w:val="9"/>
              <w:rPr>
                <w:rFonts w:ascii="宋体" w:hAnsi="宋体" w:cs="宋体"/>
                <w:b/>
                <w:bCs/>
                <w:color w:val="000000"/>
                <w:szCs w:val="21"/>
                <w:highlight w:val="none"/>
              </w:rPr>
            </w:pPr>
            <w:r>
              <w:rPr>
                <w:rFonts w:hint="eastAsia" w:ascii="宋体" w:hAnsi="宋体" w:cs="宋体"/>
                <w:b/>
                <w:bCs/>
                <w:color w:val="000000"/>
                <w:szCs w:val="21"/>
                <w:highlight w:val="none"/>
              </w:rPr>
              <w:t>项目</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7E7491">
            <w:pPr>
              <w:keepNext w:val="0"/>
              <w:keepLines w:val="0"/>
              <w:pageBreakBefore w:val="0"/>
              <w:bidi w:val="0"/>
              <w:spacing w:line="240" w:lineRule="auto"/>
              <w:jc w:val="center"/>
              <w:outlineLvl w:val="9"/>
              <w:rPr>
                <w:rFonts w:ascii="宋体" w:hAnsi="宋体" w:cs="宋体"/>
                <w:b/>
                <w:bCs/>
                <w:color w:val="000000"/>
                <w:szCs w:val="21"/>
                <w:highlight w:val="none"/>
              </w:rPr>
            </w:pPr>
            <w:r>
              <w:rPr>
                <w:rFonts w:hint="eastAsia" w:ascii="宋体" w:hAnsi="宋体" w:cs="宋体"/>
                <w:b/>
                <w:bCs/>
                <w:color w:val="000000"/>
                <w:szCs w:val="21"/>
                <w:highlight w:val="none"/>
              </w:rPr>
              <w:t>评价内容</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57AED8">
            <w:pPr>
              <w:keepNext w:val="0"/>
              <w:keepLines w:val="0"/>
              <w:pageBreakBefore w:val="0"/>
              <w:bidi w:val="0"/>
              <w:spacing w:line="240" w:lineRule="auto"/>
              <w:jc w:val="center"/>
              <w:outlineLvl w:val="9"/>
              <w:rPr>
                <w:rFonts w:ascii="宋体" w:hAnsi="宋体" w:cs="宋体"/>
                <w:b/>
                <w:bCs/>
                <w:color w:val="000000"/>
                <w:szCs w:val="21"/>
                <w:highlight w:val="none"/>
              </w:rPr>
            </w:pPr>
            <w:r>
              <w:rPr>
                <w:rFonts w:hint="eastAsia" w:ascii="宋体" w:hAnsi="宋体" w:cs="宋体"/>
                <w:b/>
                <w:bCs/>
                <w:color w:val="000000"/>
                <w:szCs w:val="21"/>
                <w:highlight w:val="none"/>
              </w:rPr>
              <w:t>标准分</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850A22">
            <w:pPr>
              <w:keepNext w:val="0"/>
              <w:keepLines w:val="0"/>
              <w:pageBreakBefore w:val="0"/>
              <w:bidi w:val="0"/>
              <w:spacing w:line="240" w:lineRule="auto"/>
              <w:jc w:val="center"/>
              <w:outlineLvl w:val="9"/>
              <w:rPr>
                <w:rFonts w:ascii="宋体" w:hAnsi="宋体" w:cs="宋体"/>
                <w:b/>
                <w:bCs/>
                <w:color w:val="000000"/>
                <w:szCs w:val="21"/>
                <w:highlight w:val="none"/>
              </w:rPr>
            </w:pPr>
            <w:r>
              <w:rPr>
                <w:rFonts w:hint="eastAsia" w:ascii="宋体" w:hAnsi="宋体" w:cs="宋体"/>
                <w:b/>
                <w:bCs/>
                <w:color w:val="000000"/>
                <w:szCs w:val="21"/>
                <w:highlight w:val="none"/>
              </w:rPr>
              <w:t>评分标准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133173">
            <w:pPr>
              <w:keepNext w:val="0"/>
              <w:keepLines w:val="0"/>
              <w:pageBreakBefore w:val="0"/>
              <w:bidi w:val="0"/>
              <w:spacing w:line="240" w:lineRule="auto"/>
              <w:jc w:val="center"/>
              <w:outlineLvl w:val="9"/>
              <w:rPr>
                <w:rFonts w:ascii="宋体" w:hAnsi="宋体" w:cs="宋体"/>
                <w:b/>
                <w:bCs/>
                <w:color w:val="000000"/>
                <w:szCs w:val="21"/>
                <w:highlight w:val="none"/>
              </w:rPr>
            </w:pPr>
            <w:r>
              <w:rPr>
                <w:rFonts w:hint="eastAsia" w:ascii="宋体" w:hAnsi="宋体" w:cs="宋体"/>
                <w:b/>
                <w:bCs/>
                <w:color w:val="000000"/>
                <w:szCs w:val="21"/>
                <w:highlight w:val="none"/>
              </w:rPr>
              <w:t>得分</w:t>
            </w: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F0920B">
            <w:pPr>
              <w:keepNext w:val="0"/>
              <w:keepLines w:val="0"/>
              <w:pageBreakBefore w:val="0"/>
              <w:bidi w:val="0"/>
              <w:spacing w:line="240" w:lineRule="auto"/>
              <w:jc w:val="center"/>
              <w:outlineLvl w:val="9"/>
              <w:rPr>
                <w:rFonts w:ascii="宋体" w:hAnsi="宋体" w:cs="宋体"/>
                <w:b/>
                <w:bCs/>
                <w:color w:val="000000"/>
                <w:szCs w:val="21"/>
                <w:highlight w:val="none"/>
              </w:rPr>
            </w:pPr>
            <w:r>
              <w:rPr>
                <w:rFonts w:hint="eastAsia" w:ascii="宋体" w:hAnsi="宋体" w:cs="宋体"/>
                <w:b/>
                <w:bCs/>
                <w:color w:val="000000"/>
                <w:szCs w:val="21"/>
                <w:highlight w:val="none"/>
              </w:rPr>
              <w:t>备注</w:t>
            </w:r>
          </w:p>
        </w:tc>
      </w:tr>
      <w:tr w14:paraId="5372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3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C98F33">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1</w:t>
            </w:r>
          </w:p>
        </w:tc>
        <w:tc>
          <w:tcPr>
            <w:tcW w:w="100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BC32D3">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服务行为(20)</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601C3CA">
            <w:pPr>
              <w:keepNext w:val="0"/>
              <w:keepLines w:val="0"/>
              <w:pageBreakBefore w:val="0"/>
              <w:bidi w:val="0"/>
              <w:spacing w:line="240" w:lineRule="auto"/>
              <w:ind w:left="-59" w:firstLine="67"/>
              <w:outlineLvl w:val="9"/>
              <w:rPr>
                <w:rFonts w:ascii="宋体" w:hAnsi="宋体" w:cs="宋体"/>
                <w:color w:val="000000"/>
                <w:szCs w:val="21"/>
                <w:highlight w:val="none"/>
              </w:rPr>
            </w:pPr>
            <w:r>
              <w:rPr>
                <w:rFonts w:hint="eastAsia" w:ascii="宋体" w:hAnsi="宋体" w:cs="宋体"/>
                <w:color w:val="000000"/>
                <w:szCs w:val="21"/>
                <w:highlight w:val="none"/>
              </w:rPr>
              <w:t>1、按规定穿工作服，着工作鞋，并保持整洁</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4F2B15">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C7E688C">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现场抽查，每发现1人违反规定，扣1分。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4C8BB6">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8A0BBB">
            <w:pPr>
              <w:keepNext w:val="0"/>
              <w:keepLines w:val="0"/>
              <w:pageBreakBefore w:val="0"/>
              <w:bidi w:val="0"/>
              <w:spacing w:line="240" w:lineRule="auto"/>
              <w:jc w:val="center"/>
              <w:outlineLvl w:val="9"/>
              <w:rPr>
                <w:rFonts w:ascii="宋体" w:hAnsi="宋体" w:cs="宋体"/>
                <w:color w:val="000000"/>
                <w:szCs w:val="21"/>
                <w:highlight w:val="none"/>
              </w:rPr>
            </w:pPr>
          </w:p>
        </w:tc>
      </w:tr>
      <w:tr w14:paraId="46DE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64392F">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37BB45">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103F785">
            <w:pPr>
              <w:keepNext w:val="0"/>
              <w:keepLines w:val="0"/>
              <w:pageBreakBefore w:val="0"/>
              <w:bidi w:val="0"/>
              <w:spacing w:line="240" w:lineRule="auto"/>
              <w:ind w:left="-59" w:firstLine="67"/>
              <w:outlineLvl w:val="9"/>
              <w:rPr>
                <w:rFonts w:ascii="宋体" w:hAnsi="宋体" w:cs="宋体"/>
                <w:color w:val="000000"/>
                <w:szCs w:val="21"/>
                <w:highlight w:val="none"/>
              </w:rPr>
            </w:pPr>
            <w:r>
              <w:rPr>
                <w:rFonts w:hint="eastAsia" w:ascii="宋体" w:hAnsi="宋体" w:cs="宋体"/>
                <w:color w:val="000000"/>
                <w:szCs w:val="21"/>
                <w:highlight w:val="none"/>
              </w:rPr>
              <w:t>2、语言文明、礼貌待人</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70267">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6914F6E">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电话报修验证，每发现1人违反规定，扣1分。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EE14C1">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1BB03B">
            <w:pPr>
              <w:keepNext w:val="0"/>
              <w:keepLines w:val="0"/>
              <w:pageBreakBefore w:val="0"/>
              <w:bidi w:val="0"/>
              <w:spacing w:line="240" w:lineRule="auto"/>
              <w:jc w:val="center"/>
              <w:outlineLvl w:val="9"/>
              <w:rPr>
                <w:rFonts w:ascii="宋体" w:hAnsi="宋体" w:cs="宋体"/>
                <w:color w:val="000000"/>
                <w:szCs w:val="21"/>
                <w:highlight w:val="none"/>
              </w:rPr>
            </w:pPr>
          </w:p>
        </w:tc>
      </w:tr>
      <w:tr w14:paraId="5891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710AE0">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2F4657">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176C19B">
            <w:pPr>
              <w:keepNext w:val="0"/>
              <w:keepLines w:val="0"/>
              <w:pageBreakBefore w:val="0"/>
              <w:bidi w:val="0"/>
              <w:spacing w:line="240" w:lineRule="auto"/>
              <w:ind w:left="-59" w:firstLine="67"/>
              <w:outlineLvl w:val="9"/>
              <w:rPr>
                <w:rFonts w:ascii="宋体" w:hAnsi="宋体" w:cs="宋体"/>
                <w:color w:val="000000"/>
                <w:szCs w:val="21"/>
                <w:highlight w:val="none"/>
              </w:rPr>
            </w:pPr>
            <w:r>
              <w:rPr>
                <w:rFonts w:hint="eastAsia" w:ascii="宋体" w:hAnsi="宋体" w:cs="宋体"/>
                <w:color w:val="000000"/>
                <w:szCs w:val="21"/>
                <w:highlight w:val="none"/>
              </w:rPr>
              <w:t>3、进入办公区域应做到走路轻、操作轻、说话轻，不大声喧哗</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C6262E">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F11ED6E">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现场抽查，每发现1人违反规定，扣1分。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E32387">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AC6BD3">
            <w:pPr>
              <w:keepNext w:val="0"/>
              <w:keepLines w:val="0"/>
              <w:pageBreakBefore w:val="0"/>
              <w:bidi w:val="0"/>
              <w:spacing w:line="240" w:lineRule="auto"/>
              <w:jc w:val="center"/>
              <w:outlineLvl w:val="9"/>
              <w:rPr>
                <w:rFonts w:ascii="宋体" w:hAnsi="宋体" w:cs="宋体"/>
                <w:color w:val="000000"/>
                <w:szCs w:val="21"/>
                <w:highlight w:val="none"/>
              </w:rPr>
            </w:pPr>
          </w:p>
        </w:tc>
      </w:tr>
      <w:tr w14:paraId="0363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02FEB7">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ED700A">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F6DE650">
            <w:pPr>
              <w:keepNext w:val="0"/>
              <w:keepLines w:val="0"/>
              <w:pageBreakBefore w:val="0"/>
              <w:bidi w:val="0"/>
              <w:spacing w:line="240" w:lineRule="auto"/>
              <w:ind w:left="-59" w:firstLine="67"/>
              <w:outlineLvl w:val="9"/>
              <w:rPr>
                <w:rFonts w:ascii="宋体" w:hAnsi="宋体" w:cs="宋体"/>
                <w:color w:val="000000"/>
                <w:szCs w:val="21"/>
                <w:highlight w:val="none"/>
              </w:rPr>
            </w:pPr>
            <w:r>
              <w:rPr>
                <w:rFonts w:hint="eastAsia" w:ascii="宋体" w:hAnsi="宋体" w:cs="宋体"/>
                <w:color w:val="000000"/>
                <w:szCs w:val="21"/>
                <w:highlight w:val="none"/>
              </w:rPr>
              <w:t>4、维修人员应保持维修现场整洁，落手清，不乱扔废弃物品，现场维修应堆放整洁</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EB573B">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7765861">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现场检查，每发现1人违反规定，本子项不得分。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48FF14">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8F6370">
            <w:pPr>
              <w:keepNext w:val="0"/>
              <w:keepLines w:val="0"/>
              <w:pageBreakBefore w:val="0"/>
              <w:bidi w:val="0"/>
              <w:spacing w:line="240" w:lineRule="auto"/>
              <w:jc w:val="center"/>
              <w:outlineLvl w:val="9"/>
              <w:rPr>
                <w:rFonts w:ascii="宋体" w:hAnsi="宋体" w:cs="宋体"/>
                <w:color w:val="000000"/>
                <w:szCs w:val="21"/>
                <w:highlight w:val="none"/>
              </w:rPr>
            </w:pPr>
          </w:p>
        </w:tc>
      </w:tr>
      <w:tr w14:paraId="13BC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344045">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568E81">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95A33F7">
            <w:pPr>
              <w:keepNext w:val="0"/>
              <w:keepLines w:val="0"/>
              <w:pageBreakBefore w:val="0"/>
              <w:bidi w:val="0"/>
              <w:spacing w:line="240" w:lineRule="auto"/>
              <w:ind w:left="-59" w:firstLine="67"/>
              <w:outlineLvl w:val="9"/>
              <w:rPr>
                <w:rFonts w:ascii="宋体" w:hAnsi="宋体" w:cs="宋体"/>
                <w:color w:val="000000"/>
                <w:szCs w:val="21"/>
                <w:highlight w:val="none"/>
              </w:rPr>
            </w:pPr>
            <w:r>
              <w:rPr>
                <w:rFonts w:hint="eastAsia" w:ascii="宋体" w:hAnsi="宋体" w:cs="宋体"/>
                <w:color w:val="000000"/>
                <w:szCs w:val="21"/>
                <w:highlight w:val="none"/>
              </w:rPr>
              <w:t>5、应制订接修响应时间标准，在规定时间或约定时间内提供服务，并且在特殊情况时及时服务</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6F0D5E">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8CB5155">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未制订接修响应时间标准本子项不得分；</w:t>
            </w:r>
          </w:p>
          <w:p w14:paraId="7764390F">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由检查人员试打报修电话验证，发现1次违反规定，本子项不得分。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BD1EBB">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42F8F9">
            <w:pPr>
              <w:keepNext w:val="0"/>
              <w:keepLines w:val="0"/>
              <w:pageBreakBefore w:val="0"/>
              <w:bidi w:val="0"/>
              <w:spacing w:line="240" w:lineRule="auto"/>
              <w:jc w:val="center"/>
              <w:outlineLvl w:val="9"/>
              <w:rPr>
                <w:rFonts w:ascii="宋体" w:hAnsi="宋体" w:cs="宋体"/>
                <w:color w:val="000000"/>
                <w:szCs w:val="21"/>
                <w:highlight w:val="none"/>
              </w:rPr>
            </w:pPr>
          </w:p>
        </w:tc>
      </w:tr>
      <w:tr w14:paraId="3152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A4D8F3">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C6A131">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955F7EB">
            <w:pPr>
              <w:keepNext w:val="0"/>
              <w:keepLines w:val="0"/>
              <w:pageBreakBefore w:val="0"/>
              <w:bidi w:val="0"/>
              <w:spacing w:line="240" w:lineRule="auto"/>
              <w:ind w:left="-59" w:firstLine="67"/>
              <w:outlineLvl w:val="9"/>
              <w:rPr>
                <w:rFonts w:ascii="宋体" w:hAnsi="宋体" w:cs="宋体"/>
                <w:color w:val="000000"/>
                <w:szCs w:val="21"/>
                <w:highlight w:val="none"/>
              </w:rPr>
            </w:pPr>
            <w:r>
              <w:rPr>
                <w:rFonts w:hint="eastAsia" w:ascii="宋体" w:hAnsi="宋体" w:cs="宋体"/>
                <w:color w:val="000000"/>
                <w:szCs w:val="21"/>
                <w:highlight w:val="none"/>
              </w:rPr>
              <w:t>6、不在吸烟点以外的任何场所吸烟</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BE418D">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B50A81B">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抽查工作现场，发现1人次违反规定，本子项不得分。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FD4652">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D63EDE">
            <w:pPr>
              <w:keepNext w:val="0"/>
              <w:keepLines w:val="0"/>
              <w:pageBreakBefore w:val="0"/>
              <w:bidi w:val="0"/>
              <w:spacing w:line="240" w:lineRule="auto"/>
              <w:jc w:val="center"/>
              <w:outlineLvl w:val="9"/>
              <w:rPr>
                <w:rFonts w:ascii="宋体" w:hAnsi="宋体" w:cs="宋体"/>
                <w:color w:val="000000"/>
                <w:szCs w:val="21"/>
                <w:highlight w:val="none"/>
              </w:rPr>
            </w:pPr>
          </w:p>
        </w:tc>
      </w:tr>
      <w:tr w14:paraId="1F1C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2E7A03">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9DC2B0">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0E0404F">
            <w:pPr>
              <w:keepNext w:val="0"/>
              <w:keepLines w:val="0"/>
              <w:pageBreakBefore w:val="0"/>
              <w:bidi w:val="0"/>
              <w:spacing w:line="240" w:lineRule="auto"/>
              <w:ind w:left="-59" w:firstLine="67"/>
              <w:outlineLvl w:val="9"/>
              <w:rPr>
                <w:rFonts w:ascii="宋体" w:hAnsi="宋体" w:cs="宋体"/>
                <w:color w:val="000000"/>
                <w:szCs w:val="21"/>
                <w:highlight w:val="none"/>
              </w:rPr>
            </w:pPr>
            <w:r>
              <w:rPr>
                <w:rFonts w:hint="eastAsia" w:ascii="宋体" w:hAnsi="宋体" w:cs="宋体"/>
                <w:color w:val="000000"/>
                <w:szCs w:val="21"/>
                <w:highlight w:val="none"/>
              </w:rPr>
              <w:t>7、在办公室服务时不得翻看办公室内任何资料、文件</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52CC00">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4</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63AC0E0">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一经反映查实本子项不得分。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99C78A">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7516DC">
            <w:pPr>
              <w:keepNext w:val="0"/>
              <w:keepLines w:val="0"/>
              <w:pageBreakBefore w:val="0"/>
              <w:bidi w:val="0"/>
              <w:spacing w:line="240" w:lineRule="auto"/>
              <w:jc w:val="center"/>
              <w:outlineLvl w:val="9"/>
              <w:rPr>
                <w:rFonts w:ascii="宋体" w:hAnsi="宋体" w:cs="宋体"/>
                <w:color w:val="000000"/>
                <w:szCs w:val="21"/>
                <w:highlight w:val="none"/>
              </w:rPr>
            </w:pPr>
          </w:p>
        </w:tc>
      </w:tr>
      <w:tr w14:paraId="1E34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3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F1A8FC">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100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A11059">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维修服务(10)</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C58AD26">
            <w:pPr>
              <w:keepNext w:val="0"/>
              <w:keepLines w:val="0"/>
              <w:pageBreakBefore w:val="0"/>
              <w:bidi w:val="0"/>
              <w:spacing w:line="240" w:lineRule="auto"/>
              <w:ind w:left="-59" w:firstLine="67"/>
              <w:outlineLvl w:val="9"/>
              <w:rPr>
                <w:rFonts w:ascii="宋体" w:hAnsi="宋体" w:cs="宋体"/>
                <w:color w:val="000000"/>
                <w:szCs w:val="21"/>
                <w:highlight w:val="none"/>
              </w:rPr>
            </w:pPr>
            <w:r>
              <w:rPr>
                <w:rFonts w:hint="eastAsia" w:ascii="宋体" w:hAnsi="宋体" w:cs="宋体"/>
                <w:color w:val="000000"/>
                <w:szCs w:val="21"/>
                <w:highlight w:val="none"/>
              </w:rPr>
              <w:t>1、按协议约定对供电、给排水、空调、电梯及房屋巡检，发现问题及时修复并记录</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AC16E8">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4</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C4F3623">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按文件规定，随机抽查3条巡检记录，验证相关信息，发现1项违反规定，本子项不得分。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902544">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704404">
            <w:pPr>
              <w:keepNext w:val="0"/>
              <w:keepLines w:val="0"/>
              <w:pageBreakBefore w:val="0"/>
              <w:bidi w:val="0"/>
              <w:spacing w:line="240" w:lineRule="auto"/>
              <w:jc w:val="center"/>
              <w:outlineLvl w:val="9"/>
              <w:rPr>
                <w:rFonts w:ascii="宋体" w:hAnsi="宋体" w:cs="宋体"/>
                <w:color w:val="000000"/>
                <w:szCs w:val="21"/>
                <w:highlight w:val="none"/>
              </w:rPr>
            </w:pPr>
          </w:p>
        </w:tc>
      </w:tr>
      <w:tr w14:paraId="1447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257D0A">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4BA03A">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F7682D9">
            <w:pPr>
              <w:keepNext w:val="0"/>
              <w:keepLines w:val="0"/>
              <w:pageBreakBefore w:val="0"/>
              <w:bidi w:val="0"/>
              <w:spacing w:line="240" w:lineRule="auto"/>
              <w:ind w:left="-59" w:firstLine="67"/>
              <w:outlineLvl w:val="9"/>
              <w:rPr>
                <w:rFonts w:ascii="宋体" w:hAnsi="宋体" w:cs="宋体"/>
                <w:color w:val="000000"/>
                <w:szCs w:val="21"/>
                <w:highlight w:val="none"/>
              </w:rPr>
            </w:pPr>
            <w:r>
              <w:rPr>
                <w:rFonts w:hint="eastAsia" w:ascii="宋体" w:hAnsi="宋体" w:cs="宋体"/>
                <w:color w:val="000000"/>
                <w:szCs w:val="21"/>
                <w:highlight w:val="none"/>
              </w:rPr>
              <w:t>2、接到设备报修信息，及时响应，在规定的时间内到达现场修复</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B89746">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4</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0E32E62">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现场试打电话，并记录响应时间验证，每发现1项不符合规定，扣1分。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DB3676">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D99D4B">
            <w:pPr>
              <w:keepNext w:val="0"/>
              <w:keepLines w:val="0"/>
              <w:pageBreakBefore w:val="0"/>
              <w:bidi w:val="0"/>
              <w:spacing w:line="240" w:lineRule="auto"/>
              <w:jc w:val="center"/>
              <w:outlineLvl w:val="9"/>
              <w:rPr>
                <w:rFonts w:ascii="宋体" w:hAnsi="宋体" w:cs="宋体"/>
                <w:color w:val="000000"/>
                <w:szCs w:val="21"/>
                <w:highlight w:val="none"/>
              </w:rPr>
            </w:pPr>
          </w:p>
        </w:tc>
      </w:tr>
      <w:tr w14:paraId="38C1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96F58D">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F2EB25">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1D31313">
            <w:pPr>
              <w:keepNext w:val="0"/>
              <w:keepLines w:val="0"/>
              <w:pageBreakBefore w:val="0"/>
              <w:bidi w:val="0"/>
              <w:spacing w:line="240" w:lineRule="auto"/>
              <w:ind w:left="-59" w:firstLine="67"/>
              <w:outlineLvl w:val="9"/>
              <w:rPr>
                <w:rFonts w:ascii="宋体" w:hAnsi="宋体" w:cs="宋体"/>
                <w:color w:val="000000"/>
                <w:szCs w:val="21"/>
                <w:highlight w:val="none"/>
              </w:rPr>
            </w:pPr>
            <w:r>
              <w:rPr>
                <w:rFonts w:hint="eastAsia" w:ascii="宋体" w:hAnsi="宋体" w:cs="宋体"/>
                <w:color w:val="000000"/>
                <w:szCs w:val="21"/>
                <w:highlight w:val="none"/>
              </w:rPr>
              <w:t>3、按规定对每次维修项目进行回访，并做好记录</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D8E2F3">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1B2D3EA">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抽查维修记录，验证回访信息，发现1项违法规定，本子项不得分。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1E4998">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34F44C">
            <w:pPr>
              <w:keepNext w:val="0"/>
              <w:keepLines w:val="0"/>
              <w:pageBreakBefore w:val="0"/>
              <w:bidi w:val="0"/>
              <w:spacing w:line="240" w:lineRule="auto"/>
              <w:jc w:val="center"/>
              <w:outlineLvl w:val="9"/>
              <w:rPr>
                <w:rFonts w:ascii="宋体" w:hAnsi="宋体" w:cs="宋体"/>
                <w:color w:val="000000"/>
                <w:szCs w:val="21"/>
                <w:highlight w:val="none"/>
              </w:rPr>
            </w:pPr>
          </w:p>
        </w:tc>
      </w:tr>
      <w:tr w14:paraId="4C14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63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B2B68F">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100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B91246">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供电服务(20)</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4DE2233">
            <w:pPr>
              <w:keepNext w:val="0"/>
              <w:keepLines w:val="0"/>
              <w:pageBreakBefore w:val="0"/>
              <w:bidi w:val="0"/>
              <w:spacing w:line="240" w:lineRule="auto"/>
              <w:ind w:left="-59" w:firstLine="67"/>
              <w:outlineLvl w:val="9"/>
              <w:rPr>
                <w:rFonts w:ascii="宋体" w:hAnsi="宋体" w:cs="宋体"/>
                <w:color w:val="000000"/>
                <w:szCs w:val="21"/>
                <w:highlight w:val="none"/>
              </w:rPr>
            </w:pPr>
            <w:r>
              <w:rPr>
                <w:rFonts w:hint="eastAsia" w:ascii="宋体" w:hAnsi="宋体" w:cs="宋体"/>
                <w:color w:val="000000"/>
                <w:szCs w:val="21"/>
                <w:highlight w:val="none"/>
              </w:rPr>
              <w:t>1、供电设备运转正常，全年无任何事故，应定期进行供配电设备的安全检测，并出具检验报告</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A8530B">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4</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C4EB407">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无设备运转及事故记录表式，本子项不得分；</w:t>
            </w:r>
          </w:p>
          <w:p w14:paraId="2D85DB1C">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无检验报告本子项不得分；</w:t>
            </w:r>
          </w:p>
          <w:p w14:paraId="58C68E44">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年度曾发生过设备故障且影响后勤服务工作事件的本子项不得分。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6DC1D5">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09905D">
            <w:pPr>
              <w:keepNext w:val="0"/>
              <w:keepLines w:val="0"/>
              <w:pageBreakBefore w:val="0"/>
              <w:bidi w:val="0"/>
              <w:spacing w:line="240" w:lineRule="auto"/>
              <w:jc w:val="center"/>
              <w:outlineLvl w:val="9"/>
              <w:rPr>
                <w:rFonts w:ascii="宋体" w:hAnsi="宋体" w:cs="宋体"/>
                <w:color w:val="000000"/>
                <w:szCs w:val="21"/>
                <w:highlight w:val="none"/>
              </w:rPr>
            </w:pPr>
          </w:p>
        </w:tc>
      </w:tr>
      <w:tr w14:paraId="23EB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35A07B">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E36950">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3D221D2">
            <w:pPr>
              <w:keepNext w:val="0"/>
              <w:keepLines w:val="0"/>
              <w:pageBreakBefore w:val="0"/>
              <w:bidi w:val="0"/>
              <w:spacing w:line="240" w:lineRule="auto"/>
              <w:ind w:left="8" w:hanging="56"/>
              <w:outlineLvl w:val="9"/>
              <w:rPr>
                <w:rFonts w:ascii="宋体" w:hAnsi="宋体" w:cs="宋体"/>
                <w:color w:val="000000"/>
                <w:szCs w:val="21"/>
                <w:highlight w:val="none"/>
              </w:rPr>
            </w:pPr>
            <w:r>
              <w:rPr>
                <w:rFonts w:hint="eastAsia" w:ascii="宋体" w:hAnsi="宋体" w:cs="宋体"/>
                <w:color w:val="000000"/>
                <w:szCs w:val="21"/>
                <w:highlight w:val="none"/>
              </w:rPr>
              <w:t>2、确保道路、楼道、办公室、地下车库、卫生间等区域照明及重大活动用电</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C47BC6">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4</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0863626">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年度内每发生1次非不可抗力的突然停电，扣1分。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DDF75A">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96694A">
            <w:pPr>
              <w:keepNext w:val="0"/>
              <w:keepLines w:val="0"/>
              <w:pageBreakBefore w:val="0"/>
              <w:bidi w:val="0"/>
              <w:spacing w:line="240" w:lineRule="auto"/>
              <w:jc w:val="center"/>
              <w:outlineLvl w:val="9"/>
              <w:rPr>
                <w:rFonts w:ascii="宋体" w:hAnsi="宋体" w:cs="宋体"/>
                <w:color w:val="000000"/>
                <w:szCs w:val="21"/>
                <w:highlight w:val="none"/>
              </w:rPr>
            </w:pPr>
          </w:p>
        </w:tc>
      </w:tr>
      <w:tr w14:paraId="78C8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BCFC38">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804961">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E95B249">
            <w:pPr>
              <w:keepNext w:val="0"/>
              <w:keepLines w:val="0"/>
              <w:pageBreakBefore w:val="0"/>
              <w:bidi w:val="0"/>
              <w:spacing w:line="240" w:lineRule="auto"/>
              <w:ind w:left="-59" w:firstLine="67"/>
              <w:outlineLvl w:val="9"/>
              <w:rPr>
                <w:rFonts w:ascii="宋体" w:hAnsi="宋体" w:cs="宋体"/>
                <w:color w:val="000000"/>
                <w:szCs w:val="21"/>
                <w:highlight w:val="none"/>
              </w:rPr>
            </w:pPr>
            <w:r>
              <w:rPr>
                <w:rFonts w:hint="eastAsia" w:ascii="宋体" w:hAnsi="宋体" w:cs="宋体"/>
                <w:color w:val="000000"/>
                <w:szCs w:val="21"/>
                <w:highlight w:val="none"/>
              </w:rPr>
              <w:t>3、如遇有停电、限电，按规定及时通知进驻大楼各单位，并做好记录</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E63254">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87A76BD">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抽查停、限电发生时的记录，验证发现1项违反规定，本子项不得分。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05720E">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F90FDC">
            <w:pPr>
              <w:keepNext w:val="0"/>
              <w:keepLines w:val="0"/>
              <w:pageBreakBefore w:val="0"/>
              <w:bidi w:val="0"/>
              <w:spacing w:line="240" w:lineRule="auto"/>
              <w:jc w:val="center"/>
              <w:outlineLvl w:val="9"/>
              <w:rPr>
                <w:rFonts w:ascii="宋体" w:hAnsi="宋体" w:cs="宋体"/>
                <w:color w:val="000000"/>
                <w:szCs w:val="21"/>
                <w:highlight w:val="none"/>
              </w:rPr>
            </w:pPr>
          </w:p>
        </w:tc>
      </w:tr>
      <w:tr w14:paraId="1B8C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8F25F9">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6787D5">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49174E7">
            <w:pPr>
              <w:keepNext w:val="0"/>
              <w:keepLines w:val="0"/>
              <w:pageBreakBefore w:val="0"/>
              <w:bidi w:val="0"/>
              <w:spacing w:line="240" w:lineRule="auto"/>
              <w:ind w:left="-59" w:firstLine="67"/>
              <w:outlineLvl w:val="9"/>
              <w:rPr>
                <w:rFonts w:ascii="宋体" w:hAnsi="宋体" w:cs="宋体"/>
                <w:color w:val="000000"/>
                <w:szCs w:val="21"/>
                <w:highlight w:val="none"/>
              </w:rPr>
            </w:pPr>
            <w:r>
              <w:rPr>
                <w:rFonts w:hint="eastAsia" w:ascii="宋体" w:hAnsi="宋体" w:cs="宋体"/>
                <w:color w:val="000000"/>
                <w:szCs w:val="21"/>
                <w:highlight w:val="none"/>
              </w:rPr>
              <w:t>4、供电设备按规定制订年度维保计划并定期维修保养，并做好记录</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F9CA2A">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8044E6E">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不能提供维保记录；本子项不得分；</w:t>
            </w:r>
          </w:p>
          <w:p w14:paraId="55BDA60C">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随机抽查记录，每发现1项违反规定的，扣1分。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48BDA3">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14F2A1">
            <w:pPr>
              <w:keepNext w:val="0"/>
              <w:keepLines w:val="0"/>
              <w:pageBreakBefore w:val="0"/>
              <w:bidi w:val="0"/>
              <w:spacing w:line="240" w:lineRule="auto"/>
              <w:jc w:val="center"/>
              <w:outlineLvl w:val="9"/>
              <w:rPr>
                <w:rFonts w:ascii="宋体" w:hAnsi="宋体" w:cs="宋体"/>
                <w:color w:val="000000"/>
                <w:szCs w:val="21"/>
                <w:highlight w:val="none"/>
              </w:rPr>
            </w:pPr>
          </w:p>
        </w:tc>
      </w:tr>
      <w:tr w14:paraId="0ED6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C3741D">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DFEE53">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E57FB62">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5、监控智能化设备设施确保运行正常，定期维护保养并做好记录</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47CF82">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1DFB4E6">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不能提供维保记录，本子项不得分；</w:t>
            </w:r>
          </w:p>
          <w:p w14:paraId="7E3708B5">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抽查维保记录，验证发现维保过程不符合文件规定，本子项不得分。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E211DD">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B69A4C">
            <w:pPr>
              <w:keepNext w:val="0"/>
              <w:keepLines w:val="0"/>
              <w:pageBreakBefore w:val="0"/>
              <w:bidi w:val="0"/>
              <w:spacing w:line="240" w:lineRule="auto"/>
              <w:jc w:val="center"/>
              <w:outlineLvl w:val="9"/>
              <w:rPr>
                <w:rFonts w:ascii="宋体" w:hAnsi="宋体" w:cs="宋体"/>
                <w:color w:val="000000"/>
                <w:szCs w:val="21"/>
                <w:highlight w:val="none"/>
              </w:rPr>
            </w:pPr>
          </w:p>
        </w:tc>
      </w:tr>
      <w:tr w14:paraId="24D3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842AEB">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EB8AE">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5084BD0">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6、配电房整洁，标识清晰，有灭虫害措施，配备应急照明及消防灭火器材</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FBC453">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E065B6B">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现场检查，每发现1处违反规定的，扣1分。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C83A49">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664730">
            <w:pPr>
              <w:keepNext w:val="0"/>
              <w:keepLines w:val="0"/>
              <w:pageBreakBefore w:val="0"/>
              <w:bidi w:val="0"/>
              <w:spacing w:line="240" w:lineRule="auto"/>
              <w:jc w:val="center"/>
              <w:outlineLvl w:val="9"/>
              <w:rPr>
                <w:rFonts w:ascii="宋体" w:hAnsi="宋体" w:cs="宋体"/>
                <w:color w:val="000000"/>
                <w:szCs w:val="21"/>
                <w:highlight w:val="none"/>
              </w:rPr>
            </w:pPr>
          </w:p>
        </w:tc>
      </w:tr>
      <w:tr w14:paraId="7B3A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3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CD1E15">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4</w:t>
            </w:r>
          </w:p>
        </w:tc>
        <w:tc>
          <w:tcPr>
            <w:tcW w:w="100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7615C7">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给排水服务(20)</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2691604">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1、供水设备设施完好，运行正常，无跑、冒、滴、漏</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D2FDA3">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4</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62DA8E1">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现场检查供水泵房作业状态和供水设备设施发现1项不符合规定，扣1分。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7A31BE">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64D588">
            <w:pPr>
              <w:keepNext w:val="0"/>
              <w:keepLines w:val="0"/>
              <w:pageBreakBefore w:val="0"/>
              <w:bidi w:val="0"/>
              <w:spacing w:line="240" w:lineRule="auto"/>
              <w:jc w:val="center"/>
              <w:outlineLvl w:val="9"/>
              <w:rPr>
                <w:rFonts w:ascii="宋体" w:hAnsi="宋体" w:cs="宋体"/>
                <w:color w:val="000000"/>
                <w:szCs w:val="21"/>
                <w:highlight w:val="none"/>
              </w:rPr>
            </w:pPr>
          </w:p>
        </w:tc>
      </w:tr>
      <w:tr w14:paraId="17E1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EEDF43">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77DF3D">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54BFEE1">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2、如遇停水，应及时通知进驻大楼各单位，并做好记录</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05A1FB">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F1A8633">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检查发生停水时的记录验证相关信息，发现违反规定，本子项不得分。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9F28B0">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A323FE">
            <w:pPr>
              <w:keepNext w:val="0"/>
              <w:keepLines w:val="0"/>
              <w:pageBreakBefore w:val="0"/>
              <w:bidi w:val="0"/>
              <w:spacing w:line="240" w:lineRule="auto"/>
              <w:jc w:val="center"/>
              <w:outlineLvl w:val="9"/>
              <w:rPr>
                <w:rFonts w:ascii="宋体" w:hAnsi="宋体" w:cs="宋体"/>
                <w:color w:val="000000"/>
                <w:szCs w:val="21"/>
                <w:highlight w:val="none"/>
              </w:rPr>
            </w:pPr>
          </w:p>
        </w:tc>
      </w:tr>
      <w:tr w14:paraId="4E81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2F1DDF">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35B01A">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2A38F1B">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3、按规定对水箱、蓄水池、过滤器等设施定期清洗，并做好清洗后的水质检测工作，出具卫生防疫部门的检测报告记录</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487CEF">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4</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F28C61E">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不能提供清洗记录，本子项不得分；</w:t>
            </w:r>
          </w:p>
          <w:p w14:paraId="059FCEA4">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抽查各设施清洗的记录并验证，发现1处违反规定，本子项不得分。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9646D8">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A335C2">
            <w:pPr>
              <w:keepNext w:val="0"/>
              <w:keepLines w:val="0"/>
              <w:pageBreakBefore w:val="0"/>
              <w:bidi w:val="0"/>
              <w:spacing w:line="240" w:lineRule="auto"/>
              <w:jc w:val="center"/>
              <w:outlineLvl w:val="9"/>
              <w:rPr>
                <w:rFonts w:ascii="宋体" w:hAnsi="宋体" w:cs="宋体"/>
                <w:color w:val="000000"/>
                <w:szCs w:val="21"/>
                <w:highlight w:val="none"/>
              </w:rPr>
            </w:pPr>
          </w:p>
        </w:tc>
      </w:tr>
      <w:tr w14:paraId="7576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13E894">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BE00F4">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6D67BB2">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4、对二次生活用水有严格的保障措施，水质达标</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50181A">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5E8930B">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现场验证水样检验报告及相关记录，发现不达标，本子项不得分。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C170FB">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66309F">
            <w:pPr>
              <w:keepNext w:val="0"/>
              <w:keepLines w:val="0"/>
              <w:pageBreakBefore w:val="0"/>
              <w:bidi w:val="0"/>
              <w:spacing w:line="240" w:lineRule="auto"/>
              <w:jc w:val="center"/>
              <w:outlineLvl w:val="9"/>
              <w:rPr>
                <w:rFonts w:ascii="宋体" w:hAnsi="宋体" w:cs="宋体"/>
                <w:color w:val="000000"/>
                <w:szCs w:val="21"/>
                <w:highlight w:val="none"/>
              </w:rPr>
            </w:pPr>
          </w:p>
        </w:tc>
      </w:tr>
      <w:tr w14:paraId="36C5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1F7BDE">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3F180A">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8CFE9BB">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5、排水、排污管道通畅，无堵塞外溢现象</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821E8B">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4CF20DD">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现场检查2处，每发现1处违反规定，扣1分。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0F2B9C">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94743B">
            <w:pPr>
              <w:keepNext w:val="0"/>
              <w:keepLines w:val="0"/>
              <w:pageBreakBefore w:val="0"/>
              <w:bidi w:val="0"/>
              <w:spacing w:line="240" w:lineRule="auto"/>
              <w:jc w:val="center"/>
              <w:outlineLvl w:val="9"/>
              <w:rPr>
                <w:rFonts w:ascii="宋体" w:hAnsi="宋体" w:cs="宋体"/>
                <w:color w:val="000000"/>
                <w:szCs w:val="21"/>
                <w:highlight w:val="none"/>
              </w:rPr>
            </w:pPr>
          </w:p>
        </w:tc>
      </w:tr>
      <w:tr w14:paraId="0933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3C3C13">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CA47B0">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0C00680">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6、汛期道路、车库、地下室、设备机房无浸泡现象发生</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B4BFA5">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06DA45E">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年度内发生1次积水、浸泡事件，本子项不得分。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EC6BAB">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59D670">
            <w:pPr>
              <w:keepNext w:val="0"/>
              <w:keepLines w:val="0"/>
              <w:pageBreakBefore w:val="0"/>
              <w:bidi w:val="0"/>
              <w:spacing w:line="240" w:lineRule="auto"/>
              <w:jc w:val="center"/>
              <w:outlineLvl w:val="9"/>
              <w:rPr>
                <w:rFonts w:ascii="宋体" w:hAnsi="宋体" w:cs="宋体"/>
                <w:color w:val="000000"/>
                <w:szCs w:val="21"/>
                <w:highlight w:val="none"/>
              </w:rPr>
            </w:pPr>
          </w:p>
        </w:tc>
      </w:tr>
      <w:tr w14:paraId="0E1D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E2B498">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5</w:t>
            </w:r>
          </w:p>
        </w:tc>
        <w:tc>
          <w:tcPr>
            <w:tcW w:w="100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0229EF">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空调电梯(20)</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5656394">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1、空调系统运行正常、控温适宜</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E7C269">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9C433FB">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现场抽查3处，每发现1处违反规定，扣1分。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7A99A2">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1E3178">
            <w:pPr>
              <w:keepNext w:val="0"/>
              <w:keepLines w:val="0"/>
              <w:pageBreakBefore w:val="0"/>
              <w:bidi w:val="0"/>
              <w:spacing w:line="240" w:lineRule="auto"/>
              <w:jc w:val="center"/>
              <w:outlineLvl w:val="9"/>
              <w:rPr>
                <w:rFonts w:ascii="宋体" w:hAnsi="宋体" w:cs="宋体"/>
                <w:color w:val="000000"/>
                <w:szCs w:val="21"/>
                <w:highlight w:val="none"/>
              </w:rPr>
            </w:pPr>
          </w:p>
        </w:tc>
      </w:tr>
      <w:tr w14:paraId="159A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85E083">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18BBAB">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46CF8CA">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2、空调主机运行无异响，排水无滴、漏</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1ADC8C">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2DBB4CE">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现场抽查3处，每发现1处违反规定，扣1分。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A133F7">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412CBB">
            <w:pPr>
              <w:keepNext w:val="0"/>
              <w:keepLines w:val="0"/>
              <w:pageBreakBefore w:val="0"/>
              <w:bidi w:val="0"/>
              <w:spacing w:line="240" w:lineRule="auto"/>
              <w:jc w:val="center"/>
              <w:outlineLvl w:val="9"/>
              <w:rPr>
                <w:rFonts w:ascii="宋体" w:hAnsi="宋体" w:cs="宋体"/>
                <w:color w:val="000000"/>
                <w:szCs w:val="21"/>
                <w:highlight w:val="none"/>
              </w:rPr>
            </w:pPr>
          </w:p>
        </w:tc>
      </w:tr>
      <w:tr w14:paraId="02C5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55D1B4">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2BF5ED">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AC2EBB7">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3、电梯运行</w:t>
            </w:r>
            <w:r>
              <w:rPr>
                <w:rFonts w:hint="eastAsia" w:ascii="宋体" w:hAnsi="宋体" w:cs="宋体"/>
                <w:color w:val="000000"/>
                <w:szCs w:val="21"/>
              </w:rPr>
              <w:t>平稳</w:t>
            </w:r>
            <w:r>
              <w:rPr>
                <w:rFonts w:hint="eastAsia" w:ascii="宋体" w:hAnsi="宋体" w:cs="宋体"/>
                <w:color w:val="000000"/>
                <w:szCs w:val="21"/>
                <w:highlight w:val="none"/>
              </w:rPr>
              <w:t>，轿厢内安全及附属设施完好，轿厢内张贴有效的电梯安全运行合格证及应急联系电话、乘梯指南等</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A213C0">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DA9774B">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现场抽查3处，每发现1处违反规定，本子项不得分。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497862">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BE5222">
            <w:pPr>
              <w:keepNext w:val="0"/>
              <w:keepLines w:val="0"/>
              <w:pageBreakBefore w:val="0"/>
              <w:bidi w:val="0"/>
              <w:spacing w:line="240" w:lineRule="auto"/>
              <w:jc w:val="center"/>
              <w:outlineLvl w:val="9"/>
              <w:rPr>
                <w:rFonts w:ascii="宋体" w:hAnsi="宋体" w:cs="宋体"/>
                <w:color w:val="000000"/>
                <w:szCs w:val="21"/>
                <w:highlight w:val="none"/>
              </w:rPr>
            </w:pPr>
          </w:p>
        </w:tc>
      </w:tr>
      <w:tr w14:paraId="040B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47EFA2">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9536AA">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9858A9B">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4、电梯井、机房清洁，机房空气流通</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C816B6">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3EB41F7">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现场抽查3处，每发现1处违反规定，本子项不得分。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241AA4">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95F273">
            <w:pPr>
              <w:keepNext w:val="0"/>
              <w:keepLines w:val="0"/>
              <w:pageBreakBefore w:val="0"/>
              <w:bidi w:val="0"/>
              <w:spacing w:line="240" w:lineRule="auto"/>
              <w:jc w:val="center"/>
              <w:outlineLvl w:val="9"/>
              <w:rPr>
                <w:rFonts w:ascii="宋体" w:hAnsi="宋体" w:cs="宋体"/>
                <w:color w:val="000000"/>
                <w:szCs w:val="21"/>
                <w:highlight w:val="none"/>
              </w:rPr>
            </w:pPr>
          </w:p>
        </w:tc>
      </w:tr>
      <w:tr w14:paraId="497D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5269C2">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1905F8">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A756DF4">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5、电梯桥厢照明、电话、通风设施完好</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52ABC8">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2715F97">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现场抽查3处，每发现1处违反规定，本子项不得分。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15B0B8">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2450F2">
            <w:pPr>
              <w:keepNext w:val="0"/>
              <w:keepLines w:val="0"/>
              <w:pageBreakBefore w:val="0"/>
              <w:bidi w:val="0"/>
              <w:spacing w:line="240" w:lineRule="auto"/>
              <w:jc w:val="center"/>
              <w:outlineLvl w:val="9"/>
              <w:rPr>
                <w:rFonts w:ascii="宋体" w:hAnsi="宋体" w:cs="宋体"/>
                <w:color w:val="000000"/>
                <w:szCs w:val="21"/>
                <w:highlight w:val="none"/>
              </w:rPr>
            </w:pPr>
          </w:p>
        </w:tc>
      </w:tr>
      <w:tr w14:paraId="2E61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332347">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B7330C">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61637D6">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6、电梯安全运行按行业标准执行，发生故障及时处理</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5BCB19">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5</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1E98849">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未按规定年检扣3分，维修人员未持证扣2分，发生故障管理人员5分钟不到现场或20分钟内维修人员未到现场的，本子项不得分。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06DD36">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280F8F">
            <w:pPr>
              <w:keepNext w:val="0"/>
              <w:keepLines w:val="0"/>
              <w:pageBreakBefore w:val="0"/>
              <w:bidi w:val="0"/>
              <w:spacing w:line="240" w:lineRule="auto"/>
              <w:jc w:val="center"/>
              <w:outlineLvl w:val="9"/>
              <w:rPr>
                <w:rFonts w:ascii="宋体" w:hAnsi="宋体" w:cs="宋体"/>
                <w:color w:val="000000"/>
                <w:szCs w:val="21"/>
                <w:highlight w:val="none"/>
              </w:rPr>
            </w:pPr>
          </w:p>
        </w:tc>
      </w:tr>
      <w:tr w14:paraId="6AAD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3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3E4690">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6</w:t>
            </w:r>
          </w:p>
        </w:tc>
        <w:tc>
          <w:tcPr>
            <w:tcW w:w="100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79C5A0">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应急管理（10）</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B61F98B">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1、有明确的应急预案</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A35ADD">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75BFCB7">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未确定应急目标扣1分；</w:t>
            </w:r>
          </w:p>
          <w:p w14:paraId="4151D3D2">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未建立应急方案本子项不得分。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81D835">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B6BD1E">
            <w:pPr>
              <w:keepNext w:val="0"/>
              <w:keepLines w:val="0"/>
              <w:pageBreakBefore w:val="0"/>
              <w:bidi w:val="0"/>
              <w:spacing w:line="240" w:lineRule="auto"/>
              <w:jc w:val="center"/>
              <w:outlineLvl w:val="9"/>
              <w:rPr>
                <w:rFonts w:ascii="宋体" w:hAnsi="宋体" w:cs="宋体"/>
                <w:color w:val="000000"/>
                <w:szCs w:val="21"/>
                <w:highlight w:val="none"/>
              </w:rPr>
            </w:pPr>
          </w:p>
        </w:tc>
      </w:tr>
      <w:tr w14:paraId="499B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78C906">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11950B">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B974028">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2、建立应急指挥网络，并标明联络点及其负责人和联系电话</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15B24C">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A116AD1">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未建立应急指挥网络扣2分；</w:t>
            </w:r>
          </w:p>
          <w:p w14:paraId="2B3D63A2">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应急指挥网络标信息不全扣1分。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773904">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A7C245">
            <w:pPr>
              <w:keepNext w:val="0"/>
              <w:keepLines w:val="0"/>
              <w:pageBreakBefore w:val="0"/>
              <w:bidi w:val="0"/>
              <w:spacing w:line="240" w:lineRule="auto"/>
              <w:jc w:val="center"/>
              <w:outlineLvl w:val="9"/>
              <w:rPr>
                <w:rFonts w:ascii="宋体" w:hAnsi="宋体" w:cs="宋体"/>
                <w:color w:val="000000"/>
                <w:szCs w:val="21"/>
                <w:highlight w:val="none"/>
              </w:rPr>
            </w:pPr>
          </w:p>
        </w:tc>
      </w:tr>
      <w:tr w14:paraId="26E5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4E9038">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887AB6">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67D2DA3">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3、编制并正式发布应急作业程序</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AD7AEE">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3A0F15D">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未制订应急作业程序扣2分；</w:t>
            </w:r>
          </w:p>
          <w:p w14:paraId="5E965B64">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无应急作业演习记录扣1分。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B6783A">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CD4BE6">
            <w:pPr>
              <w:keepNext w:val="0"/>
              <w:keepLines w:val="0"/>
              <w:pageBreakBefore w:val="0"/>
              <w:bidi w:val="0"/>
              <w:spacing w:line="240" w:lineRule="auto"/>
              <w:jc w:val="center"/>
              <w:outlineLvl w:val="9"/>
              <w:rPr>
                <w:rFonts w:ascii="宋体" w:hAnsi="宋体" w:cs="宋体"/>
                <w:color w:val="000000"/>
                <w:szCs w:val="21"/>
                <w:highlight w:val="none"/>
              </w:rPr>
            </w:pPr>
          </w:p>
        </w:tc>
      </w:tr>
      <w:tr w14:paraId="0860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D0E736">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F874A5">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DA25F2B">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4、应急事件有记录、并及时总结，完善应急预案，整改存在问题</w:t>
            </w:r>
          </w:p>
        </w:tc>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7D446E">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366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FE84204">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应急事件发生无记录扣2分；</w:t>
            </w:r>
          </w:p>
          <w:p w14:paraId="6E0E2E3E">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未及时总结，扣2分；</w:t>
            </w:r>
          </w:p>
          <w:p w14:paraId="143E22D5">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没有整改措施扣2分。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D554A9">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82E819">
            <w:pPr>
              <w:keepNext w:val="0"/>
              <w:keepLines w:val="0"/>
              <w:pageBreakBefore w:val="0"/>
              <w:bidi w:val="0"/>
              <w:spacing w:line="240" w:lineRule="auto"/>
              <w:jc w:val="center"/>
              <w:outlineLvl w:val="9"/>
              <w:rPr>
                <w:rFonts w:ascii="宋体" w:hAnsi="宋体" w:cs="宋体"/>
                <w:color w:val="000000"/>
                <w:szCs w:val="21"/>
                <w:highlight w:val="none"/>
              </w:rPr>
            </w:pPr>
          </w:p>
        </w:tc>
      </w:tr>
      <w:tr w14:paraId="40B2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44"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2ACE3E">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合计   100   分</w:t>
            </w:r>
          </w:p>
        </w:tc>
        <w:tc>
          <w:tcPr>
            <w:tcW w:w="5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D26BEA">
            <w:pPr>
              <w:keepNext w:val="0"/>
              <w:keepLines w:val="0"/>
              <w:pageBreakBefore w:val="0"/>
              <w:bidi w:val="0"/>
              <w:spacing w:line="240" w:lineRule="auto"/>
              <w:jc w:val="center"/>
              <w:outlineLvl w:val="9"/>
              <w:rPr>
                <w:rFonts w:ascii="宋体" w:hAnsi="宋体" w:cs="宋体"/>
                <w:color w:val="000000"/>
                <w:szCs w:val="21"/>
                <w:highlight w:val="none"/>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F88C88">
            <w:pPr>
              <w:keepNext w:val="0"/>
              <w:keepLines w:val="0"/>
              <w:pageBreakBefore w:val="0"/>
              <w:bidi w:val="0"/>
              <w:spacing w:line="240" w:lineRule="auto"/>
              <w:jc w:val="center"/>
              <w:outlineLvl w:val="9"/>
              <w:rPr>
                <w:rFonts w:ascii="宋体" w:hAnsi="宋体" w:cs="宋体"/>
                <w:color w:val="000000"/>
                <w:szCs w:val="21"/>
                <w:highlight w:val="none"/>
              </w:rPr>
            </w:pPr>
          </w:p>
        </w:tc>
      </w:tr>
    </w:tbl>
    <w:p w14:paraId="50580169">
      <w:pPr>
        <w:keepNext w:val="0"/>
        <w:keepLines w:val="0"/>
        <w:pageBreakBefore w:val="0"/>
        <w:bidi w:val="0"/>
        <w:spacing w:line="240" w:lineRule="auto"/>
        <w:outlineLvl w:val="9"/>
        <w:rPr>
          <w:rFonts w:hint="eastAsia" w:ascii="宋体" w:hAnsi="宋体" w:cs="宋体"/>
          <w:b/>
          <w:color w:val="000000"/>
          <w:szCs w:val="21"/>
          <w:highlight w:val="none"/>
        </w:rPr>
      </w:pPr>
      <w:r>
        <w:rPr>
          <w:rFonts w:hint="eastAsia" w:ascii="宋体" w:hAnsi="宋体" w:cs="宋体"/>
          <w:b/>
          <w:color w:val="000000"/>
          <w:szCs w:val="21"/>
          <w:highlight w:val="none"/>
        </w:rPr>
        <w:t xml:space="preserve">                        </w:t>
      </w:r>
    </w:p>
    <w:p w14:paraId="0C453271">
      <w:pPr>
        <w:keepNext w:val="0"/>
        <w:keepLines w:val="0"/>
        <w:pageBreakBefore w:val="0"/>
        <w:bidi w:val="0"/>
        <w:spacing w:line="240" w:lineRule="auto"/>
        <w:jc w:val="center"/>
        <w:outlineLvl w:val="9"/>
        <w:rPr>
          <w:rFonts w:ascii="宋体" w:hAnsi="宋体" w:cs="宋体"/>
          <w:b/>
          <w:color w:val="000000"/>
          <w:szCs w:val="21"/>
          <w:highlight w:val="none"/>
        </w:rPr>
      </w:pPr>
      <w:r>
        <w:rPr>
          <w:rFonts w:hint="eastAsia" w:ascii="宋体" w:hAnsi="宋体" w:cs="宋体"/>
          <w:b/>
          <w:color w:val="000000"/>
          <w:szCs w:val="21"/>
          <w:highlight w:val="none"/>
        </w:rPr>
        <w:br w:type="page" w:clear="all"/>
      </w:r>
      <w:r>
        <w:rPr>
          <w:rFonts w:hint="eastAsia" w:ascii="宋体" w:hAnsi="宋体" w:cs="宋体"/>
          <w:b/>
          <w:color w:val="000000"/>
          <w:szCs w:val="21"/>
          <w:highlight w:val="none"/>
        </w:rPr>
        <w:t>五、</w:t>
      </w:r>
      <w:r>
        <w:rPr>
          <w:rFonts w:hint="eastAsia" w:ascii="宋体" w:hAnsi="宋体" w:cs="宋体"/>
          <w:b/>
          <w:color w:val="000000"/>
          <w:szCs w:val="21"/>
          <w:highlight w:val="none"/>
          <w:lang w:eastAsia="zh-CN"/>
        </w:rPr>
        <w:t>保安</w:t>
      </w:r>
      <w:r>
        <w:rPr>
          <w:rFonts w:hint="eastAsia" w:ascii="宋体" w:hAnsi="宋体" w:cs="宋体"/>
          <w:b/>
          <w:color w:val="000000"/>
          <w:szCs w:val="21"/>
          <w:highlight w:val="none"/>
        </w:rPr>
        <w:t>、消防服务考核表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012"/>
        <w:gridCol w:w="2783"/>
        <w:gridCol w:w="942"/>
        <w:gridCol w:w="3675"/>
        <w:gridCol w:w="563"/>
        <w:gridCol w:w="437"/>
      </w:tblGrid>
      <w:tr w14:paraId="76C4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14:paraId="369BB251">
            <w:pPr>
              <w:keepNext w:val="0"/>
              <w:keepLines w:val="0"/>
              <w:pageBreakBefore w:val="0"/>
              <w:tabs>
                <w:tab w:val="center" w:pos="229"/>
              </w:tabs>
              <w:bidi w:val="0"/>
              <w:spacing w:line="240" w:lineRule="auto"/>
              <w:outlineLvl w:val="9"/>
              <w:rPr>
                <w:rFonts w:ascii="宋体" w:hAnsi="宋体" w:cs="宋体"/>
                <w:b/>
                <w:color w:val="000000"/>
                <w:szCs w:val="21"/>
                <w:highlight w:val="none"/>
              </w:rPr>
            </w:pPr>
            <w:r>
              <w:rPr>
                <w:rFonts w:hint="eastAsia" w:ascii="宋体" w:hAnsi="宋体" w:cs="宋体"/>
                <w:b/>
                <w:color w:val="000000"/>
                <w:szCs w:val="21"/>
                <w:highlight w:val="none"/>
              </w:rPr>
              <w:t>序号</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46580728">
            <w:pPr>
              <w:keepNext w:val="0"/>
              <w:keepLines w:val="0"/>
              <w:pageBreakBefore w:val="0"/>
              <w:bidi w:val="0"/>
              <w:spacing w:line="240" w:lineRule="auto"/>
              <w:jc w:val="center"/>
              <w:outlineLvl w:val="9"/>
              <w:rPr>
                <w:rFonts w:ascii="宋体" w:hAnsi="宋体" w:cs="宋体"/>
                <w:b/>
                <w:color w:val="000000"/>
                <w:szCs w:val="21"/>
                <w:highlight w:val="none"/>
              </w:rPr>
            </w:pPr>
            <w:r>
              <w:rPr>
                <w:rFonts w:hint="eastAsia" w:ascii="宋体" w:hAnsi="宋体" w:cs="宋体"/>
                <w:b/>
                <w:color w:val="000000"/>
                <w:szCs w:val="21"/>
                <w:highlight w:val="none"/>
              </w:rPr>
              <w:t>项目</w:t>
            </w:r>
          </w:p>
        </w:tc>
        <w:tc>
          <w:tcPr>
            <w:tcW w:w="2783" w:type="dxa"/>
            <w:tcBorders>
              <w:top w:val="single" w:color="auto" w:sz="4" w:space="0"/>
              <w:left w:val="single" w:color="auto" w:sz="4" w:space="0"/>
              <w:bottom w:val="single" w:color="auto" w:sz="4" w:space="0"/>
              <w:right w:val="single" w:color="auto" w:sz="4" w:space="0"/>
            </w:tcBorders>
            <w:noWrap w:val="0"/>
            <w:vAlign w:val="center"/>
          </w:tcPr>
          <w:p w14:paraId="152D8DAB">
            <w:pPr>
              <w:keepNext w:val="0"/>
              <w:keepLines w:val="0"/>
              <w:pageBreakBefore w:val="0"/>
              <w:bidi w:val="0"/>
              <w:spacing w:line="240" w:lineRule="auto"/>
              <w:jc w:val="center"/>
              <w:outlineLvl w:val="9"/>
              <w:rPr>
                <w:rFonts w:ascii="宋体" w:hAnsi="宋体" w:cs="宋体"/>
                <w:b/>
                <w:color w:val="000000"/>
                <w:szCs w:val="21"/>
                <w:highlight w:val="none"/>
              </w:rPr>
            </w:pPr>
            <w:r>
              <w:rPr>
                <w:rFonts w:hint="eastAsia" w:ascii="宋体" w:hAnsi="宋体" w:cs="宋体"/>
                <w:b/>
                <w:color w:val="000000"/>
                <w:szCs w:val="21"/>
                <w:highlight w:val="none"/>
              </w:rPr>
              <w:t>评价内容</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6EBA13E6">
            <w:pPr>
              <w:keepNext w:val="0"/>
              <w:keepLines w:val="0"/>
              <w:pageBreakBefore w:val="0"/>
              <w:bidi w:val="0"/>
              <w:spacing w:line="240" w:lineRule="auto"/>
              <w:jc w:val="center"/>
              <w:outlineLvl w:val="9"/>
              <w:rPr>
                <w:rFonts w:ascii="宋体" w:hAnsi="宋体" w:cs="宋体"/>
                <w:b/>
                <w:color w:val="000000"/>
                <w:szCs w:val="21"/>
                <w:highlight w:val="none"/>
              </w:rPr>
            </w:pPr>
            <w:r>
              <w:rPr>
                <w:rFonts w:hint="eastAsia" w:ascii="宋体" w:hAnsi="宋体" w:cs="宋体"/>
                <w:b/>
                <w:color w:val="000000"/>
                <w:szCs w:val="21"/>
                <w:highlight w:val="none"/>
              </w:rPr>
              <w:t>标准分</w:t>
            </w:r>
          </w:p>
        </w:tc>
        <w:tc>
          <w:tcPr>
            <w:tcW w:w="3675" w:type="dxa"/>
            <w:tcBorders>
              <w:top w:val="single" w:color="auto" w:sz="4" w:space="0"/>
              <w:left w:val="single" w:color="auto" w:sz="4" w:space="0"/>
              <w:bottom w:val="single" w:color="auto" w:sz="4" w:space="0"/>
              <w:right w:val="single" w:color="auto" w:sz="4" w:space="0"/>
            </w:tcBorders>
            <w:noWrap w:val="0"/>
            <w:vAlign w:val="center"/>
          </w:tcPr>
          <w:p w14:paraId="29A19611">
            <w:pPr>
              <w:keepNext w:val="0"/>
              <w:keepLines w:val="0"/>
              <w:pageBreakBefore w:val="0"/>
              <w:bidi w:val="0"/>
              <w:spacing w:line="240" w:lineRule="auto"/>
              <w:jc w:val="center"/>
              <w:outlineLvl w:val="9"/>
              <w:rPr>
                <w:rFonts w:ascii="宋体" w:hAnsi="宋体" w:cs="宋体"/>
                <w:b/>
                <w:color w:val="000000"/>
                <w:szCs w:val="21"/>
                <w:highlight w:val="none"/>
              </w:rPr>
            </w:pPr>
            <w:r>
              <w:rPr>
                <w:rFonts w:hint="eastAsia" w:ascii="宋体" w:hAnsi="宋体" w:cs="宋体"/>
                <w:b/>
                <w:color w:val="000000"/>
                <w:szCs w:val="21"/>
                <w:highlight w:val="none"/>
              </w:rPr>
              <w:t>评分标准</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710CA8E7">
            <w:pPr>
              <w:keepNext w:val="0"/>
              <w:keepLines w:val="0"/>
              <w:pageBreakBefore w:val="0"/>
              <w:bidi w:val="0"/>
              <w:spacing w:line="240" w:lineRule="auto"/>
              <w:jc w:val="center"/>
              <w:outlineLvl w:val="9"/>
              <w:rPr>
                <w:rFonts w:ascii="宋体" w:hAnsi="宋体" w:cs="宋体"/>
                <w:b/>
                <w:color w:val="000000"/>
                <w:szCs w:val="21"/>
                <w:highlight w:val="none"/>
              </w:rPr>
            </w:pPr>
            <w:r>
              <w:rPr>
                <w:rFonts w:hint="eastAsia" w:ascii="宋体" w:hAnsi="宋体" w:cs="宋体"/>
                <w:b/>
                <w:color w:val="000000"/>
                <w:szCs w:val="21"/>
                <w:highlight w:val="none"/>
              </w:rPr>
              <w:t>得分</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291AE71F">
            <w:pPr>
              <w:keepNext w:val="0"/>
              <w:keepLines w:val="0"/>
              <w:pageBreakBefore w:val="0"/>
              <w:bidi w:val="0"/>
              <w:spacing w:line="240" w:lineRule="auto"/>
              <w:jc w:val="center"/>
              <w:outlineLvl w:val="9"/>
              <w:rPr>
                <w:rFonts w:ascii="宋体" w:hAnsi="宋体" w:cs="宋体"/>
                <w:b/>
                <w:color w:val="000000"/>
                <w:szCs w:val="21"/>
                <w:highlight w:val="none"/>
              </w:rPr>
            </w:pPr>
            <w:r>
              <w:rPr>
                <w:rFonts w:hint="eastAsia" w:ascii="宋体" w:hAnsi="宋体" w:cs="宋体"/>
                <w:b/>
                <w:color w:val="000000"/>
                <w:szCs w:val="21"/>
                <w:highlight w:val="none"/>
              </w:rPr>
              <w:t>备注</w:t>
            </w:r>
          </w:p>
        </w:tc>
      </w:tr>
      <w:tr w14:paraId="1ECC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614" w:type="dxa"/>
            <w:vMerge w:val="restart"/>
            <w:tcBorders>
              <w:top w:val="single" w:color="auto" w:sz="4" w:space="0"/>
              <w:left w:val="single" w:color="auto" w:sz="4" w:space="0"/>
              <w:bottom w:val="single" w:color="auto" w:sz="4" w:space="0"/>
              <w:right w:val="single" w:color="auto" w:sz="4" w:space="0"/>
            </w:tcBorders>
            <w:noWrap w:val="0"/>
            <w:vAlign w:val="center"/>
          </w:tcPr>
          <w:p w14:paraId="68C1C114">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1</w:t>
            </w:r>
          </w:p>
        </w:tc>
        <w:tc>
          <w:tcPr>
            <w:tcW w:w="1012" w:type="dxa"/>
            <w:vMerge w:val="restart"/>
            <w:tcBorders>
              <w:top w:val="single" w:color="auto" w:sz="4" w:space="0"/>
              <w:left w:val="single" w:color="auto" w:sz="4" w:space="0"/>
              <w:bottom w:val="single" w:color="auto" w:sz="4" w:space="0"/>
              <w:right w:val="single" w:color="auto" w:sz="4" w:space="0"/>
            </w:tcBorders>
            <w:noWrap w:val="0"/>
            <w:vAlign w:val="center"/>
          </w:tcPr>
          <w:p w14:paraId="4FE39454">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lang w:eastAsia="zh-CN"/>
              </w:rPr>
              <w:t>保安</w:t>
            </w:r>
            <w:r>
              <w:rPr>
                <w:rFonts w:hint="eastAsia" w:ascii="宋体" w:hAnsi="宋体" w:cs="宋体"/>
                <w:color w:val="000000"/>
                <w:szCs w:val="21"/>
                <w:highlight w:val="none"/>
              </w:rPr>
              <w:t>服务行为（</w:t>
            </w:r>
            <w:r>
              <w:rPr>
                <w:rFonts w:hint="eastAsia" w:ascii="宋体" w:hAnsi="宋体" w:cs="宋体"/>
                <w:color w:val="000000"/>
                <w:szCs w:val="21"/>
                <w:highlight w:val="none"/>
                <w:lang w:val="en-US" w:eastAsia="zh-CN"/>
              </w:rPr>
              <w:t>18</w:t>
            </w:r>
            <w:r>
              <w:rPr>
                <w:rFonts w:hint="eastAsia" w:ascii="宋体" w:hAnsi="宋体" w:cs="宋体"/>
                <w:color w:val="000000"/>
                <w:szCs w:val="21"/>
                <w:highlight w:val="none"/>
              </w:rPr>
              <w:t>）</w:t>
            </w:r>
          </w:p>
        </w:tc>
        <w:tc>
          <w:tcPr>
            <w:tcW w:w="2783" w:type="dxa"/>
            <w:tcBorders>
              <w:top w:val="single" w:color="auto" w:sz="4" w:space="0"/>
              <w:left w:val="single" w:color="auto" w:sz="4" w:space="0"/>
              <w:bottom w:val="single" w:color="auto" w:sz="4" w:space="0"/>
              <w:right w:val="single" w:color="auto" w:sz="4" w:space="0"/>
            </w:tcBorders>
            <w:noWrap w:val="0"/>
            <w:vAlign w:val="top"/>
          </w:tcPr>
          <w:p w14:paraId="2CF86E5E">
            <w:pPr>
              <w:keepNext w:val="0"/>
              <w:keepLines w:val="0"/>
              <w:pageBreakBefore w:val="0"/>
              <w:bidi w:val="0"/>
              <w:spacing w:line="240" w:lineRule="auto"/>
              <w:ind w:left="-107" w:firstLine="126"/>
              <w:outlineLvl w:val="9"/>
              <w:rPr>
                <w:rFonts w:ascii="宋体" w:hAnsi="宋体" w:cs="宋体"/>
                <w:color w:val="000000"/>
                <w:szCs w:val="21"/>
                <w:highlight w:val="none"/>
              </w:rPr>
            </w:pPr>
            <w:r>
              <w:rPr>
                <w:rFonts w:hint="eastAsia" w:ascii="宋体" w:hAnsi="宋体" w:cs="宋体"/>
                <w:color w:val="000000"/>
                <w:szCs w:val="21"/>
                <w:highlight w:val="none"/>
              </w:rPr>
              <w:t>1、按规定穿工作服，并保持整洁，佩戴明显标志，男工不留长发，不蓄胡子，女工不化浓妆</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10687C79">
            <w:pPr>
              <w:keepNext w:val="0"/>
              <w:keepLines w:val="0"/>
              <w:pageBreakBefore w:val="0"/>
              <w:bidi w:val="0"/>
              <w:spacing w:line="240" w:lineRule="auto"/>
              <w:jc w:val="center"/>
              <w:outlineLvl w:val="9"/>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6</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34814151">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现场抽查，每发现1人违反规定，扣1分。</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2483B634">
            <w:pPr>
              <w:keepNext w:val="0"/>
              <w:keepLines w:val="0"/>
              <w:pageBreakBefore w:val="0"/>
              <w:bidi w:val="0"/>
              <w:spacing w:line="240" w:lineRule="auto"/>
              <w:jc w:val="center"/>
              <w:outlineLvl w:val="9"/>
              <w:rPr>
                <w:rFonts w:ascii="宋体" w:hAnsi="宋体" w:cs="宋体"/>
                <w:color w:val="000000"/>
                <w:szCs w:val="21"/>
                <w:highlight w:val="none"/>
              </w:rPr>
            </w:pPr>
          </w:p>
        </w:tc>
        <w:tc>
          <w:tcPr>
            <w:tcW w:w="437" w:type="dxa"/>
            <w:tcBorders>
              <w:top w:val="single" w:color="auto" w:sz="4" w:space="0"/>
              <w:left w:val="single" w:color="auto" w:sz="4" w:space="0"/>
              <w:bottom w:val="single" w:color="auto" w:sz="4" w:space="0"/>
              <w:right w:val="single" w:color="auto" w:sz="4" w:space="0"/>
            </w:tcBorders>
            <w:noWrap w:val="0"/>
            <w:vAlign w:val="center"/>
          </w:tcPr>
          <w:p w14:paraId="6170864B">
            <w:pPr>
              <w:keepNext w:val="0"/>
              <w:keepLines w:val="0"/>
              <w:pageBreakBefore w:val="0"/>
              <w:bidi w:val="0"/>
              <w:spacing w:line="240" w:lineRule="auto"/>
              <w:jc w:val="center"/>
              <w:outlineLvl w:val="9"/>
              <w:rPr>
                <w:rFonts w:ascii="宋体" w:hAnsi="宋体" w:cs="宋体"/>
                <w:color w:val="000000"/>
                <w:szCs w:val="21"/>
                <w:highlight w:val="none"/>
              </w:rPr>
            </w:pPr>
          </w:p>
        </w:tc>
      </w:tr>
      <w:tr w14:paraId="220B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14:paraId="10570E34">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12" w:type="dxa"/>
            <w:vMerge w:val="continue"/>
            <w:tcBorders>
              <w:top w:val="single" w:color="auto" w:sz="4" w:space="0"/>
              <w:left w:val="single" w:color="auto" w:sz="4" w:space="0"/>
              <w:bottom w:val="single" w:color="auto" w:sz="4" w:space="0"/>
              <w:right w:val="single" w:color="auto" w:sz="4" w:space="0"/>
            </w:tcBorders>
            <w:noWrap w:val="0"/>
            <w:vAlign w:val="center"/>
          </w:tcPr>
          <w:p w14:paraId="3121A0B7">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83" w:type="dxa"/>
            <w:tcBorders>
              <w:top w:val="single" w:color="auto" w:sz="4" w:space="0"/>
              <w:left w:val="single" w:color="auto" w:sz="4" w:space="0"/>
              <w:bottom w:val="single" w:color="auto" w:sz="4" w:space="0"/>
              <w:right w:val="single" w:color="auto" w:sz="4" w:space="0"/>
            </w:tcBorders>
            <w:noWrap w:val="0"/>
            <w:vAlign w:val="top"/>
          </w:tcPr>
          <w:p w14:paraId="738F9C97">
            <w:pPr>
              <w:keepNext w:val="0"/>
              <w:keepLines w:val="0"/>
              <w:pageBreakBefore w:val="0"/>
              <w:bidi w:val="0"/>
              <w:spacing w:line="240" w:lineRule="auto"/>
              <w:ind w:left="-107" w:firstLine="126"/>
              <w:outlineLvl w:val="9"/>
              <w:rPr>
                <w:rFonts w:ascii="宋体" w:hAnsi="宋体" w:cs="宋体"/>
                <w:color w:val="000000"/>
                <w:szCs w:val="21"/>
                <w:highlight w:val="none"/>
              </w:rPr>
            </w:pPr>
            <w:r>
              <w:rPr>
                <w:rFonts w:hint="eastAsia" w:ascii="宋体" w:hAnsi="宋体" w:cs="宋体"/>
                <w:color w:val="000000"/>
                <w:szCs w:val="21"/>
                <w:highlight w:val="none"/>
              </w:rPr>
              <w:t>2、语言文明、礼貌待人</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2FC1CCE5">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4</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15EF277D">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现场抽查，每发现1人违反规定，扣1分。</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6EC69E70">
            <w:pPr>
              <w:keepNext w:val="0"/>
              <w:keepLines w:val="0"/>
              <w:pageBreakBefore w:val="0"/>
              <w:bidi w:val="0"/>
              <w:spacing w:line="240" w:lineRule="auto"/>
              <w:jc w:val="center"/>
              <w:outlineLvl w:val="9"/>
              <w:rPr>
                <w:rFonts w:ascii="宋体" w:hAnsi="宋体" w:cs="宋体"/>
                <w:color w:val="000000"/>
                <w:szCs w:val="21"/>
                <w:highlight w:val="none"/>
              </w:rPr>
            </w:pPr>
          </w:p>
        </w:tc>
        <w:tc>
          <w:tcPr>
            <w:tcW w:w="437" w:type="dxa"/>
            <w:tcBorders>
              <w:top w:val="single" w:color="auto" w:sz="4" w:space="0"/>
              <w:left w:val="single" w:color="auto" w:sz="4" w:space="0"/>
              <w:bottom w:val="single" w:color="auto" w:sz="4" w:space="0"/>
              <w:right w:val="single" w:color="auto" w:sz="4" w:space="0"/>
            </w:tcBorders>
            <w:noWrap w:val="0"/>
            <w:vAlign w:val="center"/>
          </w:tcPr>
          <w:p w14:paraId="2E08950E">
            <w:pPr>
              <w:keepNext w:val="0"/>
              <w:keepLines w:val="0"/>
              <w:pageBreakBefore w:val="0"/>
              <w:bidi w:val="0"/>
              <w:spacing w:line="240" w:lineRule="auto"/>
              <w:jc w:val="center"/>
              <w:outlineLvl w:val="9"/>
              <w:rPr>
                <w:rFonts w:ascii="宋体" w:hAnsi="宋体" w:cs="宋体"/>
                <w:color w:val="000000"/>
                <w:szCs w:val="21"/>
                <w:highlight w:val="none"/>
              </w:rPr>
            </w:pPr>
          </w:p>
        </w:tc>
      </w:tr>
      <w:tr w14:paraId="0BB6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14:paraId="3663E5C9">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12" w:type="dxa"/>
            <w:vMerge w:val="continue"/>
            <w:tcBorders>
              <w:top w:val="single" w:color="auto" w:sz="4" w:space="0"/>
              <w:left w:val="single" w:color="auto" w:sz="4" w:space="0"/>
              <w:bottom w:val="single" w:color="auto" w:sz="4" w:space="0"/>
              <w:right w:val="single" w:color="auto" w:sz="4" w:space="0"/>
            </w:tcBorders>
            <w:noWrap w:val="0"/>
            <w:vAlign w:val="center"/>
          </w:tcPr>
          <w:p w14:paraId="77617CC4">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83" w:type="dxa"/>
            <w:tcBorders>
              <w:top w:val="single" w:color="auto" w:sz="4" w:space="0"/>
              <w:left w:val="single" w:color="auto" w:sz="4" w:space="0"/>
              <w:bottom w:val="single" w:color="auto" w:sz="4" w:space="0"/>
              <w:right w:val="single" w:color="auto" w:sz="4" w:space="0"/>
            </w:tcBorders>
            <w:noWrap w:val="0"/>
            <w:vAlign w:val="top"/>
          </w:tcPr>
          <w:p w14:paraId="044137E3">
            <w:pPr>
              <w:keepNext w:val="0"/>
              <w:keepLines w:val="0"/>
              <w:pageBreakBefore w:val="0"/>
              <w:bidi w:val="0"/>
              <w:spacing w:line="240" w:lineRule="auto"/>
              <w:ind w:left="-107" w:firstLine="126"/>
              <w:outlineLvl w:val="9"/>
              <w:rPr>
                <w:rFonts w:ascii="宋体" w:hAnsi="宋体" w:cs="宋体"/>
                <w:color w:val="000000"/>
                <w:szCs w:val="21"/>
                <w:highlight w:val="none"/>
              </w:rPr>
            </w:pPr>
            <w:r>
              <w:rPr>
                <w:rFonts w:hint="eastAsia" w:ascii="宋体" w:hAnsi="宋体" w:cs="宋体"/>
                <w:color w:val="000000"/>
                <w:szCs w:val="21"/>
                <w:highlight w:val="none"/>
              </w:rPr>
              <w:t>3、制定器械配置使用标准，按规定佩戴器械</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76BD7487">
            <w:pPr>
              <w:keepNext w:val="0"/>
              <w:keepLines w:val="0"/>
              <w:pageBreakBefore w:val="0"/>
              <w:bidi w:val="0"/>
              <w:spacing w:line="240" w:lineRule="auto"/>
              <w:jc w:val="center"/>
              <w:outlineLvl w:val="9"/>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4</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7C4C29DB">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未制定标准本子项不得分；现场抽查，每发现1人违反规定，扣1分。</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64D2E23C">
            <w:pPr>
              <w:keepNext w:val="0"/>
              <w:keepLines w:val="0"/>
              <w:pageBreakBefore w:val="0"/>
              <w:bidi w:val="0"/>
              <w:spacing w:line="240" w:lineRule="auto"/>
              <w:jc w:val="center"/>
              <w:outlineLvl w:val="9"/>
              <w:rPr>
                <w:rFonts w:ascii="宋体" w:hAnsi="宋体" w:cs="宋体"/>
                <w:color w:val="000000"/>
                <w:szCs w:val="21"/>
                <w:highlight w:val="none"/>
              </w:rPr>
            </w:pPr>
          </w:p>
        </w:tc>
        <w:tc>
          <w:tcPr>
            <w:tcW w:w="437" w:type="dxa"/>
            <w:tcBorders>
              <w:top w:val="single" w:color="auto" w:sz="4" w:space="0"/>
              <w:left w:val="single" w:color="auto" w:sz="4" w:space="0"/>
              <w:bottom w:val="single" w:color="auto" w:sz="4" w:space="0"/>
              <w:right w:val="single" w:color="auto" w:sz="4" w:space="0"/>
            </w:tcBorders>
            <w:noWrap w:val="0"/>
            <w:vAlign w:val="center"/>
          </w:tcPr>
          <w:p w14:paraId="492ED4B3">
            <w:pPr>
              <w:keepNext w:val="0"/>
              <w:keepLines w:val="0"/>
              <w:pageBreakBefore w:val="0"/>
              <w:bidi w:val="0"/>
              <w:spacing w:line="240" w:lineRule="auto"/>
              <w:jc w:val="center"/>
              <w:outlineLvl w:val="9"/>
              <w:rPr>
                <w:rFonts w:ascii="宋体" w:hAnsi="宋体" w:cs="宋体"/>
                <w:color w:val="000000"/>
                <w:szCs w:val="21"/>
                <w:highlight w:val="none"/>
              </w:rPr>
            </w:pPr>
          </w:p>
        </w:tc>
      </w:tr>
      <w:tr w14:paraId="713D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14:paraId="53A37455">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12" w:type="dxa"/>
            <w:vMerge w:val="continue"/>
            <w:tcBorders>
              <w:top w:val="single" w:color="auto" w:sz="4" w:space="0"/>
              <w:left w:val="single" w:color="auto" w:sz="4" w:space="0"/>
              <w:bottom w:val="single" w:color="auto" w:sz="4" w:space="0"/>
              <w:right w:val="single" w:color="auto" w:sz="4" w:space="0"/>
            </w:tcBorders>
            <w:noWrap w:val="0"/>
            <w:vAlign w:val="center"/>
          </w:tcPr>
          <w:p w14:paraId="36B919A0">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83" w:type="dxa"/>
            <w:tcBorders>
              <w:top w:val="single" w:color="auto" w:sz="4" w:space="0"/>
              <w:left w:val="single" w:color="auto" w:sz="4" w:space="0"/>
              <w:bottom w:val="single" w:color="auto" w:sz="4" w:space="0"/>
              <w:right w:val="single" w:color="auto" w:sz="4" w:space="0"/>
            </w:tcBorders>
            <w:noWrap w:val="0"/>
            <w:vAlign w:val="top"/>
          </w:tcPr>
          <w:p w14:paraId="1519C1CA">
            <w:pPr>
              <w:keepNext w:val="0"/>
              <w:keepLines w:val="0"/>
              <w:pageBreakBefore w:val="0"/>
              <w:bidi w:val="0"/>
              <w:spacing w:line="240" w:lineRule="auto"/>
              <w:ind w:left="-107" w:firstLine="126"/>
              <w:outlineLvl w:val="9"/>
              <w:rPr>
                <w:rFonts w:ascii="宋体" w:hAnsi="宋体" w:cs="宋体"/>
                <w:color w:val="000000"/>
                <w:szCs w:val="21"/>
                <w:highlight w:val="none"/>
              </w:rPr>
            </w:pPr>
            <w:r>
              <w:rPr>
                <w:rFonts w:hint="eastAsia" w:ascii="宋体" w:hAnsi="宋体" w:cs="宋体"/>
                <w:color w:val="000000"/>
                <w:szCs w:val="21"/>
                <w:highlight w:val="none"/>
              </w:rPr>
              <w:t>4、制定形体动作标准，并严格执行且定期操练</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743FC0B1">
            <w:pPr>
              <w:keepNext w:val="0"/>
              <w:keepLines w:val="0"/>
              <w:pageBreakBefore w:val="0"/>
              <w:bidi w:val="0"/>
              <w:spacing w:line="240" w:lineRule="auto"/>
              <w:jc w:val="center"/>
              <w:outlineLvl w:val="9"/>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4</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47DEC276">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未制定标准本子项不得分；现场检查3人，每发现1人违反规定，本子项不得分。</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3E87E9BF">
            <w:pPr>
              <w:keepNext w:val="0"/>
              <w:keepLines w:val="0"/>
              <w:pageBreakBefore w:val="0"/>
              <w:bidi w:val="0"/>
              <w:spacing w:line="240" w:lineRule="auto"/>
              <w:jc w:val="center"/>
              <w:outlineLvl w:val="9"/>
              <w:rPr>
                <w:rFonts w:ascii="宋体" w:hAnsi="宋体" w:cs="宋体"/>
                <w:color w:val="000000"/>
                <w:szCs w:val="21"/>
                <w:highlight w:val="none"/>
              </w:rPr>
            </w:pPr>
          </w:p>
        </w:tc>
        <w:tc>
          <w:tcPr>
            <w:tcW w:w="437" w:type="dxa"/>
            <w:tcBorders>
              <w:top w:val="single" w:color="auto" w:sz="4" w:space="0"/>
              <w:left w:val="single" w:color="auto" w:sz="4" w:space="0"/>
              <w:bottom w:val="single" w:color="auto" w:sz="4" w:space="0"/>
              <w:right w:val="single" w:color="auto" w:sz="4" w:space="0"/>
            </w:tcBorders>
            <w:noWrap w:val="0"/>
            <w:vAlign w:val="center"/>
          </w:tcPr>
          <w:p w14:paraId="21C60833">
            <w:pPr>
              <w:keepNext w:val="0"/>
              <w:keepLines w:val="0"/>
              <w:pageBreakBefore w:val="0"/>
              <w:bidi w:val="0"/>
              <w:spacing w:line="240" w:lineRule="auto"/>
              <w:jc w:val="center"/>
              <w:outlineLvl w:val="9"/>
              <w:rPr>
                <w:rFonts w:ascii="宋体" w:hAnsi="宋体" w:cs="宋体"/>
                <w:color w:val="000000"/>
                <w:szCs w:val="21"/>
                <w:highlight w:val="none"/>
              </w:rPr>
            </w:pPr>
          </w:p>
        </w:tc>
      </w:tr>
      <w:tr w14:paraId="4623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614" w:type="dxa"/>
            <w:vMerge w:val="restart"/>
            <w:tcBorders>
              <w:top w:val="single" w:color="auto" w:sz="4" w:space="0"/>
              <w:left w:val="single" w:color="auto" w:sz="4" w:space="0"/>
              <w:bottom w:val="single" w:color="auto" w:sz="4" w:space="0"/>
              <w:right w:val="single" w:color="auto" w:sz="4" w:space="0"/>
            </w:tcBorders>
            <w:noWrap w:val="0"/>
            <w:vAlign w:val="center"/>
          </w:tcPr>
          <w:p w14:paraId="66439E2E">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2</w:t>
            </w:r>
          </w:p>
        </w:tc>
        <w:tc>
          <w:tcPr>
            <w:tcW w:w="1012" w:type="dxa"/>
            <w:vMerge w:val="restart"/>
            <w:tcBorders>
              <w:top w:val="single" w:color="auto" w:sz="4" w:space="0"/>
              <w:left w:val="single" w:color="auto" w:sz="4" w:space="0"/>
              <w:bottom w:val="single" w:color="auto" w:sz="4" w:space="0"/>
              <w:right w:val="single" w:color="auto" w:sz="4" w:space="0"/>
            </w:tcBorders>
            <w:noWrap w:val="0"/>
            <w:vAlign w:val="center"/>
          </w:tcPr>
          <w:p w14:paraId="1B814787">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值班巡逻（</w:t>
            </w:r>
            <w:r>
              <w:rPr>
                <w:rFonts w:hint="eastAsia" w:ascii="宋体" w:hAnsi="宋体" w:cs="宋体"/>
                <w:color w:val="000000"/>
                <w:szCs w:val="21"/>
                <w:highlight w:val="none"/>
                <w:lang w:val="en-US" w:eastAsia="zh-CN"/>
              </w:rPr>
              <w:t>34</w:t>
            </w:r>
            <w:r>
              <w:rPr>
                <w:rFonts w:hint="eastAsia" w:ascii="宋体" w:hAnsi="宋体" w:cs="宋体"/>
                <w:color w:val="000000"/>
                <w:szCs w:val="21"/>
                <w:highlight w:val="none"/>
              </w:rPr>
              <w:t>）</w:t>
            </w:r>
          </w:p>
        </w:tc>
        <w:tc>
          <w:tcPr>
            <w:tcW w:w="2783" w:type="dxa"/>
            <w:tcBorders>
              <w:top w:val="single" w:color="auto" w:sz="4" w:space="0"/>
              <w:left w:val="single" w:color="auto" w:sz="4" w:space="0"/>
              <w:bottom w:val="single" w:color="auto" w:sz="4" w:space="0"/>
              <w:right w:val="single" w:color="auto" w:sz="4" w:space="0"/>
            </w:tcBorders>
            <w:noWrap w:val="0"/>
            <w:vAlign w:val="top"/>
          </w:tcPr>
          <w:p w14:paraId="4209EAEF">
            <w:pPr>
              <w:keepNext w:val="0"/>
              <w:keepLines w:val="0"/>
              <w:pageBreakBefore w:val="0"/>
              <w:bidi w:val="0"/>
              <w:spacing w:line="240" w:lineRule="auto"/>
              <w:ind w:left="-107" w:firstLine="126"/>
              <w:outlineLvl w:val="9"/>
              <w:rPr>
                <w:rFonts w:ascii="宋体" w:hAnsi="宋体" w:cs="宋体"/>
                <w:color w:val="000000"/>
                <w:szCs w:val="21"/>
                <w:highlight w:val="none"/>
              </w:rPr>
            </w:pPr>
            <w:r>
              <w:rPr>
                <w:rFonts w:hint="eastAsia" w:ascii="宋体" w:hAnsi="宋体" w:cs="宋体"/>
                <w:color w:val="000000"/>
                <w:szCs w:val="21"/>
                <w:highlight w:val="none"/>
              </w:rPr>
              <w:t>1、按规定进行24小时值班和交接班</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688F8704">
            <w:pPr>
              <w:keepNext w:val="0"/>
              <w:keepLines w:val="0"/>
              <w:pageBreakBefore w:val="0"/>
              <w:bidi w:val="0"/>
              <w:spacing w:line="240" w:lineRule="auto"/>
              <w:jc w:val="center"/>
              <w:outlineLvl w:val="9"/>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6</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41EF5E8A">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抽查值班记录和交接班记录（值班人员、交接班时间、器械交接），每发现1项不符合规定，扣1分。</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5403A56D">
            <w:pPr>
              <w:keepNext w:val="0"/>
              <w:keepLines w:val="0"/>
              <w:pageBreakBefore w:val="0"/>
              <w:bidi w:val="0"/>
              <w:spacing w:line="240" w:lineRule="auto"/>
              <w:jc w:val="center"/>
              <w:outlineLvl w:val="9"/>
              <w:rPr>
                <w:rFonts w:ascii="宋体" w:hAnsi="宋体" w:cs="宋体"/>
                <w:color w:val="000000"/>
                <w:szCs w:val="21"/>
                <w:highlight w:val="none"/>
              </w:rPr>
            </w:pPr>
          </w:p>
        </w:tc>
        <w:tc>
          <w:tcPr>
            <w:tcW w:w="437" w:type="dxa"/>
            <w:tcBorders>
              <w:top w:val="single" w:color="auto" w:sz="4" w:space="0"/>
              <w:left w:val="single" w:color="auto" w:sz="4" w:space="0"/>
              <w:bottom w:val="single" w:color="auto" w:sz="4" w:space="0"/>
              <w:right w:val="single" w:color="auto" w:sz="4" w:space="0"/>
            </w:tcBorders>
            <w:noWrap w:val="0"/>
            <w:vAlign w:val="center"/>
          </w:tcPr>
          <w:p w14:paraId="193DB224">
            <w:pPr>
              <w:keepNext w:val="0"/>
              <w:keepLines w:val="0"/>
              <w:pageBreakBefore w:val="0"/>
              <w:bidi w:val="0"/>
              <w:spacing w:line="240" w:lineRule="auto"/>
              <w:jc w:val="center"/>
              <w:outlineLvl w:val="9"/>
              <w:rPr>
                <w:rFonts w:ascii="宋体" w:hAnsi="宋体" w:cs="宋体"/>
                <w:color w:val="000000"/>
                <w:szCs w:val="21"/>
                <w:highlight w:val="none"/>
              </w:rPr>
            </w:pPr>
          </w:p>
        </w:tc>
      </w:tr>
      <w:tr w14:paraId="42FB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14:paraId="6800320F">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12" w:type="dxa"/>
            <w:vMerge w:val="continue"/>
            <w:tcBorders>
              <w:top w:val="single" w:color="auto" w:sz="4" w:space="0"/>
              <w:left w:val="single" w:color="auto" w:sz="4" w:space="0"/>
              <w:bottom w:val="single" w:color="auto" w:sz="4" w:space="0"/>
              <w:right w:val="single" w:color="auto" w:sz="4" w:space="0"/>
            </w:tcBorders>
            <w:noWrap w:val="0"/>
            <w:vAlign w:val="center"/>
          </w:tcPr>
          <w:p w14:paraId="750A2640">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83" w:type="dxa"/>
            <w:tcBorders>
              <w:top w:val="single" w:color="auto" w:sz="4" w:space="0"/>
              <w:left w:val="single" w:color="auto" w:sz="4" w:space="0"/>
              <w:bottom w:val="single" w:color="auto" w:sz="4" w:space="0"/>
              <w:right w:val="single" w:color="auto" w:sz="4" w:space="0"/>
            </w:tcBorders>
            <w:noWrap w:val="0"/>
            <w:vAlign w:val="top"/>
          </w:tcPr>
          <w:p w14:paraId="37E64B1D">
            <w:pPr>
              <w:keepNext w:val="0"/>
              <w:keepLines w:val="0"/>
              <w:pageBreakBefore w:val="0"/>
              <w:bidi w:val="0"/>
              <w:spacing w:line="240" w:lineRule="auto"/>
              <w:ind w:left="-107" w:firstLine="126"/>
              <w:outlineLvl w:val="9"/>
              <w:rPr>
                <w:rFonts w:ascii="宋体" w:hAnsi="宋体" w:cs="宋体"/>
                <w:color w:val="000000"/>
                <w:szCs w:val="21"/>
                <w:highlight w:val="none"/>
              </w:rPr>
            </w:pPr>
            <w:r>
              <w:rPr>
                <w:rFonts w:hint="eastAsia" w:ascii="宋体" w:hAnsi="宋体" w:cs="宋体"/>
                <w:color w:val="000000"/>
                <w:szCs w:val="21"/>
                <w:highlight w:val="none"/>
              </w:rPr>
              <w:t>2、应制定巡逻标准，设计2—3条巡逻路线，并按规定要求进行巡逻，并做好记录</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24BC4AB1">
            <w:pPr>
              <w:keepNext w:val="0"/>
              <w:keepLines w:val="0"/>
              <w:pageBreakBefore w:val="0"/>
              <w:bidi w:val="0"/>
              <w:spacing w:line="240" w:lineRule="auto"/>
              <w:jc w:val="center"/>
              <w:outlineLvl w:val="9"/>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6</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06618D10">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未制定标准本子项不得分；随机抽查巡逻记录，发现1项不符合规定，扣1分。</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5AC33552">
            <w:pPr>
              <w:keepNext w:val="0"/>
              <w:keepLines w:val="0"/>
              <w:pageBreakBefore w:val="0"/>
              <w:bidi w:val="0"/>
              <w:spacing w:line="240" w:lineRule="auto"/>
              <w:jc w:val="center"/>
              <w:outlineLvl w:val="9"/>
              <w:rPr>
                <w:rFonts w:ascii="宋体" w:hAnsi="宋体" w:cs="宋体"/>
                <w:color w:val="000000"/>
                <w:szCs w:val="21"/>
                <w:highlight w:val="none"/>
              </w:rPr>
            </w:pPr>
          </w:p>
        </w:tc>
        <w:tc>
          <w:tcPr>
            <w:tcW w:w="437" w:type="dxa"/>
            <w:tcBorders>
              <w:top w:val="single" w:color="auto" w:sz="4" w:space="0"/>
              <w:left w:val="single" w:color="auto" w:sz="4" w:space="0"/>
              <w:bottom w:val="single" w:color="auto" w:sz="4" w:space="0"/>
              <w:right w:val="single" w:color="auto" w:sz="4" w:space="0"/>
            </w:tcBorders>
            <w:noWrap w:val="0"/>
            <w:vAlign w:val="center"/>
          </w:tcPr>
          <w:p w14:paraId="3A6CF5BC">
            <w:pPr>
              <w:keepNext w:val="0"/>
              <w:keepLines w:val="0"/>
              <w:pageBreakBefore w:val="0"/>
              <w:bidi w:val="0"/>
              <w:spacing w:line="240" w:lineRule="auto"/>
              <w:jc w:val="center"/>
              <w:outlineLvl w:val="9"/>
              <w:rPr>
                <w:rFonts w:ascii="宋体" w:hAnsi="宋体" w:cs="宋体"/>
                <w:color w:val="000000"/>
                <w:szCs w:val="21"/>
                <w:highlight w:val="none"/>
              </w:rPr>
            </w:pPr>
          </w:p>
        </w:tc>
      </w:tr>
      <w:tr w14:paraId="513B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14:paraId="6883AA11">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12" w:type="dxa"/>
            <w:vMerge w:val="continue"/>
            <w:tcBorders>
              <w:top w:val="single" w:color="auto" w:sz="4" w:space="0"/>
              <w:left w:val="single" w:color="auto" w:sz="4" w:space="0"/>
              <w:bottom w:val="single" w:color="auto" w:sz="4" w:space="0"/>
              <w:right w:val="single" w:color="auto" w:sz="4" w:space="0"/>
            </w:tcBorders>
            <w:noWrap w:val="0"/>
            <w:vAlign w:val="center"/>
          </w:tcPr>
          <w:p w14:paraId="41571252">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83" w:type="dxa"/>
            <w:tcBorders>
              <w:top w:val="single" w:color="auto" w:sz="4" w:space="0"/>
              <w:left w:val="single" w:color="auto" w:sz="4" w:space="0"/>
              <w:bottom w:val="single" w:color="auto" w:sz="4" w:space="0"/>
              <w:right w:val="single" w:color="auto" w:sz="4" w:space="0"/>
            </w:tcBorders>
            <w:noWrap w:val="0"/>
            <w:vAlign w:val="top"/>
          </w:tcPr>
          <w:p w14:paraId="406EA5D5">
            <w:pPr>
              <w:keepNext w:val="0"/>
              <w:keepLines w:val="0"/>
              <w:pageBreakBefore w:val="0"/>
              <w:bidi w:val="0"/>
              <w:spacing w:line="240" w:lineRule="auto"/>
              <w:ind w:left="-107" w:firstLine="126"/>
              <w:outlineLvl w:val="9"/>
              <w:rPr>
                <w:rFonts w:ascii="宋体" w:hAnsi="宋体" w:cs="宋体"/>
                <w:color w:val="000000"/>
                <w:szCs w:val="21"/>
                <w:highlight w:val="none"/>
              </w:rPr>
            </w:pPr>
            <w:r>
              <w:rPr>
                <w:rFonts w:hint="eastAsia" w:ascii="宋体" w:hAnsi="宋体" w:cs="宋体"/>
                <w:color w:val="000000"/>
                <w:szCs w:val="21"/>
                <w:highlight w:val="none"/>
              </w:rPr>
              <w:t>3、按规定办理人员出入登记，并保管好记录（保管期限2年）</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201C446F">
            <w:pPr>
              <w:keepNext w:val="0"/>
              <w:keepLines w:val="0"/>
              <w:pageBreakBefore w:val="0"/>
              <w:bidi w:val="0"/>
              <w:spacing w:line="240" w:lineRule="auto"/>
              <w:jc w:val="center"/>
              <w:outlineLvl w:val="9"/>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8</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7DBECFF9">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现场抽查，每发现1项违反规定，扣1分；抽查记录，发现1项不符合规定，扣1分。</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6C068C54">
            <w:pPr>
              <w:keepNext w:val="0"/>
              <w:keepLines w:val="0"/>
              <w:pageBreakBefore w:val="0"/>
              <w:bidi w:val="0"/>
              <w:spacing w:line="240" w:lineRule="auto"/>
              <w:jc w:val="center"/>
              <w:outlineLvl w:val="9"/>
              <w:rPr>
                <w:rFonts w:ascii="宋体" w:hAnsi="宋体" w:cs="宋体"/>
                <w:color w:val="000000"/>
                <w:szCs w:val="21"/>
                <w:highlight w:val="none"/>
              </w:rPr>
            </w:pPr>
          </w:p>
        </w:tc>
        <w:tc>
          <w:tcPr>
            <w:tcW w:w="437" w:type="dxa"/>
            <w:tcBorders>
              <w:top w:val="single" w:color="auto" w:sz="4" w:space="0"/>
              <w:left w:val="single" w:color="auto" w:sz="4" w:space="0"/>
              <w:bottom w:val="single" w:color="auto" w:sz="4" w:space="0"/>
              <w:right w:val="single" w:color="auto" w:sz="4" w:space="0"/>
            </w:tcBorders>
            <w:noWrap w:val="0"/>
            <w:vAlign w:val="center"/>
          </w:tcPr>
          <w:p w14:paraId="4423C85A">
            <w:pPr>
              <w:keepNext w:val="0"/>
              <w:keepLines w:val="0"/>
              <w:pageBreakBefore w:val="0"/>
              <w:bidi w:val="0"/>
              <w:spacing w:line="240" w:lineRule="auto"/>
              <w:jc w:val="center"/>
              <w:outlineLvl w:val="9"/>
              <w:rPr>
                <w:rFonts w:ascii="宋体" w:hAnsi="宋体" w:cs="宋体"/>
                <w:color w:val="000000"/>
                <w:szCs w:val="21"/>
                <w:highlight w:val="none"/>
              </w:rPr>
            </w:pPr>
          </w:p>
        </w:tc>
      </w:tr>
      <w:tr w14:paraId="590B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14:paraId="69E3E5D0">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12" w:type="dxa"/>
            <w:vMerge w:val="continue"/>
            <w:tcBorders>
              <w:top w:val="single" w:color="auto" w:sz="4" w:space="0"/>
              <w:left w:val="single" w:color="auto" w:sz="4" w:space="0"/>
              <w:bottom w:val="single" w:color="auto" w:sz="4" w:space="0"/>
              <w:right w:val="single" w:color="auto" w:sz="4" w:space="0"/>
            </w:tcBorders>
            <w:noWrap w:val="0"/>
            <w:vAlign w:val="center"/>
          </w:tcPr>
          <w:p w14:paraId="406CFF06">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83" w:type="dxa"/>
            <w:tcBorders>
              <w:top w:val="single" w:color="auto" w:sz="4" w:space="0"/>
              <w:left w:val="single" w:color="auto" w:sz="4" w:space="0"/>
              <w:bottom w:val="single" w:color="auto" w:sz="4" w:space="0"/>
              <w:right w:val="single" w:color="auto" w:sz="4" w:space="0"/>
            </w:tcBorders>
            <w:noWrap w:val="0"/>
            <w:vAlign w:val="top"/>
          </w:tcPr>
          <w:p w14:paraId="45E910BD">
            <w:pPr>
              <w:keepNext w:val="0"/>
              <w:keepLines w:val="0"/>
              <w:pageBreakBefore w:val="0"/>
              <w:bidi w:val="0"/>
              <w:spacing w:line="240" w:lineRule="auto"/>
              <w:ind w:left="-107" w:firstLine="126"/>
              <w:outlineLvl w:val="9"/>
              <w:rPr>
                <w:rFonts w:ascii="宋体" w:hAnsi="宋体" w:cs="宋体"/>
                <w:color w:val="000000"/>
                <w:szCs w:val="21"/>
                <w:highlight w:val="none"/>
              </w:rPr>
            </w:pPr>
            <w:r>
              <w:rPr>
                <w:rFonts w:hint="eastAsia" w:ascii="宋体" w:hAnsi="宋体" w:cs="宋体"/>
                <w:color w:val="000000"/>
                <w:szCs w:val="21"/>
                <w:highlight w:val="none"/>
              </w:rPr>
              <w:t>4、按规定办理车辆出入登记，并保管好记录（保管期限2年）</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01B4CEFA">
            <w:pPr>
              <w:keepNext w:val="0"/>
              <w:keepLines w:val="0"/>
              <w:pageBreakBefore w:val="0"/>
              <w:bidi w:val="0"/>
              <w:spacing w:line="240" w:lineRule="auto"/>
              <w:jc w:val="center"/>
              <w:outlineLvl w:val="9"/>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6</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53FC133B">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现场抽查，每发现1项违反规定，扣1分；抽查记录，发现1项不符合规定，扣1分。</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51F39B59">
            <w:pPr>
              <w:keepNext w:val="0"/>
              <w:keepLines w:val="0"/>
              <w:pageBreakBefore w:val="0"/>
              <w:bidi w:val="0"/>
              <w:spacing w:line="240" w:lineRule="auto"/>
              <w:jc w:val="center"/>
              <w:outlineLvl w:val="9"/>
              <w:rPr>
                <w:rFonts w:ascii="宋体" w:hAnsi="宋体" w:cs="宋体"/>
                <w:color w:val="000000"/>
                <w:szCs w:val="21"/>
                <w:highlight w:val="none"/>
              </w:rPr>
            </w:pPr>
          </w:p>
        </w:tc>
        <w:tc>
          <w:tcPr>
            <w:tcW w:w="437" w:type="dxa"/>
            <w:tcBorders>
              <w:top w:val="single" w:color="auto" w:sz="4" w:space="0"/>
              <w:left w:val="single" w:color="auto" w:sz="4" w:space="0"/>
              <w:bottom w:val="single" w:color="auto" w:sz="4" w:space="0"/>
              <w:right w:val="single" w:color="auto" w:sz="4" w:space="0"/>
            </w:tcBorders>
            <w:noWrap w:val="0"/>
            <w:vAlign w:val="center"/>
          </w:tcPr>
          <w:p w14:paraId="69A988E9">
            <w:pPr>
              <w:keepNext w:val="0"/>
              <w:keepLines w:val="0"/>
              <w:pageBreakBefore w:val="0"/>
              <w:bidi w:val="0"/>
              <w:spacing w:line="240" w:lineRule="auto"/>
              <w:jc w:val="center"/>
              <w:outlineLvl w:val="9"/>
              <w:rPr>
                <w:rFonts w:ascii="宋体" w:hAnsi="宋体" w:cs="宋体"/>
                <w:color w:val="000000"/>
                <w:szCs w:val="21"/>
                <w:highlight w:val="none"/>
              </w:rPr>
            </w:pPr>
          </w:p>
        </w:tc>
      </w:tr>
      <w:tr w14:paraId="5666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14:paraId="24EA3CDE">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12" w:type="dxa"/>
            <w:vMerge w:val="continue"/>
            <w:tcBorders>
              <w:top w:val="single" w:color="auto" w:sz="4" w:space="0"/>
              <w:left w:val="single" w:color="auto" w:sz="4" w:space="0"/>
              <w:bottom w:val="single" w:color="auto" w:sz="4" w:space="0"/>
              <w:right w:val="single" w:color="auto" w:sz="4" w:space="0"/>
            </w:tcBorders>
            <w:noWrap w:val="0"/>
            <w:vAlign w:val="center"/>
          </w:tcPr>
          <w:p w14:paraId="64F91237">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83" w:type="dxa"/>
            <w:tcBorders>
              <w:top w:val="single" w:color="auto" w:sz="4" w:space="0"/>
              <w:left w:val="single" w:color="auto" w:sz="4" w:space="0"/>
              <w:bottom w:val="single" w:color="auto" w:sz="4" w:space="0"/>
              <w:right w:val="single" w:color="auto" w:sz="4" w:space="0"/>
            </w:tcBorders>
            <w:noWrap w:val="0"/>
            <w:vAlign w:val="top"/>
          </w:tcPr>
          <w:p w14:paraId="5B372245">
            <w:pPr>
              <w:keepNext w:val="0"/>
              <w:keepLines w:val="0"/>
              <w:pageBreakBefore w:val="0"/>
              <w:bidi w:val="0"/>
              <w:spacing w:line="240" w:lineRule="auto"/>
              <w:ind w:left="-107" w:firstLine="126"/>
              <w:outlineLvl w:val="9"/>
              <w:rPr>
                <w:rFonts w:ascii="宋体" w:hAnsi="宋体" w:cs="宋体"/>
                <w:color w:val="000000"/>
                <w:szCs w:val="21"/>
                <w:highlight w:val="none"/>
              </w:rPr>
            </w:pPr>
            <w:r>
              <w:rPr>
                <w:rFonts w:hint="eastAsia" w:ascii="宋体" w:hAnsi="宋体" w:cs="宋体"/>
                <w:color w:val="000000"/>
                <w:szCs w:val="21"/>
                <w:highlight w:val="none"/>
              </w:rPr>
              <w:t>5、建立特殊情况下的值班巡逻方案，并按方案执行</w:t>
            </w:r>
          </w:p>
          <w:p w14:paraId="2F648B5F">
            <w:pPr>
              <w:keepNext w:val="0"/>
              <w:keepLines w:val="0"/>
              <w:pageBreakBefore w:val="0"/>
              <w:bidi w:val="0"/>
              <w:spacing w:line="240" w:lineRule="auto"/>
              <w:ind w:left="-107" w:firstLine="126"/>
              <w:outlineLvl w:val="9"/>
              <w:rPr>
                <w:rFonts w:ascii="宋体" w:hAnsi="宋体" w:cs="宋体"/>
                <w:color w:val="000000"/>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529CC248">
            <w:pPr>
              <w:keepNext w:val="0"/>
              <w:keepLines w:val="0"/>
              <w:pageBreakBefore w:val="0"/>
              <w:bidi w:val="0"/>
              <w:spacing w:line="240" w:lineRule="auto"/>
              <w:jc w:val="center"/>
              <w:outlineLvl w:val="9"/>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8</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78E184AC">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未建立方案本子项不得分；抽查记录，发现违反规定，扣2分。</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2A113A2D">
            <w:pPr>
              <w:keepNext w:val="0"/>
              <w:keepLines w:val="0"/>
              <w:pageBreakBefore w:val="0"/>
              <w:bidi w:val="0"/>
              <w:spacing w:line="240" w:lineRule="auto"/>
              <w:jc w:val="center"/>
              <w:outlineLvl w:val="9"/>
              <w:rPr>
                <w:rFonts w:ascii="宋体" w:hAnsi="宋体" w:cs="宋体"/>
                <w:color w:val="000000"/>
                <w:szCs w:val="21"/>
                <w:highlight w:val="none"/>
              </w:rPr>
            </w:pPr>
          </w:p>
        </w:tc>
        <w:tc>
          <w:tcPr>
            <w:tcW w:w="437" w:type="dxa"/>
            <w:tcBorders>
              <w:top w:val="single" w:color="auto" w:sz="4" w:space="0"/>
              <w:left w:val="single" w:color="auto" w:sz="4" w:space="0"/>
              <w:bottom w:val="single" w:color="auto" w:sz="4" w:space="0"/>
              <w:right w:val="single" w:color="auto" w:sz="4" w:space="0"/>
            </w:tcBorders>
            <w:noWrap w:val="0"/>
            <w:vAlign w:val="center"/>
          </w:tcPr>
          <w:p w14:paraId="60A685F5">
            <w:pPr>
              <w:keepNext w:val="0"/>
              <w:keepLines w:val="0"/>
              <w:pageBreakBefore w:val="0"/>
              <w:bidi w:val="0"/>
              <w:spacing w:line="240" w:lineRule="auto"/>
              <w:jc w:val="center"/>
              <w:outlineLvl w:val="9"/>
              <w:rPr>
                <w:rFonts w:ascii="宋体" w:hAnsi="宋体" w:cs="宋体"/>
                <w:color w:val="000000"/>
                <w:szCs w:val="21"/>
                <w:highlight w:val="none"/>
              </w:rPr>
            </w:pPr>
          </w:p>
        </w:tc>
      </w:tr>
      <w:tr w14:paraId="2D5F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14" w:type="dxa"/>
            <w:vMerge w:val="restart"/>
            <w:tcBorders>
              <w:top w:val="single" w:color="auto" w:sz="4" w:space="0"/>
              <w:left w:val="single" w:color="auto" w:sz="4" w:space="0"/>
              <w:bottom w:val="single" w:color="auto" w:sz="4" w:space="0"/>
              <w:right w:val="single" w:color="auto" w:sz="4" w:space="0"/>
            </w:tcBorders>
            <w:noWrap w:val="0"/>
            <w:vAlign w:val="center"/>
          </w:tcPr>
          <w:p w14:paraId="55768F3F">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3</w:t>
            </w:r>
          </w:p>
        </w:tc>
        <w:tc>
          <w:tcPr>
            <w:tcW w:w="1012" w:type="dxa"/>
            <w:vMerge w:val="restart"/>
            <w:tcBorders>
              <w:top w:val="single" w:color="auto" w:sz="4" w:space="0"/>
              <w:left w:val="single" w:color="auto" w:sz="4" w:space="0"/>
              <w:bottom w:val="single" w:color="auto" w:sz="4" w:space="0"/>
              <w:right w:val="single" w:color="auto" w:sz="4" w:space="0"/>
            </w:tcBorders>
            <w:noWrap w:val="0"/>
            <w:vAlign w:val="center"/>
          </w:tcPr>
          <w:p w14:paraId="0C835FD0">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监控（</w:t>
            </w:r>
            <w:r>
              <w:rPr>
                <w:rFonts w:hint="eastAsia" w:ascii="宋体" w:hAnsi="宋体" w:cs="宋体"/>
                <w:color w:val="000000"/>
                <w:szCs w:val="21"/>
                <w:highlight w:val="none"/>
                <w:lang w:val="en-US" w:eastAsia="zh-CN"/>
              </w:rPr>
              <w:t>24</w:t>
            </w:r>
            <w:r>
              <w:rPr>
                <w:rFonts w:hint="eastAsia" w:ascii="宋体" w:hAnsi="宋体" w:cs="宋体"/>
                <w:color w:val="000000"/>
                <w:szCs w:val="21"/>
                <w:highlight w:val="none"/>
              </w:rPr>
              <w:t>）</w:t>
            </w:r>
          </w:p>
        </w:tc>
        <w:tc>
          <w:tcPr>
            <w:tcW w:w="2783" w:type="dxa"/>
            <w:tcBorders>
              <w:top w:val="single" w:color="auto" w:sz="4" w:space="0"/>
              <w:left w:val="single" w:color="auto" w:sz="4" w:space="0"/>
              <w:bottom w:val="single" w:color="auto" w:sz="4" w:space="0"/>
              <w:right w:val="single" w:color="auto" w:sz="4" w:space="0"/>
            </w:tcBorders>
            <w:noWrap w:val="0"/>
            <w:vAlign w:val="top"/>
          </w:tcPr>
          <w:p w14:paraId="4EA2C37E">
            <w:pPr>
              <w:keepNext w:val="0"/>
              <w:keepLines w:val="0"/>
              <w:pageBreakBefore w:val="0"/>
              <w:bidi w:val="0"/>
              <w:spacing w:line="240" w:lineRule="auto"/>
              <w:ind w:left="-107" w:firstLine="126"/>
              <w:outlineLvl w:val="9"/>
              <w:rPr>
                <w:rFonts w:ascii="宋体" w:hAnsi="宋体" w:cs="宋体"/>
                <w:color w:val="000000"/>
                <w:szCs w:val="21"/>
                <w:highlight w:val="none"/>
              </w:rPr>
            </w:pPr>
            <w:r>
              <w:rPr>
                <w:rFonts w:hint="eastAsia" w:ascii="宋体" w:hAnsi="宋体" w:cs="宋体"/>
                <w:color w:val="000000"/>
                <w:szCs w:val="21"/>
                <w:highlight w:val="none"/>
              </w:rPr>
              <w:t>1、签订监控设备维修年度合同，指定维保单位，按规定检查维护</w:t>
            </w:r>
            <w:r>
              <w:rPr>
                <w:rFonts w:hint="eastAsia" w:ascii="宋体" w:hAnsi="宋体" w:cs="宋体"/>
                <w:color w:val="000000"/>
                <w:szCs w:val="21"/>
                <w:highlight w:val="none"/>
                <w:lang w:eastAsia="zh-CN"/>
              </w:rPr>
              <w:t>保安</w:t>
            </w:r>
            <w:r>
              <w:rPr>
                <w:rFonts w:hint="eastAsia" w:ascii="宋体" w:hAnsi="宋体" w:cs="宋体"/>
                <w:color w:val="000000"/>
                <w:szCs w:val="21"/>
                <w:highlight w:val="none"/>
              </w:rPr>
              <w:t>设备器械，保证设备器械状态良好，并做好记录</w:t>
            </w:r>
          </w:p>
          <w:p w14:paraId="665B64C2">
            <w:pPr>
              <w:keepNext w:val="0"/>
              <w:keepLines w:val="0"/>
              <w:pageBreakBefore w:val="0"/>
              <w:bidi w:val="0"/>
              <w:spacing w:line="240" w:lineRule="auto"/>
              <w:ind w:left="-107" w:firstLine="126"/>
              <w:outlineLvl w:val="9"/>
              <w:rPr>
                <w:rFonts w:ascii="宋体" w:hAnsi="宋体" w:cs="宋体"/>
                <w:color w:val="000000"/>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3749DB24">
            <w:pPr>
              <w:keepNext w:val="0"/>
              <w:keepLines w:val="0"/>
              <w:pageBreakBefore w:val="0"/>
              <w:bidi w:val="0"/>
              <w:spacing w:line="240" w:lineRule="auto"/>
              <w:jc w:val="center"/>
              <w:outlineLvl w:val="9"/>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8</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76F7632B">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监控设备未建立维保计划，扣3分；现场抽查3台监控设备及其记录，发现设备非正常运转，或记录不符合规定，本子项不得分。</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47C658C9">
            <w:pPr>
              <w:keepNext w:val="0"/>
              <w:keepLines w:val="0"/>
              <w:pageBreakBefore w:val="0"/>
              <w:bidi w:val="0"/>
              <w:spacing w:line="240" w:lineRule="auto"/>
              <w:jc w:val="center"/>
              <w:outlineLvl w:val="9"/>
              <w:rPr>
                <w:rFonts w:ascii="宋体" w:hAnsi="宋体" w:cs="宋体"/>
                <w:color w:val="000000"/>
                <w:szCs w:val="21"/>
                <w:highlight w:val="none"/>
              </w:rPr>
            </w:pPr>
          </w:p>
        </w:tc>
        <w:tc>
          <w:tcPr>
            <w:tcW w:w="437" w:type="dxa"/>
            <w:tcBorders>
              <w:top w:val="single" w:color="auto" w:sz="4" w:space="0"/>
              <w:left w:val="single" w:color="auto" w:sz="4" w:space="0"/>
              <w:bottom w:val="single" w:color="auto" w:sz="4" w:space="0"/>
              <w:right w:val="single" w:color="auto" w:sz="4" w:space="0"/>
            </w:tcBorders>
            <w:noWrap w:val="0"/>
            <w:vAlign w:val="center"/>
          </w:tcPr>
          <w:p w14:paraId="6FFF90C2">
            <w:pPr>
              <w:keepNext w:val="0"/>
              <w:keepLines w:val="0"/>
              <w:pageBreakBefore w:val="0"/>
              <w:bidi w:val="0"/>
              <w:spacing w:line="240" w:lineRule="auto"/>
              <w:jc w:val="center"/>
              <w:outlineLvl w:val="9"/>
              <w:rPr>
                <w:rFonts w:ascii="宋体" w:hAnsi="宋体" w:cs="宋体"/>
                <w:color w:val="000000"/>
                <w:szCs w:val="21"/>
                <w:highlight w:val="none"/>
              </w:rPr>
            </w:pPr>
          </w:p>
        </w:tc>
      </w:tr>
      <w:tr w14:paraId="16B9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14:paraId="6BC24B0F">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12" w:type="dxa"/>
            <w:vMerge w:val="continue"/>
            <w:tcBorders>
              <w:top w:val="single" w:color="auto" w:sz="4" w:space="0"/>
              <w:left w:val="single" w:color="auto" w:sz="4" w:space="0"/>
              <w:bottom w:val="single" w:color="auto" w:sz="4" w:space="0"/>
              <w:right w:val="single" w:color="auto" w:sz="4" w:space="0"/>
            </w:tcBorders>
            <w:noWrap w:val="0"/>
            <w:vAlign w:val="center"/>
          </w:tcPr>
          <w:p w14:paraId="4E827C9B">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83" w:type="dxa"/>
            <w:tcBorders>
              <w:top w:val="single" w:color="auto" w:sz="4" w:space="0"/>
              <w:left w:val="single" w:color="auto" w:sz="4" w:space="0"/>
              <w:bottom w:val="single" w:color="auto" w:sz="4" w:space="0"/>
              <w:right w:val="single" w:color="auto" w:sz="4" w:space="0"/>
            </w:tcBorders>
            <w:noWrap w:val="0"/>
            <w:vAlign w:val="top"/>
          </w:tcPr>
          <w:p w14:paraId="0F3FEB53">
            <w:pPr>
              <w:keepNext w:val="0"/>
              <w:keepLines w:val="0"/>
              <w:pageBreakBefore w:val="0"/>
              <w:bidi w:val="0"/>
              <w:spacing w:line="240" w:lineRule="auto"/>
              <w:ind w:left="-107" w:firstLine="126"/>
              <w:outlineLvl w:val="9"/>
              <w:rPr>
                <w:rFonts w:ascii="宋体" w:hAnsi="宋体" w:cs="宋体"/>
                <w:color w:val="000000"/>
                <w:szCs w:val="21"/>
                <w:highlight w:val="none"/>
              </w:rPr>
            </w:pPr>
            <w:r>
              <w:rPr>
                <w:rFonts w:hint="eastAsia" w:ascii="宋体" w:hAnsi="宋体" w:cs="宋体"/>
                <w:color w:val="000000"/>
                <w:szCs w:val="21"/>
                <w:highlight w:val="none"/>
              </w:rPr>
              <w:t>2、监控设备应全天候运转，数据按规定进行保存、备份</w:t>
            </w:r>
          </w:p>
          <w:p w14:paraId="56EE8166">
            <w:pPr>
              <w:keepNext w:val="0"/>
              <w:keepLines w:val="0"/>
              <w:pageBreakBefore w:val="0"/>
              <w:bidi w:val="0"/>
              <w:spacing w:line="240" w:lineRule="auto"/>
              <w:ind w:left="-107" w:firstLine="126"/>
              <w:outlineLvl w:val="9"/>
              <w:rPr>
                <w:rFonts w:ascii="宋体" w:hAnsi="宋体" w:cs="宋体"/>
                <w:color w:val="000000"/>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656F2EC8">
            <w:pPr>
              <w:keepNext w:val="0"/>
              <w:keepLines w:val="0"/>
              <w:pageBreakBefore w:val="0"/>
              <w:bidi w:val="0"/>
              <w:spacing w:line="240" w:lineRule="auto"/>
              <w:jc w:val="center"/>
              <w:outlineLvl w:val="9"/>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8</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58C24122">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抽查数据，发现1项不符合规定，本子项不得分。</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709D5BFF">
            <w:pPr>
              <w:keepNext w:val="0"/>
              <w:keepLines w:val="0"/>
              <w:pageBreakBefore w:val="0"/>
              <w:bidi w:val="0"/>
              <w:spacing w:line="240" w:lineRule="auto"/>
              <w:jc w:val="center"/>
              <w:outlineLvl w:val="9"/>
              <w:rPr>
                <w:rFonts w:ascii="宋体" w:hAnsi="宋体" w:cs="宋体"/>
                <w:color w:val="000000"/>
                <w:szCs w:val="21"/>
                <w:highlight w:val="none"/>
              </w:rPr>
            </w:pPr>
          </w:p>
        </w:tc>
        <w:tc>
          <w:tcPr>
            <w:tcW w:w="437" w:type="dxa"/>
            <w:tcBorders>
              <w:top w:val="single" w:color="auto" w:sz="4" w:space="0"/>
              <w:left w:val="single" w:color="auto" w:sz="4" w:space="0"/>
              <w:bottom w:val="single" w:color="auto" w:sz="4" w:space="0"/>
              <w:right w:val="single" w:color="auto" w:sz="4" w:space="0"/>
            </w:tcBorders>
            <w:noWrap w:val="0"/>
            <w:vAlign w:val="center"/>
          </w:tcPr>
          <w:p w14:paraId="2488D39E">
            <w:pPr>
              <w:keepNext w:val="0"/>
              <w:keepLines w:val="0"/>
              <w:pageBreakBefore w:val="0"/>
              <w:bidi w:val="0"/>
              <w:spacing w:line="240" w:lineRule="auto"/>
              <w:jc w:val="center"/>
              <w:outlineLvl w:val="9"/>
              <w:rPr>
                <w:rFonts w:ascii="宋体" w:hAnsi="宋体" w:cs="宋体"/>
                <w:color w:val="000000"/>
                <w:szCs w:val="21"/>
                <w:highlight w:val="none"/>
              </w:rPr>
            </w:pPr>
          </w:p>
        </w:tc>
      </w:tr>
      <w:tr w14:paraId="2CAE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14:paraId="3B848765">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12" w:type="dxa"/>
            <w:vMerge w:val="continue"/>
            <w:tcBorders>
              <w:top w:val="single" w:color="auto" w:sz="4" w:space="0"/>
              <w:left w:val="single" w:color="auto" w:sz="4" w:space="0"/>
              <w:bottom w:val="single" w:color="auto" w:sz="4" w:space="0"/>
              <w:right w:val="single" w:color="auto" w:sz="4" w:space="0"/>
            </w:tcBorders>
            <w:noWrap w:val="0"/>
            <w:vAlign w:val="center"/>
          </w:tcPr>
          <w:p w14:paraId="5A3E20EE">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83" w:type="dxa"/>
            <w:tcBorders>
              <w:top w:val="single" w:color="auto" w:sz="4" w:space="0"/>
              <w:left w:val="single" w:color="auto" w:sz="4" w:space="0"/>
              <w:bottom w:val="single" w:color="auto" w:sz="4" w:space="0"/>
              <w:right w:val="single" w:color="auto" w:sz="4" w:space="0"/>
            </w:tcBorders>
            <w:noWrap w:val="0"/>
            <w:vAlign w:val="top"/>
          </w:tcPr>
          <w:p w14:paraId="32068182">
            <w:pPr>
              <w:keepNext w:val="0"/>
              <w:keepLines w:val="0"/>
              <w:pageBreakBefore w:val="0"/>
              <w:bidi w:val="0"/>
              <w:spacing w:line="240" w:lineRule="auto"/>
              <w:ind w:left="-107" w:firstLine="126"/>
              <w:outlineLvl w:val="9"/>
              <w:rPr>
                <w:rFonts w:ascii="宋体" w:hAnsi="宋体" w:cs="宋体"/>
                <w:color w:val="000000"/>
                <w:szCs w:val="21"/>
                <w:highlight w:val="none"/>
              </w:rPr>
            </w:pPr>
            <w:r>
              <w:rPr>
                <w:rFonts w:hint="eastAsia" w:ascii="宋体" w:hAnsi="宋体" w:cs="宋体"/>
                <w:color w:val="000000"/>
                <w:szCs w:val="21"/>
                <w:highlight w:val="none"/>
              </w:rPr>
              <w:t>3、建立数据使用制度，并严格执行做好记录</w:t>
            </w:r>
          </w:p>
          <w:p w14:paraId="0ABE789D">
            <w:pPr>
              <w:keepNext w:val="0"/>
              <w:keepLines w:val="0"/>
              <w:pageBreakBefore w:val="0"/>
              <w:bidi w:val="0"/>
              <w:spacing w:line="240" w:lineRule="auto"/>
              <w:ind w:left="-107" w:firstLine="126"/>
              <w:outlineLvl w:val="9"/>
              <w:rPr>
                <w:rFonts w:ascii="宋体" w:hAnsi="宋体" w:cs="宋体"/>
                <w:color w:val="000000"/>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2645D5CF">
            <w:pPr>
              <w:keepNext w:val="0"/>
              <w:keepLines w:val="0"/>
              <w:pageBreakBefore w:val="0"/>
              <w:bidi w:val="0"/>
              <w:spacing w:line="240" w:lineRule="auto"/>
              <w:jc w:val="center"/>
              <w:outlineLvl w:val="9"/>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8</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452115BD">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未建立制度扣3分；抽查记录，发现1处不符合规定，本子项不得分。</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07A967CB">
            <w:pPr>
              <w:keepNext w:val="0"/>
              <w:keepLines w:val="0"/>
              <w:pageBreakBefore w:val="0"/>
              <w:bidi w:val="0"/>
              <w:spacing w:line="240" w:lineRule="auto"/>
              <w:jc w:val="center"/>
              <w:outlineLvl w:val="9"/>
              <w:rPr>
                <w:rFonts w:ascii="宋体" w:hAnsi="宋体" w:cs="宋体"/>
                <w:color w:val="000000"/>
                <w:szCs w:val="21"/>
                <w:highlight w:val="none"/>
              </w:rPr>
            </w:pPr>
          </w:p>
        </w:tc>
        <w:tc>
          <w:tcPr>
            <w:tcW w:w="437" w:type="dxa"/>
            <w:tcBorders>
              <w:top w:val="single" w:color="auto" w:sz="4" w:space="0"/>
              <w:left w:val="single" w:color="auto" w:sz="4" w:space="0"/>
              <w:bottom w:val="single" w:color="auto" w:sz="4" w:space="0"/>
              <w:right w:val="single" w:color="auto" w:sz="4" w:space="0"/>
            </w:tcBorders>
            <w:noWrap w:val="0"/>
            <w:vAlign w:val="center"/>
          </w:tcPr>
          <w:p w14:paraId="27691D1E">
            <w:pPr>
              <w:keepNext w:val="0"/>
              <w:keepLines w:val="0"/>
              <w:pageBreakBefore w:val="0"/>
              <w:bidi w:val="0"/>
              <w:spacing w:line="240" w:lineRule="auto"/>
              <w:jc w:val="center"/>
              <w:outlineLvl w:val="9"/>
              <w:rPr>
                <w:rFonts w:ascii="宋体" w:hAnsi="宋体" w:cs="宋体"/>
                <w:color w:val="000000"/>
                <w:szCs w:val="21"/>
                <w:highlight w:val="none"/>
              </w:rPr>
            </w:pPr>
          </w:p>
        </w:tc>
      </w:tr>
      <w:tr w14:paraId="51B2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14" w:type="dxa"/>
            <w:vMerge w:val="restart"/>
            <w:tcBorders>
              <w:top w:val="single" w:color="auto" w:sz="4" w:space="0"/>
              <w:left w:val="single" w:color="auto" w:sz="4" w:space="0"/>
              <w:bottom w:val="single" w:color="auto" w:sz="4" w:space="0"/>
              <w:right w:val="single" w:color="auto" w:sz="4" w:space="0"/>
            </w:tcBorders>
            <w:noWrap w:val="0"/>
            <w:vAlign w:val="center"/>
          </w:tcPr>
          <w:p w14:paraId="12B1EDC0">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4</w:t>
            </w:r>
          </w:p>
        </w:tc>
        <w:tc>
          <w:tcPr>
            <w:tcW w:w="1012" w:type="dxa"/>
            <w:vMerge w:val="restart"/>
            <w:tcBorders>
              <w:top w:val="single" w:color="auto" w:sz="4" w:space="0"/>
              <w:left w:val="single" w:color="auto" w:sz="4" w:space="0"/>
              <w:bottom w:val="single" w:color="auto" w:sz="4" w:space="0"/>
              <w:right w:val="single" w:color="auto" w:sz="4" w:space="0"/>
            </w:tcBorders>
            <w:noWrap w:val="0"/>
            <w:vAlign w:val="center"/>
          </w:tcPr>
          <w:p w14:paraId="4A3FA2A8">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应急管理（</w:t>
            </w:r>
            <w:r>
              <w:rPr>
                <w:rFonts w:hint="eastAsia" w:ascii="宋体" w:hAnsi="宋体" w:cs="宋体"/>
                <w:color w:val="000000"/>
                <w:szCs w:val="21"/>
                <w:highlight w:val="none"/>
                <w:lang w:val="en-US" w:eastAsia="zh-CN"/>
              </w:rPr>
              <w:t>24</w:t>
            </w:r>
            <w:r>
              <w:rPr>
                <w:rFonts w:hint="eastAsia" w:ascii="宋体" w:hAnsi="宋体" w:cs="宋体"/>
                <w:color w:val="000000"/>
                <w:szCs w:val="21"/>
                <w:highlight w:val="none"/>
              </w:rPr>
              <w:t>）</w:t>
            </w:r>
          </w:p>
        </w:tc>
        <w:tc>
          <w:tcPr>
            <w:tcW w:w="2783" w:type="dxa"/>
            <w:tcBorders>
              <w:top w:val="single" w:color="auto" w:sz="4" w:space="0"/>
              <w:left w:val="single" w:color="auto" w:sz="4" w:space="0"/>
              <w:bottom w:val="single" w:color="auto" w:sz="4" w:space="0"/>
              <w:right w:val="single" w:color="auto" w:sz="4" w:space="0"/>
            </w:tcBorders>
            <w:noWrap w:val="0"/>
            <w:vAlign w:val="top"/>
          </w:tcPr>
          <w:p w14:paraId="718468A7">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1、有明确的应急预案</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455ADB30">
            <w:pPr>
              <w:keepNext w:val="0"/>
              <w:keepLines w:val="0"/>
              <w:pageBreakBefore w:val="0"/>
              <w:bidi w:val="0"/>
              <w:spacing w:line="240" w:lineRule="auto"/>
              <w:jc w:val="center"/>
              <w:outlineLvl w:val="9"/>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6</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45FF3123">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未确定应急目标扣1分；未建立应急方案本子项不得分。</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1F869047">
            <w:pPr>
              <w:keepNext w:val="0"/>
              <w:keepLines w:val="0"/>
              <w:pageBreakBefore w:val="0"/>
              <w:bidi w:val="0"/>
              <w:spacing w:line="240" w:lineRule="auto"/>
              <w:jc w:val="center"/>
              <w:outlineLvl w:val="9"/>
              <w:rPr>
                <w:rFonts w:ascii="宋体" w:hAnsi="宋体" w:cs="宋体"/>
                <w:color w:val="000000"/>
                <w:szCs w:val="21"/>
                <w:highlight w:val="none"/>
              </w:rPr>
            </w:pPr>
          </w:p>
        </w:tc>
        <w:tc>
          <w:tcPr>
            <w:tcW w:w="437" w:type="dxa"/>
            <w:tcBorders>
              <w:top w:val="single" w:color="auto" w:sz="4" w:space="0"/>
              <w:left w:val="single" w:color="auto" w:sz="4" w:space="0"/>
              <w:bottom w:val="single" w:color="auto" w:sz="4" w:space="0"/>
              <w:right w:val="single" w:color="auto" w:sz="4" w:space="0"/>
            </w:tcBorders>
            <w:noWrap w:val="0"/>
            <w:vAlign w:val="center"/>
          </w:tcPr>
          <w:p w14:paraId="73940B1E">
            <w:pPr>
              <w:keepNext w:val="0"/>
              <w:keepLines w:val="0"/>
              <w:pageBreakBefore w:val="0"/>
              <w:bidi w:val="0"/>
              <w:spacing w:line="240" w:lineRule="auto"/>
              <w:jc w:val="center"/>
              <w:outlineLvl w:val="9"/>
              <w:rPr>
                <w:rFonts w:ascii="宋体" w:hAnsi="宋体" w:cs="宋体"/>
                <w:color w:val="000000"/>
                <w:szCs w:val="21"/>
                <w:highlight w:val="none"/>
              </w:rPr>
            </w:pPr>
          </w:p>
        </w:tc>
      </w:tr>
      <w:tr w14:paraId="102E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14:paraId="4566E5B9">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12" w:type="dxa"/>
            <w:vMerge w:val="continue"/>
            <w:tcBorders>
              <w:top w:val="single" w:color="auto" w:sz="4" w:space="0"/>
              <w:left w:val="single" w:color="auto" w:sz="4" w:space="0"/>
              <w:bottom w:val="single" w:color="auto" w:sz="4" w:space="0"/>
              <w:right w:val="single" w:color="auto" w:sz="4" w:space="0"/>
            </w:tcBorders>
            <w:noWrap w:val="0"/>
            <w:vAlign w:val="center"/>
          </w:tcPr>
          <w:p w14:paraId="6DF23669">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83" w:type="dxa"/>
            <w:tcBorders>
              <w:top w:val="single" w:color="auto" w:sz="4" w:space="0"/>
              <w:left w:val="single" w:color="auto" w:sz="4" w:space="0"/>
              <w:bottom w:val="single" w:color="auto" w:sz="4" w:space="0"/>
              <w:right w:val="single" w:color="auto" w:sz="4" w:space="0"/>
            </w:tcBorders>
            <w:noWrap w:val="0"/>
            <w:vAlign w:val="top"/>
          </w:tcPr>
          <w:p w14:paraId="71213DD4">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2、建立应急指挥网络，并标明联络点及其负责人和联系电话</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516747B0">
            <w:pPr>
              <w:keepNext w:val="0"/>
              <w:keepLines w:val="0"/>
              <w:pageBreakBefore w:val="0"/>
              <w:bidi w:val="0"/>
              <w:spacing w:line="240" w:lineRule="auto"/>
              <w:jc w:val="center"/>
              <w:outlineLvl w:val="9"/>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6</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350F8740">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未建立应急指挥网络扣2分；应急指挥网络标注信息不全扣1分。</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42E765C9">
            <w:pPr>
              <w:keepNext w:val="0"/>
              <w:keepLines w:val="0"/>
              <w:pageBreakBefore w:val="0"/>
              <w:bidi w:val="0"/>
              <w:spacing w:line="240" w:lineRule="auto"/>
              <w:jc w:val="center"/>
              <w:outlineLvl w:val="9"/>
              <w:rPr>
                <w:rFonts w:ascii="宋体" w:hAnsi="宋体" w:cs="宋体"/>
                <w:color w:val="000000"/>
                <w:szCs w:val="21"/>
                <w:highlight w:val="none"/>
              </w:rPr>
            </w:pPr>
          </w:p>
        </w:tc>
        <w:tc>
          <w:tcPr>
            <w:tcW w:w="437" w:type="dxa"/>
            <w:tcBorders>
              <w:top w:val="single" w:color="auto" w:sz="4" w:space="0"/>
              <w:left w:val="single" w:color="auto" w:sz="4" w:space="0"/>
              <w:bottom w:val="single" w:color="auto" w:sz="4" w:space="0"/>
              <w:right w:val="single" w:color="auto" w:sz="4" w:space="0"/>
            </w:tcBorders>
            <w:noWrap w:val="0"/>
            <w:vAlign w:val="center"/>
          </w:tcPr>
          <w:p w14:paraId="073FB3C5">
            <w:pPr>
              <w:keepNext w:val="0"/>
              <w:keepLines w:val="0"/>
              <w:pageBreakBefore w:val="0"/>
              <w:bidi w:val="0"/>
              <w:spacing w:line="240" w:lineRule="auto"/>
              <w:jc w:val="center"/>
              <w:outlineLvl w:val="9"/>
              <w:rPr>
                <w:rFonts w:ascii="宋体" w:hAnsi="宋体" w:cs="宋体"/>
                <w:color w:val="000000"/>
                <w:szCs w:val="21"/>
                <w:highlight w:val="none"/>
              </w:rPr>
            </w:pPr>
          </w:p>
        </w:tc>
      </w:tr>
      <w:tr w14:paraId="6A8C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14:paraId="7F2FE256">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12" w:type="dxa"/>
            <w:vMerge w:val="continue"/>
            <w:tcBorders>
              <w:top w:val="single" w:color="auto" w:sz="4" w:space="0"/>
              <w:left w:val="single" w:color="auto" w:sz="4" w:space="0"/>
              <w:bottom w:val="single" w:color="auto" w:sz="4" w:space="0"/>
              <w:right w:val="single" w:color="auto" w:sz="4" w:space="0"/>
            </w:tcBorders>
            <w:noWrap w:val="0"/>
            <w:vAlign w:val="center"/>
          </w:tcPr>
          <w:p w14:paraId="15EC536E">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83" w:type="dxa"/>
            <w:tcBorders>
              <w:top w:val="single" w:color="auto" w:sz="4" w:space="0"/>
              <w:left w:val="single" w:color="auto" w:sz="4" w:space="0"/>
              <w:bottom w:val="single" w:color="auto" w:sz="4" w:space="0"/>
              <w:right w:val="single" w:color="auto" w:sz="4" w:space="0"/>
            </w:tcBorders>
            <w:noWrap w:val="0"/>
            <w:vAlign w:val="top"/>
          </w:tcPr>
          <w:p w14:paraId="3CA7E1F4">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3、编制并正式发布应急作业程序</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2CCE8802">
            <w:pPr>
              <w:keepNext w:val="0"/>
              <w:keepLines w:val="0"/>
              <w:pageBreakBefore w:val="0"/>
              <w:bidi w:val="0"/>
              <w:spacing w:line="240" w:lineRule="auto"/>
              <w:jc w:val="center"/>
              <w:outlineLvl w:val="9"/>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6</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6711887D">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lang w:val="en-US" w:eastAsia="zh-CN"/>
              </w:rPr>
              <w:t>未</w:t>
            </w:r>
            <w:r>
              <w:rPr>
                <w:rFonts w:hint="eastAsia" w:ascii="宋体" w:hAnsi="宋体" w:cs="宋体"/>
                <w:color w:val="000000"/>
                <w:szCs w:val="21"/>
                <w:highlight w:val="none"/>
              </w:rPr>
              <w:t>制订应急作业程序扣2分；无应急作业演习记录扣1分。</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11185538">
            <w:pPr>
              <w:keepNext w:val="0"/>
              <w:keepLines w:val="0"/>
              <w:pageBreakBefore w:val="0"/>
              <w:bidi w:val="0"/>
              <w:spacing w:line="240" w:lineRule="auto"/>
              <w:jc w:val="center"/>
              <w:outlineLvl w:val="9"/>
              <w:rPr>
                <w:rFonts w:ascii="宋体" w:hAnsi="宋体" w:cs="宋体"/>
                <w:color w:val="000000"/>
                <w:szCs w:val="21"/>
                <w:highlight w:val="none"/>
              </w:rPr>
            </w:pPr>
          </w:p>
        </w:tc>
        <w:tc>
          <w:tcPr>
            <w:tcW w:w="437" w:type="dxa"/>
            <w:tcBorders>
              <w:top w:val="single" w:color="auto" w:sz="4" w:space="0"/>
              <w:left w:val="single" w:color="auto" w:sz="4" w:space="0"/>
              <w:bottom w:val="single" w:color="auto" w:sz="4" w:space="0"/>
              <w:right w:val="single" w:color="auto" w:sz="4" w:space="0"/>
            </w:tcBorders>
            <w:noWrap w:val="0"/>
            <w:vAlign w:val="center"/>
          </w:tcPr>
          <w:p w14:paraId="3C9B5B5C">
            <w:pPr>
              <w:keepNext w:val="0"/>
              <w:keepLines w:val="0"/>
              <w:pageBreakBefore w:val="0"/>
              <w:bidi w:val="0"/>
              <w:spacing w:line="240" w:lineRule="auto"/>
              <w:jc w:val="center"/>
              <w:outlineLvl w:val="9"/>
              <w:rPr>
                <w:rFonts w:ascii="宋体" w:hAnsi="宋体" w:cs="宋体"/>
                <w:color w:val="000000"/>
                <w:szCs w:val="21"/>
                <w:highlight w:val="none"/>
              </w:rPr>
            </w:pPr>
          </w:p>
        </w:tc>
      </w:tr>
      <w:tr w14:paraId="075C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14:paraId="7552F739">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1012" w:type="dxa"/>
            <w:vMerge w:val="continue"/>
            <w:tcBorders>
              <w:top w:val="single" w:color="auto" w:sz="4" w:space="0"/>
              <w:left w:val="single" w:color="auto" w:sz="4" w:space="0"/>
              <w:bottom w:val="single" w:color="auto" w:sz="4" w:space="0"/>
              <w:right w:val="single" w:color="auto" w:sz="4" w:space="0"/>
            </w:tcBorders>
            <w:noWrap w:val="0"/>
            <w:vAlign w:val="center"/>
          </w:tcPr>
          <w:p w14:paraId="128DA560">
            <w:pPr>
              <w:keepNext w:val="0"/>
              <w:keepLines w:val="0"/>
              <w:pageBreakBefore w:val="0"/>
              <w:widowControl/>
              <w:bidi w:val="0"/>
              <w:spacing w:line="240" w:lineRule="auto"/>
              <w:jc w:val="left"/>
              <w:outlineLvl w:val="9"/>
              <w:rPr>
                <w:rFonts w:ascii="宋体" w:hAnsi="宋体" w:cs="宋体"/>
                <w:color w:val="000000"/>
                <w:szCs w:val="21"/>
                <w:highlight w:val="none"/>
              </w:rPr>
            </w:pPr>
          </w:p>
        </w:tc>
        <w:tc>
          <w:tcPr>
            <w:tcW w:w="2783" w:type="dxa"/>
            <w:tcBorders>
              <w:top w:val="single" w:color="auto" w:sz="4" w:space="0"/>
              <w:left w:val="single" w:color="auto" w:sz="4" w:space="0"/>
              <w:bottom w:val="single" w:color="auto" w:sz="4" w:space="0"/>
              <w:right w:val="single" w:color="auto" w:sz="4" w:space="0"/>
            </w:tcBorders>
            <w:noWrap w:val="0"/>
            <w:vAlign w:val="top"/>
          </w:tcPr>
          <w:p w14:paraId="20E4AE32">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4、应急事件有记录、并及时总结，完善应急预案，整改存在问题</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0B8FE438">
            <w:pPr>
              <w:keepNext w:val="0"/>
              <w:keepLines w:val="0"/>
              <w:pageBreakBefore w:val="0"/>
              <w:bidi w:val="0"/>
              <w:spacing w:line="240" w:lineRule="auto"/>
              <w:jc w:val="center"/>
              <w:outlineLvl w:val="9"/>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6</w:t>
            </w:r>
          </w:p>
        </w:tc>
        <w:tc>
          <w:tcPr>
            <w:tcW w:w="3675" w:type="dxa"/>
            <w:tcBorders>
              <w:top w:val="single" w:color="auto" w:sz="4" w:space="0"/>
              <w:left w:val="single" w:color="auto" w:sz="4" w:space="0"/>
              <w:bottom w:val="single" w:color="auto" w:sz="4" w:space="0"/>
              <w:right w:val="single" w:color="auto" w:sz="4" w:space="0"/>
            </w:tcBorders>
            <w:noWrap w:val="0"/>
            <w:vAlign w:val="top"/>
          </w:tcPr>
          <w:p w14:paraId="052C2092">
            <w:pPr>
              <w:keepNext w:val="0"/>
              <w:keepLines w:val="0"/>
              <w:pageBreakBefore w:val="0"/>
              <w:bidi w:val="0"/>
              <w:spacing w:line="240" w:lineRule="auto"/>
              <w:outlineLvl w:val="9"/>
              <w:rPr>
                <w:rFonts w:ascii="宋体" w:hAnsi="宋体" w:cs="宋体"/>
                <w:color w:val="000000"/>
                <w:szCs w:val="21"/>
                <w:highlight w:val="none"/>
              </w:rPr>
            </w:pPr>
            <w:r>
              <w:rPr>
                <w:rFonts w:hint="eastAsia" w:ascii="宋体" w:hAnsi="宋体" w:cs="宋体"/>
                <w:color w:val="000000"/>
                <w:szCs w:val="21"/>
                <w:highlight w:val="none"/>
              </w:rPr>
              <w:t>应急事件发生后无记录扣2分；未及时总结，扣2分；没有整改措施扣2分。</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0CBE46EF">
            <w:pPr>
              <w:keepNext w:val="0"/>
              <w:keepLines w:val="0"/>
              <w:pageBreakBefore w:val="0"/>
              <w:bidi w:val="0"/>
              <w:spacing w:line="240" w:lineRule="auto"/>
              <w:jc w:val="center"/>
              <w:outlineLvl w:val="9"/>
              <w:rPr>
                <w:rFonts w:ascii="宋体" w:hAnsi="宋体" w:cs="宋体"/>
                <w:color w:val="000000"/>
                <w:szCs w:val="21"/>
                <w:highlight w:val="none"/>
              </w:rPr>
            </w:pPr>
          </w:p>
        </w:tc>
        <w:tc>
          <w:tcPr>
            <w:tcW w:w="437" w:type="dxa"/>
            <w:tcBorders>
              <w:top w:val="single" w:color="auto" w:sz="4" w:space="0"/>
              <w:left w:val="single" w:color="auto" w:sz="4" w:space="0"/>
              <w:bottom w:val="single" w:color="auto" w:sz="4" w:space="0"/>
              <w:right w:val="single" w:color="auto" w:sz="4" w:space="0"/>
            </w:tcBorders>
            <w:noWrap w:val="0"/>
            <w:vAlign w:val="center"/>
          </w:tcPr>
          <w:p w14:paraId="2CD7A1EC">
            <w:pPr>
              <w:keepNext w:val="0"/>
              <w:keepLines w:val="0"/>
              <w:pageBreakBefore w:val="0"/>
              <w:bidi w:val="0"/>
              <w:spacing w:line="240" w:lineRule="auto"/>
              <w:jc w:val="center"/>
              <w:outlineLvl w:val="9"/>
              <w:rPr>
                <w:rFonts w:ascii="宋体" w:hAnsi="宋体" w:cs="宋体"/>
                <w:color w:val="000000"/>
                <w:szCs w:val="21"/>
                <w:highlight w:val="none"/>
              </w:rPr>
            </w:pPr>
          </w:p>
        </w:tc>
      </w:tr>
      <w:tr w14:paraId="41C5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026" w:type="dxa"/>
            <w:gridSpan w:val="5"/>
            <w:tcBorders>
              <w:top w:val="single" w:color="auto" w:sz="4" w:space="0"/>
              <w:left w:val="single" w:color="auto" w:sz="4" w:space="0"/>
              <w:bottom w:val="single" w:color="auto" w:sz="4" w:space="0"/>
              <w:right w:val="single" w:color="auto" w:sz="4" w:space="0"/>
            </w:tcBorders>
            <w:noWrap w:val="0"/>
            <w:vAlign w:val="center"/>
          </w:tcPr>
          <w:p w14:paraId="22510F64">
            <w:pPr>
              <w:keepNext w:val="0"/>
              <w:keepLines w:val="0"/>
              <w:pageBreakBefore w:val="0"/>
              <w:bidi w:val="0"/>
              <w:spacing w:line="240" w:lineRule="auto"/>
              <w:jc w:val="center"/>
              <w:outlineLvl w:val="9"/>
              <w:rPr>
                <w:rFonts w:ascii="宋体" w:hAnsi="宋体" w:cs="宋体"/>
                <w:color w:val="000000"/>
                <w:szCs w:val="21"/>
                <w:highlight w:val="none"/>
              </w:rPr>
            </w:pPr>
            <w:r>
              <w:rPr>
                <w:rFonts w:hint="eastAsia" w:ascii="宋体" w:hAnsi="宋体" w:cs="宋体"/>
                <w:color w:val="000000"/>
                <w:szCs w:val="21"/>
                <w:highlight w:val="none"/>
              </w:rPr>
              <w:t>合计   100   分</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6E446BCD">
            <w:pPr>
              <w:keepNext w:val="0"/>
              <w:keepLines w:val="0"/>
              <w:pageBreakBefore w:val="0"/>
              <w:bidi w:val="0"/>
              <w:spacing w:line="240" w:lineRule="auto"/>
              <w:jc w:val="center"/>
              <w:outlineLvl w:val="9"/>
              <w:rPr>
                <w:rFonts w:ascii="宋体" w:hAnsi="宋体" w:cs="宋体"/>
                <w:color w:val="000000"/>
                <w:szCs w:val="21"/>
                <w:highlight w:val="none"/>
              </w:rPr>
            </w:pPr>
          </w:p>
        </w:tc>
        <w:tc>
          <w:tcPr>
            <w:tcW w:w="437" w:type="dxa"/>
            <w:tcBorders>
              <w:top w:val="single" w:color="auto" w:sz="4" w:space="0"/>
              <w:left w:val="single" w:color="auto" w:sz="4" w:space="0"/>
              <w:bottom w:val="single" w:color="auto" w:sz="4" w:space="0"/>
              <w:right w:val="single" w:color="auto" w:sz="4" w:space="0"/>
            </w:tcBorders>
            <w:noWrap w:val="0"/>
            <w:vAlign w:val="center"/>
          </w:tcPr>
          <w:p w14:paraId="204EE7BB">
            <w:pPr>
              <w:keepNext w:val="0"/>
              <w:keepLines w:val="0"/>
              <w:pageBreakBefore w:val="0"/>
              <w:bidi w:val="0"/>
              <w:spacing w:line="240" w:lineRule="auto"/>
              <w:jc w:val="center"/>
              <w:outlineLvl w:val="9"/>
              <w:rPr>
                <w:rFonts w:ascii="宋体" w:hAnsi="宋体" w:cs="宋体"/>
                <w:color w:val="000000"/>
                <w:szCs w:val="21"/>
                <w:highlight w:val="none"/>
              </w:rPr>
            </w:pPr>
          </w:p>
        </w:tc>
      </w:tr>
    </w:tbl>
    <w:p w14:paraId="1B977942">
      <w:pPr>
        <w:spacing w:line="380" w:lineRule="exact"/>
        <w:ind w:firstLine="422"/>
        <w:rPr>
          <w:rFonts w:ascii="宋体" w:hAnsi="宋体" w:cs="宋体"/>
          <w:b/>
          <w:color w:val="000000"/>
          <w:szCs w:val="21"/>
          <w:highlight w:val="none"/>
        </w:rPr>
      </w:pPr>
      <w:r>
        <w:rPr>
          <w:rFonts w:hint="eastAsia" w:ascii="宋体" w:hAnsi="宋体" w:cs="宋体"/>
          <w:b/>
          <w:color w:val="000000"/>
          <w:szCs w:val="21"/>
          <w:highlight w:val="none"/>
          <w:lang w:val="en-US" w:eastAsia="zh-CN"/>
        </w:rPr>
        <w:t xml:space="preserve">7.6 </w:t>
      </w:r>
      <w:r>
        <w:rPr>
          <w:rFonts w:hint="eastAsia" w:ascii="宋体" w:hAnsi="宋体" w:cs="宋体"/>
          <w:b/>
          <w:color w:val="000000"/>
          <w:szCs w:val="21"/>
          <w:highlight w:val="none"/>
        </w:rPr>
        <w:t>退出机制</w:t>
      </w:r>
    </w:p>
    <w:p w14:paraId="1212F2B6">
      <w:pPr>
        <w:spacing w:line="380" w:lineRule="exact"/>
        <w:ind w:firstLine="42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lang w:eastAsia="zh-CN"/>
        </w:rPr>
        <w:t>）</w:t>
      </w:r>
      <w:r>
        <w:rPr>
          <w:rFonts w:hint="eastAsia" w:ascii="宋体" w:hAnsi="宋体" w:cs="宋体"/>
          <w:color w:val="000000"/>
          <w:szCs w:val="21"/>
          <w:lang w:val="en-US" w:eastAsia="zh-CN"/>
        </w:rPr>
        <w:t>采购人</w:t>
      </w:r>
      <w:r>
        <w:rPr>
          <w:rFonts w:hint="eastAsia" w:ascii="宋体" w:hAnsi="宋体" w:cs="宋体"/>
          <w:color w:val="000000"/>
          <w:szCs w:val="21"/>
        </w:rPr>
        <w:t>每月对中标人的服务进行全面考核一次，80分以上（含80分）为合格，考核不合格应向</w:t>
      </w:r>
      <w:r>
        <w:rPr>
          <w:rFonts w:hint="eastAsia" w:ascii="宋体" w:hAnsi="宋体" w:cs="宋体"/>
          <w:color w:val="000000"/>
          <w:szCs w:val="21"/>
          <w:lang w:eastAsia="zh-CN"/>
        </w:rPr>
        <w:t>采购人</w:t>
      </w:r>
      <w:r>
        <w:rPr>
          <w:rFonts w:hint="eastAsia" w:ascii="宋体" w:hAnsi="宋体" w:cs="宋体"/>
          <w:color w:val="000000"/>
          <w:szCs w:val="21"/>
        </w:rPr>
        <w:t>支付当月服务合同总金额的</w:t>
      </w:r>
      <w:r>
        <w:rPr>
          <w:rFonts w:hint="eastAsia" w:ascii="宋体" w:hAnsi="宋体" w:cs="宋体"/>
          <w:color w:val="000000"/>
          <w:szCs w:val="21"/>
          <w:u w:val="single"/>
        </w:rPr>
        <w:t xml:space="preserve"> 5% </w:t>
      </w:r>
      <w:r>
        <w:rPr>
          <w:rFonts w:hint="eastAsia" w:ascii="宋体" w:hAnsi="宋体" w:cs="宋体"/>
          <w:color w:val="000000"/>
          <w:szCs w:val="21"/>
        </w:rPr>
        <w:t>的处罚，三次考核不合格或情节严重的，</w:t>
      </w:r>
      <w:r>
        <w:rPr>
          <w:rFonts w:hint="eastAsia" w:ascii="宋体" w:hAnsi="宋体" w:cs="宋体"/>
          <w:color w:val="000000"/>
          <w:szCs w:val="21"/>
          <w:lang w:eastAsia="zh-CN"/>
        </w:rPr>
        <w:t>采购人</w:t>
      </w:r>
      <w:r>
        <w:rPr>
          <w:rFonts w:hint="eastAsia" w:ascii="宋体" w:hAnsi="宋体" w:cs="宋体"/>
          <w:color w:val="000000"/>
          <w:szCs w:val="21"/>
        </w:rPr>
        <w:t>有权终止采购合同，中标人承担相应的法律责任。</w:t>
      </w:r>
    </w:p>
    <w:p w14:paraId="1CA891B2">
      <w:pPr>
        <w:spacing w:line="38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lang w:eastAsia="zh-CN"/>
        </w:rPr>
        <w:t>）中标人</w:t>
      </w:r>
      <w:r>
        <w:rPr>
          <w:rFonts w:hint="eastAsia" w:ascii="宋体" w:hAnsi="宋体" w:eastAsia="宋体" w:cs="宋体"/>
          <w:color w:val="000000"/>
          <w:szCs w:val="21"/>
          <w:highlight w:val="none"/>
        </w:rPr>
        <w:t>如不按服务采购需求内容执行，视为违约，采购人</w:t>
      </w:r>
      <w:r>
        <w:rPr>
          <w:rFonts w:hint="eastAsia" w:ascii="宋体" w:hAnsi="宋体" w:cs="宋体"/>
          <w:color w:val="000000"/>
          <w:szCs w:val="21"/>
          <w:lang w:eastAsia="zh-CN"/>
        </w:rPr>
        <w:t>依法解除</w:t>
      </w:r>
      <w:r>
        <w:rPr>
          <w:rFonts w:hint="eastAsia" w:ascii="宋体" w:hAnsi="宋体" w:eastAsia="宋体" w:cs="宋体"/>
          <w:color w:val="000000"/>
          <w:szCs w:val="21"/>
          <w:highlight w:val="none"/>
        </w:rPr>
        <w:t>合同。</w:t>
      </w:r>
    </w:p>
    <w:p w14:paraId="4B651EE0">
      <w:pPr>
        <w:spacing w:line="38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lang w:eastAsia="zh-CN"/>
        </w:rPr>
        <w:t>）中标人</w:t>
      </w:r>
      <w:r>
        <w:rPr>
          <w:rFonts w:hint="eastAsia" w:ascii="宋体" w:hAnsi="宋体" w:eastAsia="宋体" w:cs="宋体"/>
          <w:color w:val="000000"/>
          <w:szCs w:val="21"/>
          <w:highlight w:val="none"/>
        </w:rPr>
        <w:t>如不按合同要求配足人数或者合同要求需持证上岗的专业技术人员没达到要求，采购人</w:t>
      </w:r>
      <w:r>
        <w:rPr>
          <w:rFonts w:hint="eastAsia" w:ascii="宋体" w:hAnsi="宋体" w:cs="宋体"/>
          <w:color w:val="000000"/>
          <w:szCs w:val="21"/>
          <w:lang w:eastAsia="zh-CN"/>
        </w:rPr>
        <w:t>依法解除</w:t>
      </w:r>
      <w:r>
        <w:rPr>
          <w:rFonts w:hint="eastAsia" w:ascii="宋体" w:hAnsi="宋体" w:eastAsia="宋体" w:cs="宋体"/>
          <w:color w:val="000000"/>
          <w:szCs w:val="21"/>
          <w:highlight w:val="none"/>
        </w:rPr>
        <w:t>合同。</w:t>
      </w:r>
    </w:p>
    <w:p w14:paraId="5882C5BA">
      <w:pPr>
        <w:spacing w:line="380" w:lineRule="exact"/>
        <w:ind w:firstLine="42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lang w:eastAsia="zh-CN"/>
        </w:rPr>
        <w:t>）中标人服务期间出现</w:t>
      </w:r>
      <w:r>
        <w:rPr>
          <w:rFonts w:hint="eastAsia" w:ascii="宋体" w:hAnsi="宋体" w:eastAsia="宋体" w:cs="宋体"/>
          <w:color w:val="000000"/>
          <w:szCs w:val="21"/>
          <w:highlight w:val="none"/>
          <w:lang w:val="en-US" w:eastAsia="zh-CN"/>
        </w:rPr>
        <w:t>违反政治纪律、</w:t>
      </w:r>
      <w:r>
        <w:rPr>
          <w:rFonts w:hint="eastAsia" w:ascii="宋体" w:hAnsi="宋体" w:eastAsia="宋体" w:cs="宋体"/>
          <w:color w:val="000000"/>
          <w:szCs w:val="21"/>
          <w:highlight w:val="none"/>
          <w:lang w:eastAsia="zh-CN"/>
        </w:rPr>
        <w:t>失泄密事件、造成重大社会</w:t>
      </w:r>
      <w:r>
        <w:rPr>
          <w:rFonts w:hint="eastAsia" w:ascii="宋体" w:hAnsi="宋体" w:eastAsia="宋体" w:cs="宋体"/>
          <w:color w:val="000000"/>
          <w:szCs w:val="21"/>
          <w:lang w:eastAsia="zh-CN"/>
        </w:rPr>
        <w:t>舆情</w:t>
      </w:r>
      <w:r>
        <w:rPr>
          <w:rFonts w:hint="eastAsia" w:ascii="宋体" w:hAnsi="宋体" w:eastAsia="宋体" w:cs="宋体"/>
          <w:color w:val="000000"/>
          <w:szCs w:val="21"/>
          <w:highlight w:val="none"/>
          <w:lang w:eastAsia="zh-CN"/>
        </w:rPr>
        <w:t>等情况，</w:t>
      </w:r>
      <w:r>
        <w:rPr>
          <w:rFonts w:hint="eastAsia" w:ascii="宋体" w:hAnsi="宋体" w:eastAsia="宋体" w:cs="宋体"/>
          <w:color w:val="000000"/>
          <w:szCs w:val="21"/>
          <w:highlight w:val="none"/>
        </w:rPr>
        <w:t>采购人</w:t>
      </w:r>
      <w:r>
        <w:rPr>
          <w:rFonts w:hint="eastAsia" w:ascii="宋体" w:hAnsi="宋体" w:cs="宋体"/>
          <w:color w:val="000000"/>
          <w:szCs w:val="21"/>
          <w:lang w:eastAsia="zh-CN"/>
        </w:rPr>
        <w:t>依法解除</w:t>
      </w:r>
      <w:r>
        <w:rPr>
          <w:rFonts w:hint="eastAsia" w:ascii="宋体" w:hAnsi="宋体" w:eastAsia="宋体" w:cs="宋体"/>
          <w:color w:val="000000"/>
          <w:szCs w:val="21"/>
          <w:highlight w:val="none"/>
        </w:rPr>
        <w:t>合同</w:t>
      </w:r>
      <w:r>
        <w:rPr>
          <w:rFonts w:hint="eastAsia" w:ascii="宋体" w:hAnsi="宋体" w:eastAsia="宋体" w:cs="宋体"/>
          <w:color w:val="000000"/>
          <w:szCs w:val="21"/>
          <w:highlight w:val="none"/>
          <w:lang w:eastAsia="zh-CN"/>
        </w:rPr>
        <w:t>并追究相应责任</w:t>
      </w:r>
      <w:r>
        <w:rPr>
          <w:rFonts w:hint="eastAsia" w:ascii="宋体" w:hAnsi="宋体" w:eastAsia="宋体" w:cs="宋体"/>
          <w:color w:val="000000"/>
          <w:szCs w:val="21"/>
          <w:highlight w:val="none"/>
        </w:rPr>
        <w:t>。</w:t>
      </w:r>
    </w:p>
    <w:p w14:paraId="63E6C3E3">
      <w:pPr>
        <w:spacing w:line="380" w:lineRule="exact"/>
        <w:ind w:firstLine="42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lang w:eastAsia="zh-CN"/>
        </w:rPr>
        <w:t>）</w:t>
      </w:r>
      <w:r>
        <w:rPr>
          <w:rFonts w:hint="eastAsia" w:ascii="宋体" w:hAnsi="宋体" w:cs="宋体"/>
          <w:color w:val="000000"/>
          <w:szCs w:val="21"/>
        </w:rPr>
        <w:t>为确保整个大楼的安全及服务范围的所有办公区、路面场地、路段的正常秩序和清洁、保洁质量达标，如专职管理人员不符合本项目要求，</w:t>
      </w:r>
      <w:r>
        <w:rPr>
          <w:rFonts w:hint="eastAsia" w:ascii="宋体" w:hAnsi="宋体" w:cs="宋体"/>
          <w:color w:val="000000"/>
          <w:szCs w:val="21"/>
          <w:lang w:eastAsia="zh-CN"/>
        </w:rPr>
        <w:t>采购人</w:t>
      </w:r>
      <w:r>
        <w:rPr>
          <w:rFonts w:hint="eastAsia" w:ascii="宋体" w:hAnsi="宋体" w:cs="宋体"/>
          <w:color w:val="000000"/>
          <w:szCs w:val="21"/>
        </w:rPr>
        <w:t>有权要求更换专职管理人员，且因严重失误造成严重后果者，投标人赔偿相应经济损失，</w:t>
      </w:r>
      <w:r>
        <w:rPr>
          <w:rFonts w:hint="eastAsia" w:ascii="宋体" w:hAnsi="宋体" w:cs="宋体"/>
          <w:color w:val="000000"/>
          <w:szCs w:val="21"/>
          <w:lang w:eastAsia="zh-CN"/>
        </w:rPr>
        <w:t>采购人依法解除</w:t>
      </w:r>
      <w:r>
        <w:rPr>
          <w:rFonts w:hint="eastAsia" w:ascii="宋体" w:hAnsi="宋体" w:cs="宋体"/>
          <w:color w:val="000000"/>
          <w:szCs w:val="21"/>
        </w:rPr>
        <w:t>合同。</w:t>
      </w:r>
    </w:p>
    <w:p w14:paraId="5FDBEA57">
      <w:pPr>
        <w:spacing w:line="400" w:lineRule="exact"/>
        <w:ind w:firstLine="420"/>
        <w:rPr>
          <w:rFonts w:hint="eastAsia" w:ascii="宋体" w:hAnsi="宋体" w:eastAsia="宋体" w:cs="宋体"/>
          <w:b/>
          <w:bCs/>
          <w:color w:val="000000"/>
          <w:highlight w:val="none"/>
        </w:rPr>
      </w:pPr>
      <w:r>
        <w:rPr>
          <w:rFonts w:hint="eastAsia" w:ascii="宋体" w:hAnsi="宋体" w:cs="宋体"/>
          <w:b/>
          <w:bCs/>
          <w:color w:val="000000"/>
          <w:szCs w:val="21"/>
          <w:lang w:val="en-US" w:eastAsia="zh-CN"/>
        </w:rPr>
        <w:t>7.7</w:t>
      </w:r>
      <w:r>
        <w:rPr>
          <w:rFonts w:hint="eastAsia" w:ascii="宋体" w:hAnsi="宋体" w:cs="宋体"/>
          <w:b/>
          <w:bCs/>
          <w:color w:val="000000"/>
          <w:szCs w:val="21"/>
        </w:rPr>
        <w:t>投标人须根据本项目服务采购需求自行编写服务方案，其中内容包含但不限于以下内容：</w:t>
      </w:r>
      <w:r>
        <w:rPr>
          <w:rFonts w:hint="eastAsia" w:hAnsi="宋体" w:cs="宋体"/>
          <w:b/>
          <w:bCs/>
          <w:color w:val="000000"/>
          <w:szCs w:val="21"/>
          <w:highlight w:val="none"/>
        </w:rPr>
        <w:t>公司管理体系及规章制度</w:t>
      </w:r>
      <w:r>
        <w:rPr>
          <w:rFonts w:hint="eastAsia" w:ascii="宋体" w:hAnsi="宋体" w:cs="宋体"/>
          <w:b/>
          <w:bCs/>
          <w:color w:val="000000"/>
          <w:szCs w:val="21"/>
        </w:rPr>
        <w:t>；</w:t>
      </w:r>
      <w:r>
        <w:rPr>
          <w:rFonts w:hint="eastAsia" w:ascii="宋体" w:hAnsi="宋体" w:cs="宋体"/>
          <w:b/>
          <w:bCs/>
          <w:color w:val="000000"/>
          <w:szCs w:val="21"/>
          <w:highlight w:val="none"/>
        </w:rPr>
        <w:t>设备及设施维护、维修保障方案</w:t>
      </w:r>
      <w:r>
        <w:rPr>
          <w:rFonts w:hint="eastAsia" w:ascii="宋体" w:hAnsi="宋体" w:cs="宋体"/>
          <w:b/>
          <w:bCs/>
          <w:color w:val="000000"/>
          <w:szCs w:val="21"/>
        </w:rPr>
        <w:t>；</w:t>
      </w:r>
      <w:r>
        <w:rPr>
          <w:rFonts w:hint="eastAsia" w:ascii="宋体" w:hAnsi="宋体" w:cs="宋体"/>
          <w:b/>
          <w:bCs/>
          <w:color w:val="000000"/>
          <w:szCs w:val="21"/>
          <w:highlight w:val="none"/>
          <w:lang w:eastAsia="zh-CN"/>
        </w:rPr>
        <w:t>保安</w:t>
      </w:r>
      <w:r>
        <w:rPr>
          <w:rFonts w:hint="eastAsia" w:ascii="宋体" w:hAnsi="宋体" w:cs="宋体"/>
          <w:b/>
          <w:bCs/>
          <w:color w:val="000000"/>
          <w:szCs w:val="21"/>
          <w:highlight w:val="none"/>
        </w:rPr>
        <w:t>及消防服务方案</w:t>
      </w:r>
      <w:r>
        <w:rPr>
          <w:rFonts w:hint="eastAsia" w:ascii="宋体" w:hAnsi="宋体" w:cs="宋体"/>
          <w:b/>
          <w:bCs/>
          <w:color w:val="000000"/>
          <w:szCs w:val="21"/>
        </w:rPr>
        <w:t>；</w:t>
      </w:r>
      <w:r>
        <w:rPr>
          <w:rFonts w:hint="eastAsia" w:ascii="宋体" w:hAnsi="宋体" w:cs="宋体"/>
          <w:b/>
          <w:bCs/>
          <w:color w:val="000000"/>
          <w:szCs w:val="21"/>
          <w:highlight w:val="none"/>
        </w:rPr>
        <w:t>保洁服务方案</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绿化服务方案</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重大或突发事件应急保障方案</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项目实施人员配备方案</w:t>
      </w:r>
      <w:r>
        <w:rPr>
          <w:rFonts w:hint="eastAsia" w:ascii="宋体" w:hAnsi="宋体" w:cs="宋体"/>
          <w:b/>
          <w:bCs/>
          <w:color w:val="000000"/>
          <w:szCs w:val="21"/>
        </w:rPr>
        <w:t>等。</w:t>
      </w:r>
    </w:p>
    <w:p w14:paraId="72C93752">
      <w:pPr>
        <w:widowControl/>
        <w:spacing w:line="440" w:lineRule="exact"/>
        <w:ind w:firstLine="422"/>
        <w:rPr>
          <w:rFonts w:hint="eastAsia" w:ascii="宋体" w:hAnsi="宋体" w:eastAsia="宋体" w:cs="宋体"/>
          <w:b/>
          <w:color w:val="000000"/>
          <w:szCs w:val="21"/>
          <w:highlight w:val="none"/>
        </w:rPr>
      </w:pPr>
      <w:r>
        <w:rPr>
          <w:rFonts w:hint="eastAsia" w:ascii="宋体" w:hAnsi="宋体" w:eastAsia="宋体" w:cs="宋体"/>
          <w:b/>
          <w:bCs/>
          <w:color w:val="000000"/>
          <w:highlight w:val="none"/>
          <w:lang w:val="en-US" w:eastAsia="zh-CN"/>
        </w:rPr>
        <w:t xml:space="preserve">7.8 </w:t>
      </w:r>
      <w:r>
        <w:rPr>
          <w:rFonts w:hint="eastAsia" w:ascii="宋体" w:hAnsi="宋体" w:eastAsia="宋体" w:cs="宋体"/>
          <w:b/>
          <w:color w:val="000000"/>
          <w:szCs w:val="21"/>
          <w:highlight w:val="none"/>
        </w:rPr>
        <w:t>现场勘察</w:t>
      </w:r>
    </w:p>
    <w:p w14:paraId="4A920DC6">
      <w:pPr>
        <w:widowControl/>
        <w:spacing w:line="44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拟参加本项目的投标人如有需要，可对现场进行勘察，由投标人代表自行前往实地进行勘察</w:t>
      </w:r>
      <w:r>
        <w:rPr>
          <w:rFonts w:hint="eastAsia" w:ascii="宋体" w:hAnsi="宋体" w:cs="宋体"/>
          <w:color w:val="000000"/>
          <w:szCs w:val="21"/>
          <w:highlight w:val="none"/>
          <w:lang w:eastAsia="zh-CN"/>
        </w:rPr>
        <w:t>。</w:t>
      </w:r>
      <w:r>
        <w:rPr>
          <w:rFonts w:hint="eastAsia" w:ascii="宋体" w:hAnsi="宋体" w:eastAsia="宋体" w:cs="宋体"/>
          <w:color w:val="auto"/>
          <w:szCs w:val="21"/>
          <w:highlight w:val="none"/>
        </w:rPr>
        <w:t>本现场考察非强制要求（即非实质性要求），</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可自行决定是否前往参加。</w:t>
      </w:r>
      <w:r>
        <w:rPr>
          <w:rFonts w:hint="eastAsia" w:ascii="宋体" w:hAnsi="宋体" w:eastAsia="宋体" w:cs="宋体"/>
          <w:color w:val="000000"/>
          <w:szCs w:val="21"/>
          <w:highlight w:val="none"/>
        </w:rPr>
        <w:t>现场勘察所发生的一切费用及风险由投标人自行承担，联系人及联系电话：</w:t>
      </w:r>
      <w:r>
        <w:rPr>
          <w:rFonts w:hint="eastAsia" w:ascii="宋体" w:hAnsi="宋体" w:eastAsia="宋体" w:cs="宋体"/>
          <w:color w:val="000000"/>
          <w:szCs w:val="21"/>
          <w:highlight w:val="none"/>
          <w:lang w:val="en-US" w:eastAsia="zh-CN"/>
        </w:rPr>
        <w:t>彭</w:t>
      </w:r>
      <w:r>
        <w:rPr>
          <w:rFonts w:hint="eastAsia" w:ascii="宋体" w:hAnsi="宋体" w:eastAsia="宋体" w:cs="宋体"/>
          <w:color w:val="000000"/>
          <w:szCs w:val="21"/>
          <w:highlight w:val="none"/>
        </w:rPr>
        <w:t>科长  0773-2848</w:t>
      </w:r>
      <w:r>
        <w:rPr>
          <w:rFonts w:hint="eastAsia" w:ascii="宋体" w:hAnsi="宋体" w:cs="宋体"/>
          <w:color w:val="000000"/>
          <w:szCs w:val="21"/>
          <w:highlight w:val="none"/>
          <w:lang w:val="en-US" w:eastAsia="zh-CN"/>
        </w:rPr>
        <w:t>114</w:t>
      </w:r>
      <w:r>
        <w:rPr>
          <w:rFonts w:hint="eastAsia" w:ascii="宋体" w:hAnsi="宋体" w:eastAsia="宋体" w:cs="宋体"/>
          <w:color w:val="000000"/>
          <w:szCs w:val="21"/>
          <w:highlight w:val="none"/>
        </w:rPr>
        <w:t>。</w:t>
      </w:r>
    </w:p>
    <w:p w14:paraId="3B902E37">
      <w:pPr>
        <w:pStyle w:val="251"/>
        <w:spacing w:line="400" w:lineRule="exact"/>
        <w:ind w:firstLine="422"/>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lang w:val="en-US" w:eastAsia="zh-CN"/>
        </w:rPr>
        <w:t>7.9</w:t>
      </w:r>
      <w:r>
        <w:rPr>
          <w:rFonts w:hint="eastAsia" w:ascii="宋体" w:hAnsi="宋体" w:eastAsia="宋体" w:cs="宋体"/>
          <w:b/>
          <w:color w:val="000000"/>
          <w:sz w:val="21"/>
          <w:szCs w:val="21"/>
          <w:highlight w:val="none"/>
        </w:rPr>
        <w:t>采购预算</w:t>
      </w:r>
    </w:p>
    <w:p w14:paraId="6E016AFB">
      <w:pPr>
        <w:spacing w:line="400" w:lineRule="exact"/>
        <w:ind w:firstLine="420"/>
        <w:jc w:val="left"/>
        <w:outlineLvl w:val="9"/>
        <w:rPr>
          <w:rStyle w:val="249"/>
          <w:rFonts w:hint="eastAsia" w:ascii="宋体" w:hAnsi="宋体" w:cs="宋体"/>
          <w:color w:val="000000"/>
          <w:sz w:val="32"/>
          <w:szCs w:val="32"/>
          <w:highlight w:val="none"/>
        </w:rPr>
      </w:pPr>
      <w:r>
        <w:rPr>
          <w:rFonts w:hint="eastAsia" w:ascii="宋体" w:hAnsi="宋体" w:cs="宋体"/>
          <w:color w:val="000000"/>
          <w:szCs w:val="21"/>
          <w:highlight w:val="none"/>
        </w:rPr>
        <w:t>该项目预算金额为</w:t>
      </w:r>
      <w:r>
        <w:rPr>
          <w:rFonts w:hint="eastAsia" w:ascii="宋体" w:hAnsi="宋体" w:cs="宋体"/>
          <w:color w:val="000000"/>
          <w:szCs w:val="21"/>
          <w:highlight w:val="none"/>
          <w:lang w:eastAsia="zh-CN"/>
        </w:rPr>
        <w:t>人民币壹仟贰佰壹拾玖万壹仟元整（¥12191000.00元）</w:t>
      </w:r>
      <w:r>
        <w:rPr>
          <w:rFonts w:hint="eastAsia" w:ascii="宋体" w:hAnsi="宋体" w:cs="宋体"/>
          <w:color w:val="000000"/>
          <w:szCs w:val="21"/>
          <w:highlight w:val="none"/>
        </w:rPr>
        <w:t>。投标报价超出政府采购预算总金额的将被视为无效投标处理。</w:t>
      </w:r>
    </w:p>
    <w:p w14:paraId="008BF8CB">
      <w:pPr>
        <w:rPr>
          <w:rFonts w:hint="eastAsia"/>
        </w:rPr>
      </w:pPr>
    </w:p>
    <w:p w14:paraId="0A17B160">
      <w:pPr>
        <w:rPr>
          <w:rFonts w:hint="default" w:eastAsia="宋体"/>
          <w:lang w:val="en-US" w:eastAsia="zh-CN"/>
        </w:rPr>
      </w:pPr>
      <w:r>
        <w:rPr>
          <w:rFonts w:hint="eastAsia"/>
          <w:lang w:val="en-US" w:eastAsia="zh-CN"/>
        </w:rPr>
        <w:t xml:space="preserve">   </w:t>
      </w:r>
    </w:p>
    <w:p w14:paraId="21E9E3C7">
      <w:pPr>
        <w:rPr>
          <w:rFonts w:hint="eastAsia"/>
        </w:rPr>
      </w:pPr>
    </w:p>
    <w:p w14:paraId="0A4070D6">
      <w:pPr>
        <w:rPr>
          <w:rFonts w:hint="eastAsia"/>
        </w:rPr>
      </w:pPr>
    </w:p>
    <w:p w14:paraId="704E5CB6">
      <w:pPr>
        <w:rPr>
          <w:rFonts w:hint="eastAsia"/>
        </w:rPr>
      </w:pPr>
    </w:p>
    <w:p w14:paraId="3F773D71">
      <w:pPr>
        <w:rPr>
          <w:rFonts w:hint="eastAsia"/>
        </w:rPr>
      </w:pPr>
    </w:p>
    <w:p w14:paraId="6F6AD7C8">
      <w:pPr>
        <w:rPr>
          <w:rFonts w:hint="eastAsia"/>
        </w:rPr>
      </w:pPr>
    </w:p>
    <w:p w14:paraId="69BFE59E">
      <w:pPr>
        <w:rPr>
          <w:rFonts w:hint="eastAsia"/>
        </w:rPr>
      </w:pPr>
    </w:p>
    <w:p w14:paraId="39A3426E">
      <w:pPr>
        <w:pStyle w:val="2"/>
        <w:rPr>
          <w:rFonts w:hint="eastAsia"/>
        </w:rPr>
      </w:pPr>
    </w:p>
    <w:p w14:paraId="6A41E416">
      <w:pPr>
        <w:rPr>
          <w:rFonts w:hint="eastAsia"/>
        </w:rPr>
      </w:pPr>
    </w:p>
    <w:p w14:paraId="308984D2">
      <w:pPr>
        <w:rPr>
          <w:rFonts w:hint="eastAsia"/>
        </w:rPr>
      </w:pPr>
    </w:p>
    <w:p w14:paraId="3A65929B">
      <w:pPr>
        <w:rPr>
          <w:rFonts w:hint="eastAsia"/>
        </w:rPr>
      </w:pPr>
    </w:p>
    <w:p w14:paraId="39ECB926">
      <w:pPr>
        <w:jc w:val="center"/>
        <w:outlineLvl w:val="0"/>
        <w:rPr>
          <w:rStyle w:val="249"/>
          <w:rFonts w:hint="eastAsia" w:ascii="宋体" w:hAnsi="宋体" w:cs="宋体"/>
          <w:color w:val="000000"/>
          <w:sz w:val="32"/>
          <w:szCs w:val="32"/>
          <w:highlight w:val="none"/>
        </w:rPr>
      </w:pPr>
      <w:r>
        <w:rPr>
          <w:rStyle w:val="249"/>
          <w:rFonts w:hint="eastAsia" w:ascii="宋体" w:hAnsi="宋体" w:cs="宋体"/>
          <w:color w:val="000000"/>
          <w:sz w:val="32"/>
          <w:szCs w:val="32"/>
          <w:highlight w:val="none"/>
        </w:rPr>
        <w:t>第四章  评标办法</w:t>
      </w:r>
      <w:bookmarkEnd w:id="222"/>
      <w:bookmarkEnd w:id="223"/>
      <w:bookmarkEnd w:id="224"/>
    </w:p>
    <w:p w14:paraId="3F32107B">
      <w:pPr>
        <w:spacing w:line="360" w:lineRule="auto"/>
        <w:ind w:firstLine="426"/>
        <w:jc w:val="left"/>
        <w:rPr>
          <w:rFonts w:ascii="宋体" w:hAnsi="宋体" w:cs="宋体"/>
          <w:b/>
          <w:color w:val="000000"/>
          <w:szCs w:val="21"/>
          <w:highlight w:val="none"/>
        </w:rPr>
      </w:pPr>
      <w:r>
        <w:rPr>
          <w:rFonts w:hint="eastAsia" w:ascii="宋体" w:hAnsi="宋体" w:cs="宋体"/>
          <w:b/>
          <w:color w:val="000000"/>
          <w:szCs w:val="21"/>
          <w:highlight w:val="none"/>
        </w:rPr>
        <w:t>一、评标原则</w:t>
      </w:r>
    </w:p>
    <w:p w14:paraId="524B521C">
      <w:pPr>
        <w:pStyle w:val="213"/>
        <w:spacing w:line="360" w:lineRule="auto"/>
        <w:ind w:firstLine="420"/>
        <w:contextualSpacing/>
        <w:rPr>
          <w:rFonts w:hAnsi="宋体" w:cs="宋体"/>
          <w:bCs/>
          <w:color w:val="000000"/>
          <w:szCs w:val="21"/>
          <w:highlight w:val="none"/>
        </w:rPr>
      </w:pPr>
      <w:r>
        <w:rPr>
          <w:rFonts w:hint="eastAsia" w:hAnsi="宋体" w:cs="宋体"/>
          <w:bCs/>
          <w:color w:val="000000"/>
          <w:szCs w:val="21"/>
          <w:highlight w:val="none"/>
        </w:rPr>
        <w:t>（一）评标委员会组成：本招标采购项目的评标委员会由采购人代表、</w:t>
      </w:r>
      <w:r>
        <w:rPr>
          <w:rFonts w:hint="eastAsia" w:hAnsi="宋体" w:cs="宋体"/>
          <w:bCs/>
          <w:color w:val="000000"/>
          <w:szCs w:val="21"/>
          <w:highlight w:val="none"/>
          <w:lang w:eastAsia="zh-CN"/>
        </w:rPr>
        <w:t>评审专家</w:t>
      </w:r>
      <w:r>
        <w:rPr>
          <w:rFonts w:hint="eastAsia" w:hAnsi="宋体" w:cs="宋体"/>
          <w:bCs/>
          <w:color w:val="000000"/>
          <w:szCs w:val="21"/>
          <w:highlight w:val="none"/>
        </w:rPr>
        <w:t>组成。其中，</w:t>
      </w:r>
      <w:r>
        <w:rPr>
          <w:rFonts w:hint="eastAsia" w:hAnsi="宋体" w:cs="宋体"/>
          <w:bCs/>
          <w:color w:val="000000"/>
          <w:szCs w:val="21"/>
          <w:highlight w:val="none"/>
          <w:lang w:eastAsia="zh-CN"/>
        </w:rPr>
        <w:t>评审专家</w:t>
      </w:r>
      <w:r>
        <w:rPr>
          <w:rFonts w:hint="eastAsia" w:hAnsi="宋体" w:cs="宋体"/>
          <w:bCs/>
          <w:color w:val="000000"/>
          <w:szCs w:val="21"/>
          <w:highlight w:val="none"/>
        </w:rPr>
        <w:t>不得少于成员总数的三分之二。</w:t>
      </w:r>
    </w:p>
    <w:p w14:paraId="2D4EB2A6">
      <w:pPr>
        <w:pStyle w:val="213"/>
        <w:spacing w:line="360" w:lineRule="auto"/>
        <w:ind w:firstLine="420"/>
        <w:contextualSpacing/>
        <w:rPr>
          <w:rFonts w:hAnsi="宋体" w:cs="宋体"/>
          <w:bCs/>
          <w:color w:val="000000"/>
          <w:szCs w:val="21"/>
          <w:highlight w:val="none"/>
        </w:rPr>
      </w:pPr>
      <w:r>
        <w:rPr>
          <w:rFonts w:hint="eastAsia" w:hAnsi="宋体" w:cs="宋体"/>
          <w:bCs/>
          <w:color w:val="000000"/>
          <w:szCs w:val="21"/>
          <w:highlight w:val="none"/>
        </w:rPr>
        <w:t>（二）评标依据：评委将以</w:t>
      </w:r>
      <w:r>
        <w:rPr>
          <w:rFonts w:hint="eastAsia" w:hAnsi="宋体" w:cs="宋体"/>
          <w:bCs/>
          <w:color w:val="000000"/>
          <w:szCs w:val="21"/>
        </w:rPr>
        <w:t>招投标文件</w:t>
      </w:r>
      <w:r>
        <w:rPr>
          <w:rFonts w:hint="eastAsia" w:hAnsi="宋体" w:cs="宋体"/>
          <w:bCs/>
          <w:color w:val="000000"/>
          <w:szCs w:val="21"/>
          <w:highlight w:val="none"/>
        </w:rPr>
        <w:t>为评标依据，对投标人的投标</w:t>
      </w:r>
      <w:r>
        <w:rPr>
          <w:rFonts w:hint="eastAsia" w:hAnsi="宋体" w:cs="宋体"/>
          <w:color w:val="000000"/>
          <w:szCs w:val="21"/>
          <w:highlight w:val="none"/>
        </w:rPr>
        <w:t>报价、</w:t>
      </w:r>
      <w:r>
        <w:rPr>
          <w:rFonts w:hint="eastAsia" w:hAnsi="宋体" w:cs="宋体"/>
          <w:color w:val="000000"/>
          <w:szCs w:val="21"/>
          <w:highlight w:val="none"/>
          <w:lang w:eastAsia="zh-CN"/>
        </w:rPr>
        <w:t>服务方案</w:t>
      </w:r>
      <w:r>
        <w:rPr>
          <w:rFonts w:hint="eastAsia" w:hAnsi="宋体" w:cs="宋体"/>
          <w:color w:val="000000"/>
          <w:szCs w:val="21"/>
          <w:highlight w:val="none"/>
        </w:rPr>
        <w:t>、</w:t>
      </w:r>
      <w:r>
        <w:rPr>
          <w:rFonts w:hint="eastAsia" w:ascii="宋体" w:hAnsi="宋体" w:eastAsia="宋体" w:cs="宋体"/>
          <w:b/>
          <w:bCs/>
          <w:color w:val="000000"/>
          <w:szCs w:val="21"/>
        </w:rPr>
        <w:t>项目实施人员配备方案</w:t>
      </w:r>
      <w:r>
        <w:rPr>
          <w:rFonts w:hint="eastAsia" w:ascii="宋体" w:hAnsi="宋体" w:eastAsia="宋体" w:cs="宋体"/>
          <w:b/>
          <w:bCs/>
          <w:color w:val="000000"/>
          <w:szCs w:val="21"/>
          <w:lang w:eastAsia="zh-CN"/>
        </w:rPr>
        <w:t>、</w:t>
      </w:r>
      <w:r>
        <w:rPr>
          <w:rFonts w:hint="eastAsia" w:hAnsi="宋体" w:cs="宋体"/>
          <w:color w:val="000000"/>
          <w:szCs w:val="21"/>
          <w:highlight w:val="none"/>
        </w:rPr>
        <w:t>履约能力</w:t>
      </w:r>
      <w:r>
        <w:rPr>
          <w:rFonts w:hint="eastAsia" w:hAnsi="宋体" w:cs="宋体"/>
          <w:color w:val="000000"/>
          <w:szCs w:val="21"/>
          <w:highlight w:val="none"/>
          <w:lang w:eastAsia="zh-CN"/>
        </w:rPr>
        <w:t>、</w:t>
      </w:r>
      <w:r>
        <w:rPr>
          <w:rFonts w:hint="eastAsia" w:hAnsi="宋体" w:cs="宋体"/>
          <w:color w:val="000000"/>
          <w:szCs w:val="21"/>
          <w:highlight w:val="none"/>
          <w:lang w:val="en-US" w:eastAsia="zh-CN"/>
        </w:rPr>
        <w:t>服务承诺</w:t>
      </w:r>
      <w:r>
        <w:rPr>
          <w:rFonts w:hint="eastAsia" w:hAnsi="宋体" w:cs="宋体"/>
          <w:color w:val="000000"/>
          <w:szCs w:val="21"/>
          <w:highlight w:val="none"/>
        </w:rPr>
        <w:t>等方面内容按百分制打分。</w:t>
      </w:r>
    </w:p>
    <w:p w14:paraId="2B13BA36">
      <w:pPr>
        <w:pStyle w:val="213"/>
        <w:spacing w:line="360" w:lineRule="auto"/>
        <w:ind w:firstLine="420"/>
        <w:contextualSpacing/>
        <w:rPr>
          <w:rFonts w:hAnsi="宋体" w:cs="宋体"/>
          <w:bCs/>
          <w:color w:val="000000"/>
          <w:szCs w:val="21"/>
          <w:highlight w:val="none"/>
        </w:rPr>
      </w:pPr>
      <w:r>
        <w:rPr>
          <w:rFonts w:hint="eastAsia" w:hAnsi="宋体" w:cs="宋体"/>
          <w:bCs/>
          <w:color w:val="000000"/>
          <w:szCs w:val="21"/>
          <w:highlight w:val="none"/>
        </w:rPr>
        <w:t>（三）评标方式：以封闭方式进行。</w:t>
      </w:r>
    </w:p>
    <w:p w14:paraId="76297019">
      <w:pPr>
        <w:spacing w:line="360" w:lineRule="auto"/>
        <w:ind w:firstLine="420"/>
        <w:rPr>
          <w:rFonts w:hint="eastAsia" w:ascii="宋体" w:hAnsi="宋体" w:cs="宋体"/>
          <w:bCs/>
          <w:color w:val="000000"/>
          <w:sz w:val="21"/>
          <w:szCs w:val="21"/>
          <w:highlight w:val="none"/>
        </w:rPr>
      </w:pPr>
      <w:r>
        <w:rPr>
          <w:rFonts w:hint="eastAsia" w:ascii="宋体" w:hAnsi="宋体" w:cs="宋体"/>
          <w:bCs/>
          <w:color w:val="000000"/>
          <w:szCs w:val="21"/>
          <w:highlight w:val="none"/>
        </w:rPr>
        <w:t>（四）采购人和采购代理机构、评标委员会成员要严格遵守政府采购相关法律制度，依法履行各自职责，公正、客观、审慎地组织和参与评审工作。</w:t>
      </w:r>
    </w:p>
    <w:p w14:paraId="461A8D03">
      <w:pPr>
        <w:spacing w:line="360" w:lineRule="auto"/>
        <w:ind w:firstLine="487"/>
        <w:jc w:val="left"/>
        <w:rPr>
          <w:rFonts w:ascii="宋体" w:hAnsi="宋体" w:cs="宋体"/>
          <w:b/>
          <w:color w:val="000000"/>
          <w:sz w:val="24"/>
          <w:highlight w:val="none"/>
        </w:rPr>
      </w:pPr>
      <w:r>
        <w:rPr>
          <w:rFonts w:hint="eastAsia" w:ascii="宋体" w:hAnsi="宋体" w:cs="宋体"/>
          <w:b/>
          <w:color w:val="000000"/>
          <w:sz w:val="24"/>
          <w:highlight w:val="none"/>
        </w:rPr>
        <w:t>二、评定方法</w:t>
      </w:r>
    </w:p>
    <w:p w14:paraId="61D2BEA9">
      <w:pPr>
        <w:pStyle w:val="213"/>
        <w:spacing w:line="360" w:lineRule="auto"/>
        <w:ind w:firstLine="420"/>
        <w:contextualSpacing/>
        <w:rPr>
          <w:rFonts w:hAnsi="宋体" w:cs="宋体"/>
          <w:bCs/>
          <w:color w:val="000000"/>
          <w:szCs w:val="21"/>
          <w:highlight w:val="none"/>
        </w:rPr>
      </w:pPr>
      <w:r>
        <w:rPr>
          <w:rFonts w:hint="eastAsia" w:hAnsi="宋体" w:cs="宋体"/>
          <w:bCs/>
          <w:color w:val="000000"/>
          <w:szCs w:val="21"/>
          <w:highlight w:val="none"/>
        </w:rPr>
        <w:t>（一）对进入详评的，采用百分制综合评分法。</w:t>
      </w:r>
    </w:p>
    <w:p w14:paraId="2B164528">
      <w:pPr>
        <w:pStyle w:val="213"/>
        <w:spacing w:line="360" w:lineRule="auto"/>
        <w:ind w:firstLine="420"/>
        <w:contextualSpacing/>
        <w:rPr>
          <w:rFonts w:hAnsi="宋体" w:cs="宋体"/>
          <w:bCs/>
          <w:color w:val="000000"/>
          <w:szCs w:val="21"/>
          <w:highlight w:val="none"/>
        </w:rPr>
      </w:pPr>
      <w:r>
        <w:rPr>
          <w:rFonts w:hint="eastAsia" w:hAnsi="宋体" w:cs="宋体"/>
          <w:bCs/>
          <w:color w:val="000000"/>
          <w:szCs w:val="21"/>
          <w:highlight w:val="none"/>
        </w:rPr>
        <w:t>（二）计分办法（按四舍五入取至百分位）：</w:t>
      </w:r>
    </w:p>
    <w:p w14:paraId="432089E3">
      <w:pPr>
        <w:pStyle w:val="213"/>
        <w:spacing w:line="360" w:lineRule="auto"/>
        <w:rPr>
          <w:rFonts w:hAnsi="宋体" w:cs="宋体"/>
          <w:b/>
          <w:bCs/>
          <w:color w:val="000000"/>
          <w:szCs w:val="21"/>
          <w:highlight w:val="none"/>
        </w:rPr>
      </w:pPr>
      <w:bookmarkStart w:id="226" w:name="_Toc7653"/>
      <w:r>
        <w:rPr>
          <w:rFonts w:hint="eastAsia" w:hAnsi="宋体" w:cs="宋体"/>
          <w:b/>
          <w:bCs/>
          <w:color w:val="000000"/>
          <w:szCs w:val="21"/>
          <w:highlight w:val="none"/>
        </w:rPr>
        <w:t>1、价格分…………………………………………………………………………………………………</w:t>
      </w:r>
      <w:r>
        <w:rPr>
          <w:rFonts w:hint="eastAsia" w:hAnsi="宋体" w:cs="宋体"/>
          <w:b/>
          <w:bCs/>
          <w:color w:val="000000"/>
          <w:szCs w:val="21"/>
          <w:highlight w:val="none"/>
          <w:lang w:eastAsia="zh-CN"/>
        </w:rPr>
        <w:t>满</w:t>
      </w:r>
      <w:bookmarkEnd w:id="225"/>
      <w:r>
        <w:rPr>
          <w:rFonts w:hint="eastAsia" w:hAnsi="宋体" w:cs="宋体"/>
          <w:b/>
          <w:bCs/>
          <w:color w:val="000000"/>
          <w:szCs w:val="21"/>
          <w:highlight w:val="none"/>
          <w:lang w:eastAsia="zh-CN"/>
        </w:rPr>
        <w:t>分</w:t>
      </w:r>
      <w:r>
        <w:rPr>
          <w:rFonts w:hint="eastAsia" w:hAnsi="宋体" w:cs="宋体"/>
          <w:b/>
          <w:bCs/>
          <w:color w:val="000000"/>
          <w:szCs w:val="21"/>
          <w:highlight w:val="none"/>
          <w:lang w:val="en-US" w:eastAsia="zh-CN"/>
        </w:rPr>
        <w:t>30</w:t>
      </w:r>
      <w:r>
        <w:rPr>
          <w:rFonts w:hint="eastAsia" w:ascii="Times New Roman" w:hAnsi="Times New Roman"/>
          <w:b/>
          <w:color w:val="000000"/>
          <w:szCs w:val="21"/>
        </w:rPr>
        <w:t>分</w:t>
      </w:r>
    </w:p>
    <w:p w14:paraId="4BC33758">
      <w:pPr>
        <w:pStyle w:val="213"/>
        <w:spacing w:line="360" w:lineRule="auto"/>
        <w:ind w:firstLine="420"/>
        <w:rPr>
          <w:rFonts w:hAnsi="宋体" w:cs="宋体"/>
          <w:color w:val="000000"/>
          <w:szCs w:val="21"/>
          <w:highlight w:val="none"/>
        </w:rPr>
      </w:pPr>
      <w:r>
        <w:rPr>
          <w:rFonts w:hint="eastAsia" w:hAnsi="宋体" w:cs="宋体"/>
          <w:color w:val="000000"/>
          <w:szCs w:val="21"/>
          <w:highlight w:val="none"/>
        </w:rPr>
        <w:t>（</w:t>
      </w:r>
      <w:r>
        <w:rPr>
          <w:rFonts w:hint="eastAsia" w:hAnsi="宋体" w:cs="宋体"/>
          <w:color w:val="000000"/>
          <w:szCs w:val="21"/>
          <w:highlight w:val="none"/>
          <w:lang w:val="en-US" w:eastAsia="zh-CN"/>
        </w:rPr>
        <w:t>1</w:t>
      </w:r>
      <w:r>
        <w:rPr>
          <w:rFonts w:hint="eastAsia" w:hAnsi="宋体" w:cs="宋体"/>
          <w:color w:val="000000"/>
          <w:szCs w:val="21"/>
          <w:highlight w:val="none"/>
        </w:rPr>
        <w:t>）价格分采用低价优先法计算，即满足招标文件要求且评标报价最低的评标报价为评标基准价，其价格分为</w:t>
      </w:r>
      <w:r>
        <w:rPr>
          <w:rFonts w:hint="eastAsia" w:hAnsi="宋体" w:cs="宋体"/>
          <w:color w:val="000000"/>
          <w:szCs w:val="21"/>
          <w:highlight w:val="none"/>
          <w:lang w:val="en-US" w:eastAsia="zh-CN"/>
        </w:rPr>
        <w:t>30</w:t>
      </w:r>
      <w:r>
        <w:rPr>
          <w:rFonts w:hint="eastAsia" w:hAnsi="宋体" w:cs="宋体"/>
          <w:color w:val="000000"/>
          <w:szCs w:val="21"/>
          <w:highlight w:val="none"/>
        </w:rPr>
        <w:t>分。</w:t>
      </w:r>
    </w:p>
    <w:p w14:paraId="437926F4">
      <w:pPr>
        <w:pStyle w:val="213"/>
        <w:spacing w:line="360" w:lineRule="auto"/>
        <w:ind w:firstLine="420"/>
        <w:rPr>
          <w:rFonts w:hAnsi="宋体" w:cs="宋体"/>
          <w:color w:val="000000"/>
          <w:szCs w:val="21"/>
          <w:highlight w:val="none"/>
        </w:rPr>
      </w:pPr>
      <w:r>
        <w:rPr>
          <w:rFonts w:hint="eastAsia" w:hAnsi="宋体" w:cs="宋体"/>
          <w:color w:val="000000"/>
          <w:szCs w:val="21"/>
          <w:highlight w:val="none"/>
        </w:rPr>
        <w:t>（</w:t>
      </w:r>
      <w:r>
        <w:rPr>
          <w:rFonts w:hint="eastAsia" w:hAnsi="宋体" w:cs="宋体"/>
          <w:color w:val="000000"/>
          <w:szCs w:val="21"/>
          <w:highlight w:val="none"/>
          <w:lang w:val="en-US" w:eastAsia="zh-CN"/>
        </w:rPr>
        <w:t>2</w:t>
      </w:r>
      <w:r>
        <w:rPr>
          <w:rFonts w:hint="eastAsia" w:hAnsi="宋体" w:cs="宋体"/>
          <w:color w:val="000000"/>
          <w:szCs w:val="21"/>
          <w:highlight w:val="none"/>
        </w:rPr>
        <w:t>）价格分计算公式：</w:t>
      </w:r>
    </w:p>
    <w:p w14:paraId="3E84BBB2">
      <w:pPr>
        <w:pStyle w:val="213"/>
        <w:spacing w:line="360" w:lineRule="auto"/>
        <w:ind w:firstLine="3087"/>
        <w:rPr>
          <w:rFonts w:hAnsi="宋体" w:cs="宋体"/>
          <w:bCs/>
          <w:color w:val="000000"/>
          <w:szCs w:val="21"/>
          <w:highlight w:val="none"/>
        </w:rPr>
      </w:pPr>
      <w:r>
        <w:rPr>
          <w:rFonts w:hint="eastAsia" w:hAnsi="宋体" w:cs="宋体"/>
          <w:bCs/>
          <w:color w:val="000000"/>
          <w:szCs w:val="21"/>
          <w:highlight w:val="none"/>
        </w:rPr>
        <w:t xml:space="preserve"> 最低投标人</w:t>
      </w:r>
      <w:r>
        <w:rPr>
          <w:rFonts w:hint="eastAsia" w:hAnsi="宋体" w:cs="宋体"/>
          <w:color w:val="000000"/>
          <w:szCs w:val="21"/>
          <w:highlight w:val="none"/>
        </w:rPr>
        <w:t>评标报价</w:t>
      </w:r>
      <w:r>
        <w:rPr>
          <w:rFonts w:hint="eastAsia" w:hAnsi="宋体" w:cs="宋体"/>
          <w:bCs/>
          <w:color w:val="000000"/>
          <w:szCs w:val="21"/>
          <w:highlight w:val="none"/>
        </w:rPr>
        <w:t xml:space="preserve">金额          </w:t>
      </w:r>
    </w:p>
    <w:p w14:paraId="5CC9165F">
      <w:pPr>
        <w:pStyle w:val="213"/>
        <w:spacing w:line="360" w:lineRule="auto"/>
        <w:ind w:firstLine="420"/>
        <w:rPr>
          <w:rFonts w:hAnsi="宋体" w:cs="宋体"/>
          <w:bCs/>
          <w:color w:val="000000"/>
          <w:szCs w:val="21"/>
          <w:highlight w:val="none"/>
        </w:rPr>
      </w:pPr>
      <w:r>
        <w:rPr>
          <w:rFonts w:hAnsi="宋体" w:cs="宋体"/>
          <w:bCs/>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2" name="_x0000_s2103"/>
                <wp:cNvGraphicFramePr/>
                <a:graphic xmlns:a="http://schemas.openxmlformats.org/drawingml/2006/main">
                  <a:graphicData uri="http://schemas.microsoft.com/office/word/2010/wordprocessingShape">
                    <wps:wsp>
                      <wps:cNvCnPr/>
                      <wps:spPr bwMode="auto">
                        <a:xfrm>
                          <a:off x="0" y="0"/>
                          <a:ext cx="1981200" cy="635"/>
                        </a:xfrm>
                        <a:prstGeom prst="line">
                          <a:avLst/>
                        </a:prstGeom>
                        <a:noFill/>
                        <a:ln>
                          <a:solidFill>
                            <a:srgbClr val="000000"/>
                          </a:solidFill>
                        </a:ln>
                      </wps:spPr>
                      <wps:bodyPr rot="0">
                        <a:noAutofit/>
                      </wps:bodyPr>
                    </wps:wsp>
                  </a:graphicData>
                </a:graphic>
              </wp:anchor>
            </w:drawing>
          </mc:Choice>
          <mc:Fallback>
            <w:pict>
              <v:line id="_x0000_s2103" o:spid="_x0000_s1026" o:spt="20" style="position:absolute;left:0pt;margin-left:143.25pt;margin-top:11.75pt;height:0.05pt;width:156pt;z-index:251659264;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KWp87WAAAACQEAAA8AAAAAAAAAAQAgAAAAIgAAAGRycy9kb3ducmV2LnhtbFBLAQIUABQA&#10;AAAIAIdO4kAeefipuQEAAIQDAAAOAAAAAAAAAAEAIAAAACUBAABkcnMvZTJvRG9jLnhtbFBLBQYA&#10;AAAABgAGAFkBAABQBQAAAAA=&#10;">
                <v:fill on="f" focussize="0,0"/>
                <v:stroke color="#000000" joinstyle="round"/>
                <v:imagedata o:title=""/>
                <o:lock v:ext="edit" aspectratio="f"/>
              </v:line>
            </w:pict>
          </mc:Fallback>
        </mc:AlternateContent>
      </w:r>
      <w:r>
        <w:rPr>
          <w:rFonts w:hint="eastAsia" w:hAnsi="宋体" w:cs="宋体"/>
          <w:bCs/>
          <w:color w:val="000000"/>
          <w:szCs w:val="21"/>
          <w:highlight w:val="none"/>
        </w:rPr>
        <w:t>某投标人价格分 =                                         ×</w:t>
      </w:r>
      <w:r>
        <w:rPr>
          <w:rFonts w:hint="eastAsia" w:hAnsi="宋体" w:cs="宋体"/>
          <w:bCs/>
          <w:color w:val="000000"/>
          <w:szCs w:val="21"/>
          <w:highlight w:val="none"/>
          <w:lang w:val="en-US" w:eastAsia="zh-CN"/>
        </w:rPr>
        <w:t>30</w:t>
      </w:r>
      <w:r>
        <w:rPr>
          <w:rFonts w:hint="eastAsia" w:hAnsi="宋体" w:cs="宋体"/>
          <w:bCs/>
          <w:color w:val="000000"/>
          <w:szCs w:val="21"/>
          <w:highlight w:val="none"/>
        </w:rPr>
        <w:t>分</w:t>
      </w:r>
    </w:p>
    <w:p w14:paraId="149F469D">
      <w:pPr>
        <w:pStyle w:val="213"/>
        <w:spacing w:line="360" w:lineRule="auto"/>
        <w:ind w:firstLine="420"/>
        <w:rPr>
          <w:color w:val="000000"/>
          <w:highlight w:val="none"/>
        </w:rPr>
      </w:pPr>
      <w:r>
        <w:rPr>
          <w:rFonts w:hint="eastAsia" w:hAnsi="宋体" w:cs="宋体"/>
          <w:bCs/>
          <w:color w:val="000000"/>
          <w:szCs w:val="21"/>
          <w:highlight w:val="none"/>
        </w:rPr>
        <w:t xml:space="preserve">                           某投标人</w:t>
      </w:r>
      <w:r>
        <w:rPr>
          <w:rFonts w:hint="eastAsia" w:hAnsi="宋体" w:cs="宋体"/>
          <w:color w:val="000000"/>
          <w:szCs w:val="21"/>
          <w:highlight w:val="none"/>
        </w:rPr>
        <w:t>评标报价</w:t>
      </w:r>
      <w:r>
        <w:rPr>
          <w:rFonts w:hint="eastAsia" w:hAnsi="宋体" w:cs="宋体"/>
          <w:bCs/>
          <w:color w:val="000000"/>
          <w:szCs w:val="21"/>
          <w:highlight w:val="none"/>
        </w:rPr>
        <w:t xml:space="preserve">金额  </w:t>
      </w:r>
    </w:p>
    <w:p w14:paraId="598B05DB">
      <w:pPr>
        <w:pStyle w:val="213"/>
        <w:spacing w:line="360" w:lineRule="auto"/>
        <w:ind w:firstLine="420"/>
        <w:rPr>
          <w:rFonts w:hint="eastAsia" w:hAnsi="宋体" w:eastAsia="宋体" w:cs="宋体"/>
          <w:b/>
          <w:color w:val="000000"/>
          <w:szCs w:val="21"/>
          <w:highlight w:val="none"/>
          <w:lang w:val="en-US" w:eastAsia="zh-CN"/>
        </w:rPr>
      </w:pPr>
      <w:r>
        <w:rPr>
          <w:rFonts w:hint="eastAsia" w:hAnsi="宋体" w:cs="宋体"/>
          <w:bCs/>
          <w:color w:val="000000"/>
          <w:szCs w:val="21"/>
          <w:highlight w:val="none"/>
        </w:rPr>
        <w:t xml:space="preserve">        </w:t>
      </w:r>
    </w:p>
    <w:p w14:paraId="0A27EF24">
      <w:pPr>
        <w:spacing w:line="360" w:lineRule="auto"/>
        <w:ind w:firstLine="422"/>
        <w:rPr>
          <w:rFonts w:ascii="宋体" w:hAnsi="宋体" w:eastAsia="宋体" w:cs="宋体"/>
          <w:b/>
          <w:bCs/>
          <w:color w:val="000000"/>
          <w:szCs w:val="21"/>
        </w:rPr>
      </w:pPr>
      <w:r>
        <w:rPr>
          <w:rFonts w:hint="eastAsia" w:ascii="宋体" w:hAnsi="宋体" w:eastAsia="宋体" w:cs="宋体"/>
          <w:b/>
          <w:bCs/>
          <w:color w:val="000000"/>
          <w:szCs w:val="21"/>
        </w:rPr>
        <w:t>2、服务方案分</w:t>
      </w:r>
      <w:bookmarkStart w:id="227" w:name="OLE_LINK14"/>
      <w:bookmarkStart w:id="228" w:name="OLE_LINK15"/>
      <w:r>
        <w:rPr>
          <w:rFonts w:hint="eastAsia" w:ascii="宋体" w:hAnsi="宋体" w:eastAsia="宋体" w:cs="宋体"/>
          <w:b/>
          <w:color w:val="000000"/>
          <w:szCs w:val="21"/>
        </w:rPr>
        <w:t>…………………………………………………………………………………满分</w:t>
      </w:r>
      <w:r>
        <w:rPr>
          <w:rFonts w:hint="eastAsia" w:ascii="宋体" w:hAnsi="宋体" w:eastAsia="宋体" w:cs="宋体"/>
          <w:b/>
          <w:bCs/>
          <w:color w:val="000000"/>
          <w:szCs w:val="20"/>
        </w:rPr>
        <w:t>50</w:t>
      </w:r>
      <w:r>
        <w:rPr>
          <w:rFonts w:hint="eastAsia" w:ascii="宋体" w:hAnsi="宋体" w:eastAsia="宋体" w:cs="宋体"/>
          <w:b/>
          <w:bCs/>
          <w:color w:val="000000"/>
          <w:szCs w:val="21"/>
        </w:rPr>
        <w:t>分</w:t>
      </w:r>
      <w:bookmarkEnd w:id="226"/>
      <w:bookmarkEnd w:id="227"/>
    </w:p>
    <w:p w14:paraId="33A9043D">
      <w:pPr>
        <w:spacing w:line="440" w:lineRule="exact"/>
        <w:ind w:firstLine="422"/>
        <w:rPr>
          <w:rFonts w:ascii="宋体" w:hAnsi="宋体" w:eastAsia="宋体" w:cs="宋体"/>
          <w:b/>
          <w:bCs/>
          <w:color w:val="000000"/>
          <w:szCs w:val="21"/>
        </w:rPr>
      </w:pPr>
      <w:r>
        <w:rPr>
          <w:rFonts w:hint="eastAsia" w:ascii="宋体" w:hAnsi="宋体" w:eastAsia="宋体" w:cs="宋体"/>
          <w:b/>
          <w:bCs/>
          <w:color w:val="000000"/>
          <w:szCs w:val="21"/>
        </w:rPr>
        <w:t>（1）公司管理体系及规章制度分（满分6分）</w:t>
      </w:r>
    </w:p>
    <w:p w14:paraId="6DE45768">
      <w:pPr>
        <w:spacing w:line="440" w:lineRule="exact"/>
        <w:ind w:firstLine="422"/>
        <w:rPr>
          <w:rFonts w:ascii="宋体" w:hAnsi="宋体" w:eastAsia="宋体" w:cs="宋体"/>
          <w:b/>
          <w:bCs/>
          <w:color w:val="000000"/>
          <w:szCs w:val="21"/>
        </w:rPr>
      </w:pPr>
      <w:r>
        <w:rPr>
          <w:rFonts w:hint="eastAsia" w:ascii="宋体" w:hAnsi="宋体" w:eastAsia="宋体" w:cs="宋体"/>
          <w:b/>
          <w:bCs/>
          <w:color w:val="000000"/>
          <w:szCs w:val="21"/>
        </w:rPr>
        <w:t>根据投标人提供的公司管理体系及规章制度（包括但不限于组织机构设置；岗位责任制度；奖惩制度；档案建立与管理制度；人员培训及演练等）方面内容，由评委进行独立评审并打分。</w:t>
      </w:r>
    </w:p>
    <w:p w14:paraId="317FD366">
      <w:pPr>
        <w:spacing w:line="440" w:lineRule="exact"/>
        <w:ind w:firstLine="420"/>
        <w:rPr>
          <w:rFonts w:ascii="宋体" w:hAnsi="宋体" w:eastAsia="宋体" w:cs="宋体"/>
          <w:color w:val="000000"/>
          <w:szCs w:val="21"/>
        </w:rPr>
      </w:pPr>
      <w:r>
        <w:rPr>
          <w:rFonts w:hint="eastAsia" w:ascii="宋体" w:hAnsi="宋体" w:eastAsia="宋体" w:cs="宋体"/>
          <w:color w:val="000000"/>
          <w:szCs w:val="21"/>
        </w:rPr>
        <w:t>一档（2分）：提供基本的管理体系及规章制度或提供的方案内容有缺漏；</w:t>
      </w:r>
    </w:p>
    <w:p w14:paraId="300F8510">
      <w:pPr>
        <w:spacing w:line="440" w:lineRule="exact"/>
        <w:ind w:firstLine="420"/>
        <w:rPr>
          <w:rFonts w:ascii="宋体" w:hAnsi="宋体" w:eastAsia="宋体" w:cs="宋体"/>
          <w:color w:val="000000"/>
          <w:szCs w:val="21"/>
        </w:rPr>
      </w:pPr>
      <w:r>
        <w:rPr>
          <w:rFonts w:hint="eastAsia" w:ascii="宋体" w:hAnsi="宋体" w:eastAsia="宋体" w:cs="宋体"/>
          <w:color w:val="000000"/>
          <w:szCs w:val="21"/>
        </w:rPr>
        <w:t>二档（4分）：为本项目建立完善的管理体系及规章制度，其中包括组织机构设置；岗位责任制度；奖惩制度；档案建立与管理规章制度(包含有着装、执勤、交接班、登记等制度)；操作规程(包含有物业维护管理整体运作、日常工作流程)；人员培训及演练等，制度严谨科学，能够匹配和基本覆盖本项目服务需求的各方面；</w:t>
      </w:r>
    </w:p>
    <w:p w14:paraId="5DB65A21">
      <w:pPr>
        <w:spacing w:line="440" w:lineRule="exact"/>
        <w:ind w:firstLine="420"/>
        <w:rPr>
          <w:rFonts w:ascii="宋体" w:hAnsi="宋体" w:eastAsia="宋体" w:cs="宋体"/>
          <w:color w:val="000000"/>
          <w:szCs w:val="21"/>
        </w:rPr>
      </w:pPr>
      <w:r>
        <w:rPr>
          <w:rFonts w:hint="eastAsia" w:ascii="宋体" w:hAnsi="宋体" w:eastAsia="宋体" w:cs="宋体"/>
          <w:color w:val="000000"/>
          <w:szCs w:val="21"/>
        </w:rPr>
        <w:t>三档（6分）：在二档的基础上制定的制度有创新，并针对本项目设置了专门的制度条款，适用性强，各项规章制度完善详实、科学，人员培训计划安排周密，培训方式贴合实际，切实有效。</w:t>
      </w:r>
    </w:p>
    <w:p w14:paraId="0E634B41">
      <w:pPr>
        <w:spacing w:line="440" w:lineRule="exact"/>
        <w:ind w:firstLine="422"/>
        <w:rPr>
          <w:rFonts w:ascii="Times New Roman" w:hAnsi="Times New Roman" w:eastAsia="宋体" w:cs="Times New Roman"/>
          <w:b/>
          <w:bCs/>
          <w:color w:val="000000"/>
          <w:szCs w:val="24"/>
        </w:rPr>
      </w:pPr>
      <w:r>
        <w:rPr>
          <w:rFonts w:hint="eastAsia" w:ascii="Times New Roman" w:hAnsi="Times New Roman" w:eastAsia="宋体" w:cs="Times New Roman"/>
          <w:b/>
          <w:bCs/>
          <w:color w:val="000000"/>
          <w:szCs w:val="24"/>
        </w:rPr>
        <w:t>（2）</w:t>
      </w:r>
      <w:r>
        <w:rPr>
          <w:rFonts w:hint="eastAsia" w:ascii="宋体" w:hAnsi="宋体" w:eastAsia="宋体" w:cs="宋体"/>
          <w:b/>
          <w:bCs/>
          <w:color w:val="000000"/>
          <w:szCs w:val="21"/>
        </w:rPr>
        <w:t>设备及设施维护、维修保障方案</w:t>
      </w:r>
      <w:r>
        <w:rPr>
          <w:rFonts w:hint="eastAsia" w:ascii="Times New Roman" w:hAnsi="Times New Roman" w:eastAsia="宋体" w:cs="Times New Roman"/>
          <w:b/>
          <w:bCs/>
          <w:color w:val="000000"/>
          <w:szCs w:val="24"/>
        </w:rPr>
        <w:t>分（</w:t>
      </w:r>
      <w:r>
        <w:rPr>
          <w:rFonts w:hint="eastAsia" w:ascii="宋体" w:hAnsi="宋体" w:eastAsia="宋体" w:cs="宋体"/>
          <w:b/>
          <w:bCs/>
          <w:color w:val="000000"/>
          <w:szCs w:val="21"/>
        </w:rPr>
        <w:t>满分8分</w:t>
      </w:r>
      <w:r>
        <w:rPr>
          <w:rFonts w:hint="eastAsia" w:ascii="Times New Roman" w:hAnsi="Times New Roman" w:eastAsia="宋体" w:cs="Times New Roman"/>
          <w:b/>
          <w:bCs/>
          <w:color w:val="000000"/>
          <w:szCs w:val="24"/>
        </w:rPr>
        <w:t>）</w:t>
      </w:r>
    </w:p>
    <w:p w14:paraId="0E08D26D">
      <w:pPr>
        <w:spacing w:line="440" w:lineRule="exact"/>
        <w:ind w:firstLine="422"/>
        <w:rPr>
          <w:rFonts w:ascii="宋体" w:hAnsi="宋体" w:eastAsia="宋体" w:cs="宋体"/>
          <w:b/>
          <w:bCs/>
          <w:color w:val="000000"/>
          <w:szCs w:val="21"/>
        </w:rPr>
      </w:pPr>
      <w:r>
        <w:rPr>
          <w:rFonts w:hint="eastAsia" w:ascii="宋体" w:hAnsi="宋体" w:eastAsia="宋体" w:cs="宋体"/>
          <w:b/>
          <w:bCs/>
          <w:color w:val="000000"/>
          <w:szCs w:val="21"/>
        </w:rPr>
        <w:t>根据投标人提供的设备及设施维护、维修保障方案（包括但不限于电力及配电机房日常维护维修；给排水日常维护维修；空调及电梯运行维护管理；房屋养护管理等）方面内容，由评委进行独立评审并打分。</w:t>
      </w:r>
    </w:p>
    <w:p w14:paraId="72C9A43D">
      <w:pPr>
        <w:spacing w:line="440" w:lineRule="exact"/>
        <w:ind w:firstLine="420"/>
        <w:rPr>
          <w:rFonts w:ascii="宋体" w:hAnsi="宋体" w:eastAsia="宋体" w:cs="宋体"/>
          <w:color w:val="000000"/>
          <w:szCs w:val="21"/>
        </w:rPr>
      </w:pPr>
      <w:r>
        <w:rPr>
          <w:rFonts w:hint="eastAsia" w:ascii="宋体" w:hAnsi="宋体" w:eastAsia="宋体" w:cs="宋体"/>
          <w:color w:val="000000"/>
          <w:szCs w:val="21"/>
        </w:rPr>
        <w:t>一档（2分）：提供基本的设备及设施维护、维修保障方案或提供的方案内容有缺漏；</w:t>
      </w:r>
    </w:p>
    <w:p w14:paraId="2F98DCBC">
      <w:pPr>
        <w:spacing w:line="440" w:lineRule="exact"/>
        <w:ind w:firstLine="420"/>
        <w:rPr>
          <w:rFonts w:ascii="宋体" w:hAnsi="宋体" w:eastAsia="宋体" w:cs="宋体"/>
          <w:color w:val="000000"/>
          <w:szCs w:val="21"/>
        </w:rPr>
      </w:pPr>
      <w:r>
        <w:rPr>
          <w:rFonts w:hint="eastAsia" w:ascii="宋体" w:hAnsi="宋体" w:eastAsia="宋体" w:cs="宋体"/>
          <w:color w:val="000000"/>
          <w:szCs w:val="21"/>
        </w:rPr>
        <w:t>二档（5分）：提供了完整的设备及设施维护、维修保障方案，其中包括电力及配电机房日常维护维修；给排水日常维护维修；</w:t>
      </w:r>
      <w:bookmarkStart w:id="229" w:name="OLE_LINK59"/>
      <w:bookmarkStart w:id="230" w:name="OLE_LINK60"/>
      <w:bookmarkStart w:id="231" w:name="OLE_LINK74"/>
      <w:r>
        <w:rPr>
          <w:rFonts w:hint="eastAsia" w:ascii="宋体" w:hAnsi="宋体" w:eastAsia="宋体" w:cs="宋体"/>
          <w:color w:val="000000"/>
          <w:szCs w:val="21"/>
        </w:rPr>
        <w:t>空调及电梯运行维护管理</w:t>
      </w:r>
      <w:bookmarkEnd w:id="228"/>
      <w:bookmarkEnd w:id="229"/>
      <w:bookmarkEnd w:id="230"/>
      <w:r>
        <w:rPr>
          <w:rFonts w:hint="eastAsia" w:ascii="宋体" w:hAnsi="宋体" w:eastAsia="宋体" w:cs="宋体"/>
          <w:color w:val="000000"/>
          <w:szCs w:val="21"/>
        </w:rPr>
        <w:t>、房屋养护管理等，内容较清晰、对本项目有利实施提出的方案具有一定的针对性，服务保障能力较好，整体满足项目需求，方案具备一定的可行性，能够匹配和基本覆盖本项目服务需求的各方面；</w:t>
      </w:r>
    </w:p>
    <w:p w14:paraId="617B41B4">
      <w:pPr>
        <w:spacing w:line="440" w:lineRule="exact"/>
        <w:ind w:firstLine="420"/>
        <w:rPr>
          <w:rFonts w:ascii="宋体" w:hAnsi="宋体" w:eastAsia="宋体" w:cs="宋体"/>
          <w:color w:val="000000"/>
          <w:szCs w:val="21"/>
        </w:rPr>
      </w:pPr>
      <w:r>
        <w:rPr>
          <w:rFonts w:hint="eastAsia" w:ascii="宋体" w:hAnsi="宋体" w:eastAsia="宋体" w:cs="宋体"/>
          <w:color w:val="000000"/>
          <w:szCs w:val="21"/>
        </w:rPr>
        <w:t>三档（8分）：在二档的基础上有创新，有完善详实的各项方案内容，并针对本项目设置专门的服务内容，针对性强,适用性强，能完全满足本项目实际要求。</w:t>
      </w:r>
    </w:p>
    <w:p w14:paraId="7797D510">
      <w:pPr>
        <w:spacing w:line="440" w:lineRule="exact"/>
        <w:ind w:firstLine="422"/>
        <w:rPr>
          <w:rFonts w:ascii="Times New Roman" w:hAnsi="Times New Roman" w:eastAsia="宋体" w:cs="Times New Roman"/>
          <w:b/>
          <w:bCs/>
          <w:color w:val="000000"/>
          <w:szCs w:val="24"/>
        </w:rPr>
      </w:pPr>
      <w:r>
        <w:rPr>
          <w:rFonts w:hint="eastAsia" w:ascii="Times New Roman" w:hAnsi="Times New Roman" w:eastAsia="宋体" w:cs="Times New Roman"/>
          <w:b/>
          <w:bCs/>
          <w:color w:val="000000"/>
          <w:szCs w:val="24"/>
        </w:rPr>
        <w:t>（3）</w:t>
      </w:r>
      <w:r>
        <w:rPr>
          <w:rFonts w:hint="eastAsia" w:ascii="宋体" w:hAnsi="宋体" w:eastAsia="宋体" w:cs="宋体"/>
          <w:b/>
          <w:color w:val="000000"/>
          <w:szCs w:val="21"/>
        </w:rPr>
        <w:t>保安及消防服务方案分</w:t>
      </w:r>
      <w:r>
        <w:rPr>
          <w:rFonts w:hint="eastAsia" w:ascii="Arial" w:hAnsi="Arial" w:eastAsia="宋体" w:cs="Arial"/>
          <w:b/>
          <w:bCs/>
          <w:color w:val="000000"/>
          <w:szCs w:val="24"/>
        </w:rPr>
        <w:t>（</w:t>
      </w:r>
      <w:r>
        <w:rPr>
          <w:rFonts w:hint="eastAsia" w:ascii="宋体" w:hAnsi="宋体" w:eastAsia="宋体" w:cs="宋体"/>
          <w:b/>
          <w:bCs/>
          <w:color w:val="000000"/>
          <w:szCs w:val="21"/>
        </w:rPr>
        <w:t>满分8分</w:t>
      </w:r>
      <w:r>
        <w:rPr>
          <w:rFonts w:hint="eastAsia" w:ascii="Arial" w:hAnsi="Arial" w:eastAsia="宋体" w:cs="Arial"/>
          <w:b/>
          <w:bCs/>
          <w:color w:val="000000"/>
          <w:szCs w:val="24"/>
        </w:rPr>
        <w:t>）</w:t>
      </w:r>
    </w:p>
    <w:p w14:paraId="735ED33E">
      <w:pPr>
        <w:spacing w:line="440" w:lineRule="exact"/>
        <w:ind w:firstLine="422"/>
        <w:rPr>
          <w:rFonts w:ascii="宋体" w:hAnsi="宋体" w:eastAsia="宋体" w:cs="宋体"/>
          <w:b/>
          <w:color w:val="000000"/>
          <w:szCs w:val="21"/>
        </w:rPr>
      </w:pPr>
      <w:r>
        <w:rPr>
          <w:rFonts w:hint="eastAsia" w:ascii="宋体" w:hAnsi="宋体" w:eastAsia="宋体" w:cs="宋体"/>
          <w:b/>
          <w:color w:val="000000"/>
          <w:szCs w:val="21"/>
        </w:rPr>
        <w:t>根据投标人提供的保安及消防服务方案（包括但不限于服务区域保安措施方案；车辆管理及交通秩序疏导维护方案；消防安全管控方案；执勤装备配备标准等）方面内容，</w:t>
      </w:r>
      <w:r>
        <w:rPr>
          <w:rFonts w:hint="eastAsia" w:ascii="宋体" w:hAnsi="宋体" w:eastAsia="宋体" w:cs="宋体"/>
          <w:b/>
          <w:bCs/>
          <w:color w:val="000000"/>
          <w:szCs w:val="21"/>
        </w:rPr>
        <w:t>由评委进行独立评审并打分</w:t>
      </w:r>
      <w:r>
        <w:rPr>
          <w:rFonts w:hint="eastAsia" w:ascii="宋体" w:hAnsi="宋体" w:eastAsia="宋体" w:cs="宋体"/>
          <w:color w:val="000000"/>
          <w:szCs w:val="21"/>
        </w:rPr>
        <w:t>。</w:t>
      </w:r>
    </w:p>
    <w:p w14:paraId="43F2DAA4">
      <w:pPr>
        <w:spacing w:line="440" w:lineRule="exact"/>
        <w:ind w:firstLine="420"/>
        <w:rPr>
          <w:rFonts w:ascii="宋体" w:hAnsi="宋体" w:eastAsia="宋体" w:cs="宋体"/>
          <w:color w:val="000000"/>
          <w:szCs w:val="21"/>
        </w:rPr>
      </w:pPr>
      <w:r>
        <w:rPr>
          <w:rFonts w:hint="eastAsia" w:ascii="宋体" w:hAnsi="宋体" w:eastAsia="宋体" w:cs="宋体"/>
          <w:color w:val="000000"/>
          <w:szCs w:val="21"/>
        </w:rPr>
        <w:t>一档（2分）：提供基本的保安及消防服务方案或提供的方案内容有缺漏；</w:t>
      </w:r>
    </w:p>
    <w:p w14:paraId="4CFD86F2">
      <w:pPr>
        <w:spacing w:line="440" w:lineRule="exact"/>
        <w:ind w:firstLine="420"/>
        <w:rPr>
          <w:rFonts w:ascii="宋体" w:hAnsi="宋体" w:eastAsia="宋体" w:cs="宋体"/>
          <w:color w:val="000000"/>
          <w:szCs w:val="21"/>
        </w:rPr>
      </w:pPr>
      <w:r>
        <w:rPr>
          <w:rFonts w:hint="eastAsia" w:ascii="宋体" w:hAnsi="宋体" w:eastAsia="宋体" w:cs="宋体"/>
          <w:color w:val="000000"/>
          <w:szCs w:val="21"/>
        </w:rPr>
        <w:t>二档（5分）：提供了完整的保安及消防服务方案，其中包括服务区域保安措施方案；车辆管理及交通秩序疏导维护方案；消防安全管控方案；执勤装备配备标准等，内容较清晰、对本项目有利实施提出的方案具有一定的针对性，服务保障能力较好，整体满足项目需求，方案具备一定的可行性，能够匹配和基本覆盖本项目服务需求的各方面；</w:t>
      </w:r>
    </w:p>
    <w:p w14:paraId="6228177C">
      <w:pPr>
        <w:spacing w:line="440" w:lineRule="exact"/>
        <w:ind w:firstLine="420"/>
        <w:jc w:val="left"/>
        <w:rPr>
          <w:rFonts w:ascii="宋体" w:hAnsi="宋体" w:eastAsia="宋体" w:cs="宋体"/>
          <w:color w:val="000000"/>
          <w:szCs w:val="21"/>
        </w:rPr>
      </w:pPr>
      <w:r>
        <w:rPr>
          <w:rFonts w:hint="eastAsia" w:ascii="宋体" w:hAnsi="宋体" w:eastAsia="宋体" w:cs="宋体"/>
          <w:color w:val="000000"/>
          <w:szCs w:val="21"/>
        </w:rPr>
        <w:t>三档（8分）：</w:t>
      </w:r>
      <w:bookmarkStart w:id="232" w:name="OLE_LINK27"/>
      <w:bookmarkStart w:id="233" w:name="OLE_LINK26"/>
      <w:r>
        <w:rPr>
          <w:rFonts w:hint="eastAsia" w:ascii="宋体" w:hAnsi="宋体" w:eastAsia="宋体" w:cs="宋体"/>
          <w:color w:val="000000"/>
          <w:szCs w:val="21"/>
        </w:rPr>
        <w:t>在二档的基础上有创新，有完善详实的各项方案内容，并针对本项目设置了专门的服务内容，针对性强，适用性强，能完全满足本项目实际要求。</w:t>
      </w:r>
      <w:bookmarkEnd w:id="231"/>
      <w:bookmarkEnd w:id="232"/>
    </w:p>
    <w:p w14:paraId="0F0E5C22">
      <w:pPr>
        <w:spacing w:line="440" w:lineRule="exact"/>
        <w:ind w:firstLine="422"/>
        <w:jc w:val="left"/>
        <w:rPr>
          <w:rFonts w:ascii="宋体" w:hAnsi="宋体" w:eastAsia="宋体" w:cs="宋体"/>
          <w:b/>
          <w:bCs/>
          <w:color w:val="000000"/>
          <w:szCs w:val="24"/>
        </w:rPr>
      </w:pPr>
      <w:r>
        <w:rPr>
          <w:rFonts w:hint="eastAsia" w:ascii="宋体" w:hAnsi="宋体" w:eastAsia="宋体" w:cs="宋体"/>
          <w:b/>
          <w:bCs/>
          <w:color w:val="000000"/>
          <w:szCs w:val="24"/>
        </w:rPr>
        <w:t>(4)</w:t>
      </w:r>
      <w:r>
        <w:rPr>
          <w:rFonts w:hint="eastAsia" w:ascii="宋体" w:hAnsi="宋体" w:eastAsia="宋体" w:cs="宋体"/>
          <w:b/>
          <w:bCs/>
          <w:color w:val="000000"/>
          <w:szCs w:val="21"/>
        </w:rPr>
        <w:t>保洁服务方案</w:t>
      </w:r>
      <w:r>
        <w:rPr>
          <w:rFonts w:hint="eastAsia" w:ascii="宋体" w:hAnsi="宋体" w:eastAsia="宋体" w:cs="宋体"/>
          <w:b/>
          <w:bCs/>
          <w:color w:val="000000"/>
          <w:szCs w:val="24"/>
        </w:rPr>
        <w:t>分(</w:t>
      </w:r>
      <w:r>
        <w:rPr>
          <w:rFonts w:hint="eastAsia" w:ascii="宋体" w:hAnsi="宋体" w:eastAsia="宋体" w:cs="宋体"/>
          <w:b/>
          <w:bCs/>
          <w:color w:val="000000"/>
          <w:szCs w:val="21"/>
        </w:rPr>
        <w:t>满分8分</w:t>
      </w:r>
      <w:r>
        <w:rPr>
          <w:rFonts w:hint="eastAsia" w:ascii="宋体" w:hAnsi="宋体" w:eastAsia="宋体" w:cs="宋体"/>
          <w:b/>
          <w:bCs/>
          <w:color w:val="000000"/>
          <w:szCs w:val="24"/>
        </w:rPr>
        <w:t>)</w:t>
      </w:r>
    </w:p>
    <w:p w14:paraId="1350C1B7">
      <w:pPr>
        <w:spacing w:line="440" w:lineRule="exact"/>
        <w:ind w:firstLine="422"/>
        <w:rPr>
          <w:rFonts w:ascii="宋体" w:hAnsi="宋体" w:eastAsia="宋体" w:cs="宋体"/>
          <w:b/>
          <w:bCs/>
          <w:color w:val="000000"/>
          <w:szCs w:val="21"/>
        </w:rPr>
      </w:pPr>
      <w:r>
        <w:rPr>
          <w:rFonts w:hint="eastAsia" w:ascii="宋体" w:hAnsi="宋体" w:eastAsia="宋体" w:cs="宋体"/>
          <w:b/>
          <w:bCs/>
          <w:color w:val="000000"/>
          <w:szCs w:val="21"/>
        </w:rPr>
        <w:t>根据投标人提供的保洁服务方案（包括但不限于保洁工作流程；总体保洁管理方案及服务标准；各区域及设施的保洁措施；消杀服务等）</w:t>
      </w:r>
      <w:r>
        <w:rPr>
          <w:rFonts w:hint="eastAsia" w:ascii="宋体" w:hAnsi="宋体" w:eastAsia="宋体" w:cs="宋体"/>
          <w:b/>
          <w:color w:val="000000"/>
          <w:szCs w:val="21"/>
        </w:rPr>
        <w:t>方面内容，</w:t>
      </w:r>
      <w:r>
        <w:rPr>
          <w:rFonts w:hint="eastAsia" w:ascii="宋体" w:hAnsi="宋体" w:eastAsia="宋体" w:cs="宋体"/>
          <w:b/>
          <w:bCs/>
          <w:color w:val="000000"/>
          <w:szCs w:val="21"/>
        </w:rPr>
        <w:t>由评委进行独立评审并打分。</w:t>
      </w:r>
    </w:p>
    <w:p w14:paraId="372EFA86">
      <w:pPr>
        <w:spacing w:line="440" w:lineRule="exact"/>
        <w:ind w:firstLine="420"/>
        <w:rPr>
          <w:rFonts w:ascii="宋体" w:hAnsi="宋体" w:eastAsia="宋体" w:cs="宋体"/>
          <w:color w:val="000000"/>
          <w:szCs w:val="21"/>
        </w:rPr>
      </w:pPr>
      <w:r>
        <w:rPr>
          <w:rFonts w:hint="eastAsia" w:ascii="宋体" w:hAnsi="宋体" w:eastAsia="宋体" w:cs="宋体"/>
          <w:color w:val="000000"/>
          <w:szCs w:val="21"/>
        </w:rPr>
        <w:t>一档（2分）：提供基本的保洁服务方案或提供的方案内容有缺漏；</w:t>
      </w:r>
    </w:p>
    <w:p w14:paraId="78C9ADD3">
      <w:pPr>
        <w:spacing w:line="440" w:lineRule="exact"/>
        <w:ind w:firstLine="420"/>
        <w:rPr>
          <w:rFonts w:ascii="宋体" w:hAnsi="宋体" w:eastAsia="宋体" w:cs="宋体"/>
          <w:color w:val="000000"/>
          <w:szCs w:val="21"/>
        </w:rPr>
      </w:pPr>
      <w:r>
        <w:rPr>
          <w:rFonts w:hint="eastAsia" w:ascii="宋体" w:hAnsi="宋体" w:eastAsia="宋体" w:cs="宋体"/>
          <w:color w:val="000000"/>
          <w:szCs w:val="21"/>
        </w:rPr>
        <w:t>二档（5分）：提供了完整的保洁服务方案，其中包括保洁工作流程；总体保洁管理方案及服务标准；各区域及设施的保洁措施；消杀服务等，内容较清晰、对本项目有利实施提出的方案具有一定的针对性，服务保障能力较好，整体满足项目需求，方案具备一定的可行性，能够匹配和基本覆盖本项目服务需求的各方面；</w:t>
      </w:r>
    </w:p>
    <w:p w14:paraId="0398DABC">
      <w:pPr>
        <w:spacing w:line="440" w:lineRule="exact"/>
        <w:ind w:firstLine="420"/>
        <w:rPr>
          <w:rFonts w:ascii="宋体" w:hAnsi="宋体" w:eastAsia="宋体" w:cs="宋体"/>
          <w:color w:val="000000"/>
          <w:szCs w:val="21"/>
        </w:rPr>
      </w:pPr>
      <w:r>
        <w:rPr>
          <w:rFonts w:hint="eastAsia" w:ascii="宋体" w:hAnsi="宋体" w:eastAsia="宋体" w:cs="宋体"/>
          <w:color w:val="000000"/>
          <w:szCs w:val="21"/>
        </w:rPr>
        <w:t>三档（8分）：在二档的基础上有创新，有完善详实的各项方案内容，并针对本项目设置专门的服务内容，针对性强</w:t>
      </w:r>
      <w:r>
        <w:rPr>
          <w:rFonts w:hint="eastAsia" w:ascii="宋体" w:hAnsi="宋体" w:cs="宋体"/>
          <w:color w:val="000000"/>
          <w:szCs w:val="21"/>
          <w:lang w:eastAsia="zh-CN"/>
        </w:rPr>
        <w:t>，</w:t>
      </w:r>
      <w:r>
        <w:rPr>
          <w:rFonts w:hint="eastAsia" w:ascii="宋体" w:hAnsi="宋体" w:eastAsia="宋体" w:cs="宋体"/>
          <w:color w:val="000000"/>
          <w:szCs w:val="21"/>
        </w:rPr>
        <w:t>适用性强，能完全满足本项目实际要求。</w:t>
      </w:r>
    </w:p>
    <w:p w14:paraId="74DC2D9B">
      <w:pPr>
        <w:spacing w:line="440" w:lineRule="exact"/>
        <w:ind w:firstLine="422"/>
        <w:jc w:val="left"/>
        <w:rPr>
          <w:rFonts w:ascii="宋体" w:hAnsi="宋体" w:eastAsia="宋体" w:cs="宋体"/>
          <w:b/>
          <w:bCs/>
          <w:color w:val="000000"/>
          <w:szCs w:val="24"/>
        </w:rPr>
      </w:pPr>
      <w:r>
        <w:rPr>
          <w:rFonts w:hint="eastAsia" w:ascii="宋体" w:hAnsi="宋体" w:eastAsia="宋体" w:cs="宋体"/>
          <w:b/>
          <w:bCs/>
          <w:color w:val="000000"/>
          <w:szCs w:val="24"/>
        </w:rPr>
        <w:t>（5）</w:t>
      </w:r>
      <w:r>
        <w:rPr>
          <w:rFonts w:hint="eastAsia" w:ascii="宋体" w:hAnsi="宋体" w:eastAsia="宋体" w:cs="宋体"/>
          <w:b/>
          <w:bCs/>
          <w:color w:val="000000"/>
          <w:szCs w:val="21"/>
        </w:rPr>
        <w:t>绿化服务方案</w:t>
      </w:r>
      <w:r>
        <w:rPr>
          <w:rFonts w:hint="eastAsia" w:ascii="宋体" w:hAnsi="宋体" w:eastAsia="宋体" w:cs="宋体"/>
          <w:b/>
          <w:bCs/>
          <w:color w:val="000000"/>
          <w:szCs w:val="24"/>
        </w:rPr>
        <w:t>分(</w:t>
      </w:r>
      <w:r>
        <w:rPr>
          <w:rFonts w:hint="eastAsia" w:ascii="宋体" w:hAnsi="宋体" w:eastAsia="宋体" w:cs="宋体"/>
          <w:b/>
          <w:bCs/>
          <w:color w:val="000000"/>
          <w:szCs w:val="21"/>
        </w:rPr>
        <w:t>满分6</w:t>
      </w:r>
      <w:r>
        <w:rPr>
          <w:rFonts w:hint="eastAsia" w:ascii="宋体" w:hAnsi="宋体" w:cs="宋体"/>
          <w:b/>
          <w:bCs/>
          <w:color w:val="000000"/>
          <w:szCs w:val="21"/>
          <w:lang w:val="en-US" w:eastAsia="zh-CN"/>
        </w:rPr>
        <w:t>分</w:t>
      </w:r>
      <w:r>
        <w:rPr>
          <w:rFonts w:hint="eastAsia" w:ascii="宋体" w:hAnsi="宋体" w:eastAsia="宋体" w:cs="宋体"/>
          <w:b/>
          <w:bCs/>
          <w:color w:val="000000"/>
          <w:szCs w:val="24"/>
        </w:rPr>
        <w:t>)</w:t>
      </w:r>
    </w:p>
    <w:p w14:paraId="55421683">
      <w:pPr>
        <w:spacing w:line="440" w:lineRule="exact"/>
        <w:ind w:firstLine="422"/>
        <w:rPr>
          <w:rFonts w:ascii="宋体" w:hAnsi="宋体" w:eastAsia="宋体" w:cs="宋体"/>
          <w:b/>
          <w:bCs/>
          <w:color w:val="000000"/>
          <w:szCs w:val="21"/>
        </w:rPr>
      </w:pPr>
      <w:r>
        <w:rPr>
          <w:rFonts w:hint="eastAsia" w:ascii="宋体" w:hAnsi="宋体" w:eastAsia="宋体" w:cs="宋体"/>
          <w:b/>
          <w:bCs/>
          <w:color w:val="000000"/>
          <w:szCs w:val="21"/>
        </w:rPr>
        <w:t>根据投标人提供的绿化服务方案（包括但不限于绿化服务管理工作思路；全年四季公用绿地和花草树木养护计划；病虫害防治方案等）</w:t>
      </w:r>
      <w:r>
        <w:rPr>
          <w:rFonts w:hint="eastAsia" w:ascii="宋体" w:hAnsi="宋体" w:eastAsia="宋体" w:cs="宋体"/>
          <w:b/>
          <w:color w:val="000000"/>
          <w:szCs w:val="21"/>
        </w:rPr>
        <w:t>方面内容，由评委进行独立评审并打分</w:t>
      </w:r>
      <w:r>
        <w:rPr>
          <w:rFonts w:hint="eastAsia" w:ascii="宋体" w:hAnsi="宋体" w:eastAsia="宋体" w:cs="宋体"/>
          <w:color w:val="000000"/>
          <w:szCs w:val="21"/>
        </w:rPr>
        <w:t>。</w:t>
      </w:r>
    </w:p>
    <w:p w14:paraId="71C8CC89">
      <w:pPr>
        <w:spacing w:line="440" w:lineRule="exact"/>
        <w:ind w:firstLine="420"/>
        <w:rPr>
          <w:rFonts w:ascii="宋体" w:hAnsi="宋体" w:eastAsia="宋体" w:cs="宋体"/>
          <w:color w:val="000000"/>
          <w:szCs w:val="21"/>
        </w:rPr>
      </w:pPr>
      <w:r>
        <w:rPr>
          <w:rFonts w:hint="eastAsia" w:ascii="宋体" w:hAnsi="宋体" w:eastAsia="宋体" w:cs="宋体"/>
          <w:color w:val="000000"/>
          <w:szCs w:val="21"/>
        </w:rPr>
        <w:t>一档（2分）：提供基本的绿化服务方案或提供的方案内容有缺漏；</w:t>
      </w:r>
    </w:p>
    <w:p w14:paraId="7C3CA408">
      <w:pPr>
        <w:spacing w:line="440" w:lineRule="exact"/>
        <w:ind w:firstLine="420"/>
        <w:rPr>
          <w:rFonts w:ascii="宋体" w:hAnsi="宋体" w:eastAsia="宋体" w:cs="宋体"/>
          <w:color w:val="000000"/>
          <w:szCs w:val="21"/>
        </w:rPr>
      </w:pPr>
      <w:r>
        <w:rPr>
          <w:rFonts w:hint="eastAsia" w:ascii="宋体" w:hAnsi="宋体" w:eastAsia="宋体" w:cs="宋体"/>
          <w:color w:val="000000"/>
          <w:szCs w:val="21"/>
        </w:rPr>
        <w:t>二档（4分）：提供了完整的绿化服务方案，其中包括绿化服务管理工作思路；全年四季公用绿地和花草树木养护计划；病虫害防治方案等，内容较清晰、对本项目有利实施提出的方案具有一定的针对性，服务保障能力较好，整体满足项目需求，方案具备一定的可行性，能够匹配和基本覆盖本项目服务需求的各方面；</w:t>
      </w:r>
    </w:p>
    <w:p w14:paraId="2B6C21CA">
      <w:pPr>
        <w:spacing w:line="440" w:lineRule="exact"/>
        <w:ind w:firstLine="420"/>
        <w:rPr>
          <w:rFonts w:ascii="宋体" w:hAnsi="宋体" w:eastAsia="宋体" w:cs="宋体"/>
          <w:color w:val="000000"/>
          <w:szCs w:val="21"/>
        </w:rPr>
      </w:pPr>
      <w:r>
        <w:rPr>
          <w:rFonts w:hint="eastAsia" w:ascii="宋体" w:hAnsi="宋体" w:eastAsia="宋体" w:cs="宋体"/>
          <w:color w:val="000000"/>
          <w:szCs w:val="21"/>
        </w:rPr>
        <w:t>三档（6分）：在二档的基础上有创新，有完善详实的各项方案内容，并针对本项目设置专门的服务内容，针对性强,适用性强，能完全满足本项目实际要求。</w:t>
      </w:r>
    </w:p>
    <w:p w14:paraId="50C3FEF5">
      <w:pPr>
        <w:spacing w:line="440" w:lineRule="exact"/>
        <w:ind w:firstLine="422"/>
        <w:jc w:val="left"/>
        <w:rPr>
          <w:rFonts w:ascii="宋体" w:hAnsi="宋体" w:eastAsia="宋体" w:cs="宋体"/>
          <w:b/>
          <w:color w:val="000000"/>
          <w:szCs w:val="21"/>
        </w:rPr>
      </w:pPr>
      <w:r>
        <w:rPr>
          <w:rFonts w:hint="eastAsia" w:ascii="宋体" w:hAnsi="宋体" w:eastAsia="宋体" w:cs="宋体"/>
          <w:b/>
          <w:bCs/>
          <w:color w:val="000000"/>
          <w:szCs w:val="21"/>
        </w:rPr>
        <w:t>（6）重大或突发事件应急保障</w:t>
      </w:r>
      <w:r>
        <w:rPr>
          <w:rFonts w:hint="eastAsia" w:ascii="宋体" w:hAnsi="宋体" w:eastAsia="宋体" w:cs="宋体"/>
          <w:b/>
          <w:color w:val="000000"/>
          <w:szCs w:val="21"/>
        </w:rPr>
        <w:t>方案分（</w:t>
      </w:r>
      <w:r>
        <w:rPr>
          <w:rFonts w:hint="eastAsia" w:ascii="宋体" w:hAnsi="宋体" w:eastAsia="宋体" w:cs="宋体"/>
          <w:b/>
          <w:bCs/>
          <w:color w:val="000000"/>
          <w:szCs w:val="21"/>
        </w:rPr>
        <w:t>满分6分</w:t>
      </w:r>
      <w:r>
        <w:rPr>
          <w:rFonts w:hint="eastAsia" w:ascii="宋体" w:hAnsi="宋体" w:eastAsia="宋体" w:cs="宋体"/>
          <w:b/>
          <w:color w:val="000000"/>
          <w:szCs w:val="21"/>
        </w:rPr>
        <w:t>）</w:t>
      </w:r>
    </w:p>
    <w:p w14:paraId="3F23B651">
      <w:pPr>
        <w:widowControl/>
        <w:spacing w:line="440" w:lineRule="exact"/>
        <w:ind w:firstLine="422"/>
        <w:jc w:val="left"/>
        <w:rPr>
          <w:rFonts w:ascii="宋体" w:hAnsi="宋体" w:eastAsia="宋体" w:cs="宋体"/>
          <w:b/>
          <w:color w:val="000000"/>
          <w:szCs w:val="21"/>
        </w:rPr>
      </w:pPr>
      <w:r>
        <w:rPr>
          <w:rFonts w:hint="eastAsia" w:ascii="宋体" w:hAnsi="宋体" w:eastAsia="宋体" w:cs="宋体"/>
          <w:b/>
          <w:bCs/>
          <w:color w:val="000000"/>
          <w:szCs w:val="21"/>
        </w:rPr>
        <w:t>根据投标人提供的重</w:t>
      </w:r>
      <w:r>
        <w:rPr>
          <w:rFonts w:hint="eastAsia" w:ascii="宋体" w:hAnsi="宋体" w:eastAsia="宋体" w:cs="宋体"/>
          <w:b/>
          <w:color w:val="000000"/>
          <w:szCs w:val="21"/>
        </w:rPr>
        <w:t>大或突发事件应急保障方案（包括但不限于处理重大任务或突发事件处置方案；火灾、暴雨、地震等突发事件处置方案；紧急疏散预案等）方面内容，由评委进行独立评审并打分。</w:t>
      </w:r>
    </w:p>
    <w:p w14:paraId="5A967D87">
      <w:pPr>
        <w:spacing w:line="440" w:lineRule="exact"/>
        <w:ind w:firstLine="210"/>
        <w:rPr>
          <w:rFonts w:ascii="宋体" w:hAnsi="宋体" w:eastAsia="宋体" w:cs="宋体"/>
          <w:color w:val="000000"/>
          <w:szCs w:val="21"/>
        </w:rPr>
      </w:pPr>
      <w:bookmarkStart w:id="234" w:name="OLE_LINK18"/>
      <w:r>
        <w:rPr>
          <w:rFonts w:hint="eastAsia" w:ascii="宋体" w:hAnsi="宋体" w:eastAsia="宋体" w:cs="宋体"/>
          <w:color w:val="000000"/>
          <w:szCs w:val="21"/>
        </w:rPr>
        <w:t xml:space="preserve">  一档（2分）：提供基本的重大或突发事件应急保障方案或提供的方案内容有缺漏；</w:t>
      </w:r>
    </w:p>
    <w:p w14:paraId="14B20F96">
      <w:pPr>
        <w:spacing w:line="440" w:lineRule="exact"/>
        <w:ind w:firstLine="210"/>
        <w:rPr>
          <w:rFonts w:ascii="宋体" w:hAnsi="宋体" w:eastAsia="宋体" w:cs="宋体"/>
          <w:color w:val="000000"/>
          <w:szCs w:val="21"/>
        </w:rPr>
      </w:pPr>
      <w:r>
        <w:rPr>
          <w:rFonts w:hint="eastAsia" w:ascii="宋体" w:hAnsi="宋体" w:eastAsia="宋体" w:cs="宋体"/>
          <w:color w:val="000000"/>
          <w:szCs w:val="21"/>
        </w:rPr>
        <w:t xml:space="preserve">  二档（4分）：提供了完整的重大或突发事件应急保障方案，其中包括火情火警紧急处理应急预案、紧急疏散应急预案、停水停电应急预案、有限空间救援应急预案、恶劣天气应对应急预案等，内容较清晰、对本项目有利实施提出的方案具有一定的针对性，服务保障能力较好，整体满足项目需求，方案具备一定的可行性，能够匹配和基本覆盖本项目服务需求的各方面；</w:t>
      </w:r>
    </w:p>
    <w:p w14:paraId="0606AD78">
      <w:pPr>
        <w:spacing w:line="440" w:lineRule="exact"/>
        <w:ind w:firstLine="210"/>
        <w:rPr>
          <w:rFonts w:ascii="宋体" w:hAnsi="宋体" w:eastAsia="宋体" w:cs="宋体"/>
          <w:color w:val="000000"/>
          <w:szCs w:val="21"/>
        </w:rPr>
      </w:pPr>
      <w:r>
        <w:rPr>
          <w:rFonts w:hint="eastAsia" w:ascii="宋体" w:hAnsi="宋体" w:eastAsia="宋体" w:cs="宋体"/>
          <w:color w:val="000000"/>
          <w:szCs w:val="21"/>
        </w:rPr>
        <w:t xml:space="preserve">   三档（6分）：在二档的基础上有创新，有完善详实的各项方案内容，并针对本项目设置专门的服务内容，贴合本项目的要求；对重大任务或突发事件等各类情况分析针对性强，突击性工作强、反应迅速，人员、设备调配详细合理，应对措施针对性强</w:t>
      </w:r>
      <w:r>
        <w:rPr>
          <w:rFonts w:hint="eastAsia" w:ascii="宋体" w:hAnsi="宋体" w:cs="宋体"/>
          <w:color w:val="000000"/>
          <w:szCs w:val="21"/>
          <w:lang w:eastAsia="zh-CN"/>
        </w:rPr>
        <w:t>，</w:t>
      </w:r>
      <w:r>
        <w:rPr>
          <w:rFonts w:hint="eastAsia" w:ascii="宋体" w:hAnsi="宋体" w:eastAsia="宋体" w:cs="宋体"/>
          <w:color w:val="000000"/>
          <w:szCs w:val="21"/>
        </w:rPr>
        <w:t>适用性强，能完全满足本项目实际要求。</w:t>
      </w:r>
      <w:bookmarkEnd w:id="233"/>
    </w:p>
    <w:p w14:paraId="59B076BF">
      <w:pPr>
        <w:spacing w:line="440" w:lineRule="exact"/>
        <w:ind w:firstLine="422"/>
        <w:rPr>
          <w:rFonts w:ascii="宋体" w:hAnsi="宋体" w:eastAsia="宋体" w:cs="宋体"/>
          <w:b/>
          <w:bCs/>
          <w:color w:val="000000"/>
          <w:szCs w:val="21"/>
        </w:rPr>
      </w:pPr>
      <w:r>
        <w:rPr>
          <w:rFonts w:hint="eastAsia" w:ascii="宋体" w:hAnsi="宋体" w:eastAsia="宋体" w:cs="宋体"/>
          <w:b/>
          <w:bCs/>
          <w:color w:val="000000"/>
          <w:szCs w:val="21"/>
        </w:rPr>
        <w:t>（7）</w:t>
      </w:r>
      <w:bookmarkStart w:id="235" w:name="OLE_LINK12"/>
      <w:bookmarkStart w:id="236" w:name="OLE_LINK13"/>
      <w:r>
        <w:rPr>
          <w:rFonts w:hint="eastAsia" w:ascii="宋体" w:hAnsi="宋体" w:cs="宋体"/>
          <w:b/>
          <w:bCs/>
          <w:color w:val="000000"/>
          <w:szCs w:val="21"/>
        </w:rPr>
        <w:t>其它优化措施及增值服务</w:t>
      </w:r>
      <w:r>
        <w:rPr>
          <w:rFonts w:hint="eastAsia" w:ascii="宋体" w:hAnsi="宋体" w:eastAsia="宋体" w:cs="宋体"/>
          <w:b/>
          <w:bCs/>
          <w:color w:val="000000"/>
          <w:szCs w:val="21"/>
        </w:rPr>
        <w:t>方案</w:t>
      </w:r>
      <w:bookmarkEnd w:id="234"/>
      <w:bookmarkEnd w:id="235"/>
      <w:r>
        <w:rPr>
          <w:rFonts w:hint="eastAsia" w:ascii="宋体" w:hAnsi="宋体" w:eastAsia="宋体" w:cs="宋体"/>
          <w:b/>
          <w:bCs/>
          <w:color w:val="000000"/>
          <w:szCs w:val="21"/>
        </w:rPr>
        <w:t>分（满分8分）</w:t>
      </w:r>
    </w:p>
    <w:p w14:paraId="35E4AD8B">
      <w:pPr>
        <w:widowControl/>
        <w:spacing w:line="440" w:lineRule="exact"/>
        <w:ind w:firstLine="422"/>
        <w:jc w:val="left"/>
        <w:rPr>
          <w:rFonts w:ascii="宋体" w:hAnsi="宋体" w:eastAsia="宋体" w:cs="宋体"/>
          <w:b/>
          <w:bCs/>
          <w:color w:val="000000"/>
          <w:szCs w:val="21"/>
        </w:rPr>
      </w:pPr>
      <w:r>
        <w:rPr>
          <w:rFonts w:hint="eastAsia" w:ascii="宋体" w:hAnsi="宋体" w:eastAsia="宋体" w:cs="宋体"/>
          <w:b/>
          <w:bCs/>
          <w:color w:val="000000"/>
          <w:szCs w:val="21"/>
        </w:rPr>
        <w:t>根据投标人提供的</w:t>
      </w:r>
      <w:bookmarkStart w:id="237" w:name="OLE_LINK21"/>
      <w:r>
        <w:rPr>
          <w:rFonts w:hint="eastAsia" w:ascii="宋体" w:hAnsi="宋体" w:cs="宋体"/>
          <w:b/>
          <w:bCs/>
          <w:color w:val="000000"/>
          <w:szCs w:val="21"/>
        </w:rPr>
        <w:t>其它优化措施及增值服务</w:t>
      </w:r>
      <w:bookmarkEnd w:id="236"/>
      <w:r>
        <w:rPr>
          <w:rFonts w:hint="eastAsia" w:ascii="宋体" w:hAnsi="宋体" w:eastAsia="宋体" w:cs="宋体"/>
          <w:b/>
          <w:bCs/>
          <w:color w:val="000000"/>
          <w:szCs w:val="21"/>
        </w:rPr>
        <w:t>方案</w:t>
      </w:r>
      <w:r>
        <w:rPr>
          <w:rFonts w:hint="eastAsia" w:ascii="宋体" w:hAnsi="宋体" w:cs="宋体"/>
          <w:b/>
          <w:bCs/>
          <w:color w:val="000000"/>
          <w:szCs w:val="21"/>
        </w:rPr>
        <w:t>（包括但不限于</w:t>
      </w:r>
      <w:bookmarkStart w:id="238" w:name="OLE_LINK28"/>
      <w:bookmarkStart w:id="239" w:name="OLE_LINK37"/>
      <w:bookmarkStart w:id="240" w:name="OLE_LINK29"/>
      <w:bookmarkStart w:id="241" w:name="OLE_LINK36"/>
      <w:r>
        <w:rPr>
          <w:rFonts w:hint="eastAsia" w:ascii="宋体" w:hAnsi="宋体" w:cs="宋体"/>
          <w:b/>
          <w:bCs/>
          <w:color w:val="000000"/>
          <w:szCs w:val="21"/>
        </w:rPr>
        <w:t>针对本项目的合理化建议；各项服务的优化措施；</w:t>
      </w:r>
      <w:bookmarkEnd w:id="237"/>
      <w:bookmarkEnd w:id="238"/>
      <w:bookmarkStart w:id="242" w:name="OLE_LINK31"/>
      <w:bookmarkStart w:id="243" w:name="OLE_LINK30"/>
      <w:r>
        <w:rPr>
          <w:rFonts w:hint="eastAsia" w:ascii="宋体" w:hAnsi="宋体" w:cs="宋体"/>
          <w:b/>
          <w:bCs/>
          <w:color w:val="000000"/>
          <w:szCs w:val="21"/>
        </w:rPr>
        <w:t>实质性的</w:t>
      </w:r>
      <w:bookmarkEnd w:id="239"/>
      <w:bookmarkEnd w:id="240"/>
      <w:r>
        <w:rPr>
          <w:rFonts w:hint="eastAsia" w:ascii="宋体" w:hAnsi="宋体" w:cs="宋体"/>
          <w:b/>
          <w:bCs/>
          <w:color w:val="000000"/>
          <w:szCs w:val="21"/>
        </w:rPr>
        <w:t>增值服务举措</w:t>
      </w:r>
      <w:bookmarkEnd w:id="241"/>
      <w:bookmarkEnd w:id="242"/>
      <w:r>
        <w:rPr>
          <w:rFonts w:hint="eastAsia" w:ascii="宋体" w:hAnsi="宋体" w:cs="宋体"/>
          <w:b/>
          <w:bCs/>
          <w:color w:val="000000"/>
          <w:szCs w:val="21"/>
        </w:rPr>
        <w:t>等）方</w:t>
      </w:r>
      <w:r>
        <w:rPr>
          <w:rFonts w:hint="eastAsia" w:ascii="宋体" w:hAnsi="宋体" w:eastAsia="宋体" w:cs="宋体"/>
          <w:b/>
          <w:bCs/>
          <w:color w:val="000000"/>
          <w:szCs w:val="21"/>
        </w:rPr>
        <w:t>面内容，由评委进行独立评审并打分。</w:t>
      </w:r>
    </w:p>
    <w:p w14:paraId="478EE686">
      <w:pPr>
        <w:spacing w:line="440" w:lineRule="exact"/>
        <w:ind w:firstLine="210"/>
        <w:rPr>
          <w:rFonts w:ascii="宋体" w:hAnsi="宋体" w:eastAsia="宋体" w:cs="宋体"/>
          <w:color w:val="000000"/>
          <w:szCs w:val="21"/>
        </w:rPr>
      </w:pPr>
      <w:r>
        <w:rPr>
          <w:rFonts w:hint="eastAsia" w:ascii="宋体" w:hAnsi="宋体" w:eastAsia="宋体" w:cs="宋体"/>
          <w:color w:val="000000"/>
          <w:szCs w:val="21"/>
        </w:rPr>
        <w:t xml:space="preserve">  一档（2分）：提供基本的</w:t>
      </w:r>
      <w:bookmarkStart w:id="244" w:name="OLE_LINK25"/>
      <w:bookmarkStart w:id="245" w:name="OLE_LINK24"/>
      <w:r>
        <w:rPr>
          <w:rFonts w:hint="eastAsia" w:ascii="宋体" w:hAnsi="宋体" w:eastAsia="宋体" w:cs="宋体"/>
          <w:color w:val="000000"/>
          <w:szCs w:val="21"/>
        </w:rPr>
        <w:t>其它优化措施及增值服务方案</w:t>
      </w:r>
      <w:bookmarkEnd w:id="243"/>
      <w:bookmarkEnd w:id="244"/>
      <w:r>
        <w:rPr>
          <w:rFonts w:hint="eastAsia" w:ascii="宋体" w:hAnsi="宋体" w:eastAsia="宋体" w:cs="宋体"/>
          <w:color w:val="000000"/>
          <w:szCs w:val="21"/>
        </w:rPr>
        <w:t>或提供的</w:t>
      </w:r>
      <w:bookmarkStart w:id="246" w:name="OLE_LINK22"/>
      <w:bookmarkStart w:id="247" w:name="OLE_LINK23"/>
      <w:r>
        <w:rPr>
          <w:rFonts w:hint="eastAsia" w:ascii="宋体" w:hAnsi="宋体" w:eastAsia="宋体" w:cs="宋体"/>
          <w:color w:val="000000"/>
          <w:szCs w:val="21"/>
        </w:rPr>
        <w:t>方案</w:t>
      </w:r>
      <w:bookmarkEnd w:id="245"/>
      <w:bookmarkEnd w:id="246"/>
      <w:r>
        <w:rPr>
          <w:rFonts w:hint="eastAsia" w:ascii="宋体" w:hAnsi="宋体" w:eastAsia="宋体" w:cs="宋体"/>
          <w:color w:val="000000"/>
          <w:szCs w:val="21"/>
        </w:rPr>
        <w:t>内容有缺漏；</w:t>
      </w:r>
    </w:p>
    <w:p w14:paraId="6CA5D114">
      <w:pPr>
        <w:spacing w:line="440" w:lineRule="exact"/>
        <w:ind w:firstLine="210"/>
        <w:rPr>
          <w:rFonts w:ascii="宋体" w:hAnsi="宋体" w:eastAsia="宋体" w:cs="宋体"/>
          <w:color w:val="000000"/>
          <w:szCs w:val="21"/>
        </w:rPr>
      </w:pPr>
      <w:r>
        <w:rPr>
          <w:rFonts w:hint="eastAsia" w:ascii="宋体" w:hAnsi="宋体" w:eastAsia="宋体" w:cs="宋体"/>
          <w:color w:val="000000"/>
          <w:szCs w:val="21"/>
        </w:rPr>
        <w:t xml:space="preserve">  二档（5分）：提供了完整的其它优化措施及增值服务方案，其中包括针对本项目的合理化建议、各项服务的优化措施、实质性的增值服务举措等，内容较清晰、对本项目有利实施提出的方案具有一定的针对性，服务保障能力较好，整体满足项目需求，方案具备一定的可行性，能够匹配和基本覆盖本项目服务需求的各方面；</w:t>
      </w:r>
    </w:p>
    <w:p w14:paraId="1FBB094E">
      <w:pPr>
        <w:spacing w:line="440" w:lineRule="exact"/>
        <w:ind w:firstLine="210"/>
        <w:rPr>
          <w:rFonts w:ascii="宋体" w:hAnsi="宋体" w:eastAsia="宋体" w:cs="宋体"/>
          <w:color w:val="000000"/>
          <w:szCs w:val="21"/>
        </w:rPr>
      </w:pPr>
      <w:r>
        <w:rPr>
          <w:rFonts w:hint="eastAsia" w:ascii="宋体" w:hAnsi="宋体" w:eastAsia="宋体" w:cs="宋体"/>
          <w:color w:val="000000"/>
          <w:szCs w:val="21"/>
        </w:rPr>
        <w:t xml:space="preserve">   三档（8分）：在二档的基础上有创新，有完善详实的各项方案内容，并针对本项目设置专门的服务内容，贴合本项目的要求；针对性强，适用性强，能完全满足本项目实际要求。</w:t>
      </w:r>
    </w:p>
    <w:p w14:paraId="3F2A2202">
      <w:pPr>
        <w:spacing w:line="400" w:lineRule="exact"/>
        <w:rPr>
          <w:rFonts w:ascii="宋体" w:hAnsi="宋体" w:eastAsia="宋体" w:cs="宋体"/>
          <w:b/>
          <w:bCs/>
          <w:color w:val="000000"/>
          <w:szCs w:val="21"/>
        </w:rPr>
      </w:pPr>
      <w:r>
        <w:rPr>
          <w:rFonts w:hint="eastAsia" w:ascii="宋体" w:hAnsi="宋体" w:eastAsia="宋体" w:cs="宋体"/>
          <w:b/>
          <w:bCs/>
          <w:color w:val="000000"/>
          <w:szCs w:val="21"/>
        </w:rPr>
        <w:t xml:space="preserve">    3、项目实施人员配备方案分</w:t>
      </w:r>
      <w:r>
        <w:rPr>
          <w:rFonts w:hint="eastAsia" w:ascii="宋体" w:hAnsi="宋体" w:eastAsia="宋体" w:cs="宋体"/>
          <w:b/>
          <w:color w:val="000000"/>
          <w:szCs w:val="21"/>
        </w:rPr>
        <w:t>………………………………………………………………………满分</w:t>
      </w:r>
      <w:r>
        <w:rPr>
          <w:rFonts w:hint="eastAsia" w:ascii="宋体" w:hAnsi="宋体" w:eastAsia="宋体" w:cs="宋体"/>
          <w:b/>
          <w:bCs/>
          <w:color w:val="000000"/>
          <w:szCs w:val="20"/>
        </w:rPr>
        <w:t>6</w:t>
      </w:r>
      <w:r>
        <w:rPr>
          <w:rFonts w:hint="eastAsia" w:ascii="宋体" w:hAnsi="宋体" w:eastAsia="宋体" w:cs="宋体"/>
          <w:b/>
          <w:bCs/>
          <w:color w:val="000000"/>
          <w:szCs w:val="21"/>
        </w:rPr>
        <w:t>分</w:t>
      </w:r>
    </w:p>
    <w:p w14:paraId="48E6B603">
      <w:pPr>
        <w:spacing w:line="440" w:lineRule="exact"/>
        <w:ind w:firstLine="422"/>
        <w:rPr>
          <w:rFonts w:ascii="宋体" w:hAnsi="宋体" w:eastAsia="宋体" w:cs="宋体"/>
          <w:b/>
          <w:bCs/>
          <w:color w:val="000000"/>
          <w:szCs w:val="21"/>
        </w:rPr>
      </w:pPr>
      <w:r>
        <w:rPr>
          <w:rFonts w:hint="eastAsia" w:ascii="宋体" w:hAnsi="宋体" w:eastAsia="宋体" w:cs="宋体"/>
          <w:b/>
          <w:bCs/>
          <w:color w:val="000000"/>
          <w:szCs w:val="21"/>
        </w:rPr>
        <w:t>根据投标人提供的项目实施人员配备方案（包括但不限于拟投入总人数及各岗位的人员配置；各岗位工作分工和职责范围；对投入人员的排班和作息安排等）方面内容，由评委进行独立评审并打分。</w:t>
      </w:r>
    </w:p>
    <w:p w14:paraId="67F0C97C">
      <w:pPr>
        <w:spacing w:line="440" w:lineRule="exact"/>
        <w:ind w:firstLine="420"/>
        <w:rPr>
          <w:rFonts w:ascii="宋体" w:hAnsi="宋体" w:eastAsia="宋体" w:cs="宋体"/>
          <w:color w:val="000000"/>
          <w:szCs w:val="21"/>
        </w:rPr>
      </w:pPr>
      <w:r>
        <w:rPr>
          <w:rFonts w:hint="eastAsia" w:ascii="宋体" w:hAnsi="宋体" w:eastAsia="宋体" w:cs="宋体"/>
          <w:color w:val="000000"/>
          <w:szCs w:val="21"/>
        </w:rPr>
        <w:t>一档（2分）：提供的方案内容完整，符合项目基本要求；</w:t>
      </w:r>
    </w:p>
    <w:p w14:paraId="153BD92C">
      <w:pPr>
        <w:spacing w:line="440" w:lineRule="exact"/>
        <w:ind w:firstLine="420"/>
        <w:rPr>
          <w:rFonts w:ascii="宋体" w:hAnsi="宋体" w:eastAsia="宋体" w:cs="宋体"/>
          <w:color w:val="000000"/>
          <w:szCs w:val="21"/>
        </w:rPr>
      </w:pPr>
      <w:r>
        <w:rPr>
          <w:rFonts w:hint="eastAsia" w:ascii="宋体" w:hAnsi="宋体" w:eastAsia="宋体" w:cs="宋体"/>
          <w:color w:val="000000"/>
          <w:szCs w:val="21"/>
        </w:rPr>
        <w:t>二档（4分）：提供的方案内容完整详细，拟投入项目的人员人数、人员年龄结构满足项目要求，各岗位工作分工和职责范围内容符合所属项目区域的实际情况，并有一定针对性的；拟投入人员具有国家有关部门颁发的维修电工证（四级以上）或特种作业操作证（低压电工作业）2名</w:t>
      </w:r>
      <w:r>
        <w:rPr>
          <w:rFonts w:hint="eastAsia" w:ascii="宋体" w:hAnsi="宋体" w:cs="宋体"/>
          <w:color w:val="000000"/>
          <w:szCs w:val="21"/>
          <w:lang w:val="en-US" w:eastAsia="zh-CN"/>
        </w:rPr>
        <w:t>（含）</w:t>
      </w:r>
      <w:r>
        <w:rPr>
          <w:rFonts w:hint="eastAsia" w:ascii="宋体" w:hAnsi="宋体" w:eastAsia="宋体" w:cs="宋体"/>
          <w:color w:val="000000"/>
          <w:szCs w:val="21"/>
        </w:rPr>
        <w:t>以上。</w:t>
      </w:r>
    </w:p>
    <w:p w14:paraId="20A5446C">
      <w:pPr>
        <w:spacing w:line="440" w:lineRule="exact"/>
        <w:ind w:firstLine="420"/>
        <w:rPr>
          <w:rFonts w:ascii="宋体" w:hAnsi="宋体" w:eastAsia="宋体" w:cs="宋体"/>
          <w:color w:val="000000"/>
          <w:szCs w:val="21"/>
          <w:highlight w:val="none"/>
        </w:rPr>
      </w:pPr>
      <w:r>
        <w:rPr>
          <w:rFonts w:hint="eastAsia" w:ascii="宋体" w:hAnsi="宋体" w:eastAsia="宋体" w:cs="宋体"/>
          <w:color w:val="000000"/>
          <w:szCs w:val="21"/>
        </w:rPr>
        <w:t>三档（6分）：提供的方案内容完整、详尽完善，拟投入项目的人员人数、人员年龄结构优于项目要求，各岗位工作分工和职责范围内容完善、</w:t>
      </w:r>
      <w:r>
        <w:rPr>
          <w:rFonts w:hint="eastAsia" w:ascii="宋体" w:hAnsi="宋体" w:eastAsia="宋体" w:cs="宋体"/>
          <w:color w:val="000000"/>
          <w:szCs w:val="21"/>
          <w:highlight w:val="none"/>
        </w:rPr>
        <w:t>合理性强、针对性强，完全满足所属项目区域的实际情况，排班和作息安排科学合理、可行性强。</w:t>
      </w:r>
      <w:bookmarkStart w:id="248" w:name="OLE_LINK7"/>
      <w:bookmarkStart w:id="249" w:name="OLE_LINK11"/>
      <w:r>
        <w:rPr>
          <w:rFonts w:hint="eastAsia" w:ascii="宋体" w:hAnsi="宋体" w:eastAsia="宋体" w:cs="宋体"/>
          <w:color w:val="000000"/>
          <w:szCs w:val="21"/>
          <w:highlight w:val="none"/>
        </w:rPr>
        <w:t>拟投入人员具有国家有关部门颁发的维修电工证（四级以上）</w:t>
      </w:r>
      <w:r>
        <w:rPr>
          <w:rFonts w:hint="eastAsia" w:ascii="宋体" w:hAnsi="宋体" w:cs="宋体"/>
          <w:color w:val="000000"/>
          <w:szCs w:val="21"/>
          <w:highlight w:val="none"/>
          <w:lang w:eastAsia="zh-CN"/>
        </w:rPr>
        <w:t>或</w:t>
      </w:r>
      <w:r>
        <w:rPr>
          <w:rFonts w:hint="eastAsia"/>
          <w:highlight w:val="none"/>
        </w:rPr>
        <w:t>特种作业操作证（低压电工作业）</w:t>
      </w:r>
      <w:r>
        <w:rPr>
          <w:rFonts w:hint="eastAsia" w:ascii="宋体" w:hAnsi="宋体" w:eastAsia="宋体" w:cs="宋体"/>
          <w:color w:val="000000"/>
          <w:szCs w:val="21"/>
        </w:rPr>
        <w:t>2名</w:t>
      </w:r>
      <w:r>
        <w:rPr>
          <w:rFonts w:hint="eastAsia" w:ascii="宋体" w:hAnsi="宋体" w:cs="宋体"/>
          <w:color w:val="000000"/>
          <w:szCs w:val="21"/>
          <w:lang w:val="en-US" w:eastAsia="zh-CN"/>
        </w:rPr>
        <w:t>（含）</w:t>
      </w:r>
      <w:r>
        <w:rPr>
          <w:rFonts w:hint="eastAsia" w:ascii="宋体" w:hAnsi="宋体" w:eastAsia="宋体" w:cs="宋体"/>
          <w:color w:val="000000"/>
          <w:szCs w:val="21"/>
          <w:highlight w:val="none"/>
        </w:rPr>
        <w:t>以上、制冷设备维修工证（四级以上）</w:t>
      </w:r>
      <w:r>
        <w:rPr>
          <w:rFonts w:hint="eastAsia"/>
          <w:highlight w:val="none"/>
          <w:lang w:eastAsia="zh-CN"/>
        </w:rPr>
        <w:t>或制冷空调系统安装维修工</w:t>
      </w:r>
      <w:r>
        <w:rPr>
          <w:rFonts w:hint="eastAsia" w:ascii="宋体" w:hAnsi="宋体" w:eastAsia="宋体" w:cs="宋体"/>
          <w:color w:val="000000"/>
          <w:szCs w:val="21"/>
          <w:highlight w:val="none"/>
        </w:rPr>
        <w:t>2名</w:t>
      </w:r>
      <w:r>
        <w:rPr>
          <w:rFonts w:hint="eastAsia" w:ascii="宋体" w:hAnsi="宋体" w:cs="宋体"/>
          <w:color w:val="000000"/>
          <w:szCs w:val="21"/>
          <w:lang w:val="en-US" w:eastAsia="zh-CN"/>
        </w:rPr>
        <w:t>（含）</w:t>
      </w:r>
      <w:r>
        <w:rPr>
          <w:rFonts w:hint="eastAsia" w:ascii="宋体" w:hAnsi="宋体" w:eastAsia="宋体" w:cs="宋体"/>
          <w:color w:val="000000"/>
          <w:szCs w:val="21"/>
          <w:highlight w:val="none"/>
        </w:rPr>
        <w:t>以上。</w:t>
      </w:r>
      <w:bookmarkEnd w:id="247"/>
      <w:bookmarkEnd w:id="248"/>
    </w:p>
    <w:p w14:paraId="45448DB1">
      <w:pPr>
        <w:spacing w:line="360" w:lineRule="auto"/>
        <w:rPr>
          <w:rFonts w:ascii="宋体" w:hAnsi="宋体" w:eastAsia="宋体" w:cs="宋体"/>
          <w:b/>
          <w:bCs/>
          <w:color w:val="000000"/>
          <w:szCs w:val="24"/>
        </w:rPr>
      </w:pPr>
      <w:r>
        <w:rPr>
          <w:rFonts w:hint="eastAsia" w:ascii="宋体" w:hAnsi="宋体" w:eastAsia="宋体" w:cs="宋体"/>
          <w:b/>
          <w:bCs/>
          <w:color w:val="000000"/>
          <w:szCs w:val="24"/>
        </w:rPr>
        <w:t xml:space="preserve">    4、履约能力分……………………………………………………………………满分8分</w:t>
      </w:r>
    </w:p>
    <w:p w14:paraId="3521F813">
      <w:pPr>
        <w:spacing w:line="440" w:lineRule="exact"/>
        <w:ind w:firstLine="420"/>
        <w:jc w:val="left"/>
        <w:rPr>
          <w:rFonts w:ascii="宋体" w:hAnsi="宋体" w:eastAsia="宋体" w:cs="宋体"/>
          <w:color w:val="000000"/>
          <w:szCs w:val="21"/>
        </w:rPr>
      </w:pPr>
      <w:r>
        <w:rPr>
          <w:rFonts w:hint="eastAsia" w:ascii="宋体" w:hAnsi="宋体" w:eastAsia="宋体" w:cs="宋体"/>
          <w:color w:val="000000"/>
          <w:szCs w:val="21"/>
        </w:rPr>
        <w:t>（1）投标人提供的项目实施人员配备方案中</w:t>
      </w:r>
      <w:r>
        <w:rPr>
          <w:rFonts w:hint="eastAsia" w:ascii="宋体" w:hAnsi="宋体" w:eastAsia="宋体" w:cs="宋体"/>
          <w:color w:val="000000"/>
          <w:szCs w:val="21"/>
          <w:lang w:bidi="zh-CN"/>
        </w:rPr>
        <w:t>拟投入本项目的人员中</w:t>
      </w:r>
      <w:r>
        <w:rPr>
          <w:rFonts w:hint="eastAsia" w:ascii="宋体" w:hAnsi="宋体" w:eastAsia="宋体" w:cs="宋体"/>
          <w:color w:val="000000"/>
          <w:szCs w:val="21"/>
        </w:rPr>
        <w:t>配备有以下证书的（满分4.5分）</w:t>
      </w:r>
    </w:p>
    <w:p w14:paraId="2ABA0C61">
      <w:pPr>
        <w:spacing w:line="440" w:lineRule="exact"/>
        <w:ind w:firstLine="420"/>
        <w:jc w:val="left"/>
        <w:rPr>
          <w:rFonts w:ascii="宋体" w:hAnsi="宋体" w:eastAsia="宋体" w:cs="宋体"/>
          <w:color w:val="000000"/>
          <w:szCs w:val="21"/>
        </w:rPr>
      </w:pPr>
      <w:r>
        <w:rPr>
          <w:rFonts w:hint="eastAsia" w:ascii="宋体" w:hAnsi="宋体" w:eastAsia="宋体" w:cs="宋体"/>
          <w:color w:val="000000"/>
          <w:szCs w:val="21"/>
          <w:shd w:val="clear" w:color="auto" w:fill="FFFFFF"/>
        </w:rPr>
        <w:t>①</w:t>
      </w:r>
      <w:r>
        <w:rPr>
          <w:rFonts w:hint="eastAsia" w:ascii="宋体" w:hAnsi="宋体" w:eastAsia="宋体" w:cs="宋体"/>
          <w:color w:val="000000"/>
          <w:szCs w:val="21"/>
        </w:rPr>
        <w:t>拟投入物业总经理同时具有本科及以上学历、会计师中级及以上职称、人力资源管理师【投标文件中提供其相应证书</w:t>
      </w:r>
      <w:r>
        <w:rPr>
          <w:rFonts w:hint="eastAsia" w:ascii="宋体" w:hAnsi="宋体" w:cs="宋体"/>
          <w:color w:val="000000"/>
          <w:szCs w:val="21"/>
          <w:lang w:val="en-US" w:eastAsia="zh-CN"/>
        </w:rPr>
        <w:t>扫描件</w:t>
      </w:r>
      <w:r>
        <w:rPr>
          <w:rFonts w:hint="eastAsia" w:ascii="宋体" w:hAnsi="宋体" w:eastAsia="宋体" w:cs="宋体"/>
          <w:color w:val="000000"/>
          <w:szCs w:val="21"/>
        </w:rPr>
        <w:t>及项目开标前最近一个月由投标人为其缴纳的社保证明</w:t>
      </w:r>
      <w:r>
        <w:rPr>
          <w:rFonts w:hint="eastAsia" w:ascii="宋体" w:hAnsi="宋体" w:cs="宋体"/>
          <w:color w:val="000000"/>
          <w:szCs w:val="21"/>
          <w:lang w:val="en-US" w:eastAsia="zh-CN"/>
        </w:rPr>
        <w:t>扫描件</w:t>
      </w:r>
      <w:r>
        <w:rPr>
          <w:rFonts w:hint="eastAsia" w:ascii="宋体" w:hAnsi="宋体" w:eastAsia="宋体" w:cs="宋体"/>
          <w:color w:val="000000"/>
          <w:szCs w:val="21"/>
        </w:rPr>
        <w:t>】，得2分。</w:t>
      </w:r>
    </w:p>
    <w:p w14:paraId="69C6A840">
      <w:pPr>
        <w:spacing w:line="440" w:lineRule="exact"/>
        <w:ind w:firstLine="420"/>
        <w:jc w:val="left"/>
        <w:rPr>
          <w:rFonts w:ascii="宋体" w:hAnsi="宋体" w:eastAsia="宋体" w:cs="宋体"/>
          <w:color w:val="000000"/>
          <w:szCs w:val="21"/>
        </w:rPr>
      </w:pPr>
      <w:r>
        <w:rPr>
          <w:rFonts w:hint="eastAsia" w:ascii="宋体" w:hAnsi="宋体" w:eastAsia="宋体" w:cs="宋体"/>
          <w:color w:val="000000"/>
          <w:szCs w:val="21"/>
          <w:shd w:val="clear" w:color="auto" w:fill="FFFFFF"/>
        </w:rPr>
        <w:t>②</w:t>
      </w:r>
      <w:r>
        <w:rPr>
          <w:rFonts w:hint="eastAsia" w:ascii="宋体" w:hAnsi="宋体" w:eastAsia="宋体" w:cs="宋体"/>
          <w:color w:val="000000"/>
          <w:szCs w:val="21"/>
        </w:rPr>
        <w:t>拟投入本项目的人员具有国家有关部门颁发的救护</w:t>
      </w:r>
      <w:r>
        <w:rPr>
          <w:rFonts w:hint="eastAsia" w:ascii="宋体" w:hAnsi="宋体" w:cs="宋体"/>
          <w:color w:val="000000"/>
          <w:szCs w:val="21"/>
          <w:lang w:val="en-US" w:eastAsia="zh-CN"/>
        </w:rPr>
        <w:t>员</w:t>
      </w:r>
      <w:r>
        <w:rPr>
          <w:rFonts w:hint="eastAsia" w:ascii="宋体" w:hAnsi="宋体" w:eastAsia="宋体" w:cs="宋体"/>
          <w:color w:val="000000"/>
          <w:szCs w:val="21"/>
        </w:rPr>
        <w:t>证【投标文件中提供其相应证书复印件及项目开标前最近一个月由投标人为其缴纳的社保证明</w:t>
      </w:r>
      <w:r>
        <w:rPr>
          <w:rFonts w:hint="eastAsia" w:ascii="宋体" w:hAnsi="宋体" w:cs="宋体"/>
          <w:color w:val="000000"/>
          <w:szCs w:val="21"/>
          <w:lang w:val="en-US" w:eastAsia="zh-CN"/>
        </w:rPr>
        <w:t>扫描</w:t>
      </w:r>
      <w:r>
        <w:rPr>
          <w:rFonts w:hint="eastAsia" w:ascii="宋体" w:hAnsi="宋体" w:eastAsia="宋体" w:cs="宋体"/>
          <w:color w:val="000000"/>
          <w:szCs w:val="21"/>
        </w:rPr>
        <w:t>件】的，每提供1人得0.5分</w:t>
      </w:r>
      <w:r>
        <w:rPr>
          <w:rFonts w:hint="eastAsia" w:ascii="宋体" w:hAnsi="宋体" w:cs="宋体"/>
          <w:color w:val="000000"/>
          <w:szCs w:val="21"/>
          <w:lang w:eastAsia="zh-CN"/>
        </w:rPr>
        <w:t>，</w:t>
      </w:r>
      <w:r>
        <w:rPr>
          <w:rFonts w:hint="eastAsia" w:ascii="宋体" w:hAnsi="宋体" w:eastAsia="宋体" w:cs="宋体"/>
          <w:color w:val="000000"/>
          <w:szCs w:val="21"/>
        </w:rPr>
        <w:t>最多得2.5分。</w:t>
      </w:r>
    </w:p>
    <w:p w14:paraId="6CADEB86">
      <w:pPr>
        <w:spacing w:line="440" w:lineRule="exact"/>
        <w:ind w:firstLine="420"/>
        <w:jc w:val="left"/>
        <w:rPr>
          <w:rFonts w:ascii="宋体" w:hAnsi="宋体" w:eastAsia="宋体" w:cs="宋体"/>
          <w:color w:val="000000"/>
          <w:szCs w:val="21"/>
        </w:rPr>
      </w:pPr>
      <w:r>
        <w:rPr>
          <w:rFonts w:hint="eastAsia" w:ascii="宋体" w:hAnsi="宋体" w:eastAsia="宋体" w:cs="宋体"/>
          <w:color w:val="000000"/>
          <w:szCs w:val="21"/>
        </w:rPr>
        <w:t>（2）投标人具有ISO9001质量管理体系认证证书；ISO14001环境管理体系认证证书；ISO45001职业健康安全管理体系认证证书的（提供证书扫描件并加盖电子公章），每提供1项得0.5分，最多得1.5分。</w:t>
      </w:r>
    </w:p>
    <w:p w14:paraId="5D07941E">
      <w:pPr>
        <w:widowControl/>
        <w:spacing w:line="380" w:lineRule="exact"/>
        <w:ind w:firstLine="420"/>
        <w:rPr>
          <w:rFonts w:ascii="宋体" w:hAnsi="宋体" w:eastAsia="宋体" w:cs="宋体"/>
          <w:color w:val="000000"/>
          <w:szCs w:val="21"/>
        </w:rPr>
      </w:pPr>
      <w:r>
        <w:rPr>
          <w:rFonts w:hint="eastAsia" w:ascii="宋体" w:hAnsi="宋体" w:eastAsia="宋体" w:cs="宋体"/>
          <w:color w:val="000000"/>
          <w:szCs w:val="21"/>
        </w:rPr>
        <w:t>（3）投标人自202</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年1月1日以来同类业绩的相关证明材料（以中标、成交通知书或签订的采购合同扫描件为准，并能清晰反映所提供的服务类型、种类、金额），否则将不予计分；同一个编号的项目有两个或两个以上的分标中标的只算一次]，每提供一项得0.5分，满分2分。</w:t>
      </w:r>
    </w:p>
    <w:p w14:paraId="18878FE2">
      <w:pPr>
        <w:widowControl/>
        <w:spacing w:line="400" w:lineRule="exact"/>
        <w:rPr>
          <w:rFonts w:ascii="宋体" w:hAnsi="宋体" w:eastAsia="宋体" w:cs="宋体"/>
          <w:b/>
          <w:bCs/>
          <w:color w:val="000000"/>
          <w:szCs w:val="21"/>
        </w:rPr>
      </w:pPr>
      <w:r>
        <w:rPr>
          <w:rFonts w:hint="eastAsia" w:ascii="宋体" w:hAnsi="宋体" w:eastAsia="宋体" w:cs="宋体"/>
          <w:b/>
          <w:bCs/>
          <w:color w:val="000000"/>
          <w:szCs w:val="21"/>
        </w:rPr>
        <w:t xml:space="preserve">    5、服务承诺分</w:t>
      </w:r>
      <w:r>
        <w:rPr>
          <w:rFonts w:hint="eastAsia" w:ascii="宋体" w:hAnsi="宋体" w:eastAsia="宋体" w:cs="宋体"/>
          <w:b/>
          <w:color w:val="000000"/>
          <w:szCs w:val="21"/>
        </w:rPr>
        <w:t>…………………………………………………………………满分6分</w:t>
      </w:r>
    </w:p>
    <w:p w14:paraId="4C9846B9">
      <w:pPr>
        <w:widowControl/>
        <w:spacing w:line="400" w:lineRule="exact"/>
        <w:ind w:firstLine="420"/>
        <w:outlineLvl w:val="0"/>
        <w:rPr>
          <w:rFonts w:ascii="宋体" w:hAnsi="宋体" w:eastAsia="宋体" w:cs="宋体"/>
          <w:color w:val="000000"/>
          <w:szCs w:val="21"/>
        </w:rPr>
      </w:pPr>
      <w:bookmarkStart w:id="250" w:name="_Toc29906"/>
      <w:r>
        <w:rPr>
          <w:rFonts w:hint="eastAsia" w:ascii="宋体" w:hAnsi="宋体" w:eastAsia="宋体" w:cs="宋体"/>
          <w:color w:val="000000"/>
          <w:szCs w:val="21"/>
        </w:rPr>
        <w:t>评委根据供应商提供的“服务承诺书（包括</w:t>
      </w:r>
      <w:bookmarkStart w:id="251" w:name="OLE_LINK61"/>
      <w:bookmarkStart w:id="252" w:name="OLE_LINK62"/>
      <w:r>
        <w:rPr>
          <w:rFonts w:hint="eastAsia" w:ascii="宋体" w:hAnsi="宋体" w:eastAsia="宋体" w:cs="宋体"/>
          <w:color w:val="000000"/>
          <w:szCs w:val="21"/>
        </w:rPr>
        <w:t>①</w:t>
      </w:r>
      <w:bookmarkEnd w:id="249"/>
      <w:bookmarkEnd w:id="250"/>
      <w:r>
        <w:rPr>
          <w:rFonts w:hint="eastAsia" w:ascii="宋体" w:hAnsi="宋体" w:eastAsia="宋体" w:cs="宋体"/>
          <w:color w:val="000000"/>
          <w:szCs w:val="21"/>
        </w:rPr>
        <w:t>对服务质量所达到标准的承诺；②对保障本项目平稳过渡、平稳运行的相关措施及承诺；③对在服务中出现责任事故防范和补救处理措施的承诺）”内容的完整性、针对性两个方面进行独立评审并打分：</w:t>
      </w:r>
      <w:bookmarkEnd w:id="251"/>
    </w:p>
    <w:p w14:paraId="660727A6">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一档（2分）：服务承诺书内容完整，符合项目基本要求；</w:t>
      </w:r>
    </w:p>
    <w:p w14:paraId="7A5CCF7A">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二档（4分）：</w:t>
      </w:r>
      <w:r>
        <w:rPr>
          <w:rFonts w:hint="eastAsia" w:ascii="宋体" w:hAnsi="宋体" w:eastAsia="宋体" w:cs="宋体"/>
          <w:color w:val="000000"/>
          <w:szCs w:val="21"/>
          <w:lang w:eastAsia="zh-CN"/>
        </w:rPr>
        <w:t>一档基础上，</w:t>
      </w:r>
      <w:r>
        <w:rPr>
          <w:rFonts w:hint="eastAsia" w:ascii="宋体" w:hAnsi="宋体" w:eastAsia="宋体" w:cs="宋体"/>
          <w:color w:val="000000"/>
          <w:szCs w:val="21"/>
        </w:rPr>
        <w:t>服务承诺书内容完整详细，提供的措施详细具体</w:t>
      </w:r>
      <w:r>
        <w:rPr>
          <w:rFonts w:hint="eastAsia" w:ascii="宋体" w:hAnsi="宋体" w:eastAsia="宋体" w:cs="宋体"/>
          <w:color w:val="000000"/>
          <w:szCs w:val="21"/>
          <w:lang w:eastAsia="zh-CN"/>
        </w:rPr>
        <w:t>，有相关措施及承诺；</w:t>
      </w:r>
    </w:p>
    <w:p w14:paraId="2CD61F40">
      <w:pPr>
        <w:spacing w:line="400" w:lineRule="exact"/>
        <w:ind w:firstLine="420" w:firstLineChars="200"/>
        <w:rPr>
          <w:rFonts w:hint="eastAsia" w:ascii="宋体" w:hAnsi="宋体" w:cs="宋体"/>
          <w:color w:val="000000"/>
          <w:szCs w:val="21"/>
        </w:rPr>
      </w:pPr>
      <w:r>
        <w:rPr>
          <w:rFonts w:hint="eastAsia" w:ascii="宋体" w:hAnsi="宋体" w:eastAsia="宋体" w:cs="宋体"/>
          <w:color w:val="000000"/>
          <w:szCs w:val="21"/>
        </w:rPr>
        <w:t>三档（6分）：</w:t>
      </w:r>
      <w:r>
        <w:rPr>
          <w:rFonts w:hint="eastAsia" w:ascii="宋体" w:hAnsi="宋体" w:eastAsia="宋体" w:cs="宋体"/>
          <w:color w:val="000000"/>
          <w:szCs w:val="21"/>
          <w:lang w:eastAsia="zh-CN"/>
        </w:rPr>
        <w:t>在二档基础上，</w:t>
      </w:r>
      <w:r>
        <w:rPr>
          <w:rFonts w:hint="eastAsia" w:ascii="宋体" w:hAnsi="宋体" w:eastAsia="宋体" w:cs="宋体"/>
          <w:color w:val="000000"/>
          <w:szCs w:val="21"/>
        </w:rPr>
        <w:t>服务承诺书内容完整、详尽完善，更优于本项目采购的要求；提供的措施详细具体、针对性和可操作性强</w:t>
      </w:r>
      <w:r>
        <w:rPr>
          <w:rFonts w:hint="eastAsia" w:ascii="宋体" w:hAnsi="宋体" w:eastAsia="宋体" w:cs="宋体"/>
          <w:color w:val="000000"/>
          <w:szCs w:val="21"/>
          <w:lang w:eastAsia="zh-CN"/>
        </w:rPr>
        <w:t>，有</w:t>
      </w:r>
      <w:r>
        <w:rPr>
          <w:rFonts w:hint="eastAsia" w:ascii="宋体" w:hAnsi="宋体" w:eastAsia="宋体" w:cs="宋体"/>
          <w:color w:val="000000"/>
          <w:szCs w:val="21"/>
        </w:rPr>
        <w:t>具体量化指标</w:t>
      </w:r>
      <w:r>
        <w:rPr>
          <w:rFonts w:hint="eastAsia" w:ascii="宋体" w:hAnsi="宋体" w:eastAsia="宋体" w:cs="宋体"/>
          <w:color w:val="000000"/>
          <w:szCs w:val="21"/>
          <w:lang w:eastAsia="zh-CN"/>
        </w:rPr>
        <w:t>，有具体的未达标的违约责任</w:t>
      </w:r>
      <w:r>
        <w:rPr>
          <w:rFonts w:hint="eastAsia" w:ascii="宋体" w:hAnsi="宋体" w:eastAsia="宋体" w:cs="宋体"/>
          <w:color w:val="000000"/>
          <w:szCs w:val="21"/>
        </w:rPr>
        <w:t>。</w:t>
      </w:r>
    </w:p>
    <w:p w14:paraId="04926A16">
      <w:pPr>
        <w:spacing w:line="400" w:lineRule="exact"/>
        <w:rPr>
          <w:rFonts w:ascii="Times New Roman" w:hAnsi="宋体" w:eastAsia="宋体" w:cs="宋体"/>
          <w:b/>
          <w:color w:val="000000"/>
          <w:szCs w:val="21"/>
        </w:rPr>
      </w:pPr>
      <w:r>
        <w:rPr>
          <w:rFonts w:hint="eastAsia" w:ascii="宋体" w:hAnsi="宋体" w:eastAsia="宋体" w:cs="宋体"/>
          <w:b/>
          <w:color w:val="000000"/>
          <w:szCs w:val="21"/>
        </w:rPr>
        <w:t xml:space="preserve">    6、综合得分＝1+2+3</w:t>
      </w:r>
      <w:bookmarkStart w:id="253" w:name="OLE_LINK16"/>
      <w:bookmarkStart w:id="254" w:name="OLE_LINK17"/>
      <w:r>
        <w:rPr>
          <w:rFonts w:hint="eastAsia" w:ascii="宋体" w:hAnsi="宋体" w:eastAsia="宋体" w:cs="宋体"/>
          <w:b/>
          <w:color w:val="000000"/>
          <w:szCs w:val="21"/>
        </w:rPr>
        <w:t>+4+5</w:t>
      </w:r>
      <w:bookmarkEnd w:id="252"/>
      <w:bookmarkEnd w:id="253"/>
    </w:p>
    <w:p w14:paraId="20B6177D">
      <w:pPr>
        <w:tabs>
          <w:tab w:val="left" w:pos="4214"/>
        </w:tabs>
        <w:spacing w:line="400" w:lineRule="exact"/>
        <w:ind w:firstLine="422"/>
        <w:rPr>
          <w:rFonts w:ascii="宋体" w:hAnsi="宋体" w:eastAsia="宋体" w:cs="宋体"/>
          <w:b/>
          <w:color w:val="000000"/>
          <w:szCs w:val="21"/>
        </w:rPr>
      </w:pPr>
      <w:r>
        <w:rPr>
          <w:rFonts w:hint="eastAsia" w:ascii="宋体" w:hAnsi="宋体" w:eastAsia="宋体" w:cs="宋体"/>
          <w:b/>
          <w:color w:val="000000"/>
          <w:szCs w:val="21"/>
        </w:rPr>
        <w:t>三、推荐及确定中标候选供应商原则</w:t>
      </w:r>
    </w:p>
    <w:p w14:paraId="4D60A6D5">
      <w:pPr>
        <w:tabs>
          <w:tab w:val="left" w:pos="4214"/>
        </w:tabs>
        <w:spacing w:line="400" w:lineRule="exact"/>
        <w:ind w:firstLine="420"/>
        <w:rPr>
          <w:rFonts w:ascii="宋体" w:hAnsi="宋体" w:eastAsia="宋体" w:cs="宋体"/>
          <w:color w:val="000000"/>
          <w:szCs w:val="21"/>
        </w:rPr>
      </w:pPr>
      <w:r>
        <w:rPr>
          <w:rFonts w:hint="eastAsia" w:ascii="宋体" w:hAnsi="宋体" w:eastAsia="宋体" w:cs="宋体"/>
          <w:color w:val="000000"/>
          <w:szCs w:val="21"/>
        </w:rPr>
        <w:t>（1）评标委员会根据综合得分由高到低排列次序，若得分相同时，按评标价由低到高顺序排列；得分相同且评标价也相同的由评标委员会按照抽签的方式决定排次次序。</w:t>
      </w:r>
    </w:p>
    <w:p w14:paraId="0C97206F">
      <w:pPr>
        <w:tabs>
          <w:tab w:val="left" w:pos="4214"/>
        </w:tabs>
        <w:spacing w:line="400" w:lineRule="exact"/>
        <w:ind w:firstLine="420"/>
        <w:rPr>
          <w:rFonts w:ascii="宋体" w:hAnsi="宋体" w:eastAsia="宋体" w:cs="宋体"/>
          <w:color w:val="000000"/>
          <w:szCs w:val="21"/>
        </w:rPr>
      </w:pPr>
      <w:r>
        <w:rPr>
          <w:rFonts w:hint="eastAsia" w:ascii="宋体" w:hAnsi="宋体" w:eastAsia="宋体" w:cs="宋体"/>
          <w:color w:val="000000"/>
          <w:szCs w:val="21"/>
        </w:rPr>
        <w:t>（2）评标委员会可推荐前三名为中标候选人，采购人应当确定评标委员会推荐排名第一的中标候选人为中标人。</w:t>
      </w:r>
    </w:p>
    <w:p w14:paraId="2453BE32">
      <w:pPr>
        <w:tabs>
          <w:tab w:val="left" w:pos="4214"/>
        </w:tabs>
        <w:spacing w:line="400" w:lineRule="exact"/>
        <w:ind w:firstLine="420"/>
        <w:rPr>
          <w:rFonts w:ascii="宋体" w:hAnsi="宋体" w:eastAsia="宋体" w:cs="宋体"/>
          <w:b/>
          <w:color w:val="000000"/>
          <w:szCs w:val="21"/>
        </w:rPr>
      </w:pPr>
      <w:r>
        <w:rPr>
          <w:rFonts w:hint="eastAsia" w:ascii="宋体" w:hAnsi="宋体" w:eastAsia="宋体" w:cs="宋体"/>
          <w:color w:val="000000"/>
          <w:szCs w:val="21"/>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14:paraId="46B3B926">
      <w:pPr>
        <w:spacing w:line="390" w:lineRule="exact"/>
        <w:ind w:firstLine="426"/>
        <w:jc w:val="left"/>
        <w:rPr>
          <w:rFonts w:ascii="宋体" w:hAnsi="宋体" w:cs="宋体"/>
          <w:b/>
          <w:color w:val="000000"/>
          <w:szCs w:val="21"/>
          <w:highlight w:val="none"/>
        </w:rPr>
      </w:pPr>
      <w:r>
        <w:rPr>
          <w:rFonts w:hint="eastAsia" w:ascii="宋体" w:hAnsi="宋体" w:cs="宋体"/>
          <w:b/>
          <w:color w:val="000000"/>
          <w:szCs w:val="21"/>
          <w:highlight w:val="none"/>
        </w:rPr>
        <w:t>四、特别说明</w:t>
      </w:r>
    </w:p>
    <w:p w14:paraId="1704D4B9">
      <w:pPr>
        <w:spacing w:line="240" w:lineRule="auto"/>
        <w:ind w:firstLine="422"/>
        <w:rPr>
          <w:rFonts w:hint="eastAsia"/>
          <w:b/>
          <w:bCs/>
          <w:color w:val="auto"/>
          <w:szCs w:val="21"/>
          <w:highlight w:val="none"/>
          <w:lang w:eastAsia="zh-CN"/>
        </w:rPr>
      </w:pPr>
      <w:r>
        <w:rPr>
          <w:rFonts w:hint="eastAsia" w:ascii="宋体" w:hAnsi="宋体" w:eastAsia="宋体" w:cs="宋体"/>
          <w:b/>
          <w:bCs/>
          <w:color w:val="000000"/>
          <w:sz w:val="21"/>
          <w:szCs w:val="21"/>
          <w:lang w:val="en-US"/>
        </w:rPr>
        <w:t>评审时，</w:t>
      </w:r>
      <w:r>
        <w:rPr>
          <w:rFonts w:hint="eastAsia" w:ascii="宋体" w:hAnsi="宋体" w:eastAsia="宋体" w:cs="宋体"/>
          <w:b/>
          <w:bCs/>
          <w:color w:val="000000"/>
          <w:sz w:val="21"/>
          <w:szCs w:val="21"/>
          <w:lang w:val="en-US" w:eastAsia="zh-CN"/>
        </w:rPr>
        <w:t>评审委员会</w:t>
      </w:r>
      <w:r>
        <w:rPr>
          <w:rFonts w:hint="eastAsia" w:ascii="宋体" w:hAnsi="宋体" w:eastAsia="宋体" w:cs="宋体"/>
          <w:b/>
          <w:bCs/>
          <w:color w:val="000000"/>
          <w:sz w:val="21"/>
          <w:szCs w:val="21"/>
          <w:lang w:val="en-US"/>
        </w:rPr>
        <w:t>根据《关于推动解决政府采购异常低价问题的通知》</w:t>
      </w:r>
      <w:r>
        <w:rPr>
          <w:rFonts w:hint="eastAsia" w:ascii="宋体" w:hAnsi="宋体" w:eastAsia="宋体" w:cs="宋体"/>
          <w:b/>
          <w:bCs/>
          <w:color w:val="000000"/>
          <w:sz w:val="21"/>
          <w:szCs w:val="21"/>
          <w:lang w:val="en-US" w:eastAsia="zh-CN"/>
        </w:rPr>
        <w:t>（</w:t>
      </w:r>
      <w:r>
        <w:rPr>
          <w:rFonts w:hint="eastAsia" w:ascii="宋体" w:hAnsi="宋体" w:eastAsia="宋体" w:cs="宋体"/>
          <w:b/>
          <w:bCs/>
          <w:color w:val="000000"/>
          <w:sz w:val="21"/>
          <w:szCs w:val="21"/>
          <w:lang w:val="en-US"/>
        </w:rPr>
        <w:t>财库〔2026〕2号</w:t>
      </w:r>
      <w:r>
        <w:rPr>
          <w:rFonts w:hint="eastAsia" w:ascii="宋体" w:hAnsi="宋体" w:eastAsia="宋体" w:cs="宋体"/>
          <w:b/>
          <w:bCs/>
          <w:color w:val="000000"/>
          <w:sz w:val="21"/>
          <w:szCs w:val="21"/>
          <w:lang w:val="en-US" w:eastAsia="zh-CN"/>
        </w:rPr>
        <w:t>）相关</w:t>
      </w:r>
      <w:r>
        <w:rPr>
          <w:rFonts w:hint="eastAsia" w:ascii="宋体" w:hAnsi="宋体" w:eastAsia="宋体" w:cs="宋体"/>
          <w:b/>
          <w:bCs/>
          <w:color w:val="auto"/>
          <w:sz w:val="21"/>
          <w:szCs w:val="21"/>
          <w:lang w:val="en-US" w:eastAsia="zh-CN"/>
        </w:rPr>
        <w:t>规定</w:t>
      </w:r>
      <w:r>
        <w:rPr>
          <w:rFonts w:hint="eastAsia" w:ascii="宋体" w:hAnsi="宋体" w:eastAsia="宋体" w:cs="宋体"/>
          <w:b/>
          <w:bCs/>
          <w:color w:val="auto"/>
          <w:sz w:val="21"/>
          <w:szCs w:val="21"/>
          <w:lang w:val="en-US"/>
        </w:rPr>
        <w:t>启动异常低价投标（响应）审查程序</w:t>
      </w:r>
      <w:r>
        <w:rPr>
          <w:rFonts w:hint="eastAsia" w:ascii="宋体" w:hAnsi="宋体" w:eastAsia="宋体" w:cs="宋体"/>
          <w:b/>
          <w:bCs/>
          <w:color w:val="auto"/>
          <w:sz w:val="21"/>
          <w:szCs w:val="21"/>
          <w:lang w:val="en-US" w:eastAsia="zh-CN"/>
        </w:rPr>
        <w:t>。</w:t>
      </w:r>
      <w:r>
        <w:rPr>
          <w:rFonts w:hint="eastAsia"/>
          <w:b/>
          <w:bCs/>
          <w:color w:val="auto"/>
          <w:szCs w:val="21"/>
          <w:highlight w:val="none"/>
        </w:rPr>
        <w:t>启动异常低价投标（响应）审查后，</w:t>
      </w:r>
      <w:r>
        <w:rPr>
          <w:rStyle w:val="339"/>
          <w:rFonts w:ascii="宋体" w:hAnsi="宋体"/>
          <w:b/>
          <w:bCs/>
          <w:color w:val="auto"/>
          <w:szCs w:val="21"/>
          <w:highlight w:val="none"/>
        </w:rPr>
        <w:t>应当要求</w:t>
      </w:r>
      <w:r>
        <w:rPr>
          <w:rStyle w:val="339"/>
          <w:rFonts w:hint="eastAsia" w:ascii="宋体" w:hAnsi="宋体"/>
          <w:b/>
          <w:bCs/>
          <w:color w:val="auto"/>
          <w:szCs w:val="21"/>
          <w:highlight w:val="none"/>
        </w:rPr>
        <w:t>供应商</w:t>
      </w:r>
      <w:r>
        <w:rPr>
          <w:rStyle w:val="339"/>
          <w:rFonts w:ascii="宋体" w:hAnsi="宋体"/>
          <w:b/>
          <w:bCs/>
          <w:color w:val="auto"/>
          <w:szCs w:val="21"/>
          <w:highlight w:val="none"/>
        </w:rPr>
        <w:t>在</w:t>
      </w:r>
      <w:r>
        <w:rPr>
          <w:rStyle w:val="339"/>
          <w:rFonts w:hint="eastAsia" w:ascii="宋体" w:hAnsi="宋体"/>
          <w:b/>
          <w:bCs/>
          <w:color w:val="auto"/>
          <w:szCs w:val="21"/>
          <w:highlight w:val="none"/>
          <w:lang w:val="en-US" w:eastAsia="zh-CN"/>
        </w:rPr>
        <w:t>评审委员会</w:t>
      </w:r>
      <w:r>
        <w:rPr>
          <w:rStyle w:val="339"/>
          <w:rFonts w:hint="eastAsia" w:ascii="宋体" w:hAnsi="宋体"/>
          <w:b/>
          <w:bCs/>
          <w:color w:val="auto"/>
          <w:szCs w:val="21"/>
          <w:highlight w:val="none"/>
          <w:lang w:val="en-US"/>
        </w:rPr>
        <w:t>要求的时间内</w:t>
      </w:r>
      <w:r>
        <w:rPr>
          <w:rFonts w:hint="eastAsia"/>
          <w:b/>
          <w:bCs/>
          <w:color w:val="auto"/>
          <w:szCs w:val="21"/>
          <w:highlight w:val="none"/>
        </w:rPr>
        <w:t>对投标（响应）价格作出解释，</w:t>
      </w:r>
      <w:r>
        <w:rPr>
          <w:rFonts w:hint="eastAsia"/>
          <w:b/>
          <w:bCs/>
          <w:color w:val="auto"/>
          <w:szCs w:val="21"/>
          <w:highlight w:val="none"/>
          <w:shd w:val="clear" w:color="auto" w:fill="FFFFFF"/>
        </w:rPr>
        <w:t>提供项目具体成本测算等与报价合理性相关的书面说明及必要的证明材料（包括但不限于原材料成本、人工成本、制造费用等）。</w:t>
      </w:r>
      <w:r>
        <w:rPr>
          <w:rFonts w:hint="eastAsia"/>
          <w:b/>
          <w:bCs/>
          <w:color w:val="auto"/>
          <w:szCs w:val="21"/>
          <w:highlight w:val="none"/>
        </w:rPr>
        <w:t>投标（响应）供应商不能提供书面说明、证明材料，或者提供的书面说明、证明材料不能证明其报价合理性的，评审委员会应当将其作为无效投标（响应）处理。 异常低价投标（响应）审查的启动原因、审查意见和审查结果应当在评审报告中记录</w:t>
      </w:r>
      <w:r>
        <w:rPr>
          <w:rFonts w:hint="eastAsia"/>
          <w:b/>
          <w:bCs/>
          <w:color w:val="auto"/>
          <w:szCs w:val="21"/>
          <w:highlight w:val="none"/>
          <w:lang w:eastAsia="zh-CN"/>
        </w:rPr>
        <w:t>。</w:t>
      </w:r>
    </w:p>
    <w:p w14:paraId="10841DC4">
      <w:pPr>
        <w:spacing w:line="240" w:lineRule="auto"/>
        <w:ind w:firstLine="422"/>
        <w:rPr>
          <w:rFonts w:eastAsia="宋体"/>
          <w:b/>
          <w:bCs/>
          <w:color w:val="auto"/>
          <w:sz w:val="21"/>
          <w:szCs w:val="21"/>
          <w:highlight w:val="none"/>
          <w:lang w:val="en-US" w:eastAsia="zh-CN"/>
        </w:rPr>
      </w:pPr>
      <w:r>
        <w:rPr>
          <w:rFonts w:hint="eastAsia" w:ascii="宋体" w:hAnsi="宋体" w:cs="宋体"/>
          <w:b/>
          <w:bCs/>
          <w:color w:val="auto"/>
          <w:szCs w:val="21"/>
          <w:highlight w:val="none"/>
        </w:rPr>
        <w:t>为避免因未能及时提供说明而导致被评审委员会作为无效投标情形，</w:t>
      </w:r>
      <w:r>
        <w:rPr>
          <w:rFonts w:hint="eastAsia"/>
          <w:b/>
          <w:bCs/>
          <w:color w:val="auto"/>
          <w:szCs w:val="21"/>
          <w:highlight w:val="none"/>
          <w:shd w:val="clear" w:color="auto" w:fill="FFFFFF"/>
        </w:rPr>
        <w:t>供应商可提前准备或随投标（响应）文件一并提交相关书面说明及必要的证明材料。</w:t>
      </w:r>
    </w:p>
    <w:p w14:paraId="12D11D60">
      <w:pPr>
        <w:spacing w:line="240" w:lineRule="auto"/>
        <w:ind w:firstLine="0"/>
        <w:rPr>
          <w:rFonts w:eastAsia="宋体"/>
          <w:b/>
          <w:bCs/>
          <w:color w:val="auto"/>
          <w:sz w:val="21"/>
          <w:szCs w:val="21"/>
          <w:highlight w:val="none"/>
          <w:lang w:val="en-US" w:eastAsia="zh-CN"/>
        </w:rPr>
      </w:pPr>
    </w:p>
    <w:p w14:paraId="18E5F3A1">
      <w:pPr>
        <w:spacing w:line="240" w:lineRule="auto"/>
        <w:ind w:firstLine="0"/>
        <w:rPr>
          <w:rFonts w:eastAsia="宋体"/>
          <w:b/>
          <w:bCs/>
          <w:color w:val="auto"/>
          <w:sz w:val="21"/>
          <w:szCs w:val="21"/>
          <w:highlight w:val="none"/>
          <w:lang w:val="en-US" w:eastAsia="zh-CN"/>
        </w:rPr>
      </w:pPr>
    </w:p>
    <w:p w14:paraId="52C17E49">
      <w:pPr>
        <w:spacing w:line="240" w:lineRule="auto"/>
        <w:ind w:firstLine="0"/>
        <w:rPr>
          <w:rFonts w:eastAsia="宋体"/>
          <w:b/>
          <w:bCs/>
          <w:sz w:val="21"/>
          <w:szCs w:val="21"/>
          <w:highlight w:val="none"/>
          <w:lang w:val="en-US" w:eastAsia="zh-CN"/>
        </w:rPr>
      </w:pPr>
    </w:p>
    <w:p w14:paraId="3A2F5727">
      <w:pPr>
        <w:spacing w:line="240" w:lineRule="auto"/>
        <w:ind w:firstLine="0"/>
        <w:rPr>
          <w:rFonts w:eastAsia="宋体"/>
          <w:b/>
          <w:bCs/>
          <w:sz w:val="21"/>
          <w:szCs w:val="21"/>
          <w:highlight w:val="none"/>
          <w:lang w:val="en-US" w:eastAsia="zh-CN"/>
        </w:rPr>
      </w:pPr>
    </w:p>
    <w:p w14:paraId="70F9E59E">
      <w:pPr>
        <w:spacing w:line="240" w:lineRule="auto"/>
        <w:ind w:firstLine="0"/>
        <w:rPr>
          <w:rFonts w:eastAsia="宋体"/>
          <w:b/>
          <w:bCs/>
          <w:sz w:val="21"/>
          <w:szCs w:val="21"/>
          <w:highlight w:val="none"/>
          <w:lang w:val="en-US" w:eastAsia="zh-CN"/>
        </w:rPr>
      </w:pPr>
    </w:p>
    <w:p w14:paraId="081B1109">
      <w:pPr>
        <w:spacing w:line="240" w:lineRule="auto"/>
        <w:ind w:firstLine="0"/>
        <w:rPr>
          <w:rFonts w:eastAsia="宋体"/>
          <w:b/>
          <w:bCs/>
          <w:sz w:val="21"/>
          <w:szCs w:val="21"/>
          <w:highlight w:val="none"/>
          <w:lang w:val="en-US" w:eastAsia="zh-CN"/>
        </w:rPr>
      </w:pPr>
    </w:p>
    <w:p w14:paraId="71808AAC">
      <w:pPr>
        <w:spacing w:line="240" w:lineRule="auto"/>
        <w:ind w:firstLine="0"/>
        <w:rPr>
          <w:rFonts w:eastAsia="宋体"/>
          <w:b/>
          <w:bCs/>
          <w:sz w:val="21"/>
          <w:szCs w:val="21"/>
          <w:highlight w:val="none"/>
          <w:lang w:val="en-US" w:eastAsia="zh-CN"/>
        </w:rPr>
      </w:pPr>
    </w:p>
    <w:p w14:paraId="401FA16D">
      <w:pPr>
        <w:spacing w:line="240" w:lineRule="auto"/>
        <w:ind w:firstLine="0"/>
        <w:rPr>
          <w:rFonts w:eastAsia="宋体"/>
          <w:b/>
          <w:bCs/>
          <w:sz w:val="21"/>
          <w:szCs w:val="21"/>
          <w:highlight w:val="none"/>
          <w:lang w:val="en-US" w:eastAsia="zh-CN"/>
        </w:rPr>
      </w:pPr>
    </w:p>
    <w:p w14:paraId="1C713DB4">
      <w:pPr>
        <w:spacing w:line="240" w:lineRule="auto"/>
        <w:ind w:firstLine="0"/>
        <w:rPr>
          <w:rFonts w:eastAsia="宋体"/>
          <w:b/>
          <w:bCs/>
          <w:sz w:val="21"/>
          <w:szCs w:val="21"/>
          <w:highlight w:val="none"/>
          <w:lang w:val="en-US" w:eastAsia="zh-CN"/>
        </w:rPr>
      </w:pPr>
    </w:p>
    <w:p w14:paraId="3D8CCCC5">
      <w:pPr>
        <w:spacing w:line="240" w:lineRule="auto"/>
        <w:ind w:firstLine="0"/>
        <w:rPr>
          <w:rFonts w:eastAsia="宋体"/>
          <w:b/>
          <w:bCs/>
          <w:sz w:val="21"/>
          <w:szCs w:val="21"/>
          <w:highlight w:val="none"/>
          <w:lang w:val="en-US" w:eastAsia="zh-CN"/>
        </w:rPr>
      </w:pPr>
    </w:p>
    <w:p w14:paraId="17184B50">
      <w:pPr>
        <w:spacing w:line="240" w:lineRule="auto"/>
        <w:ind w:firstLine="0"/>
        <w:rPr>
          <w:rFonts w:eastAsia="宋体"/>
          <w:b/>
          <w:bCs/>
          <w:sz w:val="21"/>
          <w:szCs w:val="21"/>
          <w:highlight w:val="none"/>
          <w:lang w:val="en-US" w:eastAsia="zh-CN"/>
        </w:rPr>
      </w:pPr>
    </w:p>
    <w:p w14:paraId="63283C6D">
      <w:pPr>
        <w:spacing w:line="240" w:lineRule="auto"/>
        <w:ind w:firstLine="0"/>
        <w:rPr>
          <w:rFonts w:eastAsia="宋体"/>
          <w:b/>
          <w:bCs/>
          <w:sz w:val="21"/>
          <w:szCs w:val="21"/>
          <w:highlight w:val="none"/>
          <w:lang w:val="en-US" w:eastAsia="zh-CN"/>
        </w:rPr>
      </w:pPr>
    </w:p>
    <w:p w14:paraId="4CACEF77">
      <w:pPr>
        <w:spacing w:line="240" w:lineRule="auto"/>
        <w:ind w:firstLine="0"/>
        <w:rPr>
          <w:rFonts w:eastAsia="宋体"/>
          <w:b/>
          <w:bCs/>
          <w:sz w:val="21"/>
          <w:szCs w:val="21"/>
          <w:highlight w:val="none"/>
          <w:lang w:val="en-US" w:eastAsia="zh-CN"/>
        </w:rPr>
      </w:pPr>
    </w:p>
    <w:p w14:paraId="07BF62F8">
      <w:pPr>
        <w:spacing w:line="240" w:lineRule="auto"/>
        <w:ind w:firstLine="0"/>
        <w:rPr>
          <w:rFonts w:eastAsia="宋体"/>
          <w:b/>
          <w:bCs/>
          <w:sz w:val="21"/>
          <w:szCs w:val="21"/>
          <w:highlight w:val="none"/>
          <w:lang w:val="en-US" w:eastAsia="zh-CN"/>
        </w:rPr>
      </w:pPr>
    </w:p>
    <w:p w14:paraId="7CDF4FC6">
      <w:pPr>
        <w:spacing w:line="240" w:lineRule="auto"/>
        <w:ind w:firstLine="0"/>
        <w:rPr>
          <w:rFonts w:eastAsia="宋体"/>
          <w:b/>
          <w:bCs/>
          <w:sz w:val="21"/>
          <w:szCs w:val="21"/>
          <w:highlight w:val="none"/>
          <w:lang w:val="en-US" w:eastAsia="zh-CN"/>
        </w:rPr>
      </w:pPr>
    </w:p>
    <w:p w14:paraId="7B0D89C6">
      <w:pPr>
        <w:spacing w:line="240" w:lineRule="auto"/>
        <w:ind w:firstLine="0"/>
        <w:rPr>
          <w:rFonts w:eastAsia="宋体"/>
          <w:b/>
          <w:bCs/>
          <w:sz w:val="21"/>
          <w:szCs w:val="21"/>
          <w:highlight w:val="none"/>
          <w:lang w:val="en-US" w:eastAsia="zh-CN"/>
        </w:rPr>
      </w:pPr>
    </w:p>
    <w:p w14:paraId="767B9EB5">
      <w:pPr>
        <w:spacing w:line="240" w:lineRule="auto"/>
        <w:ind w:firstLine="0"/>
        <w:rPr>
          <w:rFonts w:eastAsia="宋体"/>
          <w:b/>
          <w:bCs/>
          <w:sz w:val="21"/>
          <w:szCs w:val="21"/>
          <w:highlight w:val="none"/>
          <w:lang w:val="en-US" w:eastAsia="zh-CN"/>
        </w:rPr>
      </w:pPr>
    </w:p>
    <w:p w14:paraId="18D5C084">
      <w:pPr>
        <w:spacing w:line="240" w:lineRule="auto"/>
        <w:ind w:firstLine="0"/>
        <w:rPr>
          <w:rFonts w:eastAsia="宋体"/>
          <w:b/>
          <w:bCs/>
          <w:sz w:val="21"/>
          <w:szCs w:val="21"/>
          <w:highlight w:val="none"/>
          <w:lang w:val="en-US" w:eastAsia="zh-CN"/>
        </w:rPr>
      </w:pPr>
    </w:p>
    <w:p w14:paraId="2C15E049">
      <w:pPr>
        <w:spacing w:line="240" w:lineRule="auto"/>
        <w:ind w:firstLine="0"/>
        <w:rPr>
          <w:rFonts w:eastAsia="宋体"/>
          <w:b/>
          <w:bCs/>
          <w:sz w:val="21"/>
          <w:szCs w:val="21"/>
          <w:highlight w:val="none"/>
          <w:lang w:val="en-US" w:eastAsia="zh-CN"/>
        </w:rPr>
      </w:pPr>
    </w:p>
    <w:p w14:paraId="2DD821FA">
      <w:pPr>
        <w:spacing w:line="240" w:lineRule="auto"/>
        <w:ind w:firstLine="0"/>
        <w:rPr>
          <w:rFonts w:eastAsia="宋体"/>
          <w:b/>
          <w:bCs/>
          <w:sz w:val="21"/>
          <w:szCs w:val="21"/>
          <w:highlight w:val="none"/>
          <w:lang w:val="en-US" w:eastAsia="zh-CN"/>
        </w:rPr>
      </w:pPr>
    </w:p>
    <w:p w14:paraId="14F21E2E">
      <w:pPr>
        <w:spacing w:line="240" w:lineRule="auto"/>
        <w:ind w:firstLine="0"/>
        <w:rPr>
          <w:rFonts w:eastAsia="宋体"/>
          <w:b/>
          <w:bCs/>
          <w:sz w:val="21"/>
          <w:szCs w:val="21"/>
          <w:highlight w:val="none"/>
          <w:lang w:val="en-US" w:eastAsia="zh-CN"/>
        </w:rPr>
      </w:pPr>
    </w:p>
    <w:p w14:paraId="38643AD6">
      <w:pPr>
        <w:spacing w:line="240" w:lineRule="auto"/>
        <w:ind w:firstLine="0"/>
        <w:rPr>
          <w:rFonts w:eastAsia="宋体"/>
          <w:b/>
          <w:bCs/>
          <w:sz w:val="21"/>
          <w:szCs w:val="21"/>
          <w:highlight w:val="none"/>
          <w:lang w:val="en-US" w:eastAsia="zh-CN"/>
        </w:rPr>
      </w:pPr>
    </w:p>
    <w:p w14:paraId="6A323735">
      <w:pPr>
        <w:spacing w:line="240" w:lineRule="auto"/>
        <w:ind w:firstLine="0"/>
        <w:rPr>
          <w:rFonts w:eastAsia="宋体"/>
          <w:b/>
          <w:bCs/>
          <w:sz w:val="21"/>
          <w:szCs w:val="21"/>
          <w:highlight w:val="none"/>
          <w:lang w:val="en-US" w:eastAsia="zh-CN"/>
        </w:rPr>
      </w:pPr>
    </w:p>
    <w:p w14:paraId="721BC8F9">
      <w:pPr>
        <w:spacing w:line="240" w:lineRule="auto"/>
        <w:ind w:firstLine="0"/>
        <w:rPr>
          <w:rFonts w:eastAsia="宋体"/>
          <w:b/>
          <w:bCs/>
          <w:sz w:val="21"/>
          <w:szCs w:val="21"/>
          <w:highlight w:val="none"/>
          <w:lang w:val="en-US" w:eastAsia="zh-CN"/>
        </w:rPr>
      </w:pPr>
    </w:p>
    <w:p w14:paraId="311724B2">
      <w:pPr>
        <w:spacing w:line="240" w:lineRule="auto"/>
        <w:ind w:firstLine="0"/>
        <w:rPr>
          <w:rFonts w:eastAsia="宋体"/>
          <w:b/>
          <w:bCs/>
          <w:sz w:val="21"/>
          <w:szCs w:val="21"/>
          <w:highlight w:val="none"/>
          <w:lang w:val="en-US" w:eastAsia="zh-CN"/>
        </w:rPr>
      </w:pPr>
    </w:p>
    <w:p w14:paraId="2B146BB7">
      <w:pPr>
        <w:spacing w:line="240" w:lineRule="auto"/>
        <w:ind w:firstLine="0"/>
        <w:rPr>
          <w:rFonts w:eastAsia="宋体"/>
          <w:b/>
          <w:bCs/>
          <w:sz w:val="21"/>
          <w:szCs w:val="21"/>
          <w:highlight w:val="none"/>
          <w:lang w:val="en-US" w:eastAsia="zh-CN"/>
        </w:rPr>
      </w:pPr>
    </w:p>
    <w:p w14:paraId="6EF7B6B9">
      <w:pPr>
        <w:spacing w:line="240" w:lineRule="auto"/>
        <w:ind w:firstLine="0"/>
        <w:rPr>
          <w:rFonts w:eastAsia="宋体"/>
          <w:b/>
          <w:bCs/>
          <w:sz w:val="21"/>
          <w:szCs w:val="21"/>
          <w:highlight w:val="none"/>
          <w:lang w:val="en-US" w:eastAsia="zh-CN"/>
        </w:rPr>
      </w:pPr>
    </w:p>
    <w:p w14:paraId="68363E55">
      <w:pPr>
        <w:spacing w:line="240" w:lineRule="auto"/>
        <w:ind w:firstLine="0"/>
        <w:rPr>
          <w:rFonts w:eastAsia="宋体"/>
          <w:b/>
          <w:bCs/>
          <w:sz w:val="21"/>
          <w:szCs w:val="21"/>
          <w:highlight w:val="none"/>
          <w:lang w:val="en-US" w:eastAsia="zh-CN"/>
        </w:rPr>
      </w:pPr>
    </w:p>
    <w:p w14:paraId="628F79B0">
      <w:pPr>
        <w:spacing w:line="240" w:lineRule="auto"/>
        <w:ind w:firstLine="0"/>
        <w:rPr>
          <w:rFonts w:eastAsia="宋体"/>
          <w:b/>
          <w:bCs/>
          <w:sz w:val="21"/>
          <w:szCs w:val="21"/>
          <w:highlight w:val="none"/>
          <w:lang w:val="en-US" w:eastAsia="zh-CN"/>
        </w:rPr>
      </w:pPr>
    </w:p>
    <w:p w14:paraId="15548FEF">
      <w:pPr>
        <w:spacing w:line="240" w:lineRule="auto"/>
        <w:ind w:firstLine="0"/>
        <w:rPr>
          <w:rFonts w:eastAsia="宋体"/>
          <w:b/>
          <w:bCs/>
          <w:sz w:val="21"/>
          <w:szCs w:val="21"/>
          <w:highlight w:val="none"/>
          <w:lang w:val="en-US" w:eastAsia="zh-CN"/>
        </w:rPr>
      </w:pPr>
    </w:p>
    <w:p w14:paraId="12D80586">
      <w:pPr>
        <w:spacing w:line="240" w:lineRule="auto"/>
        <w:ind w:firstLine="0"/>
        <w:rPr>
          <w:rFonts w:eastAsia="宋体"/>
          <w:b/>
          <w:bCs/>
          <w:sz w:val="21"/>
          <w:szCs w:val="21"/>
          <w:highlight w:val="none"/>
          <w:lang w:val="en-US" w:eastAsia="zh-CN"/>
        </w:rPr>
      </w:pPr>
    </w:p>
    <w:p w14:paraId="6A7B9D15">
      <w:pPr>
        <w:spacing w:line="240" w:lineRule="auto"/>
        <w:ind w:firstLine="0"/>
        <w:rPr>
          <w:rFonts w:eastAsia="宋体"/>
          <w:b/>
          <w:bCs/>
          <w:sz w:val="21"/>
          <w:szCs w:val="21"/>
          <w:highlight w:val="none"/>
          <w:lang w:val="en-US" w:eastAsia="zh-CN"/>
        </w:rPr>
      </w:pPr>
    </w:p>
    <w:p w14:paraId="684FD885">
      <w:pPr>
        <w:spacing w:line="240" w:lineRule="auto"/>
        <w:ind w:firstLine="0"/>
        <w:rPr>
          <w:rFonts w:eastAsia="宋体"/>
          <w:b/>
          <w:bCs/>
          <w:sz w:val="21"/>
          <w:szCs w:val="21"/>
          <w:highlight w:val="none"/>
          <w:lang w:val="en-US" w:eastAsia="zh-CN"/>
        </w:rPr>
      </w:pPr>
    </w:p>
    <w:p w14:paraId="07E89CAE">
      <w:pPr>
        <w:spacing w:line="240" w:lineRule="auto"/>
        <w:ind w:firstLine="0"/>
        <w:rPr>
          <w:rFonts w:eastAsia="宋体"/>
          <w:b/>
          <w:bCs/>
          <w:sz w:val="21"/>
          <w:szCs w:val="21"/>
          <w:highlight w:val="none"/>
          <w:lang w:val="en-US" w:eastAsia="zh-CN"/>
        </w:rPr>
      </w:pPr>
    </w:p>
    <w:p w14:paraId="1311CBE7">
      <w:pPr>
        <w:spacing w:line="240" w:lineRule="auto"/>
        <w:ind w:firstLine="0"/>
        <w:rPr>
          <w:rFonts w:eastAsia="宋体"/>
          <w:b/>
          <w:bCs/>
          <w:sz w:val="21"/>
          <w:szCs w:val="21"/>
          <w:highlight w:val="none"/>
          <w:lang w:val="en-US" w:eastAsia="zh-CN"/>
        </w:rPr>
      </w:pPr>
    </w:p>
    <w:p w14:paraId="08BF5BED">
      <w:pPr>
        <w:spacing w:line="240" w:lineRule="auto"/>
        <w:ind w:firstLine="0"/>
        <w:rPr>
          <w:rFonts w:eastAsia="宋体"/>
          <w:b/>
          <w:bCs/>
          <w:sz w:val="21"/>
          <w:szCs w:val="21"/>
          <w:highlight w:val="none"/>
          <w:lang w:val="en-US" w:eastAsia="zh-CN"/>
        </w:rPr>
      </w:pPr>
    </w:p>
    <w:p w14:paraId="05797F3C">
      <w:pPr>
        <w:spacing w:line="240" w:lineRule="auto"/>
        <w:ind w:firstLine="0"/>
        <w:rPr>
          <w:rFonts w:eastAsia="宋体"/>
          <w:b/>
          <w:bCs/>
          <w:sz w:val="21"/>
          <w:szCs w:val="21"/>
          <w:highlight w:val="none"/>
          <w:lang w:val="en-US" w:eastAsia="zh-CN"/>
        </w:rPr>
      </w:pPr>
    </w:p>
    <w:bookmarkEnd w:id="254"/>
    <w:p w14:paraId="64BD3EFA">
      <w:pPr>
        <w:ind w:firstLine="0"/>
        <w:rPr>
          <w:rFonts w:hint="eastAsia"/>
          <w:b/>
          <w:bCs/>
          <w:color w:val="000000"/>
          <w:sz w:val="32"/>
          <w:szCs w:val="32"/>
          <w:highlight w:val="none"/>
        </w:rPr>
      </w:pPr>
    </w:p>
    <w:p w14:paraId="46765CF3">
      <w:pPr>
        <w:pStyle w:val="213"/>
        <w:spacing w:line="390" w:lineRule="exact"/>
        <w:contextualSpacing/>
        <w:rPr>
          <w:rFonts w:hAnsi="宋体" w:cs="宋体"/>
          <w:b/>
          <w:bCs/>
          <w:color w:val="000000"/>
          <w:sz w:val="32"/>
          <w:szCs w:val="32"/>
          <w:highlight w:val="none"/>
        </w:rPr>
      </w:pPr>
      <w:r>
        <w:rPr>
          <w:rFonts w:hint="eastAsia"/>
          <w:b/>
          <w:bCs/>
          <w:color w:val="000000"/>
          <w:sz w:val="32"/>
          <w:szCs w:val="32"/>
          <w:highlight w:val="none"/>
        </w:rPr>
        <w:t>附表</w:t>
      </w:r>
    </w:p>
    <w:p w14:paraId="6EE0B90F">
      <w:pPr>
        <w:widowControl/>
        <w:spacing w:before="156" w:after="156" w:line="400" w:lineRule="exact"/>
        <w:jc w:val="center"/>
        <w:rPr>
          <w:rFonts w:ascii="宋体" w:hAnsi="宋体" w:cs="宋体"/>
          <w:b/>
          <w:bCs/>
          <w:color w:val="000000"/>
          <w:sz w:val="30"/>
          <w:szCs w:val="30"/>
          <w:highlight w:val="none"/>
        </w:rPr>
      </w:pPr>
      <w:bookmarkStart w:id="255" w:name="_Toc28361_WPSOffice_Level2"/>
      <w:r>
        <w:rPr>
          <w:rFonts w:hint="eastAsia" w:ascii="宋体" w:hAnsi="宋体" w:cs="宋体"/>
          <w:b/>
          <w:bCs/>
          <w:color w:val="000000"/>
          <w:sz w:val="30"/>
          <w:szCs w:val="30"/>
          <w:highlight w:val="none"/>
        </w:rPr>
        <w:t>统计上大中小微型企业划分标准</w:t>
      </w:r>
      <w:bookmarkEnd w:id="255"/>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445"/>
        <w:gridCol w:w="748"/>
        <w:gridCol w:w="1188"/>
        <w:gridCol w:w="1796"/>
        <w:gridCol w:w="1505"/>
        <w:gridCol w:w="1047"/>
      </w:tblGrid>
      <w:tr w14:paraId="6D03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2231"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00344FF">
            <w:pPr>
              <w:widowControl/>
              <w:spacing w:line="240" w:lineRule="exact"/>
              <w:jc w:val="center"/>
              <w:rPr>
                <w:rFonts w:ascii="宋体" w:hAnsi="宋体" w:cs="宋体"/>
                <w:b/>
                <w:bCs/>
                <w:color w:val="000000"/>
                <w:sz w:val="18"/>
                <w:szCs w:val="21"/>
                <w:highlight w:val="none"/>
              </w:rPr>
            </w:pPr>
            <w:r>
              <w:rPr>
                <w:rFonts w:hint="eastAsia" w:ascii="宋体" w:hAnsi="宋体" w:cs="宋体"/>
                <w:b/>
                <w:bCs/>
                <w:color w:val="000000"/>
                <w:sz w:val="18"/>
                <w:szCs w:val="21"/>
                <w:highlight w:val="none"/>
              </w:rPr>
              <w:t>行业名称</w:t>
            </w:r>
          </w:p>
        </w:tc>
        <w:tc>
          <w:tcPr>
            <w:tcW w:w="144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141C9B7">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指标名称</w:t>
            </w:r>
          </w:p>
        </w:tc>
        <w:tc>
          <w:tcPr>
            <w:tcW w:w="74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7B8E49D">
            <w:pPr>
              <w:widowControl/>
              <w:jc w:val="center"/>
              <w:rPr>
                <w:rFonts w:hint="eastAsia" w:ascii="宋体" w:hAnsi="宋体" w:eastAsia="宋体" w:cs="宋体"/>
                <w:b/>
                <w:bCs/>
                <w:color w:val="000000"/>
                <w:sz w:val="18"/>
                <w:szCs w:val="18"/>
                <w:highlight w:val="none"/>
                <w:lang w:eastAsia="zh-CN"/>
              </w:rPr>
            </w:pPr>
            <w:r>
              <w:rPr>
                <w:rFonts w:hint="eastAsia" w:ascii="宋体" w:hAnsi="宋体" w:cs="宋体"/>
                <w:b/>
                <w:bCs/>
                <w:color w:val="000000"/>
                <w:sz w:val="18"/>
                <w:szCs w:val="18"/>
                <w:highlight w:val="none"/>
              </w:rPr>
              <w:t>计量</w:t>
            </w:r>
          </w:p>
          <w:p w14:paraId="4EA66948">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单位</w:t>
            </w:r>
          </w:p>
        </w:tc>
        <w:tc>
          <w:tcPr>
            <w:tcW w:w="118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A38DBA4">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大型</w:t>
            </w:r>
          </w:p>
        </w:tc>
        <w:tc>
          <w:tcPr>
            <w:tcW w:w="1796"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A8A4692">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中型</w:t>
            </w:r>
          </w:p>
        </w:tc>
        <w:tc>
          <w:tcPr>
            <w:tcW w:w="150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3F884A7">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小型</w:t>
            </w:r>
          </w:p>
        </w:tc>
        <w:tc>
          <w:tcPr>
            <w:tcW w:w="104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337C018">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微型</w:t>
            </w:r>
          </w:p>
        </w:tc>
      </w:tr>
      <w:tr w14:paraId="42D7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tcBorders>
              <w:top w:val="single" w:color="auto" w:sz="4" w:space="0"/>
              <w:left w:val="single" w:color="auto" w:sz="4" w:space="0"/>
              <w:bottom w:val="single" w:color="auto" w:sz="4" w:space="0"/>
              <w:right w:val="single" w:color="auto" w:sz="4" w:space="0"/>
            </w:tcBorders>
            <w:noWrap w:val="0"/>
            <w:vAlign w:val="center"/>
          </w:tcPr>
          <w:p w14:paraId="2CD40C2E">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农、林、牧、渔业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76F3BD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AE7B1A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0DAE46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Y≥20000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F8E982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500≤Y＜20000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28D5EE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50≤Y＜500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C3E559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Y＜50</w:t>
            </w:r>
          </w:p>
        </w:tc>
      </w:tr>
      <w:tr w14:paraId="20E8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57A8E3AB">
            <w:pPr>
              <w:widowControl/>
              <w:spacing w:line="240" w:lineRule="exact"/>
              <w:jc w:val="lef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工业 </w:t>
            </w:r>
            <w:r>
              <w:rPr>
                <w:rFonts w:hint="eastAsia" w:ascii="宋体" w:hAnsi="宋体" w:eastAsia="宋体" w:cs="宋体"/>
                <w:color w:val="000000"/>
                <w:sz w:val="18"/>
                <w:szCs w:val="18"/>
                <w:highlight w:val="none"/>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16CB39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C6792C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2BADEE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E7010D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160CEA3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ED6F4E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w:t>
            </w:r>
          </w:p>
        </w:tc>
      </w:tr>
      <w:tr w14:paraId="06FC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751C4812">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3FCBEA9">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036CB9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D56286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Y≥40000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9C4AFF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2000≤Y＜40000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36CA48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8388D2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Y＜300</w:t>
            </w:r>
          </w:p>
        </w:tc>
      </w:tr>
      <w:tr w14:paraId="0C6E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66B10875">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建筑业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95E3F2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048A4D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1C1997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Y≥80000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E92190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6000≤Y＜80000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D4AF6B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300≤Y＜6000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F6B55C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Y＜300</w:t>
            </w:r>
          </w:p>
        </w:tc>
      </w:tr>
      <w:tr w14:paraId="062C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77BC9C0E">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835DAF9">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资产总额(Z)</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285F7C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EFC2A2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Z≥80000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45CD82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5000≤Z＜80000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2B231B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300≤Z＜5000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C879FB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Z＜300</w:t>
            </w:r>
          </w:p>
        </w:tc>
      </w:tr>
      <w:tr w14:paraId="2BDE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17F073B1">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批发业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441362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E51C12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717F58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DC34AE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20≤X＜200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2CB633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5≤X＜20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FFDD17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X＜5</w:t>
            </w:r>
          </w:p>
        </w:tc>
      </w:tr>
      <w:tr w14:paraId="7139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00C5F2B2">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D6F846F">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92D722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C949B8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Y≥40000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F1E387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5000≤Y＜40000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8A521A5">
            <w:pPr>
              <w:widowControl/>
              <w:ind w:left="-1" w:hanging="1"/>
              <w:jc w:val="center"/>
              <w:rPr>
                <w:rFonts w:ascii="宋体" w:hAnsi="宋体" w:cs="宋体"/>
                <w:color w:val="000000"/>
                <w:sz w:val="18"/>
                <w:szCs w:val="18"/>
                <w:highlight w:val="none"/>
              </w:rPr>
            </w:pPr>
            <w:r>
              <w:rPr>
                <w:rFonts w:hint="eastAsia" w:ascii="宋体" w:hAnsi="宋体" w:cs="宋体"/>
                <w:color w:val="000000"/>
                <w:sz w:val="18"/>
                <w:szCs w:val="18"/>
                <w:highlight w:val="none"/>
              </w:rPr>
              <w:t>1000≤Y＜5000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7D2C5D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Y＜1000</w:t>
            </w:r>
          </w:p>
        </w:tc>
      </w:tr>
      <w:tr w14:paraId="6481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783E6F8B">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零售业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C534E8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9E6AC5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86969E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161534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1154F63C">
            <w:pPr>
              <w:widowControl/>
              <w:ind w:left="-1" w:hanging="1"/>
              <w:jc w:val="center"/>
              <w:rPr>
                <w:rFonts w:ascii="宋体" w:hAnsi="宋体" w:cs="宋体"/>
                <w:color w:val="000000"/>
                <w:sz w:val="18"/>
                <w:szCs w:val="18"/>
                <w:highlight w:val="none"/>
              </w:rPr>
            </w:pPr>
            <w:r>
              <w:rPr>
                <w:rFonts w:hint="eastAsia" w:ascii="宋体" w:hAnsi="宋体" w:cs="宋体"/>
                <w:color w:val="000000"/>
                <w:sz w:val="18"/>
                <w:szCs w:val="18"/>
                <w:highlight w:val="none"/>
              </w:rPr>
              <w:t xml:space="preserve">10≤X＜50 </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4E684F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3568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4A0734A4">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05FC532">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95B9A1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F5249D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Y≥20000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D405FC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500≤Y＜20000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C4E4038">
            <w:pPr>
              <w:widowControl/>
              <w:ind w:left="-1" w:hanging="1"/>
              <w:jc w:val="center"/>
              <w:rPr>
                <w:rFonts w:ascii="宋体" w:hAnsi="宋体" w:cs="宋体"/>
                <w:color w:val="000000"/>
                <w:sz w:val="18"/>
                <w:szCs w:val="18"/>
                <w:highlight w:val="none"/>
              </w:rPr>
            </w:pPr>
            <w:r>
              <w:rPr>
                <w:rFonts w:hint="eastAsia" w:ascii="宋体" w:hAnsi="宋体" w:cs="宋体"/>
                <w:color w:val="000000"/>
                <w:sz w:val="18"/>
                <w:szCs w:val="18"/>
                <w:highlight w:val="none"/>
              </w:rPr>
              <w:t>100≤Y＜500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FCDB8F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3154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1DF62720">
            <w:pPr>
              <w:widowControl/>
              <w:spacing w:line="240" w:lineRule="exact"/>
              <w:jc w:val="lef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交通运输业 </w:t>
            </w:r>
            <w:r>
              <w:rPr>
                <w:rFonts w:hint="eastAsia" w:ascii="宋体" w:hAnsi="宋体" w:eastAsia="宋体" w:cs="宋体"/>
                <w:color w:val="000000"/>
                <w:sz w:val="18"/>
                <w:szCs w:val="18"/>
                <w:highlight w:val="none"/>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BB56C7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1676E9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E96531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1641A1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ABFA82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A054F3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w:t>
            </w:r>
          </w:p>
        </w:tc>
      </w:tr>
      <w:tr w14:paraId="6963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65CDE817">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5EC32FA">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7AE1E2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4EA860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Y≥30000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72C496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3000≤Y＜30000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809823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200≤Y＜3000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0327A1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Y＜200</w:t>
            </w:r>
          </w:p>
        </w:tc>
      </w:tr>
      <w:tr w14:paraId="5003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51BCD289">
            <w:pPr>
              <w:widowControl/>
              <w:spacing w:line="240" w:lineRule="exact"/>
              <w:jc w:val="left"/>
              <w:rPr>
                <w:rFonts w:hint="eastAsia" w:ascii="宋体" w:hAnsi="宋体" w:cs="宋体"/>
                <w:color w:val="000000"/>
                <w:sz w:val="18"/>
                <w:szCs w:val="18"/>
                <w:highlight w:val="none"/>
              </w:rPr>
            </w:pPr>
            <w:r>
              <w:rPr>
                <w:rFonts w:hint="eastAsia" w:ascii="宋体" w:hAnsi="宋体" w:cs="宋体"/>
                <w:color w:val="000000"/>
                <w:sz w:val="18"/>
                <w:szCs w:val="18"/>
                <w:highlight w:val="none"/>
              </w:rPr>
              <w:t>仓储业</w:t>
            </w:r>
            <w:r>
              <w:rPr>
                <w:rFonts w:hint="eastAsia" w:ascii="宋体" w:hAnsi="宋体" w:eastAsia="宋体" w:cs="宋体"/>
                <w:color w:val="000000"/>
                <w:sz w:val="18"/>
                <w:szCs w:val="18"/>
                <w:highlight w:val="none"/>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C6A4F7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ACF6BB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6B5833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DF661CB">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100≤X＜200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C792D8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6CE5F5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w:t>
            </w:r>
          </w:p>
        </w:tc>
      </w:tr>
      <w:tr w14:paraId="6862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793919E5">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5AB824A">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C5C56B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4BE240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Y≥30000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1709E3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1000≤Y＜30000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493B9D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2AAA97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3953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020B2D50">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邮政业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0A2E2B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FB7D49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994E87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F56995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1B9103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3759B2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w:t>
            </w:r>
          </w:p>
        </w:tc>
      </w:tr>
      <w:tr w14:paraId="252F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72D06BD4">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E59B2A8">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CF12C7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008A9D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Y≥30000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A4C151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2000≤Y＜30000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22FED4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7F0D25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4776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1BDD4046">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住宿业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FA94BD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306E39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9EFFDC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11A3739">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100≤X＜300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C56F6C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8D00C4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475A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20E1A9F8">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3BB5D6A">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031464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FA1FDD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738FA7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2000≤Y＜10000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369B78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6AB1F0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2A89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6EB3C8CE">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餐饮业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FB6241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CDF676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736078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C5B520B">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 xml:space="preserve">100≤X＜300 </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4C594D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9FCD5F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10C4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7F213740">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AEB6BCB">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9B13DE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89E2FB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CA779E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2000≤Y＜10000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F61691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20FE35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3423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759C0A80">
            <w:pPr>
              <w:widowControl/>
              <w:spacing w:line="240" w:lineRule="exact"/>
              <w:jc w:val="left"/>
              <w:rPr>
                <w:rFonts w:hint="eastAsia" w:ascii="宋体" w:hAnsi="宋体" w:cs="宋体"/>
                <w:color w:val="000000"/>
                <w:sz w:val="18"/>
                <w:szCs w:val="18"/>
                <w:highlight w:val="none"/>
              </w:rPr>
            </w:pPr>
            <w:r>
              <w:rPr>
                <w:rFonts w:hint="eastAsia" w:ascii="宋体" w:hAnsi="宋体" w:cs="宋体"/>
                <w:color w:val="000000"/>
                <w:sz w:val="18"/>
                <w:szCs w:val="18"/>
                <w:highlight w:val="none"/>
              </w:rPr>
              <w:t>信息传输业</w:t>
            </w:r>
            <w:r>
              <w:rPr>
                <w:rFonts w:hint="eastAsia" w:ascii="宋体" w:hAnsi="宋体" w:eastAsia="宋体" w:cs="宋体"/>
                <w:color w:val="000000"/>
                <w:sz w:val="18"/>
                <w:szCs w:val="18"/>
                <w:highlight w:val="none"/>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A2FD18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2F4028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8A1171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0CAE32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100≤X＜2000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69D389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5B1083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7EF7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5185E8F4">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EA02ADC">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AD86F7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D637AF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7DBFE5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1000≤Y＜100000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19AC56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85BBF7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7EDD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52865674">
            <w:pPr>
              <w:widowControl/>
              <w:spacing w:line="240" w:lineRule="exact"/>
              <w:jc w:val="left"/>
              <w:rPr>
                <w:rFonts w:ascii="宋体" w:hAnsi="宋体" w:cs="宋体"/>
                <w:color w:val="000000"/>
                <w:spacing w:val="-12"/>
                <w:sz w:val="18"/>
                <w:szCs w:val="18"/>
                <w:highlight w:val="none"/>
              </w:rPr>
            </w:pPr>
            <w:r>
              <w:rPr>
                <w:rFonts w:hint="eastAsia" w:ascii="宋体" w:hAnsi="宋体" w:cs="宋体"/>
                <w:color w:val="000000"/>
                <w:spacing w:val="-12"/>
                <w:sz w:val="18"/>
                <w:szCs w:val="18"/>
                <w:highlight w:val="none"/>
              </w:rPr>
              <w:t>软件和信息技术服</w:t>
            </w:r>
            <w:r>
              <w:rPr>
                <w:rFonts w:hint="eastAsia" w:ascii="宋体" w:hAnsi="宋体" w:cs="宋体"/>
                <w:color w:val="000000"/>
                <w:sz w:val="18"/>
                <w:szCs w:val="18"/>
                <w:highlight w:val="none"/>
              </w:rPr>
              <w:t>务业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D3AD88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E9EAFC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A68AF1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F14B54A">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 xml:space="preserve">100≤X＜300 </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30ADDE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B5D3FA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03B6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4E0C1250">
            <w:pPr>
              <w:widowControl/>
              <w:jc w:val="left"/>
              <w:rPr>
                <w:rFonts w:ascii="宋体" w:hAnsi="宋体" w:cs="宋体"/>
                <w:color w:val="000000"/>
                <w:spacing w:val="-12"/>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407332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929333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FDE6C3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2548C5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1000≤Y＜10000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358577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B5C135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Y＜50</w:t>
            </w:r>
          </w:p>
        </w:tc>
      </w:tr>
      <w:tr w14:paraId="1A33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5E1C3A4B">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房地产开发经营</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E51AF4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5DE0F3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BDE963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Y≥200000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8D32C5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1000≤Y＜200000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6DC32C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472711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653F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47E0B4F0">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2934DCB">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资产总额(Z)</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D4CD91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DBE0D2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726904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5000≤Z＜10000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6C2A88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2000≤Z＜5000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B058DC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Z＜2000</w:t>
            </w:r>
          </w:p>
        </w:tc>
      </w:tr>
      <w:tr w14:paraId="5C9B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386320F7">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物业管理</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05329E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C8309A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C01362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4144C1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28D231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785498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X＜100</w:t>
            </w:r>
          </w:p>
        </w:tc>
      </w:tr>
      <w:tr w14:paraId="505E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79E62D30">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9AC1F16">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10CFF2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B5D82B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Y≥5000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F03C278">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1000≤Y＜5000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AABAF1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83F49D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Y＜500</w:t>
            </w:r>
          </w:p>
        </w:tc>
      </w:tr>
      <w:tr w14:paraId="6AA8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218165FC">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租赁和商务服务业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A38A4A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D92414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97C3E0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CDE602F">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100≤X＜300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1645FE7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05BA2E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38B5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017F4076">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ECFC491">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资产总额(Z)</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FF77DD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8EF654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Z≥120000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8DD99F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8000≤Z＜120000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189932A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100≤Z＜8000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56C249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Z＜100</w:t>
            </w:r>
          </w:p>
        </w:tc>
      </w:tr>
      <w:tr w14:paraId="6412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tcBorders>
              <w:top w:val="single" w:color="auto" w:sz="4" w:space="0"/>
              <w:left w:val="single" w:color="auto" w:sz="4" w:space="0"/>
              <w:bottom w:val="single" w:color="auto" w:sz="4" w:space="0"/>
              <w:right w:val="single" w:color="auto" w:sz="4" w:space="0"/>
            </w:tcBorders>
            <w:noWrap w:val="0"/>
            <w:vAlign w:val="center"/>
          </w:tcPr>
          <w:p w14:paraId="1F2D06BA">
            <w:pPr>
              <w:widowControl/>
              <w:spacing w:line="240" w:lineRule="exact"/>
              <w:jc w:val="lef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其他未列明行业 </w:t>
            </w:r>
            <w:r>
              <w:rPr>
                <w:rFonts w:hint="eastAsia" w:ascii="宋体" w:hAnsi="宋体" w:eastAsia="宋体" w:cs="宋体"/>
                <w:color w:val="000000"/>
                <w:sz w:val="18"/>
                <w:szCs w:val="18"/>
                <w:highlight w:val="none"/>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4344DF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3ACC7F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134F1A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A7DF016">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100≤X＜300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687F71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E52148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bl>
    <w:p w14:paraId="3476A49C">
      <w:pPr>
        <w:widowControl/>
        <w:spacing w:line="540" w:lineRule="exact"/>
        <w:rPr>
          <w:rFonts w:ascii="宋体" w:hAnsi="宋体" w:cs="宋体"/>
          <w:color w:val="000000"/>
          <w:spacing w:val="8"/>
          <w:sz w:val="24"/>
          <w:highlight w:val="none"/>
        </w:rPr>
      </w:pPr>
    </w:p>
    <w:p w14:paraId="5652E05B">
      <w:pPr>
        <w:widowControl/>
        <w:spacing w:line="540" w:lineRule="exact"/>
        <w:rPr>
          <w:rFonts w:ascii="宋体" w:hAnsi="宋体" w:cs="宋体"/>
          <w:color w:val="000000"/>
          <w:spacing w:val="8"/>
          <w:sz w:val="24"/>
          <w:highlight w:val="none"/>
        </w:rPr>
      </w:pPr>
      <w:r>
        <w:rPr>
          <w:rFonts w:hint="eastAsia" w:ascii="宋体" w:hAnsi="宋体" w:cs="宋体"/>
          <w:color w:val="000000"/>
          <w:spacing w:val="8"/>
          <w:sz w:val="24"/>
          <w:highlight w:val="none"/>
        </w:rPr>
        <w:t>说明：</w:t>
      </w:r>
    </w:p>
    <w:p w14:paraId="76ACEE79">
      <w:pPr>
        <w:pStyle w:val="213"/>
        <w:spacing w:line="380" w:lineRule="exact"/>
        <w:ind w:firstLine="512"/>
        <w:contextualSpacing/>
        <w:rPr>
          <w:rFonts w:hAnsi="宋体" w:cs="宋体"/>
          <w:color w:val="000000"/>
          <w:spacing w:val="8"/>
          <w:sz w:val="24"/>
          <w:szCs w:val="24"/>
          <w:highlight w:val="none"/>
        </w:rPr>
      </w:pPr>
      <w:r>
        <w:rPr>
          <w:rFonts w:hint="eastAsia" w:hAnsi="宋体" w:cs="宋体"/>
          <w:color w:val="000000"/>
          <w:spacing w:val="8"/>
          <w:sz w:val="24"/>
          <w:szCs w:val="24"/>
          <w:highlight w:val="none"/>
        </w:rPr>
        <w:t>1.大型、中型和小型企业须同时满足所列指标的下限，否则下划一档；微型企业只须满足所列指标中的一项即可。</w:t>
      </w:r>
    </w:p>
    <w:p w14:paraId="666A4D23">
      <w:pPr>
        <w:pStyle w:val="213"/>
        <w:spacing w:line="380" w:lineRule="exact"/>
        <w:ind w:firstLine="512"/>
        <w:contextualSpacing/>
        <w:rPr>
          <w:rFonts w:hAnsi="宋体" w:cs="宋体"/>
          <w:color w:val="000000"/>
          <w:spacing w:val="8"/>
          <w:sz w:val="24"/>
          <w:szCs w:val="24"/>
          <w:highlight w:val="none"/>
        </w:rPr>
      </w:pPr>
      <w:r>
        <w:rPr>
          <w:rFonts w:hint="eastAsia" w:hAnsi="宋体" w:cs="宋体"/>
          <w:color w:val="000000"/>
          <w:spacing w:val="8"/>
          <w:sz w:val="24"/>
          <w:szCs w:val="24"/>
          <w:highlight w:val="none"/>
        </w:rPr>
        <w:t>2.附表中各行业的范围以《国民经济行业分类》（GB/T4754-2017）为准。带</w:t>
      </w:r>
      <w:r>
        <w:rPr>
          <w:rFonts w:hint="eastAsia" w:ascii="宋体" w:hAnsi="宋体" w:eastAsia="宋体" w:cs="宋体"/>
          <w:color w:val="000000"/>
          <w:sz w:val="18"/>
          <w:szCs w:val="18"/>
          <w:highlight w:val="none"/>
        </w:rPr>
        <w:t>※</w:t>
      </w:r>
      <w:r>
        <w:rPr>
          <w:rFonts w:hint="eastAsia" w:hAnsi="宋体" w:cs="宋体"/>
          <w:color w:val="000000"/>
          <w:spacing w:val="8"/>
          <w:sz w:val="24"/>
          <w:szCs w:val="24"/>
          <w:highlight w: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066A50A">
      <w:pPr>
        <w:pStyle w:val="213"/>
        <w:spacing w:line="380" w:lineRule="exact"/>
        <w:ind w:firstLine="512"/>
        <w:contextualSpacing/>
        <w:rPr>
          <w:rFonts w:hAnsi="宋体" w:cs="宋体"/>
          <w:bCs/>
          <w:color w:val="000000"/>
          <w:highlight w:val="none"/>
        </w:rPr>
      </w:pPr>
      <w:r>
        <w:rPr>
          <w:rFonts w:hint="eastAsia" w:hAnsi="宋体" w:cs="宋体"/>
          <w:color w:val="000000"/>
          <w:spacing w:val="8"/>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9BC5834">
      <w:pPr>
        <w:jc w:val="center"/>
        <w:outlineLvl w:val="0"/>
        <w:rPr>
          <w:rFonts w:ascii="宋体" w:hAnsi="宋体" w:cs="宋体"/>
          <w:color w:val="000000"/>
          <w:sz w:val="32"/>
          <w:szCs w:val="32"/>
          <w:highlight w:val="none"/>
        </w:rPr>
      </w:pPr>
      <w:r>
        <w:rPr>
          <w:rFonts w:hint="eastAsia" w:ascii="宋体" w:hAnsi="宋体" w:cs="宋体"/>
          <w:color w:val="000000"/>
          <w:sz w:val="32"/>
          <w:szCs w:val="32"/>
          <w:highlight w:val="none"/>
        </w:rPr>
        <w:br w:type="page" w:clear="all"/>
      </w:r>
      <w:bookmarkStart w:id="256" w:name="_Toc30753"/>
      <w:bookmarkStart w:id="257" w:name="_Toc18139"/>
      <w:bookmarkStart w:id="258" w:name="_Toc14595"/>
      <w:r>
        <w:rPr>
          <w:rFonts w:hint="eastAsia" w:ascii="宋体" w:hAnsi="宋体" w:cs="宋体"/>
          <w:b/>
          <w:bCs/>
          <w:color w:val="000000"/>
          <w:sz w:val="32"/>
          <w:szCs w:val="32"/>
          <w:highlight w:val="none"/>
        </w:rPr>
        <w:t>第五章  采购合同（合同主要条款及格式）</w:t>
      </w:r>
      <w:bookmarkEnd w:id="256"/>
      <w:bookmarkEnd w:id="257"/>
      <w:bookmarkEnd w:id="258"/>
    </w:p>
    <w:p w14:paraId="6B2EA2BA">
      <w:pPr>
        <w:keepLines w:val="0"/>
        <w:pageBreakBefore w:val="0"/>
        <w:widowControl w:val="0"/>
        <w:bidi w:val="0"/>
        <w:spacing w:line="360" w:lineRule="exact"/>
        <w:rPr>
          <w:rFonts w:ascii="宋体" w:hAnsi="宋体" w:cs="宋体"/>
          <w:color w:val="000000"/>
          <w:highlight w:val="none"/>
        </w:rPr>
      </w:pPr>
      <w:r>
        <w:rPr>
          <w:rFonts w:hint="eastAsia" w:ascii="宋体" w:hAnsi="宋体" w:cs="宋体"/>
          <w:color w:val="000000"/>
          <w:highlight w:val="none"/>
        </w:rPr>
        <w:t>项目名称：</w:t>
      </w:r>
      <w:r>
        <w:rPr>
          <w:rFonts w:hint="eastAsia" w:ascii="宋体" w:hAnsi="宋体" w:cs="宋体"/>
          <w:color w:val="000000"/>
          <w:highlight w:val="none"/>
          <w:lang w:val="en-US" w:eastAsia="zh-CN"/>
        </w:rPr>
        <w:t xml:space="preserve">桂林市市直机关办公区物业管理服务项目  </w:t>
      </w:r>
      <w:r>
        <w:rPr>
          <w:rFonts w:hint="eastAsia" w:ascii="宋体" w:hAnsi="宋体" w:cs="宋体"/>
          <w:color w:val="000000"/>
          <w:highlight w:val="none"/>
        </w:rPr>
        <w:t xml:space="preserve">   </w:t>
      </w:r>
    </w:p>
    <w:p w14:paraId="104DEFE0">
      <w:pPr>
        <w:keepLines w:val="0"/>
        <w:pageBreakBefore w:val="0"/>
        <w:widowControl w:val="0"/>
        <w:bidi w:val="0"/>
        <w:spacing w:line="360" w:lineRule="exact"/>
        <w:rPr>
          <w:rFonts w:hint="eastAsia" w:ascii="宋体" w:hAnsi="宋体" w:eastAsia="宋体" w:cs="宋体"/>
          <w:color w:val="000000"/>
          <w:highlight w:val="none"/>
          <w:lang w:eastAsia="zh-CN"/>
        </w:rPr>
      </w:pPr>
      <w:r>
        <w:rPr>
          <w:rFonts w:hint="eastAsia" w:ascii="宋体" w:hAnsi="宋体" w:cs="宋体"/>
          <w:color w:val="000000"/>
          <w:highlight w:val="none"/>
        </w:rPr>
        <w:t>项目编号：</w:t>
      </w:r>
      <w:r>
        <w:rPr>
          <w:rFonts w:hint="eastAsia" w:ascii="宋体" w:hAnsi="宋体" w:cs="宋体"/>
          <w:color w:val="000000"/>
          <w:highlight w:val="none"/>
          <w:lang w:eastAsia="zh-CN"/>
        </w:rPr>
        <w:t xml:space="preserve"> GLZC2026-G3-990149-GLSZ</w:t>
      </w:r>
    </w:p>
    <w:p w14:paraId="74BD6B48">
      <w:pPr>
        <w:keepLines w:val="0"/>
        <w:pageBreakBefore w:val="0"/>
        <w:widowControl w:val="0"/>
        <w:bidi w:val="0"/>
        <w:spacing w:line="360" w:lineRule="exact"/>
        <w:rPr>
          <w:rFonts w:ascii="宋体" w:hAnsi="宋体" w:cs="宋体"/>
          <w:color w:val="000000"/>
          <w:highlight w:val="none"/>
          <w:u w:val="single"/>
        </w:rPr>
      </w:pPr>
      <w:r>
        <w:rPr>
          <w:rFonts w:hint="eastAsia" w:ascii="宋体" w:hAnsi="宋体" w:cs="宋体"/>
          <w:color w:val="000000"/>
          <w:highlight w:val="none"/>
        </w:rPr>
        <w:t>甲方：</w:t>
      </w:r>
      <w:r>
        <w:rPr>
          <w:rFonts w:hint="eastAsia" w:ascii="宋体" w:hAnsi="宋体" w:cs="宋体"/>
          <w:color w:val="000000"/>
          <w:highlight w:val="none"/>
          <w:u w:val="single"/>
        </w:rPr>
        <w:t xml:space="preserve">   </w:t>
      </w:r>
      <w:r>
        <w:rPr>
          <w:rFonts w:hint="eastAsia" w:ascii="宋体" w:hAnsi="宋体" w:cs="宋体"/>
          <w:color w:val="000000"/>
          <w:szCs w:val="21"/>
          <w:highlight w:val="none"/>
          <w:u w:val="single"/>
        </w:rPr>
        <w:t xml:space="preserve">                                    </w:t>
      </w:r>
      <w:r>
        <w:rPr>
          <w:rFonts w:hint="eastAsia" w:ascii="宋体" w:hAnsi="宋体" w:cs="宋体"/>
          <w:color w:val="000000"/>
          <w:highlight w:val="none"/>
        </w:rPr>
        <w:t>（采购人）</w:t>
      </w:r>
    </w:p>
    <w:p w14:paraId="0E33799D">
      <w:pPr>
        <w:keepLines w:val="0"/>
        <w:pageBreakBefore w:val="0"/>
        <w:widowControl w:val="0"/>
        <w:bidi w:val="0"/>
        <w:spacing w:line="360" w:lineRule="exact"/>
        <w:rPr>
          <w:rFonts w:ascii="宋体" w:hAnsi="宋体" w:cs="宋体"/>
          <w:color w:val="000000"/>
          <w:highlight w:val="none"/>
        </w:rPr>
      </w:pPr>
      <w:r>
        <w:rPr>
          <w:rFonts w:hint="eastAsia" w:ascii="宋体" w:hAnsi="宋体" w:cs="宋体"/>
          <w:color w:val="000000"/>
          <w:highlight w:val="none"/>
        </w:rPr>
        <w:t>乙方：</w:t>
      </w:r>
      <w:r>
        <w:rPr>
          <w:rFonts w:hint="eastAsia" w:ascii="宋体" w:hAnsi="宋体" w:cs="宋体"/>
          <w:color w:val="000000"/>
          <w:highlight w:val="none"/>
          <w:u w:val="single"/>
        </w:rPr>
        <w:t xml:space="preserve">                                       </w:t>
      </w:r>
      <w:r>
        <w:rPr>
          <w:rFonts w:hint="eastAsia" w:ascii="宋体" w:hAnsi="宋体" w:cs="宋体"/>
          <w:color w:val="000000"/>
          <w:highlight w:val="none"/>
        </w:rPr>
        <w:t>（</w:t>
      </w:r>
      <w:r>
        <w:rPr>
          <w:rFonts w:hint="eastAsia" w:ascii="宋体" w:hAnsi="宋体" w:cs="宋体"/>
          <w:color w:val="000000"/>
          <w:highlight w:val="none"/>
          <w:lang w:eastAsia="zh-CN"/>
        </w:rPr>
        <w:t>中标人</w:t>
      </w:r>
      <w:r>
        <w:rPr>
          <w:rFonts w:hint="eastAsia" w:ascii="宋体" w:hAnsi="宋体" w:cs="宋体"/>
          <w:color w:val="000000"/>
          <w:highlight w:val="none"/>
        </w:rPr>
        <w:t>）</w:t>
      </w:r>
    </w:p>
    <w:p w14:paraId="5CADD91C">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根据《中华人民共和国政府采购法》《中华人民共和国政府采购法实施条例》</w:t>
      </w:r>
      <w:r>
        <w:rPr>
          <w:rFonts w:hint="eastAsia" w:ascii="宋体" w:hAnsi="宋体" w:eastAsia="宋体" w:cs="宋体"/>
          <w:color w:val="000000"/>
          <w:sz w:val="21"/>
          <w:szCs w:val="21"/>
          <w:highlight w:val="none"/>
          <w:lang w:val="en-US" w:eastAsia="zh-CN"/>
        </w:rPr>
        <w:t>《中华人民共和国民法典》</w:t>
      </w:r>
      <w:r>
        <w:rPr>
          <w:rFonts w:hint="eastAsia" w:ascii="宋体" w:hAnsi="宋体" w:eastAsia="宋体" w:cs="宋体"/>
          <w:color w:val="000000"/>
          <w:sz w:val="21"/>
          <w:szCs w:val="21"/>
          <w:highlight w:val="none"/>
        </w:rPr>
        <w:t>等法律、法规规定，按照招、投标文件规定条款和</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承诺、甲乙双方签订本采购合同。</w:t>
      </w:r>
    </w:p>
    <w:p w14:paraId="2FCB18CA">
      <w:pPr>
        <w:keepNext w:val="0"/>
        <w:keepLines w:val="0"/>
        <w:pageBreakBefore w:val="0"/>
        <w:widowControl w:val="0"/>
        <w:numPr>
          <w:ilvl w:val="0"/>
          <w:numId w:val="7"/>
        </w:numPr>
        <w:bidi w:val="0"/>
        <w:spacing w:line="360" w:lineRule="exact"/>
        <w:ind w:firstLine="413"/>
        <w:outlineLvl w:val="1"/>
        <w:rPr>
          <w:rFonts w:hint="eastAsia" w:ascii="宋体" w:hAnsi="宋体" w:eastAsia="宋体" w:cs="宋体"/>
          <w:b/>
          <w:color w:val="000000"/>
          <w:sz w:val="21"/>
          <w:szCs w:val="21"/>
          <w:highlight w:val="none"/>
        </w:rPr>
      </w:pPr>
      <w:bookmarkStart w:id="259" w:name="_Toc30607"/>
      <w:bookmarkStart w:id="260" w:name="_Toc25378"/>
      <w:bookmarkStart w:id="261" w:name="_Toc6636"/>
      <w:bookmarkStart w:id="262" w:name="_Toc7497"/>
      <w:bookmarkStart w:id="263" w:name="_Toc8779"/>
      <w:bookmarkStart w:id="264" w:name="_Toc16758"/>
      <w:r>
        <w:rPr>
          <w:rFonts w:hint="eastAsia" w:ascii="宋体" w:hAnsi="宋体" w:eastAsia="宋体" w:cs="宋体"/>
          <w:b/>
          <w:color w:val="000000"/>
          <w:sz w:val="21"/>
          <w:szCs w:val="21"/>
          <w:highlight w:val="none"/>
        </w:rPr>
        <w:t>合同标的及合同金额</w:t>
      </w:r>
      <w:bookmarkEnd w:id="259"/>
      <w:bookmarkEnd w:id="260"/>
      <w:bookmarkEnd w:id="261"/>
      <w:bookmarkEnd w:id="262"/>
      <w:bookmarkEnd w:id="263"/>
      <w:bookmarkEnd w:id="264"/>
    </w:p>
    <w:p w14:paraId="1FB7A090">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根据《中标通知书》的中标内容，合同的总金额为：</w:t>
      </w:r>
      <w:r>
        <w:rPr>
          <w:rFonts w:hint="eastAsia" w:ascii="宋体" w:hAnsi="宋体" w:eastAsia="宋体" w:cs="宋体"/>
          <w:color w:val="000000"/>
          <w:sz w:val="21"/>
          <w:szCs w:val="21"/>
          <w:highlight w:val="none"/>
          <w:u w:val="single"/>
        </w:rPr>
        <w:t>人民币    （大写）    元</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（小写）     </w:t>
      </w:r>
      <w:r>
        <w:rPr>
          <w:rFonts w:hint="eastAsia" w:ascii="宋体" w:hAnsi="宋体" w:eastAsia="宋体" w:cs="宋体"/>
          <w:color w:val="000000"/>
          <w:sz w:val="21"/>
          <w:szCs w:val="21"/>
          <w:highlight w:val="none"/>
        </w:rPr>
        <w:t>）</w:t>
      </w:r>
    </w:p>
    <w:p w14:paraId="33071F1D">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65" w:name="_Toc10163"/>
      <w:bookmarkStart w:id="266" w:name="_Toc26063"/>
      <w:bookmarkStart w:id="267" w:name="_Toc5581"/>
      <w:bookmarkStart w:id="268" w:name="_Toc25509"/>
      <w:bookmarkStart w:id="269" w:name="_Toc21444"/>
      <w:r>
        <w:rPr>
          <w:rFonts w:hint="eastAsia" w:ascii="宋体" w:hAnsi="宋体" w:eastAsia="宋体" w:cs="宋体"/>
          <w:b/>
          <w:color w:val="000000"/>
          <w:sz w:val="21"/>
          <w:szCs w:val="21"/>
          <w:highlight w:val="none"/>
        </w:rPr>
        <w:t>第二条  服务保证</w:t>
      </w:r>
      <w:bookmarkEnd w:id="265"/>
      <w:bookmarkEnd w:id="266"/>
      <w:bookmarkEnd w:id="267"/>
      <w:bookmarkEnd w:id="268"/>
      <w:bookmarkEnd w:id="269"/>
    </w:p>
    <w:p w14:paraId="3B270EBF">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中标人应按招标文件、投标文件和承诺规定的服务内容向采购人提供相应服务。</w:t>
      </w:r>
    </w:p>
    <w:p w14:paraId="2C60098A">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70" w:name="_Toc31979"/>
      <w:bookmarkStart w:id="271" w:name="_Toc23736"/>
      <w:bookmarkStart w:id="272" w:name="_Toc3158"/>
      <w:bookmarkStart w:id="273" w:name="_Toc15633"/>
      <w:bookmarkStart w:id="274" w:name="_Toc4692"/>
      <w:r>
        <w:rPr>
          <w:rFonts w:hint="eastAsia" w:ascii="宋体" w:hAnsi="宋体" w:eastAsia="宋体" w:cs="宋体"/>
          <w:b/>
          <w:color w:val="000000"/>
          <w:sz w:val="21"/>
          <w:szCs w:val="21"/>
          <w:highlight w:val="none"/>
        </w:rPr>
        <w:t>第三条  服务期限</w:t>
      </w:r>
      <w:bookmarkEnd w:id="270"/>
      <w:bookmarkEnd w:id="271"/>
      <w:bookmarkEnd w:id="272"/>
      <w:bookmarkEnd w:id="273"/>
      <w:bookmarkEnd w:id="274"/>
    </w:p>
    <w:p w14:paraId="27655B77">
      <w:pPr>
        <w:spacing w:line="360" w:lineRule="auto"/>
        <w:ind w:firstLine="411"/>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服务期限</w:t>
      </w:r>
      <w:r>
        <w:rPr>
          <w:rFonts w:hint="eastAsia" w:ascii="宋体" w:hAnsi="宋体" w:eastAsia="宋体" w:cs="宋体"/>
          <w:color w:val="000000"/>
          <w:szCs w:val="21"/>
        </w:rPr>
        <w:t xml:space="preserve">: </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lang w:val="en-US" w:eastAsia="zh-CN"/>
        </w:rPr>
        <w:t xml:space="preserve">                   </w:t>
      </w:r>
      <w:r>
        <w:rPr>
          <w:rFonts w:hint="eastAsia" w:ascii="宋体" w:hAnsi="宋体" w:eastAsia="宋体" w:cs="宋体"/>
          <w:color w:val="000000"/>
          <w:szCs w:val="21"/>
          <w:u w:val="single"/>
        </w:rPr>
        <w:t>。</w:t>
      </w:r>
    </w:p>
    <w:p w14:paraId="1D491E2D">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75" w:name="_Toc5212"/>
      <w:bookmarkStart w:id="276" w:name="_Toc30222"/>
      <w:bookmarkStart w:id="277" w:name="_Toc6659"/>
      <w:bookmarkStart w:id="278" w:name="_Toc637"/>
      <w:bookmarkStart w:id="279" w:name="_Toc29589"/>
      <w:bookmarkStart w:id="280" w:name="_Toc10545"/>
      <w:r>
        <w:rPr>
          <w:rFonts w:hint="eastAsia" w:ascii="宋体" w:hAnsi="宋体" w:eastAsia="宋体" w:cs="宋体"/>
          <w:b/>
          <w:color w:val="000000"/>
          <w:sz w:val="21"/>
          <w:szCs w:val="21"/>
          <w:highlight w:val="none"/>
        </w:rPr>
        <w:t>第四条  交付</w:t>
      </w:r>
      <w:bookmarkEnd w:id="275"/>
      <w:bookmarkEnd w:id="276"/>
      <w:bookmarkEnd w:id="277"/>
      <w:bookmarkEnd w:id="278"/>
      <w:bookmarkEnd w:id="279"/>
      <w:bookmarkEnd w:id="280"/>
    </w:p>
    <w:p w14:paraId="24806C6C">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1.服务开始时间：合同</w:t>
      </w:r>
      <w:r>
        <w:rPr>
          <w:rFonts w:hint="eastAsia" w:ascii="宋体" w:hAnsi="宋体" w:eastAsia="宋体" w:cs="宋体"/>
          <w:color w:val="000000"/>
          <w:sz w:val="21"/>
          <w:szCs w:val="21"/>
          <w:highlight w:val="none"/>
          <w:lang w:eastAsia="zh-CN"/>
        </w:rPr>
        <w:t>约定的服务</w:t>
      </w:r>
      <w:r>
        <w:rPr>
          <w:rFonts w:hint="eastAsia" w:ascii="宋体" w:hAnsi="宋体" w:eastAsia="宋体" w:cs="宋体"/>
          <w:color w:val="000000"/>
          <w:sz w:val="21"/>
          <w:szCs w:val="21"/>
          <w:highlight w:val="none"/>
        </w:rPr>
        <w:t>之日起；服务地点：采购人指定地点。</w:t>
      </w:r>
    </w:p>
    <w:p w14:paraId="33C1C756">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2.乙方提供不符合招投标文件和本合同规定的服务，甲方有权拒绝接受。</w:t>
      </w:r>
    </w:p>
    <w:p w14:paraId="166D7545">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81" w:name="_Toc30204"/>
      <w:bookmarkStart w:id="282" w:name="_Toc26776"/>
      <w:bookmarkStart w:id="283" w:name="_Toc18940"/>
      <w:bookmarkStart w:id="284" w:name="_Toc30545"/>
      <w:bookmarkStart w:id="285" w:name="_Toc4426"/>
      <w:bookmarkStart w:id="286" w:name="_Toc9756"/>
      <w:r>
        <w:rPr>
          <w:rFonts w:hint="eastAsia" w:ascii="宋体" w:hAnsi="宋体" w:eastAsia="宋体" w:cs="宋体"/>
          <w:b/>
          <w:color w:val="000000"/>
          <w:sz w:val="21"/>
          <w:szCs w:val="21"/>
          <w:highlight w:val="none"/>
        </w:rPr>
        <w:t>第五条  税费</w:t>
      </w:r>
      <w:bookmarkEnd w:id="281"/>
      <w:bookmarkEnd w:id="282"/>
      <w:bookmarkEnd w:id="283"/>
      <w:bookmarkEnd w:id="284"/>
      <w:bookmarkEnd w:id="285"/>
      <w:bookmarkEnd w:id="286"/>
    </w:p>
    <w:p w14:paraId="7D4A5287">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本合同执行中相关的一切税费均由乙方负担。</w:t>
      </w:r>
    </w:p>
    <w:p w14:paraId="40725AA4">
      <w:pPr>
        <w:keepNext w:val="0"/>
        <w:keepLines w:val="0"/>
        <w:pageBreakBefore w:val="0"/>
        <w:bidi w:val="0"/>
        <w:spacing w:line="400" w:lineRule="exact"/>
        <w:ind w:firstLine="422"/>
        <w:rPr>
          <w:rFonts w:hint="eastAsia" w:ascii="宋体" w:hAnsi="宋体" w:eastAsia="宋体" w:cs="宋体"/>
          <w:b/>
          <w:color w:val="000000"/>
          <w:sz w:val="21"/>
          <w:szCs w:val="21"/>
          <w:highlight w:val="none"/>
        </w:rPr>
      </w:pPr>
      <w:bookmarkStart w:id="287" w:name="_Toc3777"/>
      <w:bookmarkStart w:id="288" w:name="_Toc30852"/>
      <w:bookmarkStart w:id="289" w:name="_Toc5332"/>
      <w:bookmarkStart w:id="290" w:name="_Toc18295"/>
      <w:bookmarkStart w:id="291" w:name="_Toc25212"/>
      <w:bookmarkStart w:id="292" w:name="_Toc7785"/>
      <w:r>
        <w:rPr>
          <w:rFonts w:hint="eastAsia" w:ascii="宋体" w:hAnsi="宋体" w:eastAsia="宋体" w:cs="宋体"/>
          <w:b/>
          <w:color w:val="000000"/>
          <w:sz w:val="21"/>
          <w:szCs w:val="21"/>
          <w:highlight w:val="none"/>
        </w:rPr>
        <w:t>第六条  付款方式</w:t>
      </w:r>
      <w:bookmarkEnd w:id="287"/>
      <w:bookmarkEnd w:id="288"/>
      <w:bookmarkEnd w:id="289"/>
      <w:bookmarkEnd w:id="290"/>
      <w:bookmarkEnd w:id="291"/>
      <w:bookmarkEnd w:id="292"/>
    </w:p>
    <w:p w14:paraId="0053E2DB">
      <w:pPr>
        <w:keepNext w:val="0"/>
        <w:keepLines w:val="0"/>
        <w:pageBreakBefore w:val="0"/>
        <w:widowControl w:val="0"/>
        <w:bidi w:val="0"/>
        <w:spacing w:line="360" w:lineRule="exact"/>
        <w:ind w:firstLine="411"/>
        <w:outlineLvl w:val="1"/>
        <w:rPr>
          <w:rFonts w:hint="eastAsia" w:ascii="宋体" w:hAnsi="宋体" w:eastAsia="宋体" w:cs="宋体"/>
          <w:b/>
          <w:color w:val="000000"/>
          <w:sz w:val="21"/>
          <w:szCs w:val="21"/>
          <w:highlight w:val="none"/>
        </w:rPr>
      </w:pPr>
      <w:bookmarkStart w:id="293" w:name="_Toc16945"/>
      <w:bookmarkStart w:id="294" w:name="_Toc26898"/>
      <w:bookmarkStart w:id="295" w:name="_Toc9369"/>
      <w:r>
        <w:rPr>
          <w:rFonts w:hint="eastAsia" w:ascii="宋体" w:hAnsi="宋体" w:cs="宋体"/>
          <w:bCs/>
          <w:color w:val="000000"/>
          <w:szCs w:val="21"/>
          <w:lang w:val="en-US" w:eastAsia="zh-CN"/>
        </w:rPr>
        <w:t>物</w:t>
      </w:r>
      <w:r>
        <w:rPr>
          <w:rFonts w:hint="eastAsia" w:ascii="宋体" w:hAnsi="宋体" w:cs="宋体"/>
          <w:bCs/>
          <w:color w:val="000000"/>
          <w:szCs w:val="21"/>
        </w:rPr>
        <w:t>业管理服务费用以签订的合同价为准，</w:t>
      </w:r>
      <w:r>
        <w:rPr>
          <w:rFonts w:hint="eastAsia" w:ascii="宋体" w:hAnsi="宋体" w:eastAsia="宋体" w:cs="宋体"/>
          <w:color w:val="000000"/>
          <w:sz w:val="21"/>
          <w:szCs w:val="21"/>
          <w:highlight w:val="none"/>
          <w:lang w:eastAsia="zh-CN"/>
        </w:rPr>
        <w:t>原则上</w:t>
      </w:r>
      <w:r>
        <w:rPr>
          <w:rFonts w:hint="eastAsia" w:ascii="宋体" w:hAnsi="宋体" w:eastAsia="宋体" w:cs="宋体"/>
          <w:color w:val="000000"/>
          <w:sz w:val="21"/>
          <w:szCs w:val="21"/>
          <w:highlight w:val="none"/>
        </w:rPr>
        <w:t>每</w:t>
      </w:r>
      <w:r>
        <w:rPr>
          <w:rFonts w:hint="eastAsia" w:ascii="宋体" w:hAnsi="宋体" w:eastAsia="宋体" w:cs="宋体"/>
          <w:color w:val="000000"/>
          <w:sz w:val="21"/>
          <w:szCs w:val="21"/>
          <w:highlight w:val="none"/>
          <w:lang w:eastAsia="zh-CN"/>
        </w:rPr>
        <w:t>月</w:t>
      </w:r>
      <w:r>
        <w:rPr>
          <w:rFonts w:hint="eastAsia" w:ascii="宋体" w:hAnsi="宋体" w:eastAsia="宋体" w:cs="宋体"/>
          <w:color w:val="000000"/>
          <w:sz w:val="21"/>
          <w:szCs w:val="21"/>
          <w:highlight w:val="none"/>
        </w:rPr>
        <w:t>支付一次，</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完成</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个月服务期后，经采购考核服务合格，在次月的5日前向采购人提供有效发票及验收证明，采购人10个日历日内支付总合同金额的1/12 (无息)给</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w:t>
      </w:r>
    </w:p>
    <w:p w14:paraId="14CCD2E4">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第七条  违约责任</w:t>
      </w:r>
      <w:bookmarkEnd w:id="293"/>
      <w:bookmarkEnd w:id="294"/>
      <w:bookmarkEnd w:id="295"/>
    </w:p>
    <w:p w14:paraId="4BE50894">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乙方所提供的服务质量不合格的，应及时更换，更换不及时的按逾期处罚，乙方应向甲方支付合同金额</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违约金并赔偿甲方经济损失。</w:t>
      </w:r>
    </w:p>
    <w:p w14:paraId="1D1CE0B4">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乙方提供的服务如果侵犯了第三方合法权益而引发的任何纠纷或诉讼，均由乙方负责交涉并承担全部责任。</w:t>
      </w:r>
    </w:p>
    <w:p w14:paraId="675AC8AB">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3. </w:t>
      </w:r>
      <w:r>
        <w:rPr>
          <w:rFonts w:hint="eastAsia" w:ascii="宋体" w:hAnsi="宋体" w:eastAsia="宋体" w:cs="宋体"/>
          <w:color w:val="000000"/>
          <w:sz w:val="21"/>
          <w:szCs w:val="21"/>
          <w:highlight w:val="none"/>
          <w:lang w:val="en-US" w:eastAsia="zh-CN"/>
        </w:rPr>
        <w:t>乙</w:t>
      </w:r>
      <w:r>
        <w:rPr>
          <w:rFonts w:hint="eastAsia" w:ascii="宋体" w:hAnsi="宋体" w:eastAsia="宋体" w:cs="宋体"/>
          <w:color w:val="000000"/>
          <w:sz w:val="21"/>
          <w:szCs w:val="21"/>
          <w:highlight w:val="none"/>
        </w:rPr>
        <w:t>方无故延期服务交付的，每天向</w:t>
      </w:r>
      <w:r>
        <w:rPr>
          <w:rFonts w:hint="eastAsia" w:ascii="宋体" w:hAnsi="宋体" w:eastAsia="宋体" w:cs="宋体"/>
          <w:color w:val="000000"/>
          <w:sz w:val="21"/>
          <w:szCs w:val="21"/>
          <w:highlight w:val="none"/>
          <w:lang w:val="en-US" w:eastAsia="zh-CN"/>
        </w:rPr>
        <w:t>甲</w:t>
      </w:r>
      <w:r>
        <w:rPr>
          <w:rFonts w:hint="eastAsia" w:ascii="宋体" w:hAnsi="宋体" w:eastAsia="宋体" w:cs="宋体"/>
          <w:color w:val="000000"/>
          <w:sz w:val="21"/>
          <w:szCs w:val="21"/>
          <w:highlight w:val="none"/>
        </w:rPr>
        <w:t>方偿付违约合同金额</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违约金，但违约金累计不得超过合同金额</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，超过</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天</w:t>
      </w:r>
      <w:r>
        <w:rPr>
          <w:rFonts w:hint="eastAsia" w:ascii="宋体" w:hAnsi="宋体" w:eastAsia="宋体" w:cs="宋体"/>
          <w:color w:val="000000"/>
          <w:sz w:val="21"/>
          <w:szCs w:val="21"/>
          <w:highlight w:val="none"/>
          <w:lang w:val="en-US" w:eastAsia="zh-CN"/>
        </w:rPr>
        <w:t>甲</w:t>
      </w:r>
      <w:r>
        <w:rPr>
          <w:rFonts w:hint="eastAsia" w:ascii="宋体" w:hAnsi="宋体" w:eastAsia="宋体" w:cs="宋体"/>
          <w:color w:val="000000"/>
          <w:sz w:val="21"/>
          <w:szCs w:val="21"/>
          <w:highlight w:val="none"/>
        </w:rPr>
        <w:t>方有权解除合同，违约方承担因此给对方造成经济损失；甲方不能按期付款的，每天向乙方偿付延合同金额</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滞纳金，但滞纳金累计不得超过合同金额</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w:t>
      </w:r>
    </w:p>
    <w:p w14:paraId="0B1D0B08">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 乙方未按本合同和投标文件中规定的服务承诺提供服务的，乙方应按本合同金额</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向甲方支付违约金。</w:t>
      </w:r>
    </w:p>
    <w:p w14:paraId="18949712">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 其他违约行为按照合同金额</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收取违约金并赔偿经济损失。</w:t>
      </w:r>
    </w:p>
    <w:p w14:paraId="0E92D64D">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第八条  不可抗力事件处理</w:t>
      </w:r>
    </w:p>
    <w:p w14:paraId="7E60A82E">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1.在合同有效期内，乙方因不可抗力事件导致不能履行合同，则合同履行期可延长，其延长期与不可抗力影响期相同。</w:t>
      </w:r>
    </w:p>
    <w:p w14:paraId="02755075">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2.不可抗力事件发生后，应立即通知对方，并寄送有关权威机构出具的证明。</w:t>
      </w:r>
    </w:p>
    <w:p w14:paraId="0A6E1730">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3.不可抗力事件延续一百二十天以上，双方应通过友好协商，确定是否继续履行合同。</w:t>
      </w:r>
    </w:p>
    <w:p w14:paraId="70ED3E68">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第九条  合同争议解决</w:t>
      </w:r>
    </w:p>
    <w:p w14:paraId="0FEAD731">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1、因服务问题发生争议的，应邀请国家认可的相关机构进行鉴定。服务符合要求的，鉴定费由采购人承担；服务不符合要求的，鉴定费由中标人承担。</w:t>
      </w:r>
    </w:p>
    <w:p w14:paraId="42ABBD29">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2、因履行本合同引起的或与本合同有关的争议，甲乙双方应首先通过友好协商解决，如果协商不能解决，可向</w:t>
      </w:r>
      <w:r>
        <w:rPr>
          <w:rFonts w:hint="eastAsia" w:ascii="宋体" w:hAnsi="宋体" w:cs="宋体"/>
          <w:szCs w:val="21"/>
          <w:lang w:val="en-US" w:eastAsia="zh-CN"/>
        </w:rPr>
        <w:t>甲方所在地有管辖权的</w:t>
      </w:r>
      <w:r>
        <w:rPr>
          <w:rFonts w:hint="eastAsia" w:ascii="宋体" w:hAnsi="宋体" w:cs="宋体"/>
          <w:szCs w:val="21"/>
        </w:rPr>
        <w:t>人民法院</w:t>
      </w:r>
      <w:r>
        <w:rPr>
          <w:rFonts w:hint="eastAsia" w:ascii="宋体" w:hAnsi="宋体" w:eastAsia="宋体" w:cs="宋体"/>
          <w:color w:val="000000"/>
          <w:sz w:val="21"/>
          <w:szCs w:val="21"/>
          <w:highlight w:val="none"/>
        </w:rPr>
        <w:t>提起诉讼。</w:t>
      </w:r>
    </w:p>
    <w:p w14:paraId="6FB6058F">
      <w:pPr>
        <w:keepNext w:val="0"/>
        <w:keepLines w:val="0"/>
        <w:pageBreakBefore w:val="0"/>
        <w:widowControl w:val="0"/>
        <w:bidi w:val="0"/>
        <w:spacing w:line="360" w:lineRule="exact"/>
        <w:ind w:left="43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3、诉讼期间，本合同继续履行。</w:t>
      </w:r>
    </w:p>
    <w:p w14:paraId="6D183EEA">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第十条  合同生效及其它</w:t>
      </w:r>
    </w:p>
    <w:p w14:paraId="75B403E7">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1.合同经甲乙双方法定代表人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负责人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自然人或相应的授权代表签字并加盖</w:t>
      </w:r>
      <w:r>
        <w:rPr>
          <w:rFonts w:hint="eastAsia" w:ascii="宋体" w:hAnsi="宋体" w:cs="宋体"/>
          <w:color w:val="000000"/>
          <w:sz w:val="21"/>
          <w:szCs w:val="21"/>
          <w:highlight w:val="none"/>
          <w:lang w:eastAsia="zh-CN"/>
        </w:rPr>
        <w:t>乙方</w:t>
      </w:r>
      <w:r>
        <w:rPr>
          <w:rFonts w:hint="eastAsia" w:ascii="宋体" w:hAnsi="宋体" w:eastAsia="宋体" w:cs="宋体"/>
          <w:color w:val="000000"/>
          <w:sz w:val="21"/>
          <w:szCs w:val="21"/>
          <w:highlight w:val="none"/>
        </w:rPr>
        <w:t>公章后生效。</w:t>
      </w:r>
    </w:p>
    <w:p w14:paraId="60DDECB8">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2.合同执行中涉及采购资金和采购内容修改或补充的，需经本级</w:t>
      </w:r>
      <w:r>
        <w:rPr>
          <w:rFonts w:hint="eastAsia" w:ascii="宋体" w:hAnsi="宋体" w:eastAsia="宋体" w:cs="宋体"/>
          <w:color w:val="000000"/>
          <w:sz w:val="21"/>
          <w:szCs w:val="21"/>
          <w:highlight w:val="none"/>
          <w:lang w:eastAsia="zh-CN"/>
        </w:rPr>
        <w:t>财</w:t>
      </w:r>
      <w:r>
        <w:rPr>
          <w:rFonts w:hint="eastAsia" w:ascii="宋体" w:hAnsi="宋体" w:eastAsia="宋体" w:cs="宋体"/>
          <w:color w:val="000000"/>
          <w:sz w:val="21"/>
          <w:szCs w:val="21"/>
          <w:highlight w:val="none"/>
        </w:rPr>
        <w:t>政部门审批，并签订书面补充协议报本级财政部门备案，方可作为主合同不可分割的一部分。</w:t>
      </w:r>
    </w:p>
    <w:p w14:paraId="31D61FEB">
      <w:pPr>
        <w:keepNext w:val="0"/>
        <w:keepLines w:val="0"/>
        <w:pageBreakBefore w:val="0"/>
        <w:widowControl w:val="0"/>
        <w:bidi w:val="0"/>
        <w:spacing w:line="360" w:lineRule="exact"/>
        <w:ind w:left="43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3.本合同未尽事宜，遵照</w:t>
      </w:r>
      <w:r>
        <w:rPr>
          <w:rFonts w:hint="eastAsia" w:ascii="宋体" w:hAnsi="宋体" w:eastAsia="宋体" w:cs="宋体"/>
          <w:color w:val="000000"/>
          <w:sz w:val="21"/>
          <w:szCs w:val="21"/>
          <w:highlight w:val="none"/>
          <w:lang w:val="en-US" w:eastAsia="zh-CN"/>
        </w:rPr>
        <w:t>《中华人民共和国民法典》</w:t>
      </w:r>
      <w:r>
        <w:rPr>
          <w:rFonts w:hint="eastAsia" w:ascii="宋体" w:hAnsi="宋体" w:eastAsia="宋体" w:cs="宋体"/>
          <w:color w:val="000000"/>
          <w:sz w:val="21"/>
          <w:szCs w:val="21"/>
          <w:highlight w:val="none"/>
        </w:rPr>
        <w:t>有关条文执行。</w:t>
      </w:r>
    </w:p>
    <w:p w14:paraId="440E07F7">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第十一条  合同的变更、终止与转让</w:t>
      </w:r>
    </w:p>
    <w:p w14:paraId="0032352B">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1.除《中华人民共和国政府采购法》第五十条规定的情形外，本合同一经签订，甲乙双方不得擅自变更，中止或终止。</w:t>
      </w:r>
    </w:p>
    <w:p w14:paraId="3437BE8D">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2.乙方不得擅自转让(无进口资格的供应商委托进口货物除外)其应履行的合同义务。</w:t>
      </w:r>
    </w:p>
    <w:p w14:paraId="52D96430">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3.如政府收回或调整采购单位办公地点，造成甲方服务点减少时，甲方有权变更合同，相应减少物业管理服务费用合同金额。</w:t>
      </w:r>
    </w:p>
    <w:p w14:paraId="772888EC">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第十二条  签订本合同依据</w:t>
      </w:r>
    </w:p>
    <w:p w14:paraId="76AB3CF0">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1.招标文件；</w:t>
      </w:r>
    </w:p>
    <w:p w14:paraId="6663866A">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2.乙方提供的投标（或应答）文件；</w:t>
      </w:r>
    </w:p>
    <w:p w14:paraId="35554AEE">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3.服务承诺书；</w:t>
      </w:r>
    </w:p>
    <w:p w14:paraId="5C926372">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4.中标通知书。</w:t>
      </w:r>
    </w:p>
    <w:p w14:paraId="0B924C76">
      <w:pPr>
        <w:spacing w:line="400" w:lineRule="exact"/>
        <w:ind w:firstLine="420"/>
        <w:rPr>
          <w:rFonts w:hint="eastAsia" w:ascii="宋体" w:hAnsi="宋体" w:eastAsia="宋体" w:cs="宋体"/>
          <w:color w:val="000000"/>
          <w:sz w:val="21"/>
          <w:szCs w:val="21"/>
          <w:highlight w:val="none"/>
        </w:rPr>
      </w:pPr>
      <w:r>
        <w:rPr>
          <w:rFonts w:hint="eastAsia" w:ascii="宋体" w:hAnsi="宋体" w:cs="宋体"/>
          <w:color w:val="000000"/>
          <w:szCs w:val="21"/>
        </w:rPr>
        <w:t>政府采购合同双方自签订之日起将自动存档于“</w:t>
      </w:r>
      <w:r>
        <w:rPr>
          <w:rFonts w:hint="eastAsia" w:ascii="宋体" w:hAnsi="宋体" w:cs="宋体"/>
          <w:color w:val="000000"/>
          <w:szCs w:val="21"/>
          <w:lang w:eastAsia="zh-CN"/>
        </w:rPr>
        <w:t>广西政府采购云平台</w:t>
      </w:r>
      <w:r>
        <w:rPr>
          <w:rFonts w:hint="eastAsia" w:ascii="宋体" w:hAnsi="宋体" w:cs="宋体"/>
          <w:color w:val="000000"/>
          <w:szCs w:val="21"/>
        </w:rPr>
        <w:t>”上，采购人于合同签订之日起七个工作日内将一份合同原件送本级财政部门备案</w:t>
      </w:r>
      <w:r>
        <w:rPr>
          <w:rFonts w:hint="eastAsia" w:ascii="宋体" w:hAnsi="宋体" w:eastAsia="宋体" w:cs="宋体"/>
          <w:color w:val="000000"/>
          <w:sz w:val="21"/>
          <w:szCs w:val="21"/>
          <w:highlight w:val="none"/>
        </w:rPr>
        <w:t>。</w:t>
      </w:r>
    </w:p>
    <w:p w14:paraId="4F4993F1">
      <w:pPr>
        <w:keepNext w:val="0"/>
        <w:keepLines w:val="0"/>
        <w:pageBreakBefore w:val="0"/>
        <w:widowControl w:val="0"/>
        <w:bidi w:val="0"/>
        <w:spacing w:line="360" w:lineRule="exac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甲方（公章）：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乙方（公章，自然人除外）：</w:t>
      </w:r>
      <w:r>
        <w:rPr>
          <w:rFonts w:hint="eastAsia" w:ascii="宋体" w:hAnsi="宋体" w:eastAsia="宋体" w:cs="宋体"/>
          <w:color w:val="000000"/>
          <w:sz w:val="21"/>
          <w:szCs w:val="21"/>
          <w:highlight w:val="none"/>
          <w:u w:val="single"/>
        </w:rPr>
        <w:t xml:space="preserve">                        </w:t>
      </w:r>
    </w:p>
    <w:p w14:paraId="1C7DE191">
      <w:pPr>
        <w:keepNext w:val="0"/>
        <w:keepLines w:val="0"/>
        <w:pageBreakBefore w:val="0"/>
        <w:widowControl w:val="0"/>
        <w:bidi w:val="0"/>
        <w:spacing w:line="360" w:lineRule="exact"/>
        <w:ind w:left="4620" w:hanging="462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法定代表人签字：</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法定代表人（负责人、自然人）签字（属自然人的应在签名处加盖大拇指指印）：</w:t>
      </w:r>
      <w:r>
        <w:rPr>
          <w:rFonts w:hint="eastAsia" w:ascii="宋体" w:hAnsi="宋体" w:eastAsia="宋体" w:cs="宋体"/>
          <w:color w:val="000000"/>
          <w:sz w:val="21"/>
          <w:szCs w:val="21"/>
          <w:highlight w:val="none"/>
          <w:u w:val="single"/>
        </w:rPr>
        <w:t xml:space="preserve">                          </w:t>
      </w:r>
    </w:p>
    <w:p w14:paraId="632AEBE8">
      <w:pPr>
        <w:keepNext w:val="0"/>
        <w:keepLines w:val="0"/>
        <w:pageBreakBefore w:val="0"/>
        <w:widowControl w:val="0"/>
        <w:tabs>
          <w:tab w:val="left" w:pos="4680"/>
        </w:tabs>
        <w:bidi w:val="0"/>
        <w:spacing w:line="360" w:lineRule="exac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委托代理人：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委托代理人：</w:t>
      </w:r>
      <w:r>
        <w:rPr>
          <w:rFonts w:hint="eastAsia" w:ascii="宋体" w:hAnsi="宋体" w:eastAsia="宋体" w:cs="宋体"/>
          <w:color w:val="000000"/>
          <w:sz w:val="21"/>
          <w:szCs w:val="21"/>
          <w:highlight w:val="none"/>
          <w:u w:val="single"/>
        </w:rPr>
        <w:t xml:space="preserve">                                     </w:t>
      </w:r>
    </w:p>
    <w:p w14:paraId="778AD04E">
      <w:pPr>
        <w:keepNext w:val="0"/>
        <w:keepLines w:val="0"/>
        <w:pageBreakBefore w:val="0"/>
        <w:widowControl w:val="0"/>
        <w:tabs>
          <w:tab w:val="left" w:pos="5040"/>
        </w:tabs>
        <w:bidi w:val="0"/>
        <w:spacing w:line="360" w:lineRule="exac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电  话：</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电   话： </w:t>
      </w:r>
      <w:r>
        <w:rPr>
          <w:rFonts w:hint="eastAsia" w:ascii="宋体" w:hAnsi="宋体" w:eastAsia="宋体" w:cs="宋体"/>
          <w:color w:val="000000"/>
          <w:sz w:val="21"/>
          <w:szCs w:val="21"/>
          <w:highlight w:val="none"/>
          <w:u w:val="single"/>
        </w:rPr>
        <w:t xml:space="preserve">                                       </w:t>
      </w:r>
    </w:p>
    <w:p w14:paraId="7B8F3402">
      <w:pPr>
        <w:keepNext w:val="0"/>
        <w:keepLines w:val="0"/>
        <w:pageBreakBefore w:val="0"/>
        <w:widowControl w:val="0"/>
        <w:tabs>
          <w:tab w:val="left" w:pos="5040"/>
        </w:tabs>
        <w:bidi w:val="0"/>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开户名称：</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开户名称：</w:t>
      </w:r>
      <w:r>
        <w:rPr>
          <w:rFonts w:hint="eastAsia" w:ascii="宋体" w:hAnsi="宋体" w:eastAsia="宋体" w:cs="宋体"/>
          <w:color w:val="000000"/>
          <w:sz w:val="21"/>
          <w:szCs w:val="21"/>
          <w:highlight w:val="none"/>
          <w:u w:val="single"/>
        </w:rPr>
        <w:t xml:space="preserve">                                       </w:t>
      </w:r>
    </w:p>
    <w:p w14:paraId="45BC8AF3">
      <w:pPr>
        <w:keepNext w:val="0"/>
        <w:keepLines w:val="0"/>
        <w:pageBreakBefore w:val="0"/>
        <w:widowControl w:val="0"/>
        <w:tabs>
          <w:tab w:val="left" w:pos="5040"/>
        </w:tabs>
        <w:bidi w:val="0"/>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开户银行：</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开户银行：</w:t>
      </w:r>
      <w:r>
        <w:rPr>
          <w:rFonts w:hint="eastAsia" w:ascii="宋体" w:hAnsi="宋体" w:eastAsia="宋体" w:cs="宋体"/>
          <w:color w:val="000000"/>
          <w:sz w:val="21"/>
          <w:szCs w:val="21"/>
          <w:highlight w:val="none"/>
          <w:u w:val="single"/>
        </w:rPr>
        <w:t xml:space="preserve">                                       </w:t>
      </w:r>
    </w:p>
    <w:p w14:paraId="1F06B2C1">
      <w:pPr>
        <w:keepNext w:val="0"/>
        <w:keepLines w:val="0"/>
        <w:pageBreakBefore w:val="0"/>
        <w:widowControl w:val="0"/>
        <w:tabs>
          <w:tab w:val="left" w:pos="5040"/>
        </w:tabs>
        <w:bidi w:val="0"/>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银行账号：</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银行账号：</w:t>
      </w:r>
      <w:r>
        <w:rPr>
          <w:rFonts w:hint="eastAsia" w:ascii="宋体" w:hAnsi="宋体" w:eastAsia="宋体" w:cs="宋体"/>
          <w:color w:val="000000"/>
          <w:sz w:val="21"/>
          <w:szCs w:val="21"/>
          <w:highlight w:val="none"/>
          <w:u w:val="single"/>
        </w:rPr>
        <w:t xml:space="preserve">                                       </w:t>
      </w:r>
    </w:p>
    <w:p w14:paraId="6463153F">
      <w:pPr>
        <w:keepNext w:val="0"/>
        <w:keepLines w:val="0"/>
        <w:pageBreakBefore w:val="0"/>
        <w:widowControl w:val="0"/>
        <w:tabs>
          <w:tab w:val="left" w:pos="5040"/>
        </w:tabs>
        <w:bidi w:val="0"/>
        <w:spacing w:line="360" w:lineRule="exact"/>
        <w:rPr>
          <w:rFonts w:hint="eastAsia" w:ascii="宋体" w:hAnsi="宋体" w:eastAsia="宋体" w:cs="宋体"/>
          <w:color w:val="000000"/>
          <w:highlight w:val="none"/>
        </w:rPr>
      </w:pPr>
      <w:r>
        <w:rPr>
          <w:rFonts w:hint="eastAsia" w:ascii="宋体" w:hAnsi="宋体" w:eastAsia="宋体" w:cs="宋体"/>
          <w:color w:val="000000"/>
          <w:sz w:val="21"/>
          <w:szCs w:val="21"/>
          <w:highlight w:val="none"/>
        </w:rPr>
        <w:t>日    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日    期：</w:t>
      </w:r>
      <w:r>
        <w:rPr>
          <w:rFonts w:hint="eastAsia" w:ascii="宋体" w:hAnsi="宋体" w:eastAsia="宋体" w:cs="宋体"/>
          <w:color w:val="000000"/>
          <w:sz w:val="21"/>
          <w:szCs w:val="21"/>
          <w:highlight w:val="none"/>
          <w:u w:val="single"/>
        </w:rPr>
        <w:t xml:space="preserve">                                       </w:t>
      </w:r>
    </w:p>
    <w:p w14:paraId="61968195">
      <w:pPr>
        <w:keepLines w:val="0"/>
        <w:pageBreakBefore w:val="0"/>
        <w:widowControl w:val="0"/>
        <w:bidi w:val="0"/>
        <w:spacing w:line="360" w:lineRule="exact"/>
        <w:jc w:val="both"/>
        <w:outlineLvl w:val="0"/>
        <w:rPr>
          <w:rFonts w:ascii="宋体" w:hAnsi="宋体" w:cs="宋体"/>
          <w:color w:val="000000"/>
          <w:sz w:val="32"/>
          <w:szCs w:val="32"/>
          <w:highlight w:val="none"/>
        </w:rPr>
      </w:pPr>
      <w:r>
        <w:rPr>
          <w:rFonts w:hint="eastAsia" w:ascii="宋体" w:hAnsi="宋体" w:cs="宋体"/>
          <w:b/>
          <w:color w:val="000000"/>
          <w:sz w:val="32"/>
          <w:szCs w:val="32"/>
          <w:highlight w:val="none"/>
        </w:rPr>
        <w:br w:type="page" w:clear="all"/>
      </w:r>
      <w:r>
        <w:rPr>
          <w:rFonts w:hint="eastAsia" w:ascii="宋体" w:hAnsi="宋体" w:cs="宋体"/>
          <w:b/>
          <w:bCs/>
          <w:color w:val="000000"/>
          <w:sz w:val="32"/>
          <w:szCs w:val="32"/>
          <w:highlight w:val="none"/>
        </w:rPr>
        <w:t>第六章  投标文件（格式）</w:t>
      </w:r>
    </w:p>
    <w:p w14:paraId="3F86562B">
      <w:pPr>
        <w:rPr>
          <w:b/>
          <w:bCs/>
          <w:color w:val="000000"/>
          <w:sz w:val="30"/>
          <w:szCs w:val="30"/>
          <w:highlight w:val="none"/>
        </w:rPr>
      </w:pPr>
      <w:r>
        <w:rPr>
          <w:rFonts w:hint="eastAsia"/>
          <w:b/>
          <w:bCs/>
          <w:color w:val="000000"/>
          <w:sz w:val="30"/>
          <w:szCs w:val="30"/>
          <w:highlight w:val="none"/>
        </w:rPr>
        <w:t>投标文件封面格式：</w:t>
      </w:r>
    </w:p>
    <w:p w14:paraId="4321376B">
      <w:pPr>
        <w:jc w:val="right"/>
        <w:rPr>
          <w:rFonts w:hint="eastAsia" w:ascii="宋体" w:hAnsi="宋体" w:cs="宋体"/>
          <w:b/>
          <w:color w:val="000000"/>
          <w:sz w:val="32"/>
          <w:szCs w:val="32"/>
          <w:highlight w:val="none"/>
        </w:rPr>
      </w:pPr>
    </w:p>
    <w:p w14:paraId="62CD658E">
      <w:pPr>
        <w:rPr>
          <w:rFonts w:ascii="宋体" w:hAnsi="宋体" w:cs="宋体"/>
          <w:b/>
          <w:color w:val="000000"/>
          <w:sz w:val="44"/>
          <w:szCs w:val="44"/>
          <w:highlight w:val="none"/>
        </w:rPr>
      </w:pPr>
    </w:p>
    <w:p w14:paraId="445934C4">
      <w:pPr>
        <w:jc w:val="center"/>
        <w:rPr>
          <w:rFonts w:ascii="宋体" w:hAnsi="宋体" w:cs="宋体"/>
          <w:b/>
          <w:color w:val="000000"/>
          <w:sz w:val="44"/>
          <w:szCs w:val="44"/>
          <w:highlight w:val="none"/>
        </w:rPr>
      </w:pPr>
      <w:r>
        <w:rPr>
          <w:rFonts w:hint="eastAsia" w:ascii="宋体" w:hAnsi="宋体" w:cs="宋体"/>
          <w:bCs/>
          <w:color w:val="000000"/>
          <w:sz w:val="72"/>
          <w:szCs w:val="72"/>
          <w:highlight w:val="none"/>
        </w:rPr>
        <w:t>投标文件</w:t>
      </w:r>
    </w:p>
    <w:p w14:paraId="1FEE85E6">
      <w:pPr>
        <w:rPr>
          <w:rFonts w:ascii="宋体" w:hAnsi="宋体" w:cs="宋体"/>
          <w:b/>
          <w:color w:val="000000"/>
          <w:sz w:val="44"/>
          <w:szCs w:val="44"/>
          <w:highlight w:val="none"/>
        </w:rPr>
      </w:pPr>
    </w:p>
    <w:p w14:paraId="3DAFB452">
      <w:pPr>
        <w:rPr>
          <w:rFonts w:ascii="宋体" w:hAnsi="宋体" w:cs="宋体"/>
          <w:b/>
          <w:color w:val="000000"/>
          <w:sz w:val="44"/>
          <w:szCs w:val="44"/>
          <w:highlight w:val="none"/>
        </w:rPr>
      </w:pPr>
    </w:p>
    <w:p w14:paraId="7C41E3D9">
      <w:pPr>
        <w:pStyle w:val="250"/>
        <w:ind w:firstLine="883"/>
        <w:rPr>
          <w:rFonts w:ascii="宋体" w:hAnsi="宋体" w:cs="宋体"/>
          <w:b/>
          <w:color w:val="000000"/>
          <w:sz w:val="44"/>
          <w:szCs w:val="44"/>
          <w:highlight w:val="none"/>
        </w:rPr>
      </w:pPr>
    </w:p>
    <w:p w14:paraId="6ADBFD36">
      <w:pPr>
        <w:jc w:val="center"/>
        <w:rPr>
          <w:rFonts w:hint="eastAsia" w:ascii="宋体" w:hAnsi="宋体" w:cs="宋体"/>
          <w:color w:val="000000"/>
          <w:sz w:val="30"/>
          <w:szCs w:val="30"/>
          <w:highlight w:val="none"/>
          <w:u w:val="single"/>
        </w:rPr>
      </w:pPr>
      <w:r>
        <w:rPr>
          <w:rFonts w:hint="eastAsia" w:ascii="宋体" w:hAnsi="宋体" w:cs="宋体"/>
          <w:bCs/>
          <w:color w:val="000000"/>
          <w:sz w:val="30"/>
          <w:szCs w:val="30"/>
          <w:highlight w:val="none"/>
        </w:rPr>
        <w:t>项目名称：</w:t>
      </w:r>
      <w:r>
        <w:rPr>
          <w:rFonts w:hint="eastAsia" w:ascii="宋体" w:hAnsi="宋体" w:cs="宋体"/>
          <w:bCs/>
          <w:color w:val="000000"/>
          <w:sz w:val="30"/>
          <w:szCs w:val="30"/>
          <w:highlight w:val="none"/>
          <w:u w:val="single"/>
          <w:lang w:val="en-US" w:eastAsia="zh-CN"/>
        </w:rPr>
        <w:t>桂林市市直机关办公区物业管理服务项目</w:t>
      </w:r>
    </w:p>
    <w:p w14:paraId="20C2995C">
      <w:pPr>
        <w:jc w:val="center"/>
        <w:rPr>
          <w:rFonts w:hint="eastAsia" w:ascii="宋体" w:hAnsi="宋体" w:eastAsia="宋体" w:cs="宋体"/>
          <w:bCs/>
          <w:color w:val="000000"/>
          <w:sz w:val="30"/>
          <w:szCs w:val="30"/>
          <w:highlight w:val="none"/>
          <w:u w:val="single"/>
          <w:lang w:eastAsia="zh-CN"/>
        </w:rPr>
      </w:pPr>
      <w:r>
        <w:rPr>
          <w:rFonts w:hint="eastAsia" w:ascii="宋体" w:hAnsi="宋体" w:cs="宋体"/>
          <w:bCs/>
          <w:color w:val="000000"/>
          <w:sz w:val="30"/>
          <w:szCs w:val="30"/>
          <w:highlight w:val="none"/>
        </w:rPr>
        <w:t>项目编号：</w:t>
      </w:r>
      <w:r>
        <w:rPr>
          <w:rFonts w:hint="eastAsia" w:ascii="宋体" w:hAnsi="宋体" w:cs="宋体"/>
          <w:bCs/>
          <w:color w:val="000000"/>
          <w:sz w:val="30"/>
          <w:szCs w:val="30"/>
          <w:highlight w:val="none"/>
          <w:u w:val="single"/>
          <w:lang w:eastAsia="zh-CN"/>
        </w:rPr>
        <w:t xml:space="preserve"> GLZC2026-G3-990149-GLSZ</w:t>
      </w:r>
    </w:p>
    <w:p w14:paraId="781380CC">
      <w:pPr>
        <w:ind w:firstLine="2400"/>
        <w:rPr>
          <w:rFonts w:hint="eastAsia" w:ascii="宋体" w:hAnsi="宋体" w:cs="宋体"/>
          <w:bCs/>
          <w:color w:val="000000"/>
          <w:sz w:val="30"/>
          <w:szCs w:val="30"/>
          <w:highlight w:val="none"/>
          <w:u w:val="single"/>
        </w:rPr>
      </w:pPr>
    </w:p>
    <w:p w14:paraId="1FE55DC4">
      <w:pPr>
        <w:ind w:firstLine="741"/>
        <w:rPr>
          <w:rFonts w:ascii="宋体" w:hAnsi="宋体" w:cs="宋体"/>
          <w:color w:val="000000"/>
          <w:highlight w:val="none"/>
        </w:rPr>
      </w:pPr>
    </w:p>
    <w:p w14:paraId="00C2F687">
      <w:pPr>
        <w:spacing w:before="156" w:after="50"/>
        <w:ind w:firstLine="1260"/>
        <w:rPr>
          <w:rFonts w:ascii="宋体" w:hAnsi="宋体" w:cs="宋体"/>
          <w:bCs/>
          <w:color w:val="000000"/>
          <w:sz w:val="28"/>
          <w:szCs w:val="28"/>
          <w:highlight w:val="none"/>
        </w:rPr>
      </w:pPr>
    </w:p>
    <w:p w14:paraId="7DDEBD92">
      <w:pPr>
        <w:pStyle w:val="250"/>
        <w:ind w:firstLine="420"/>
        <w:rPr>
          <w:color w:val="000000"/>
          <w:highlight w:val="none"/>
        </w:rPr>
      </w:pPr>
    </w:p>
    <w:p w14:paraId="1F84CC6E">
      <w:pPr>
        <w:pStyle w:val="251"/>
        <w:rPr>
          <w:color w:val="000000"/>
          <w:highlight w:val="none"/>
        </w:rPr>
      </w:pPr>
    </w:p>
    <w:p w14:paraId="68F740E3">
      <w:pPr>
        <w:spacing w:before="156" w:after="50"/>
        <w:ind w:firstLine="1260"/>
        <w:rPr>
          <w:rFonts w:ascii="宋体" w:hAnsi="宋体" w:cs="宋体"/>
          <w:bCs/>
          <w:color w:val="000000"/>
          <w:sz w:val="28"/>
          <w:szCs w:val="28"/>
          <w:highlight w:val="none"/>
        </w:rPr>
      </w:pPr>
    </w:p>
    <w:p w14:paraId="15F22B6C">
      <w:pPr>
        <w:spacing w:before="156" w:after="50"/>
        <w:ind w:firstLine="1260"/>
        <w:rPr>
          <w:rFonts w:ascii="宋体" w:hAnsi="宋体" w:cs="宋体"/>
          <w:bCs/>
          <w:color w:val="000000"/>
          <w:sz w:val="28"/>
          <w:szCs w:val="28"/>
          <w:highlight w:val="none"/>
        </w:rPr>
      </w:pPr>
    </w:p>
    <w:p w14:paraId="69AE5037">
      <w:pPr>
        <w:ind w:firstLine="964"/>
        <w:jc w:val="left"/>
        <w:rPr>
          <w:rFonts w:ascii="宋体" w:hAnsi="宋体" w:cs="宋体"/>
          <w:b/>
          <w:color w:val="000000"/>
          <w:sz w:val="32"/>
          <w:szCs w:val="32"/>
          <w:highlight w:val="none"/>
        </w:rPr>
      </w:pPr>
    </w:p>
    <w:p w14:paraId="7C7153AB">
      <w:pPr>
        <w:pStyle w:val="210"/>
        <w:ind w:left="980" w:hanging="560"/>
        <w:jc w:val="center"/>
        <w:rPr>
          <w:rFonts w:ascii="宋体" w:hAnsi="宋体" w:cs="宋体"/>
          <w:bCs/>
          <w:color w:val="000000"/>
          <w:sz w:val="28"/>
          <w:szCs w:val="28"/>
          <w:highlight w:val="none"/>
          <w:u w:val="single"/>
        </w:rPr>
      </w:pPr>
      <w:r>
        <w:rPr>
          <w:rFonts w:hint="eastAsia" w:ascii="宋体" w:hAnsi="宋体" w:cs="宋体"/>
          <w:bCs/>
          <w:color w:val="000000"/>
          <w:sz w:val="28"/>
          <w:szCs w:val="28"/>
          <w:highlight w:val="none"/>
        </w:rPr>
        <w:t>采购代理机构：</w:t>
      </w:r>
      <w:r>
        <w:rPr>
          <w:rFonts w:hint="eastAsia" w:ascii="宋体" w:hAnsi="宋体" w:cs="宋体"/>
          <w:bCs/>
          <w:color w:val="000000"/>
          <w:sz w:val="28"/>
          <w:szCs w:val="28"/>
          <w:highlight w:val="none"/>
          <w:u w:val="single"/>
        </w:rPr>
        <w:t>桂林市政府集中采购中心</w:t>
      </w:r>
    </w:p>
    <w:p w14:paraId="59EBBBB6">
      <w:pPr>
        <w:pStyle w:val="210"/>
        <w:ind w:left="980" w:hanging="560"/>
        <w:rPr>
          <w:rFonts w:ascii="宋体" w:hAnsi="宋体" w:cs="宋体"/>
          <w:bCs/>
          <w:color w:val="000000"/>
          <w:sz w:val="28"/>
          <w:szCs w:val="28"/>
          <w:highlight w:val="none"/>
        </w:rPr>
      </w:pPr>
      <w:r>
        <w:rPr>
          <w:rFonts w:hint="eastAsia" w:ascii="宋体" w:hAnsi="宋体" w:cs="宋体"/>
          <w:bCs/>
          <w:color w:val="000000"/>
          <w:sz w:val="28"/>
          <w:szCs w:val="28"/>
          <w:highlight w:val="none"/>
        </w:rPr>
        <w:t>投标人（公章(CA签章)、自然人除外）：</w:t>
      </w:r>
      <w:r>
        <w:rPr>
          <w:rFonts w:hint="eastAsia" w:ascii="宋体" w:hAnsi="宋体" w:cs="宋体"/>
          <w:bCs/>
          <w:color w:val="000000"/>
          <w:sz w:val="28"/>
          <w:szCs w:val="28"/>
          <w:highlight w:val="none"/>
          <w:u w:val="single"/>
        </w:rPr>
        <w:t xml:space="preserve">                              </w:t>
      </w:r>
    </w:p>
    <w:p w14:paraId="4FC32446">
      <w:pPr>
        <w:pStyle w:val="213"/>
        <w:spacing w:line="320" w:lineRule="exact"/>
        <w:ind w:firstLine="420"/>
        <w:rPr>
          <w:rFonts w:hAnsi="宋体" w:cs="宋体"/>
          <w:color w:val="000000"/>
          <w:sz w:val="28"/>
          <w:szCs w:val="28"/>
          <w:highlight w:val="none"/>
        </w:rPr>
      </w:pPr>
      <w:r>
        <w:rPr>
          <w:rFonts w:hint="eastAsia" w:hAnsi="宋体" w:cs="宋体"/>
          <w:color w:val="000000"/>
          <w:sz w:val="28"/>
          <w:szCs w:val="28"/>
          <w:highlight w:val="none"/>
        </w:rPr>
        <w:t>法定代表人、负责人、自然人或相应的委托代理人签字[或盖章(CA签章)]</w:t>
      </w:r>
    </w:p>
    <w:p w14:paraId="5213512B">
      <w:pPr>
        <w:pStyle w:val="210"/>
        <w:ind w:left="980" w:hanging="560"/>
        <w:rPr>
          <w:rFonts w:ascii="宋体" w:hAnsi="宋体" w:cs="宋体"/>
          <w:color w:val="000000"/>
          <w:sz w:val="28"/>
          <w:szCs w:val="28"/>
          <w:highlight w:val="none"/>
          <w:u w:val="single"/>
        </w:rPr>
      </w:pPr>
      <w:r>
        <w:rPr>
          <w:rFonts w:hint="eastAsia" w:ascii="宋体" w:hAnsi="宋体" w:cs="宋体"/>
          <w:color w:val="000000"/>
          <w:sz w:val="28"/>
          <w:szCs w:val="28"/>
          <w:highlight w:val="none"/>
        </w:rPr>
        <w:t>（属自然人的应在签名处加盖大拇指指印或个人CA签章）：</w:t>
      </w:r>
      <w:r>
        <w:rPr>
          <w:rFonts w:hint="eastAsia" w:ascii="宋体" w:hAnsi="宋体" w:cs="宋体"/>
          <w:color w:val="000000"/>
          <w:sz w:val="28"/>
          <w:szCs w:val="28"/>
          <w:highlight w:val="none"/>
          <w:u w:val="single"/>
        </w:rPr>
        <w:t xml:space="preserve">                  </w:t>
      </w:r>
    </w:p>
    <w:p w14:paraId="7B7C3DF7">
      <w:pPr>
        <w:pStyle w:val="210"/>
        <w:ind w:left="980" w:hanging="560"/>
        <w:rPr>
          <w:rFonts w:ascii="宋体" w:hAnsi="宋体" w:cs="宋体"/>
          <w:bCs/>
          <w:color w:val="000000"/>
          <w:sz w:val="28"/>
          <w:szCs w:val="28"/>
          <w:highlight w:val="none"/>
          <w:u w:val="single"/>
        </w:rPr>
      </w:pPr>
      <w:r>
        <w:rPr>
          <w:rFonts w:hint="eastAsia" w:ascii="宋体" w:hAnsi="宋体" w:cs="宋体"/>
          <w:bCs/>
          <w:color w:val="000000"/>
          <w:sz w:val="28"/>
          <w:szCs w:val="28"/>
          <w:highlight w:val="none"/>
        </w:rPr>
        <w:t>联系电话：</w:t>
      </w:r>
      <w:r>
        <w:rPr>
          <w:rFonts w:hint="eastAsia" w:ascii="宋体" w:hAnsi="宋体" w:cs="宋体"/>
          <w:bCs/>
          <w:color w:val="000000"/>
          <w:sz w:val="28"/>
          <w:szCs w:val="28"/>
          <w:highlight w:val="none"/>
          <w:u w:val="single"/>
        </w:rPr>
        <w:t xml:space="preserve">                                                </w:t>
      </w:r>
    </w:p>
    <w:p w14:paraId="6F7D540F">
      <w:pPr>
        <w:pStyle w:val="210"/>
        <w:ind w:left="980" w:hanging="560"/>
        <w:rPr>
          <w:rFonts w:ascii="宋体" w:hAnsi="宋体" w:cs="宋体"/>
          <w:b/>
          <w:color w:val="000000"/>
          <w:sz w:val="32"/>
          <w:szCs w:val="32"/>
          <w:highlight w:val="none"/>
        </w:rPr>
      </w:pPr>
      <w:r>
        <w:rPr>
          <w:rFonts w:hint="eastAsia" w:ascii="宋体" w:hAnsi="宋体" w:cs="宋体"/>
          <w:bCs/>
          <w:color w:val="000000"/>
          <w:sz w:val="28"/>
          <w:szCs w:val="28"/>
          <w:highlight w:val="none"/>
        </w:rPr>
        <w:t>日期：</w:t>
      </w:r>
      <w:r>
        <w:rPr>
          <w:rFonts w:hint="eastAsia" w:ascii="宋体" w:hAnsi="宋体" w:cs="宋体"/>
          <w:bCs/>
          <w:color w:val="000000"/>
          <w:sz w:val="28"/>
          <w:szCs w:val="28"/>
          <w:highlight w:val="none"/>
          <w:u w:val="single"/>
        </w:rPr>
        <w:t xml:space="preserve">              </w:t>
      </w:r>
      <w:r>
        <w:rPr>
          <w:rFonts w:hint="eastAsia" w:ascii="宋体" w:hAnsi="宋体" w:cs="宋体"/>
          <w:bCs/>
          <w:color w:val="000000"/>
          <w:sz w:val="28"/>
          <w:szCs w:val="28"/>
          <w:highlight w:val="none"/>
        </w:rPr>
        <w:t>年</w:t>
      </w:r>
      <w:r>
        <w:rPr>
          <w:rFonts w:hint="eastAsia" w:ascii="宋体" w:hAnsi="宋体" w:cs="宋体"/>
          <w:bCs/>
          <w:color w:val="000000"/>
          <w:sz w:val="28"/>
          <w:szCs w:val="28"/>
          <w:highlight w:val="none"/>
          <w:u w:val="single"/>
        </w:rPr>
        <w:t xml:space="preserve">           </w:t>
      </w:r>
      <w:r>
        <w:rPr>
          <w:rFonts w:hint="eastAsia" w:ascii="宋体" w:hAnsi="宋体" w:cs="宋体"/>
          <w:bCs/>
          <w:color w:val="000000"/>
          <w:sz w:val="28"/>
          <w:szCs w:val="28"/>
          <w:highlight w:val="none"/>
        </w:rPr>
        <w:t>月</w:t>
      </w:r>
      <w:r>
        <w:rPr>
          <w:rFonts w:hint="eastAsia" w:ascii="宋体" w:hAnsi="宋体" w:cs="宋体"/>
          <w:bCs/>
          <w:color w:val="000000"/>
          <w:sz w:val="28"/>
          <w:szCs w:val="28"/>
          <w:highlight w:val="none"/>
          <w:u w:val="single"/>
        </w:rPr>
        <w:t xml:space="preserve">           </w:t>
      </w:r>
      <w:r>
        <w:rPr>
          <w:rFonts w:hint="eastAsia" w:ascii="宋体" w:hAnsi="宋体" w:cs="宋体"/>
          <w:bCs/>
          <w:color w:val="000000"/>
          <w:sz w:val="28"/>
          <w:szCs w:val="28"/>
          <w:highlight w:val="none"/>
        </w:rPr>
        <w:t>日</w:t>
      </w:r>
    </w:p>
    <w:p w14:paraId="7D690BB8">
      <w:pPr>
        <w:jc w:val="center"/>
        <w:rPr>
          <w:rFonts w:hint="eastAsia"/>
          <w:b/>
          <w:bCs/>
          <w:color w:val="000000"/>
          <w:sz w:val="32"/>
          <w:szCs w:val="32"/>
          <w:highlight w:val="none"/>
        </w:rPr>
      </w:pPr>
    </w:p>
    <w:p w14:paraId="0A98B026">
      <w:pPr>
        <w:jc w:val="center"/>
        <w:rPr>
          <w:rFonts w:hint="eastAsia"/>
          <w:b/>
          <w:bCs/>
          <w:color w:val="000000"/>
          <w:sz w:val="32"/>
          <w:szCs w:val="32"/>
          <w:highlight w:val="none"/>
        </w:rPr>
      </w:pPr>
    </w:p>
    <w:p w14:paraId="3238BE4B">
      <w:pPr>
        <w:jc w:val="center"/>
        <w:rPr>
          <w:rFonts w:hint="eastAsia"/>
          <w:b/>
          <w:bCs/>
          <w:color w:val="000000"/>
          <w:sz w:val="32"/>
          <w:szCs w:val="32"/>
          <w:highlight w:val="none"/>
        </w:rPr>
      </w:pPr>
    </w:p>
    <w:p w14:paraId="045C60DD">
      <w:pPr>
        <w:jc w:val="center"/>
        <w:rPr>
          <w:rFonts w:hint="eastAsia"/>
          <w:b/>
          <w:bCs/>
          <w:color w:val="000000"/>
          <w:sz w:val="32"/>
          <w:szCs w:val="32"/>
          <w:highlight w:val="none"/>
        </w:rPr>
      </w:pPr>
    </w:p>
    <w:p w14:paraId="68DC2057">
      <w:pPr>
        <w:jc w:val="center"/>
        <w:rPr>
          <w:rFonts w:hint="eastAsia"/>
          <w:b/>
          <w:bCs/>
          <w:color w:val="000000"/>
          <w:sz w:val="32"/>
          <w:szCs w:val="32"/>
          <w:highlight w:val="none"/>
        </w:rPr>
      </w:pPr>
    </w:p>
    <w:p w14:paraId="4705AF55">
      <w:pPr>
        <w:jc w:val="center"/>
        <w:rPr>
          <w:rFonts w:hint="eastAsia"/>
          <w:b/>
          <w:bCs/>
          <w:color w:val="000000"/>
          <w:sz w:val="32"/>
          <w:szCs w:val="32"/>
          <w:highlight w:val="none"/>
        </w:rPr>
      </w:pPr>
    </w:p>
    <w:p w14:paraId="725B30B7">
      <w:pPr>
        <w:jc w:val="center"/>
        <w:rPr>
          <w:rFonts w:hint="eastAsia"/>
          <w:b/>
          <w:bCs/>
          <w:color w:val="000000"/>
          <w:sz w:val="32"/>
          <w:szCs w:val="32"/>
          <w:highlight w:val="none"/>
        </w:rPr>
      </w:pPr>
    </w:p>
    <w:p w14:paraId="7BACEBFC">
      <w:pPr>
        <w:jc w:val="center"/>
        <w:rPr>
          <w:b/>
          <w:bCs/>
          <w:color w:val="000000"/>
          <w:sz w:val="32"/>
          <w:szCs w:val="32"/>
          <w:highlight w:val="none"/>
        </w:rPr>
      </w:pPr>
      <w:r>
        <w:rPr>
          <w:rFonts w:hint="eastAsia"/>
          <w:b/>
          <w:bCs/>
          <w:color w:val="000000"/>
          <w:sz w:val="32"/>
          <w:szCs w:val="32"/>
          <w:highlight w:val="none"/>
        </w:rPr>
        <w:t>投标文件目录</w:t>
      </w:r>
    </w:p>
    <w:p w14:paraId="64C31FA9">
      <w:pPr>
        <w:tabs>
          <w:tab w:val="left" w:pos="1305"/>
        </w:tabs>
        <w:spacing w:line="380" w:lineRule="exact"/>
        <w:ind w:firstLine="422"/>
        <w:rPr>
          <w:rFonts w:ascii="宋体" w:hAnsi="宋体" w:cs="宋体"/>
          <w:b/>
          <w:color w:val="000000"/>
          <w:sz w:val="28"/>
          <w:szCs w:val="28"/>
          <w:highlight w:val="none"/>
        </w:rPr>
      </w:pPr>
      <w:r>
        <w:rPr>
          <w:rFonts w:hint="eastAsia" w:ascii="宋体" w:hAnsi="宋体" w:cs="宋体"/>
          <w:b/>
          <w:color w:val="000000"/>
          <w:sz w:val="28"/>
          <w:szCs w:val="28"/>
          <w:highlight w:val="none"/>
        </w:rPr>
        <w:t>一、资格性响应证明材料：</w:t>
      </w:r>
    </w:p>
    <w:p w14:paraId="6F9283CC">
      <w:pPr>
        <w:tabs>
          <w:tab w:val="left" w:pos="1305"/>
        </w:tabs>
        <w:spacing w:line="380" w:lineRule="exact"/>
        <w:ind w:firstLine="420"/>
        <w:rPr>
          <w:rFonts w:ascii="宋体" w:hAnsi="宋体" w:cs="宋体"/>
          <w:color w:val="000000"/>
          <w:szCs w:val="21"/>
          <w:highlight w:val="none"/>
        </w:rPr>
      </w:pPr>
      <w:r>
        <w:rPr>
          <w:rFonts w:hint="eastAsia" w:ascii="宋体" w:hAnsi="宋体" w:cs="宋体"/>
          <w:color w:val="000000"/>
          <w:szCs w:val="21"/>
          <w:highlight w:val="none"/>
        </w:rPr>
        <w:t>1.投标人相应的法定代表人、负责人、自然人身份证正反面</w:t>
      </w:r>
      <w:r>
        <w:rPr>
          <w:rFonts w:hint="eastAsia" w:ascii="宋体" w:hAnsi="宋体" w:cs="宋体"/>
          <w:color w:val="000000"/>
          <w:szCs w:val="21"/>
          <w:highlight w:val="none"/>
          <w:lang w:eastAsia="zh-CN"/>
        </w:rPr>
        <w:t>扫描件</w:t>
      </w:r>
      <w:r>
        <w:rPr>
          <w:rFonts w:hint="eastAsia" w:ascii="宋体" w:hAnsi="宋体" w:cs="宋体"/>
          <w:b/>
          <w:bCs/>
          <w:color w:val="000000"/>
          <w:szCs w:val="21"/>
          <w:highlight w:val="none"/>
        </w:rPr>
        <w:t>（必须提供）；</w:t>
      </w:r>
    </w:p>
    <w:p w14:paraId="54B73384">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2.投标人的授权委托书原件、委托代理人身份证正反面</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以及由县级以上（含县级）社会养老保险经办机构出具的投标人为委托代理人交纳的开标截止时间前</w:t>
      </w:r>
      <w:r>
        <w:rPr>
          <w:rFonts w:hint="eastAsia" w:ascii="宋体" w:hAnsi="宋体" w:cs="宋体"/>
          <w:color w:val="000000"/>
          <w:szCs w:val="21"/>
          <w:highlight w:val="none"/>
          <w:lang w:eastAsia="zh-CN"/>
        </w:rPr>
        <w:t>三个月内任意一个月</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，除投标人为以下</w:t>
      </w:r>
      <w:r>
        <w:rPr>
          <w:rFonts w:hint="eastAsia" w:ascii="宋体" w:hAnsi="宋体" w:cs="宋体"/>
          <w:color w:val="000000"/>
          <w:szCs w:val="21"/>
          <w:highlight w:val="none"/>
          <w:lang w:eastAsia="zh-CN"/>
        </w:rPr>
        <w:t>四</w:t>
      </w:r>
      <w:r>
        <w:rPr>
          <w:rFonts w:hint="eastAsia" w:ascii="宋体" w:hAnsi="宋体" w:cs="宋体"/>
          <w:color w:val="000000"/>
          <w:szCs w:val="21"/>
          <w:highlight w:val="none"/>
        </w:rPr>
        <w:t>种情形的：</w:t>
      </w:r>
    </w:p>
    <w:p w14:paraId="4F80A2D2">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①如投标人为截标时间前60日以内成立的公司，可以提供投标人与委托代理人签订的劳动合同</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0F995F6F">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②如投标人为事业单位，可以提供事业单位机构编制管理证</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或事业单位机构为其发放工资的工资条</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25A93BAF">
      <w:pPr>
        <w:spacing w:line="400" w:lineRule="exact"/>
        <w:ind w:firstLine="411"/>
        <w:rPr>
          <w:rFonts w:hint="eastAsia" w:ascii="宋体" w:hAnsi="宋体" w:cs="宋体"/>
          <w:color w:val="000000"/>
          <w:szCs w:val="21"/>
          <w:highlight w:val="none"/>
        </w:rPr>
      </w:pPr>
      <w:r>
        <w:rPr>
          <w:rFonts w:hint="eastAsia" w:ascii="宋体" w:hAnsi="宋体" w:cs="宋体"/>
          <w:color w:val="000000"/>
          <w:szCs w:val="21"/>
          <w:highlight w:val="none"/>
        </w:rPr>
        <w:t>③如委托代理人为免缴纳</w:t>
      </w:r>
      <w:r>
        <w:rPr>
          <w:rFonts w:hint="eastAsia" w:ascii="宋体" w:hAnsi="宋体" w:cs="宋体"/>
          <w:color w:val="000000"/>
          <w:szCs w:val="21"/>
          <w:highlight w:val="none"/>
          <w:lang w:eastAsia="zh-CN"/>
        </w:rPr>
        <w:t>养老保险</w:t>
      </w:r>
      <w:r>
        <w:rPr>
          <w:rFonts w:hint="eastAsia" w:ascii="宋体" w:hAnsi="宋体" w:cs="宋体"/>
          <w:color w:val="000000"/>
          <w:szCs w:val="21"/>
          <w:highlight w:val="none"/>
        </w:rPr>
        <w:t>人员，提供免缴纳</w:t>
      </w:r>
      <w:r>
        <w:rPr>
          <w:rFonts w:hint="eastAsia" w:ascii="宋体" w:hAnsi="宋体" w:cs="宋体"/>
          <w:color w:val="000000"/>
          <w:szCs w:val="21"/>
          <w:highlight w:val="none"/>
          <w:lang w:eastAsia="zh-CN"/>
        </w:rPr>
        <w:t>养老保险</w:t>
      </w:r>
      <w:r>
        <w:rPr>
          <w:rFonts w:hint="eastAsia" w:ascii="宋体" w:hAnsi="宋体" w:cs="宋体"/>
          <w:color w:val="000000"/>
          <w:szCs w:val="21"/>
          <w:highlight w:val="none"/>
        </w:rPr>
        <w:t>的证明材料</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及投标人与委托代理人签订的劳动合同</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20882EAE">
      <w:pPr>
        <w:pStyle w:val="2"/>
        <w:ind w:firstLine="420"/>
      </w:pPr>
      <w:r>
        <w:rPr>
          <w:rFonts w:hint="eastAsia" w:ascii="宋体" w:hAnsi="宋体" w:eastAsia="宋体" w:cs="宋体"/>
          <w:sz w:val="21"/>
          <w:szCs w:val="21"/>
          <w:lang w:val="en-US" w:eastAsia="zh-CN" w:bidi="ar-SA"/>
        </w:rPr>
        <w:t>④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p>
    <w:p w14:paraId="6921E549">
      <w:pPr>
        <w:spacing w:line="400" w:lineRule="exact"/>
        <w:ind w:firstLine="413"/>
        <w:rPr>
          <w:rFonts w:ascii="宋体" w:hAnsi="宋体" w:cs="宋体"/>
          <w:color w:val="000000"/>
          <w:szCs w:val="21"/>
          <w:highlight w:val="none"/>
        </w:rPr>
      </w:pPr>
      <w:r>
        <w:rPr>
          <w:rFonts w:hint="eastAsia" w:ascii="宋体" w:hAnsi="宋体" w:cs="宋体"/>
          <w:b/>
          <w:bCs/>
          <w:color w:val="000000"/>
          <w:szCs w:val="21"/>
          <w:highlight w:val="none"/>
        </w:rPr>
        <w:t>【属自然人的应提供由县级以上（含县级）社会养老保险经办机构出具的自然人本人及委托代理人所交纳的开标截止时间前</w:t>
      </w:r>
      <w:r>
        <w:rPr>
          <w:rFonts w:hint="eastAsia" w:ascii="宋体" w:hAnsi="宋体" w:cs="宋体"/>
          <w:b/>
          <w:bCs/>
          <w:color w:val="000000"/>
          <w:szCs w:val="21"/>
          <w:highlight w:val="none"/>
          <w:lang w:eastAsia="zh-CN"/>
        </w:rPr>
        <w:t>三个月内任意一个月</w:t>
      </w:r>
      <w:r>
        <w:rPr>
          <w:rFonts w:hint="eastAsia" w:ascii="宋体" w:hAnsi="宋体" w:cs="宋体"/>
          <w:b/>
          <w:bCs/>
          <w:color w:val="000000"/>
          <w:szCs w:val="21"/>
          <w:highlight w:val="none"/>
          <w:lang w:val="en-US" w:eastAsia="zh-CN"/>
        </w:rPr>
        <w:t>养老保险</w:t>
      </w:r>
      <w:r>
        <w:rPr>
          <w:rFonts w:hint="eastAsia" w:ascii="宋体" w:hAnsi="宋体" w:cs="宋体"/>
          <w:b/>
          <w:bCs/>
          <w:color w:val="000000"/>
          <w:szCs w:val="21"/>
          <w:highlight w:val="none"/>
        </w:rPr>
        <w:t>证明</w:t>
      </w:r>
      <w:r>
        <w:rPr>
          <w:rFonts w:hint="eastAsia" w:ascii="宋体" w:hAnsi="宋体" w:cs="宋体"/>
          <w:b/>
          <w:bCs/>
          <w:color w:val="000000"/>
          <w:szCs w:val="21"/>
          <w:highlight w:val="none"/>
          <w:lang w:eastAsia="zh-CN"/>
        </w:rPr>
        <w:t>扫描件。</w:t>
      </w:r>
      <w:r>
        <w:rPr>
          <w:rFonts w:hint="eastAsia" w:ascii="宋体" w:hAnsi="宋体" w:cs="宋体"/>
          <w:b/>
          <w:bCs/>
          <w:color w:val="000000"/>
          <w:szCs w:val="21"/>
          <w:highlight w:val="none"/>
          <w:lang w:val="en-US" w:eastAsia="zh-CN"/>
        </w:rPr>
        <w:t>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r>
        <w:rPr>
          <w:rFonts w:hint="eastAsia" w:ascii="宋体" w:hAnsi="宋体" w:cs="宋体"/>
          <w:b/>
          <w:bCs/>
          <w:color w:val="000000"/>
          <w:szCs w:val="21"/>
          <w:highlight w:val="none"/>
        </w:rPr>
        <w:t>】</w:t>
      </w:r>
      <w:r>
        <w:rPr>
          <w:rFonts w:hint="eastAsia" w:ascii="宋体" w:hAnsi="宋体" w:cs="宋体"/>
          <w:b/>
          <w:color w:val="000000"/>
          <w:szCs w:val="21"/>
          <w:highlight w:val="none"/>
        </w:rPr>
        <w:t>（委托代理时必须提供；</w:t>
      </w:r>
      <w:r>
        <w:rPr>
          <w:rFonts w:hint="eastAsia" w:ascii="宋体" w:hAnsi="宋体" w:cs="宋体"/>
          <w:b/>
          <w:bCs/>
          <w:color w:val="000000"/>
          <w:szCs w:val="21"/>
          <w:highlight w:val="none"/>
        </w:rPr>
        <w:t>如为联合体的，授权委托书原件须由牵头人出具</w:t>
      </w:r>
      <w:r>
        <w:rPr>
          <w:rFonts w:hint="eastAsia" w:ascii="宋体" w:hAnsi="宋体" w:cs="宋体"/>
          <w:b/>
          <w:color w:val="000000"/>
          <w:szCs w:val="21"/>
          <w:highlight w:val="none"/>
        </w:rPr>
        <w:t>）；</w:t>
      </w:r>
    </w:p>
    <w:p w14:paraId="154E800E">
      <w:pPr>
        <w:tabs>
          <w:tab w:val="left" w:pos="1305"/>
        </w:tabs>
        <w:spacing w:line="380" w:lineRule="exact"/>
        <w:ind w:firstLine="420"/>
        <w:rPr>
          <w:rFonts w:ascii="宋体" w:hAnsi="宋体" w:cs="宋体"/>
          <w:color w:val="000000"/>
          <w:szCs w:val="21"/>
          <w:highlight w:val="none"/>
        </w:rPr>
      </w:pPr>
      <w:r>
        <w:rPr>
          <w:rFonts w:hint="eastAsia" w:ascii="宋体" w:hAnsi="宋体" w:cs="宋体"/>
          <w:color w:val="000000"/>
          <w:szCs w:val="21"/>
          <w:highlight w:val="none"/>
        </w:rPr>
        <w:t>3.投标人的法人或者其他组织营业执照等证明文件</w:t>
      </w:r>
      <w:r>
        <w:rPr>
          <w:rFonts w:hint="eastAsia" w:ascii="宋体" w:hAnsi="宋体" w:cs="宋体"/>
          <w:color w:val="000000"/>
          <w:szCs w:val="21"/>
          <w:highlight w:val="none"/>
          <w:lang w:eastAsia="zh-CN"/>
        </w:rPr>
        <w:t>扫描件</w:t>
      </w:r>
      <w:r>
        <w:rPr>
          <w:rFonts w:hint="eastAsia" w:ascii="宋体" w:hAnsi="宋体" w:cs="宋体"/>
          <w:b/>
          <w:color w:val="000000"/>
          <w:szCs w:val="21"/>
          <w:highlight w:val="none"/>
        </w:rPr>
        <w:t>（必须提供，自然人除外）</w:t>
      </w:r>
      <w:r>
        <w:rPr>
          <w:rFonts w:hint="eastAsia" w:ascii="宋体" w:hAnsi="宋体" w:cs="宋体"/>
          <w:color w:val="000000"/>
          <w:szCs w:val="21"/>
          <w:highlight w:val="none"/>
        </w:rPr>
        <w:t>；</w:t>
      </w:r>
    </w:p>
    <w:p w14:paraId="2ABAE5A9">
      <w:pPr>
        <w:spacing w:line="400" w:lineRule="exact"/>
        <w:ind w:firstLine="420"/>
        <w:rPr>
          <w:color w:val="000000"/>
          <w:szCs w:val="21"/>
          <w:highlight w:val="none"/>
        </w:rPr>
      </w:pPr>
      <w:r>
        <w:rPr>
          <w:rFonts w:hint="eastAsia" w:ascii="宋体" w:hAnsi="宋体" w:cs="宋体"/>
          <w:color w:val="000000"/>
          <w:szCs w:val="21"/>
          <w:highlight w:val="none"/>
        </w:rPr>
        <w:t>4.财务状况报告</w:t>
      </w:r>
      <w:r>
        <w:rPr>
          <w:rFonts w:hint="eastAsia" w:ascii="宋体" w:hAnsi="宋体" w:cs="宋体"/>
          <w:b/>
          <w:bCs/>
          <w:szCs w:val="21"/>
          <w:lang w:eastAsia="zh-CN"/>
        </w:rPr>
        <w:t>（格式自拟，必须提供）</w:t>
      </w:r>
      <w:r>
        <w:rPr>
          <w:rFonts w:hint="eastAsia" w:ascii="宋体" w:hAnsi="宋体" w:cs="宋体"/>
          <w:b/>
          <w:bCs/>
          <w:color w:val="000000"/>
          <w:szCs w:val="21"/>
          <w:highlight w:val="none"/>
        </w:rPr>
        <w:t>；</w:t>
      </w:r>
    </w:p>
    <w:p w14:paraId="14F74A43">
      <w:pPr>
        <w:tabs>
          <w:tab w:val="left" w:pos="1305"/>
        </w:tabs>
        <w:spacing w:line="380" w:lineRule="exact"/>
        <w:ind w:firstLine="420"/>
        <w:rPr>
          <w:rFonts w:hint="eastAsia" w:ascii="宋体" w:hAnsi="宋体" w:cs="宋体"/>
          <w:b/>
          <w:bCs/>
          <w:color w:val="000000"/>
          <w:szCs w:val="21"/>
          <w:highlight w:val="none"/>
        </w:rPr>
      </w:pPr>
      <w:r>
        <w:rPr>
          <w:rFonts w:hint="eastAsia" w:ascii="宋体" w:hAnsi="宋体" w:cs="宋体"/>
          <w:color w:val="000000"/>
          <w:szCs w:val="21"/>
          <w:highlight w:val="none"/>
        </w:rPr>
        <w:t>5.</w:t>
      </w:r>
      <w:r>
        <w:rPr>
          <w:rFonts w:hint="eastAsia" w:ascii="宋体" w:hAnsi="宋体" w:cs="宋体"/>
          <w:color w:val="000000"/>
          <w:szCs w:val="21"/>
          <w:highlight w:val="none"/>
          <w:lang w:eastAsia="zh-CN"/>
        </w:rPr>
        <w:t>投标人参加政府采购活动前3年内在经营活动中没有重大违法记录及有关信用信息的书面声明或专项信用报告</w:t>
      </w:r>
      <w:r>
        <w:rPr>
          <w:rFonts w:hint="eastAsia" w:ascii="宋体" w:hAnsi="宋体" w:cs="宋体"/>
          <w:b/>
          <w:bCs/>
          <w:color w:val="000000"/>
          <w:szCs w:val="21"/>
          <w:highlight w:val="none"/>
        </w:rPr>
        <w:t>（必须提供）；</w:t>
      </w:r>
    </w:p>
    <w:p w14:paraId="3D3D3382">
      <w:pPr>
        <w:tabs>
          <w:tab w:val="left" w:pos="1305"/>
        </w:tabs>
        <w:spacing w:line="380" w:lineRule="exact"/>
        <w:ind w:firstLine="422"/>
        <w:rPr>
          <w:rFonts w:hint="eastAsia" w:ascii="宋体" w:hAnsi="宋体" w:eastAsia="宋体" w:cs="宋体"/>
          <w:b/>
          <w:bCs/>
          <w:color w:val="000000"/>
          <w:szCs w:val="21"/>
          <w:highlight w:val="none"/>
          <w:u w:val="single"/>
          <w:lang w:eastAsia="zh-CN"/>
        </w:rPr>
      </w:pPr>
      <w:r>
        <w:rPr>
          <w:rFonts w:hint="eastAsia" w:ascii="宋体" w:hAnsi="宋体" w:cs="宋体"/>
          <w:b/>
          <w:bCs/>
          <w:color w:val="000000"/>
          <w:szCs w:val="21"/>
          <w:highlight w:val="none"/>
          <w:u w:val="single"/>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投标人根据注册地信用中国网站的要求获取</w:t>
      </w:r>
      <w:r>
        <w:rPr>
          <w:rFonts w:hint="eastAsia" w:ascii="宋体" w:hAnsi="宋体" w:cs="宋体"/>
          <w:b/>
          <w:bCs/>
          <w:color w:val="000000"/>
          <w:szCs w:val="21"/>
          <w:highlight w:val="none"/>
          <w:u w:val="single"/>
          <w:lang w:eastAsia="zh-CN"/>
        </w:rPr>
        <w:t>；</w:t>
      </w:r>
    </w:p>
    <w:p w14:paraId="330AC546">
      <w:pPr>
        <w:tabs>
          <w:tab w:val="left" w:pos="1305"/>
        </w:tabs>
        <w:spacing w:line="380" w:lineRule="exact"/>
        <w:ind w:firstLine="420"/>
        <w:rPr>
          <w:rFonts w:hint="eastAsia" w:ascii="宋体" w:hAnsi="宋体" w:cs="宋体"/>
          <w:color w:val="000000"/>
          <w:sz w:val="21"/>
          <w:szCs w:val="21"/>
          <w:highlight w:val="none"/>
          <w:lang w:eastAsia="zh-CN"/>
        </w:rPr>
      </w:pPr>
      <w:r>
        <w:rPr>
          <w:rFonts w:hint="eastAsia" w:ascii="宋体" w:hAnsi="宋体" w:cs="宋体"/>
          <w:color w:val="000000"/>
          <w:szCs w:val="21"/>
          <w:highlight w:val="none"/>
        </w:rPr>
        <w:t>6.投标人近半年内任意一个月或任一季度依法缴纳税收的证明材料【增值税发票(税收完税证明)或企业所得税完税证明或税务部门出具的免税证明</w:t>
      </w:r>
      <w:r>
        <w:rPr>
          <w:rFonts w:hint="eastAsia" w:ascii="宋体" w:hAnsi="宋体" w:cs="宋体"/>
          <w:szCs w:val="21"/>
          <w:lang w:eastAsia="zh-CN"/>
        </w:rPr>
        <w:t>或税务部门出具的无欠税证明</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扫描件</w:t>
      </w:r>
      <w:r>
        <w:rPr>
          <w:rFonts w:hint="eastAsia" w:ascii="宋体" w:hAnsi="宋体" w:cs="宋体"/>
          <w:b/>
          <w:bCs/>
          <w:color w:val="000000"/>
          <w:szCs w:val="21"/>
          <w:highlight w:val="none"/>
        </w:rPr>
        <w:t>（必须提供）</w:t>
      </w:r>
      <w:r>
        <w:rPr>
          <w:rFonts w:hint="eastAsia" w:ascii="宋体" w:hAnsi="宋体" w:cs="宋体"/>
          <w:color w:val="000000"/>
          <w:sz w:val="21"/>
          <w:szCs w:val="21"/>
          <w:highlight w:val="none"/>
          <w:lang w:eastAsia="zh-CN"/>
        </w:rPr>
        <w:t>；</w:t>
      </w:r>
    </w:p>
    <w:p w14:paraId="01242135">
      <w:pPr>
        <w:pStyle w:val="251"/>
        <w:keepNext w:val="0"/>
        <w:keepLines w:val="0"/>
        <w:pageBreakBefore w:val="0"/>
        <w:widowControl w:val="0"/>
        <w:numPr>
          <w:ilvl w:val="0"/>
          <w:numId w:val="0"/>
        </w:numPr>
        <w:bidi w:val="0"/>
        <w:ind w:firstLine="420"/>
        <w:rPr>
          <w:rFonts w:hint="eastAsia" w:ascii="宋体" w:hAnsi="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rPr>
        <w:t>7.《中小企业声明函》（见附件）</w:t>
      </w:r>
      <w:r>
        <w:rPr>
          <w:rFonts w:hint="eastAsia" w:ascii="宋体" w:hAnsi="宋体" w:eastAsia="宋体" w:cs="宋体"/>
          <w:b/>
          <w:bCs/>
          <w:color w:val="000000"/>
          <w:sz w:val="21"/>
          <w:szCs w:val="21"/>
          <w:highlight w:val="none"/>
          <w:lang w:val="en-US" w:eastAsia="zh-CN"/>
        </w:rPr>
        <w:t>（除监狱企业及残疾人福利性单位外，必须提供）；</w:t>
      </w:r>
    </w:p>
    <w:p w14:paraId="6F189037">
      <w:pPr>
        <w:pStyle w:val="251"/>
        <w:keepNext w:val="0"/>
        <w:keepLines w:val="0"/>
        <w:pageBreakBefore w:val="0"/>
        <w:widowControl w:val="0"/>
        <w:numPr>
          <w:ilvl w:val="0"/>
          <w:numId w:val="0"/>
        </w:numPr>
        <w:bidi w:val="0"/>
        <w:ind w:firstLine="420"/>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8.如提供服务的供应商属于监狱企业的，应当提供由省级以上监狱管理局、戒毒管理局等（含新疆生产建设兵团）出具的属于监狱企业的证明文件, 否则不予享受优惠政策</w:t>
      </w:r>
      <w:r>
        <w:rPr>
          <w:rFonts w:hint="eastAsia" w:ascii="宋体" w:hAnsi="宋体" w:eastAsia="宋体" w:cs="宋体"/>
          <w:b/>
          <w:bCs/>
          <w:color w:val="000000"/>
          <w:sz w:val="21"/>
          <w:szCs w:val="21"/>
          <w:highlight w:val="none"/>
          <w:lang w:val="en-US" w:eastAsia="zh-CN"/>
        </w:rPr>
        <w:t>（如供应商属于监狱企业的，则必须提供）；</w:t>
      </w:r>
    </w:p>
    <w:p w14:paraId="21146E19">
      <w:pPr>
        <w:pStyle w:val="251"/>
        <w:ind w:firstLine="420"/>
        <w:rPr>
          <w:rFonts w:hint="eastAsia"/>
          <w:color w:val="000000"/>
          <w:highlight w:val="none"/>
          <w:lang w:eastAsia="zh-CN"/>
        </w:rPr>
      </w:pPr>
      <w:r>
        <w:rPr>
          <w:rFonts w:hint="eastAsia" w:ascii="宋体" w:hAnsi="宋体" w:eastAsia="宋体" w:cs="宋体"/>
          <w:color w:val="000000"/>
          <w:sz w:val="21"/>
          <w:szCs w:val="21"/>
          <w:highlight w:val="none"/>
          <w:lang w:val="en-US" w:eastAsia="zh-CN"/>
        </w:rPr>
        <w:t>9.符合条件的残疾人福利性单位在参加政府采购活动时，应当提供《残疾人福利性单位声明函》（见附件），并对声明的真实性负责</w:t>
      </w:r>
      <w:r>
        <w:rPr>
          <w:rFonts w:hint="eastAsia" w:ascii="宋体" w:hAnsi="宋体" w:eastAsia="宋体" w:cs="宋体"/>
          <w:b/>
          <w:bCs/>
          <w:color w:val="000000"/>
          <w:sz w:val="21"/>
          <w:szCs w:val="21"/>
          <w:highlight w:val="none"/>
          <w:lang w:val="en-US" w:eastAsia="zh-CN"/>
        </w:rPr>
        <w:t>（如供应商属于残疾人福利性单位的，则必须提供）。</w:t>
      </w:r>
    </w:p>
    <w:p w14:paraId="1A6D4F01">
      <w:pPr>
        <w:tabs>
          <w:tab w:val="left" w:pos="1305"/>
        </w:tabs>
        <w:spacing w:line="380" w:lineRule="exact"/>
        <w:ind w:firstLine="422"/>
        <w:rPr>
          <w:rFonts w:ascii="宋体" w:hAnsi="宋体" w:cs="宋体"/>
          <w:b/>
          <w:color w:val="000000"/>
          <w:sz w:val="28"/>
          <w:szCs w:val="28"/>
          <w:highlight w:val="none"/>
        </w:rPr>
      </w:pPr>
      <w:r>
        <w:rPr>
          <w:rFonts w:hint="eastAsia" w:ascii="宋体" w:hAnsi="宋体" w:cs="宋体"/>
          <w:b/>
          <w:color w:val="000000"/>
          <w:sz w:val="28"/>
          <w:szCs w:val="28"/>
          <w:highlight w:val="none"/>
        </w:rPr>
        <w:t>二、商务、技术性响应及其他证明材料：</w:t>
      </w:r>
    </w:p>
    <w:p w14:paraId="0B97F76B">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1.投标报价表</w:t>
      </w:r>
      <w:r>
        <w:rPr>
          <w:rFonts w:hint="eastAsia" w:ascii="宋体" w:hAnsi="宋体" w:eastAsia="宋体" w:cs="宋体"/>
          <w:color w:val="000000"/>
          <w:szCs w:val="21"/>
          <w:highlight w:val="none"/>
        </w:rPr>
        <w:t>（格式见附件）</w:t>
      </w:r>
      <w:r>
        <w:rPr>
          <w:rFonts w:hint="eastAsia" w:ascii="宋体" w:hAnsi="宋体" w:eastAsia="宋体" w:cs="宋体"/>
          <w:b/>
          <w:bCs/>
          <w:color w:val="000000"/>
          <w:szCs w:val="21"/>
          <w:highlight w:val="none"/>
        </w:rPr>
        <w:t>（必须提供）</w:t>
      </w:r>
      <w:r>
        <w:rPr>
          <w:rFonts w:hint="eastAsia" w:ascii="宋体" w:hAnsi="宋体" w:eastAsia="宋体" w:cs="宋体"/>
          <w:b/>
          <w:bCs/>
          <w:color w:val="000000"/>
          <w:szCs w:val="21"/>
          <w:highlight w:val="none"/>
          <w:lang w:val="en-US" w:eastAsia="zh-CN"/>
        </w:rPr>
        <w:t>；</w:t>
      </w:r>
    </w:p>
    <w:p w14:paraId="2BB4BADF">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lang w:eastAsia="zh-CN"/>
        </w:rPr>
        <w:t>服务响应表</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color w:val="000000"/>
          <w:szCs w:val="21"/>
          <w:highlight w:val="none"/>
        </w:rPr>
        <w:t>；</w:t>
      </w:r>
    </w:p>
    <w:p w14:paraId="370F2CE6">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商务响应表</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bCs/>
          <w:color w:val="000000"/>
          <w:szCs w:val="21"/>
          <w:highlight w:val="none"/>
        </w:rPr>
        <w:t>；</w:t>
      </w:r>
    </w:p>
    <w:p w14:paraId="26B07256">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“采购需求”需提供的有效证明文件</w:t>
      </w:r>
      <w:r>
        <w:rPr>
          <w:rFonts w:hint="eastAsia" w:ascii="宋体" w:hAnsi="宋体" w:eastAsia="宋体" w:cs="宋体"/>
          <w:b/>
          <w:color w:val="000000"/>
          <w:szCs w:val="21"/>
          <w:highlight w:val="none"/>
        </w:rPr>
        <w:t>（按其要求提供）</w:t>
      </w:r>
      <w:r>
        <w:rPr>
          <w:rFonts w:hint="eastAsia" w:ascii="宋体" w:hAnsi="宋体" w:eastAsia="宋体" w:cs="宋体"/>
          <w:color w:val="000000"/>
          <w:szCs w:val="21"/>
          <w:highlight w:val="none"/>
        </w:rPr>
        <w:t>；</w:t>
      </w:r>
    </w:p>
    <w:p w14:paraId="1B847BD7">
      <w:pPr>
        <w:numPr>
          <w:ilvl w:val="0"/>
          <w:numId w:val="0"/>
        </w:numPr>
        <w:tabs>
          <w:tab w:val="left" w:pos="1305"/>
        </w:tabs>
        <w:spacing w:line="400" w:lineRule="exact"/>
        <w:ind w:firstLine="420"/>
        <w:rPr>
          <w:rFonts w:hint="eastAsia" w:ascii="宋体" w:hAnsi="宋体" w:eastAsia="宋体" w:cs="宋体"/>
          <w:color w:val="000000"/>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lang w:eastAsia="zh-CN"/>
        </w:rPr>
        <w:t>服务承诺书（由供应商根据本项目采购需求、特点及供应商自身的处理能力自行编写）</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color w:val="000000"/>
          <w:szCs w:val="21"/>
          <w:highlight w:val="none"/>
        </w:rPr>
        <w:t>；</w:t>
      </w:r>
    </w:p>
    <w:p w14:paraId="3A281E6C">
      <w:pPr>
        <w:tabs>
          <w:tab w:val="left" w:pos="1305"/>
        </w:tabs>
        <w:spacing w:line="400" w:lineRule="exact"/>
        <w:ind w:firstLine="42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lang w:eastAsia="zh-CN"/>
        </w:rPr>
        <w:t>针对本项目的服务方案</w:t>
      </w:r>
      <w:r>
        <w:rPr>
          <w:rFonts w:hint="eastAsia" w:ascii="宋体" w:hAnsi="宋体" w:eastAsia="宋体" w:cs="宋体"/>
          <w:b/>
          <w:bCs/>
          <w:color w:val="000000"/>
          <w:szCs w:val="21"/>
          <w:highlight w:val="none"/>
        </w:rPr>
        <w:t>（</w:t>
      </w:r>
      <w:r>
        <w:rPr>
          <w:rFonts w:hint="eastAsia" w:ascii="宋体" w:hAnsi="宋体" w:eastAsia="宋体" w:cs="宋体"/>
          <w:b/>
          <w:color w:val="000000"/>
          <w:szCs w:val="21"/>
          <w:highlight w:val="none"/>
        </w:rPr>
        <w:t>必须提供</w:t>
      </w:r>
      <w:r>
        <w:rPr>
          <w:rFonts w:hint="eastAsia" w:ascii="宋体" w:hAnsi="宋体" w:eastAsia="宋体" w:cs="宋体"/>
          <w:b/>
          <w:bCs/>
          <w:color w:val="000000"/>
          <w:szCs w:val="21"/>
          <w:highlight w:val="none"/>
        </w:rPr>
        <w:t>）</w:t>
      </w:r>
      <w:r>
        <w:rPr>
          <w:rFonts w:hint="eastAsia" w:ascii="宋体" w:hAnsi="宋体" w:eastAsia="宋体" w:cs="宋体"/>
          <w:b/>
          <w:bCs/>
          <w:color w:val="000000"/>
          <w:szCs w:val="21"/>
          <w:highlight w:val="none"/>
          <w:lang w:eastAsia="zh-CN"/>
        </w:rPr>
        <w:t>；</w:t>
      </w:r>
    </w:p>
    <w:p w14:paraId="67496C2B">
      <w:pPr>
        <w:numPr>
          <w:ilvl w:val="0"/>
          <w:numId w:val="0"/>
        </w:numPr>
        <w:tabs>
          <w:tab w:val="left" w:pos="1305"/>
        </w:tabs>
        <w:spacing w:line="400" w:lineRule="exact"/>
        <w:ind w:firstLine="42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lang w:eastAsia="zh-CN"/>
        </w:rPr>
        <w:t>投标人</w:t>
      </w:r>
      <w:r>
        <w:rPr>
          <w:rFonts w:hint="eastAsia" w:ascii="宋体" w:hAnsi="宋体" w:eastAsia="宋体" w:cs="宋体"/>
          <w:color w:val="000000"/>
          <w:szCs w:val="21"/>
          <w:highlight w:val="none"/>
        </w:rPr>
        <w:t>自</w:t>
      </w:r>
      <w:r>
        <w:rPr>
          <w:rFonts w:hint="eastAsia" w:ascii="宋体" w:hAnsi="宋体" w:eastAsia="宋体" w:cs="宋体"/>
          <w:color w:val="000000"/>
          <w:szCs w:val="21"/>
          <w:highlight w:val="none"/>
          <w:lang w:val="en-US" w:eastAsia="zh-CN"/>
        </w:rPr>
        <w:t>2024年1月1日以来</w:t>
      </w:r>
      <w:r>
        <w:rPr>
          <w:rFonts w:hint="eastAsia" w:ascii="宋体" w:hAnsi="宋体" w:eastAsia="宋体" w:cs="宋体"/>
          <w:color w:val="000000"/>
          <w:highlight w:val="none"/>
          <w:lang w:eastAsia="zh-CN"/>
        </w:rPr>
        <w:t>同类业绩</w:t>
      </w:r>
      <w:r>
        <w:rPr>
          <w:rFonts w:hint="eastAsia" w:ascii="宋体" w:hAnsi="宋体" w:eastAsia="宋体" w:cs="宋体"/>
          <w:color w:val="000000"/>
          <w:highlight w:val="none"/>
        </w:rPr>
        <w:t>的相关证明材料</w:t>
      </w:r>
      <w:r>
        <w:rPr>
          <w:rFonts w:hint="eastAsia" w:ascii="宋体" w:hAnsi="宋体" w:eastAsia="宋体" w:cs="宋体"/>
          <w:color w:val="000000"/>
          <w:szCs w:val="21"/>
          <w:highlight w:val="none"/>
        </w:rPr>
        <w:t>（以中标、成交通知书或签订的采购合同</w:t>
      </w:r>
      <w:r>
        <w:rPr>
          <w:rFonts w:hint="eastAsia" w:ascii="宋体" w:hAnsi="宋体" w:eastAsia="宋体" w:cs="宋体"/>
          <w:color w:val="000000"/>
          <w:szCs w:val="21"/>
          <w:highlight w:val="none"/>
          <w:lang w:eastAsia="zh-CN"/>
        </w:rPr>
        <w:t>扫描件</w:t>
      </w:r>
      <w:r>
        <w:rPr>
          <w:rFonts w:hint="eastAsia" w:ascii="宋体" w:hAnsi="宋体" w:eastAsia="宋体" w:cs="宋体"/>
          <w:color w:val="000000"/>
          <w:szCs w:val="21"/>
          <w:highlight w:val="none"/>
        </w:rPr>
        <w:t>为准，并能清晰反映所</w:t>
      </w:r>
      <w:r>
        <w:rPr>
          <w:rFonts w:hint="eastAsia" w:ascii="宋体" w:hAnsi="宋体" w:eastAsia="宋体" w:cs="宋体"/>
          <w:color w:val="000000"/>
          <w:szCs w:val="21"/>
          <w:highlight w:val="none"/>
          <w:lang w:val="en-US" w:eastAsia="zh-CN"/>
        </w:rPr>
        <w:t>提供</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lang w:val="en-US" w:eastAsia="zh-CN"/>
        </w:rPr>
        <w:t>服务类型</w:t>
      </w:r>
      <w:r>
        <w:rPr>
          <w:rFonts w:hint="eastAsia" w:ascii="宋体" w:hAnsi="宋体" w:eastAsia="宋体" w:cs="宋体"/>
          <w:color w:val="000000"/>
          <w:szCs w:val="21"/>
          <w:highlight w:val="none"/>
        </w:rPr>
        <w:t>、种类、金额</w:t>
      </w:r>
      <w:r>
        <w:rPr>
          <w:rFonts w:hint="eastAsia" w:ascii="宋体" w:hAnsi="宋体" w:eastAsia="宋体" w:cs="宋体"/>
          <w:color w:val="000000"/>
          <w:highlight w:val="none"/>
        </w:rPr>
        <w:t>）</w:t>
      </w:r>
      <w:r>
        <w:rPr>
          <w:rFonts w:hint="eastAsia" w:ascii="宋体" w:hAnsi="宋体" w:eastAsia="宋体" w:cs="宋体"/>
          <w:b/>
          <w:color w:val="000000"/>
          <w:highlight w:val="none"/>
        </w:rPr>
        <w:t>（如有，请提供）</w:t>
      </w:r>
      <w:r>
        <w:rPr>
          <w:rFonts w:hint="eastAsia" w:ascii="宋体" w:hAnsi="宋体" w:eastAsia="宋体" w:cs="宋体"/>
          <w:b/>
          <w:bCs/>
          <w:color w:val="000000"/>
          <w:szCs w:val="21"/>
          <w:highlight w:val="none"/>
          <w:lang w:val="en-US" w:eastAsia="zh-CN"/>
        </w:rPr>
        <w:t>；</w:t>
      </w:r>
    </w:p>
    <w:p w14:paraId="655BCBF3">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项目实施人员一览表</w:t>
      </w:r>
      <w:r>
        <w:rPr>
          <w:rFonts w:hint="eastAsia" w:ascii="宋体" w:hAnsi="宋体" w:eastAsia="宋体" w:cs="宋体"/>
          <w:b/>
          <w:color w:val="000000"/>
          <w:highlight w:val="none"/>
        </w:rPr>
        <w:t>（如有，请提供）</w:t>
      </w:r>
      <w:r>
        <w:rPr>
          <w:rFonts w:hint="eastAsia" w:ascii="宋体" w:hAnsi="宋体" w:eastAsia="宋体" w:cs="宋体"/>
          <w:b/>
          <w:bCs/>
          <w:color w:val="000000"/>
          <w:szCs w:val="21"/>
          <w:highlight w:val="none"/>
        </w:rPr>
        <w:t>；</w:t>
      </w:r>
    </w:p>
    <w:p w14:paraId="17827B9D">
      <w:p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9.</w:t>
      </w:r>
      <w:r>
        <w:rPr>
          <w:rFonts w:hint="eastAsia" w:ascii="宋体" w:hAnsi="宋体" w:eastAsia="宋体" w:cs="宋体"/>
          <w:color w:val="000000"/>
          <w:szCs w:val="21"/>
          <w:highlight w:val="none"/>
        </w:rPr>
        <w:t>投标人相关获奖证书、认证证书等</w:t>
      </w:r>
      <w:r>
        <w:rPr>
          <w:rFonts w:hint="eastAsia" w:ascii="宋体" w:hAnsi="宋体" w:eastAsia="宋体" w:cs="宋体"/>
          <w:color w:val="000000"/>
          <w:szCs w:val="21"/>
          <w:highlight w:val="none"/>
          <w:lang w:eastAsia="zh-CN"/>
        </w:rPr>
        <w:t>扫描件</w:t>
      </w:r>
      <w:r>
        <w:rPr>
          <w:rFonts w:hint="eastAsia" w:ascii="宋体" w:hAnsi="宋体" w:eastAsia="宋体" w:cs="宋体"/>
          <w:b/>
          <w:color w:val="000000"/>
          <w:szCs w:val="21"/>
          <w:highlight w:val="none"/>
        </w:rPr>
        <w:t>（如有，请提供）</w:t>
      </w:r>
      <w:r>
        <w:rPr>
          <w:rFonts w:hint="eastAsia" w:ascii="宋体" w:hAnsi="宋体" w:eastAsia="宋体" w:cs="宋体"/>
          <w:color w:val="000000"/>
          <w:szCs w:val="21"/>
          <w:highlight w:val="none"/>
        </w:rPr>
        <w:t>；</w:t>
      </w:r>
    </w:p>
    <w:p w14:paraId="5B08E87F">
      <w:p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 w:val="21"/>
          <w:szCs w:val="24"/>
          <w:highlight w:val="none"/>
          <w:lang w:val="en-US" w:eastAsia="zh-CN" w:bidi="ar-SA"/>
        </w:rPr>
        <w:t>10.</w:t>
      </w:r>
      <w:r>
        <w:rPr>
          <w:rFonts w:hint="eastAsia" w:ascii="宋体" w:hAnsi="宋体" w:eastAsia="宋体" w:cs="宋体"/>
          <w:color w:val="000000"/>
          <w:szCs w:val="21"/>
          <w:highlight w:val="none"/>
        </w:rPr>
        <w:t>投标人可结合本项目的评标办法视自身情况自行提交相关证明材料</w:t>
      </w:r>
      <w:r>
        <w:rPr>
          <w:rFonts w:hint="eastAsia" w:ascii="宋体" w:hAnsi="宋体" w:eastAsia="宋体" w:cs="宋体"/>
          <w:b/>
          <w:color w:val="000000"/>
          <w:szCs w:val="21"/>
          <w:highlight w:val="none"/>
        </w:rPr>
        <w:t>（如有，请提供）</w:t>
      </w:r>
      <w:r>
        <w:rPr>
          <w:rFonts w:hint="eastAsia" w:ascii="宋体" w:hAnsi="宋体" w:eastAsia="宋体" w:cs="宋体"/>
          <w:color w:val="000000"/>
          <w:szCs w:val="21"/>
          <w:highlight w:val="none"/>
        </w:rPr>
        <w:t>。</w:t>
      </w:r>
    </w:p>
    <w:p w14:paraId="717E108B">
      <w:pPr>
        <w:spacing w:line="400" w:lineRule="exact"/>
        <w:ind w:firstLine="420"/>
        <w:rPr>
          <w:rFonts w:hint="eastAsia" w:ascii="宋体" w:hAnsi="宋体" w:cs="宋体"/>
          <w:b/>
          <w:bCs/>
          <w:color w:val="000000"/>
          <w:highlight w:val="none"/>
        </w:rPr>
      </w:pPr>
      <w:r>
        <w:rPr>
          <w:rFonts w:hint="eastAsia" w:ascii="宋体" w:hAnsi="宋体" w:cs="宋体"/>
          <w:b/>
          <w:bCs/>
          <w:color w:val="000000"/>
          <w:highlight w:val="none"/>
        </w:rPr>
        <w:t>投标人提供的以上相关证明材料属于“必须提供”的文件应加盖投标人公章（CA签章）/自然人签字或加盖个人CA签章，否则投标无效。</w:t>
      </w:r>
    </w:p>
    <w:p w14:paraId="30E3DB13">
      <w:pPr>
        <w:pStyle w:val="2"/>
        <w:rPr>
          <w:rFonts w:ascii="宋体" w:hAnsi="宋体" w:cs="宋体"/>
          <w:color w:val="000000"/>
          <w:szCs w:val="21"/>
          <w:highlight w:val="none"/>
        </w:rPr>
      </w:pPr>
    </w:p>
    <w:p w14:paraId="30CF7BF9">
      <w:pPr>
        <w:pStyle w:val="2"/>
        <w:rPr>
          <w:rFonts w:ascii="宋体" w:hAnsi="宋体" w:cs="宋体"/>
          <w:color w:val="000000"/>
          <w:szCs w:val="21"/>
          <w:highlight w:val="none"/>
        </w:rPr>
      </w:pPr>
    </w:p>
    <w:p w14:paraId="2B6900AC">
      <w:pPr>
        <w:pStyle w:val="2"/>
        <w:rPr>
          <w:rFonts w:ascii="宋体" w:hAnsi="宋体" w:cs="宋体"/>
          <w:color w:val="000000"/>
          <w:szCs w:val="21"/>
          <w:highlight w:val="none"/>
        </w:rPr>
      </w:pPr>
    </w:p>
    <w:p w14:paraId="6AC7C4D8">
      <w:pPr>
        <w:pStyle w:val="2"/>
        <w:rPr>
          <w:rFonts w:ascii="宋体" w:hAnsi="宋体" w:cs="宋体"/>
          <w:color w:val="000000"/>
          <w:szCs w:val="21"/>
          <w:highlight w:val="none"/>
        </w:rPr>
      </w:pPr>
    </w:p>
    <w:p w14:paraId="056AE418">
      <w:pPr>
        <w:pStyle w:val="2"/>
        <w:rPr>
          <w:rFonts w:ascii="宋体" w:hAnsi="宋体" w:cs="宋体"/>
          <w:color w:val="000000"/>
          <w:szCs w:val="21"/>
          <w:highlight w:val="none"/>
        </w:rPr>
      </w:pPr>
    </w:p>
    <w:p w14:paraId="44BFCAE0">
      <w:pPr>
        <w:pStyle w:val="2"/>
        <w:rPr>
          <w:rFonts w:ascii="宋体" w:hAnsi="宋体" w:cs="宋体"/>
          <w:color w:val="000000"/>
          <w:szCs w:val="21"/>
          <w:highlight w:val="none"/>
        </w:rPr>
      </w:pPr>
    </w:p>
    <w:p w14:paraId="6EF2A18B">
      <w:pPr>
        <w:pStyle w:val="2"/>
        <w:rPr>
          <w:rFonts w:ascii="宋体" w:hAnsi="宋体" w:cs="宋体"/>
          <w:color w:val="000000"/>
          <w:szCs w:val="21"/>
          <w:highlight w:val="none"/>
        </w:rPr>
      </w:pPr>
    </w:p>
    <w:p w14:paraId="7B09E1CD">
      <w:pPr>
        <w:pStyle w:val="2"/>
        <w:rPr>
          <w:rFonts w:ascii="宋体" w:hAnsi="宋体" w:cs="宋体"/>
          <w:color w:val="000000"/>
          <w:szCs w:val="21"/>
          <w:highlight w:val="none"/>
        </w:rPr>
      </w:pPr>
    </w:p>
    <w:p w14:paraId="6B0DF237">
      <w:pPr>
        <w:pStyle w:val="2"/>
        <w:rPr>
          <w:rFonts w:ascii="宋体" w:hAnsi="宋体" w:cs="宋体"/>
          <w:color w:val="000000"/>
          <w:szCs w:val="21"/>
          <w:highlight w:val="none"/>
        </w:rPr>
      </w:pPr>
    </w:p>
    <w:p w14:paraId="2CE4A87E">
      <w:pPr>
        <w:pStyle w:val="2"/>
        <w:rPr>
          <w:rFonts w:ascii="宋体" w:hAnsi="宋体" w:cs="宋体"/>
          <w:color w:val="000000"/>
          <w:szCs w:val="21"/>
          <w:highlight w:val="none"/>
        </w:rPr>
      </w:pPr>
    </w:p>
    <w:p w14:paraId="41785041">
      <w:pPr>
        <w:pStyle w:val="2"/>
        <w:rPr>
          <w:rFonts w:ascii="宋体" w:hAnsi="宋体" w:cs="宋体"/>
          <w:color w:val="000000"/>
          <w:szCs w:val="21"/>
          <w:highlight w:val="none"/>
        </w:rPr>
      </w:pPr>
    </w:p>
    <w:p w14:paraId="4DD79D3D">
      <w:pPr>
        <w:pStyle w:val="2"/>
        <w:rPr>
          <w:rFonts w:ascii="宋体" w:hAnsi="宋体" w:cs="宋体"/>
          <w:color w:val="000000"/>
          <w:szCs w:val="21"/>
          <w:highlight w:val="none"/>
        </w:rPr>
      </w:pPr>
    </w:p>
    <w:p w14:paraId="3048EB2B">
      <w:pPr>
        <w:pStyle w:val="2"/>
        <w:rPr>
          <w:rFonts w:ascii="宋体" w:hAnsi="宋体" w:cs="宋体"/>
          <w:color w:val="000000"/>
          <w:szCs w:val="21"/>
          <w:highlight w:val="none"/>
        </w:rPr>
      </w:pPr>
    </w:p>
    <w:p w14:paraId="3B1B399D">
      <w:pPr>
        <w:pStyle w:val="2"/>
        <w:rPr>
          <w:rFonts w:ascii="宋体" w:hAnsi="宋体" w:cs="宋体"/>
          <w:color w:val="000000"/>
          <w:szCs w:val="21"/>
          <w:highlight w:val="none"/>
        </w:rPr>
      </w:pPr>
    </w:p>
    <w:p w14:paraId="206B83BE">
      <w:pPr>
        <w:rPr>
          <w:rFonts w:ascii="宋体" w:hAnsi="宋体" w:cs="宋体"/>
          <w:color w:val="000000"/>
          <w:szCs w:val="21"/>
          <w:highlight w:val="none"/>
        </w:rPr>
      </w:pPr>
    </w:p>
    <w:p w14:paraId="4CB64379">
      <w:pPr>
        <w:pStyle w:val="203"/>
        <w:rPr>
          <w:rFonts w:ascii="宋体" w:hAnsi="宋体" w:cs="宋体"/>
          <w:color w:val="000000"/>
          <w:szCs w:val="21"/>
          <w:highlight w:val="none"/>
        </w:rPr>
      </w:pPr>
    </w:p>
    <w:p w14:paraId="36C1BF79">
      <w:pPr>
        <w:pStyle w:val="203"/>
        <w:rPr>
          <w:rFonts w:ascii="宋体" w:hAnsi="宋体" w:cs="宋体"/>
          <w:color w:val="000000"/>
          <w:szCs w:val="21"/>
          <w:highlight w:val="none"/>
        </w:rPr>
      </w:pPr>
    </w:p>
    <w:p w14:paraId="25912F78">
      <w:pPr>
        <w:pStyle w:val="203"/>
        <w:rPr>
          <w:rFonts w:ascii="宋体" w:hAnsi="宋体" w:cs="宋体"/>
          <w:color w:val="000000"/>
          <w:szCs w:val="21"/>
          <w:highlight w:val="none"/>
        </w:rPr>
      </w:pPr>
    </w:p>
    <w:p w14:paraId="090B3D87">
      <w:pPr>
        <w:pStyle w:val="203"/>
        <w:rPr>
          <w:rFonts w:ascii="宋体" w:hAnsi="宋体" w:cs="宋体"/>
          <w:color w:val="000000"/>
          <w:szCs w:val="21"/>
          <w:highlight w:val="none"/>
        </w:rPr>
      </w:pPr>
    </w:p>
    <w:p w14:paraId="20433D62">
      <w:pPr>
        <w:pStyle w:val="203"/>
        <w:rPr>
          <w:rFonts w:ascii="宋体" w:hAnsi="宋体" w:cs="宋体"/>
          <w:color w:val="000000"/>
          <w:szCs w:val="21"/>
          <w:highlight w:val="none"/>
        </w:rPr>
      </w:pPr>
    </w:p>
    <w:p w14:paraId="3E7D36C0">
      <w:pPr>
        <w:pStyle w:val="203"/>
        <w:rPr>
          <w:rFonts w:ascii="宋体" w:hAnsi="宋体" w:cs="宋体"/>
          <w:color w:val="000000"/>
          <w:szCs w:val="21"/>
          <w:highlight w:val="none"/>
        </w:rPr>
      </w:pPr>
    </w:p>
    <w:p w14:paraId="53030610">
      <w:pPr>
        <w:pStyle w:val="203"/>
        <w:rPr>
          <w:rFonts w:ascii="宋体" w:hAnsi="宋体" w:cs="宋体"/>
          <w:color w:val="000000"/>
          <w:szCs w:val="21"/>
          <w:highlight w:val="none"/>
        </w:rPr>
      </w:pPr>
    </w:p>
    <w:p w14:paraId="46894C55">
      <w:pPr>
        <w:pStyle w:val="203"/>
        <w:rPr>
          <w:rFonts w:ascii="宋体" w:hAnsi="宋体" w:cs="宋体"/>
          <w:color w:val="000000"/>
          <w:szCs w:val="21"/>
          <w:highlight w:val="none"/>
        </w:rPr>
      </w:pPr>
    </w:p>
    <w:p w14:paraId="1437FD20">
      <w:pPr>
        <w:pStyle w:val="203"/>
        <w:rPr>
          <w:rFonts w:ascii="宋体" w:hAnsi="宋体" w:cs="宋体"/>
          <w:color w:val="000000"/>
          <w:szCs w:val="21"/>
          <w:highlight w:val="none"/>
        </w:rPr>
      </w:pPr>
    </w:p>
    <w:p w14:paraId="58EACF44">
      <w:pPr>
        <w:rPr>
          <w:rFonts w:ascii="宋体" w:hAnsi="宋体" w:cs="宋体"/>
          <w:b/>
          <w:bCs/>
          <w:color w:val="000000"/>
          <w:sz w:val="32"/>
          <w:szCs w:val="32"/>
          <w:highlight w:val="none"/>
        </w:rPr>
      </w:pPr>
      <w:r>
        <w:rPr>
          <w:rFonts w:hint="eastAsia"/>
          <w:b/>
          <w:bCs/>
          <w:color w:val="000000"/>
          <w:sz w:val="32"/>
          <w:szCs w:val="32"/>
          <w:highlight w:val="none"/>
        </w:rPr>
        <w:t>一、资格性响应证明材料（格式）</w:t>
      </w:r>
    </w:p>
    <w:p w14:paraId="22934C78">
      <w:pPr>
        <w:rPr>
          <w:rFonts w:ascii="宋体" w:hAnsi="宋体" w:cs="宋体"/>
          <w:b/>
          <w:bCs/>
          <w:color w:val="000000"/>
          <w:sz w:val="32"/>
          <w:szCs w:val="32"/>
          <w:highlight w:val="none"/>
        </w:rPr>
      </w:pPr>
    </w:p>
    <w:p w14:paraId="09919153">
      <w:pPr>
        <w:rPr>
          <w:rFonts w:ascii="宋体" w:hAnsi="宋体" w:cs="宋体"/>
          <w:b/>
          <w:bCs/>
          <w:color w:val="000000"/>
          <w:sz w:val="32"/>
          <w:szCs w:val="32"/>
          <w:highlight w:val="none"/>
        </w:rPr>
      </w:pPr>
      <w:r>
        <w:rPr>
          <w:rFonts w:hint="eastAsia" w:ascii="宋体" w:hAnsi="宋体" w:cs="宋体"/>
          <w:b/>
          <w:bCs/>
          <w:color w:val="000000"/>
          <w:sz w:val="32"/>
          <w:szCs w:val="32"/>
          <w:highlight w:val="none"/>
        </w:rPr>
        <w:t>1.投标人相应的法定代表人、负责人、自然人身份证正反面</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（必须提供）；</w:t>
      </w:r>
    </w:p>
    <w:p w14:paraId="66EAEBDF">
      <w:pPr>
        <w:rPr>
          <w:rFonts w:ascii="宋体" w:hAnsi="宋体" w:cs="宋体"/>
          <w:b/>
          <w:bCs/>
          <w:color w:val="000000"/>
          <w:sz w:val="32"/>
          <w:szCs w:val="32"/>
          <w:highlight w:val="none"/>
        </w:rPr>
      </w:pPr>
    </w:p>
    <w:p w14:paraId="2679299D">
      <w:pPr>
        <w:rPr>
          <w:rFonts w:ascii="宋体" w:hAnsi="宋体" w:cs="宋体"/>
          <w:b/>
          <w:bCs/>
          <w:color w:val="000000"/>
          <w:sz w:val="32"/>
          <w:szCs w:val="32"/>
          <w:highlight w:val="none"/>
        </w:rPr>
      </w:pPr>
    </w:p>
    <w:p w14:paraId="64E4E1ED">
      <w:pPr>
        <w:pStyle w:val="2"/>
        <w:rPr>
          <w:rFonts w:ascii="宋体" w:hAnsi="宋体" w:cs="宋体"/>
          <w:b/>
          <w:bCs/>
          <w:color w:val="000000"/>
          <w:sz w:val="32"/>
          <w:szCs w:val="32"/>
          <w:highlight w:val="none"/>
        </w:rPr>
      </w:pPr>
      <w:r>
        <w:rPr>
          <w:rFonts w:hint="eastAsia" w:ascii="宋体" w:hAnsi="宋体" w:cs="宋体"/>
          <w:b/>
          <w:bCs/>
          <w:color w:val="000000"/>
          <w:sz w:val="32"/>
          <w:szCs w:val="32"/>
          <w:highlight w:val="none"/>
        </w:rPr>
        <w:t>2.投标人的授权委托书原件、委托代理人身份证正反面</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以及由县级以上（含县级）社会养老保险经办机构出具的投标人为委托代理人交纳的开标截止时间前</w:t>
      </w:r>
      <w:r>
        <w:rPr>
          <w:rFonts w:hint="eastAsia" w:ascii="宋体" w:hAnsi="宋体" w:cs="宋体"/>
          <w:b/>
          <w:bCs/>
          <w:color w:val="000000"/>
          <w:sz w:val="32"/>
          <w:szCs w:val="32"/>
          <w:highlight w:val="none"/>
          <w:lang w:eastAsia="zh-CN"/>
        </w:rPr>
        <w:t>三个月内任意一个月</w:t>
      </w:r>
      <w:r>
        <w:rPr>
          <w:rFonts w:hint="eastAsia" w:ascii="宋体" w:hAnsi="宋体" w:cs="宋体"/>
          <w:b/>
          <w:bCs/>
          <w:color w:val="000000"/>
          <w:sz w:val="32"/>
          <w:szCs w:val="32"/>
          <w:highlight w:val="none"/>
          <w:lang w:val="en-US" w:eastAsia="zh-CN"/>
        </w:rPr>
        <w:t>养老保险</w:t>
      </w:r>
      <w:r>
        <w:rPr>
          <w:rFonts w:hint="eastAsia" w:ascii="宋体" w:hAnsi="宋体" w:cs="宋体"/>
          <w:b/>
          <w:bCs/>
          <w:color w:val="000000"/>
          <w:sz w:val="32"/>
          <w:szCs w:val="32"/>
          <w:highlight w:val="none"/>
        </w:rPr>
        <w:t>证明</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，除投标人为以下</w:t>
      </w:r>
      <w:r>
        <w:rPr>
          <w:rFonts w:hint="eastAsia" w:ascii="宋体" w:hAnsi="宋体" w:cs="宋体"/>
          <w:b/>
          <w:bCs/>
          <w:color w:val="000000"/>
          <w:sz w:val="32"/>
          <w:szCs w:val="32"/>
          <w:highlight w:val="none"/>
          <w:lang w:eastAsia="zh-CN"/>
        </w:rPr>
        <w:t>四</w:t>
      </w:r>
      <w:r>
        <w:rPr>
          <w:rFonts w:hint="eastAsia" w:ascii="宋体" w:hAnsi="宋体" w:cs="宋体"/>
          <w:b/>
          <w:bCs/>
          <w:color w:val="000000"/>
          <w:sz w:val="32"/>
          <w:szCs w:val="32"/>
          <w:highlight w:val="none"/>
        </w:rPr>
        <w:t>种情形的：</w:t>
      </w:r>
    </w:p>
    <w:p w14:paraId="16278983">
      <w:pPr>
        <w:pStyle w:val="2"/>
        <w:ind w:firstLine="643"/>
        <w:rPr>
          <w:rFonts w:ascii="宋体" w:hAnsi="宋体" w:cs="宋体"/>
          <w:b/>
          <w:bCs/>
          <w:color w:val="000000"/>
          <w:sz w:val="32"/>
          <w:szCs w:val="32"/>
          <w:highlight w:val="none"/>
        </w:rPr>
      </w:pPr>
      <w:r>
        <w:rPr>
          <w:rFonts w:hint="eastAsia" w:ascii="宋体" w:hAnsi="宋体" w:cs="宋体"/>
          <w:b/>
          <w:bCs/>
          <w:color w:val="000000"/>
          <w:sz w:val="32"/>
          <w:szCs w:val="32"/>
          <w:highlight w:val="none"/>
        </w:rPr>
        <w:t>①如投标人为截标时间前60日以内成立的公司，可以提供投标人与委托代理人签订的劳动合同</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代替</w:t>
      </w:r>
      <w:r>
        <w:rPr>
          <w:rFonts w:hint="eastAsia" w:ascii="宋体" w:hAnsi="宋体" w:cs="宋体"/>
          <w:b/>
          <w:bCs/>
          <w:color w:val="000000"/>
          <w:sz w:val="32"/>
          <w:szCs w:val="32"/>
          <w:highlight w:val="none"/>
          <w:lang w:val="en-US" w:eastAsia="zh-CN"/>
        </w:rPr>
        <w:t>养老保险</w:t>
      </w:r>
      <w:r>
        <w:rPr>
          <w:rFonts w:hint="eastAsia" w:ascii="宋体" w:hAnsi="宋体" w:cs="宋体"/>
          <w:b/>
          <w:bCs/>
          <w:color w:val="000000"/>
          <w:sz w:val="32"/>
          <w:szCs w:val="32"/>
          <w:highlight w:val="none"/>
        </w:rPr>
        <w:t>证明</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w:t>
      </w:r>
    </w:p>
    <w:p w14:paraId="64DBFFF3">
      <w:pPr>
        <w:pStyle w:val="2"/>
        <w:ind w:firstLine="643"/>
        <w:rPr>
          <w:rFonts w:ascii="宋体" w:hAnsi="宋体" w:cs="宋体"/>
          <w:b/>
          <w:bCs/>
          <w:color w:val="000000"/>
          <w:sz w:val="32"/>
          <w:szCs w:val="32"/>
          <w:highlight w:val="none"/>
        </w:rPr>
      </w:pPr>
      <w:r>
        <w:rPr>
          <w:rFonts w:hint="eastAsia" w:ascii="宋体" w:hAnsi="宋体" w:cs="宋体"/>
          <w:b/>
          <w:bCs/>
          <w:color w:val="000000"/>
          <w:sz w:val="32"/>
          <w:szCs w:val="32"/>
          <w:highlight w:val="none"/>
        </w:rPr>
        <w:t>②如投标人为事业单位，可以提供事业单位机构编制管理证</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或事业单位机构为其发放工资的工资条</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代替</w:t>
      </w:r>
      <w:r>
        <w:rPr>
          <w:rFonts w:hint="eastAsia" w:ascii="宋体" w:hAnsi="宋体" w:cs="宋体"/>
          <w:b/>
          <w:bCs/>
          <w:color w:val="000000"/>
          <w:sz w:val="32"/>
          <w:szCs w:val="32"/>
          <w:highlight w:val="none"/>
          <w:lang w:val="en-US" w:eastAsia="zh-CN"/>
        </w:rPr>
        <w:t>养老保险</w:t>
      </w:r>
      <w:r>
        <w:rPr>
          <w:rFonts w:hint="eastAsia" w:ascii="宋体" w:hAnsi="宋体" w:cs="宋体"/>
          <w:b/>
          <w:bCs/>
          <w:color w:val="000000"/>
          <w:sz w:val="32"/>
          <w:szCs w:val="32"/>
          <w:highlight w:val="none"/>
        </w:rPr>
        <w:t>证明</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w:t>
      </w:r>
    </w:p>
    <w:p w14:paraId="7BABD9B4">
      <w:pPr>
        <w:pStyle w:val="2"/>
        <w:ind w:firstLine="643"/>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③如委托代理人为免缴纳</w:t>
      </w:r>
      <w:r>
        <w:rPr>
          <w:rFonts w:hint="eastAsia" w:ascii="宋体" w:hAnsi="宋体" w:cs="宋体"/>
          <w:b/>
          <w:bCs/>
          <w:color w:val="000000"/>
          <w:sz w:val="32"/>
          <w:szCs w:val="32"/>
          <w:highlight w:val="none"/>
          <w:lang w:eastAsia="zh-CN"/>
        </w:rPr>
        <w:t>养老保险</w:t>
      </w:r>
      <w:r>
        <w:rPr>
          <w:rFonts w:hint="eastAsia" w:ascii="宋体" w:hAnsi="宋体" w:cs="宋体"/>
          <w:b/>
          <w:bCs/>
          <w:color w:val="000000"/>
          <w:sz w:val="32"/>
          <w:szCs w:val="32"/>
          <w:highlight w:val="none"/>
        </w:rPr>
        <w:t>人员，提供免缴纳</w:t>
      </w:r>
      <w:r>
        <w:rPr>
          <w:rFonts w:hint="eastAsia" w:ascii="宋体" w:hAnsi="宋体" w:cs="宋体"/>
          <w:b/>
          <w:bCs/>
          <w:color w:val="000000"/>
          <w:sz w:val="32"/>
          <w:szCs w:val="32"/>
          <w:highlight w:val="none"/>
          <w:lang w:eastAsia="zh-CN"/>
        </w:rPr>
        <w:t>养老保险</w:t>
      </w:r>
      <w:r>
        <w:rPr>
          <w:rFonts w:hint="eastAsia" w:ascii="宋体" w:hAnsi="宋体" w:cs="宋体"/>
          <w:b/>
          <w:bCs/>
          <w:color w:val="000000"/>
          <w:sz w:val="32"/>
          <w:szCs w:val="32"/>
          <w:highlight w:val="none"/>
        </w:rPr>
        <w:t>的证明材料</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及投标人与委托代理人签订的劳动合同</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代替</w:t>
      </w:r>
      <w:r>
        <w:rPr>
          <w:rFonts w:hint="eastAsia" w:ascii="宋体" w:hAnsi="宋体" w:cs="宋体"/>
          <w:b/>
          <w:bCs/>
          <w:color w:val="000000"/>
          <w:sz w:val="32"/>
          <w:szCs w:val="32"/>
          <w:highlight w:val="none"/>
          <w:lang w:val="en-US" w:eastAsia="zh-CN"/>
        </w:rPr>
        <w:t>养老保险</w:t>
      </w:r>
      <w:r>
        <w:rPr>
          <w:rFonts w:hint="eastAsia" w:ascii="宋体" w:hAnsi="宋体" w:cs="宋体"/>
          <w:b/>
          <w:bCs/>
          <w:color w:val="000000"/>
          <w:sz w:val="32"/>
          <w:szCs w:val="32"/>
          <w:highlight w:val="none"/>
        </w:rPr>
        <w:t>证明</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w:t>
      </w:r>
    </w:p>
    <w:p w14:paraId="5F8EB236">
      <w:pPr>
        <w:pStyle w:val="2"/>
        <w:ind w:firstLine="643"/>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lang w:val="en-US" w:eastAsia="zh-CN"/>
        </w:rPr>
        <w:t>④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p>
    <w:p w14:paraId="5AC3B5BB">
      <w:pPr>
        <w:pStyle w:val="2"/>
        <w:ind w:firstLine="643"/>
        <w:rPr>
          <w:rFonts w:ascii="宋体" w:hAnsi="宋体"/>
          <w:color w:val="000000"/>
          <w:highlight w:val="none"/>
        </w:rPr>
      </w:pPr>
      <w:r>
        <w:rPr>
          <w:rFonts w:hint="eastAsia" w:ascii="宋体" w:hAnsi="宋体" w:cs="宋体"/>
          <w:b/>
          <w:bCs/>
          <w:color w:val="000000"/>
          <w:sz w:val="32"/>
          <w:szCs w:val="32"/>
          <w:highlight w:val="none"/>
        </w:rPr>
        <w:t>【属自然人的应提供由县级以上（含县级）社会养老保险经办机构出具的自然人本人及委托代理人所交纳的开标截止时间前</w:t>
      </w:r>
      <w:r>
        <w:rPr>
          <w:rFonts w:hint="eastAsia" w:ascii="宋体" w:hAnsi="宋体" w:cs="宋体"/>
          <w:b/>
          <w:bCs/>
          <w:color w:val="000000"/>
          <w:sz w:val="32"/>
          <w:szCs w:val="32"/>
          <w:highlight w:val="none"/>
          <w:lang w:eastAsia="zh-CN"/>
        </w:rPr>
        <w:t>三个月内任意一个月</w:t>
      </w:r>
      <w:r>
        <w:rPr>
          <w:rFonts w:hint="eastAsia" w:ascii="宋体" w:hAnsi="宋体" w:cs="宋体"/>
          <w:b/>
          <w:bCs/>
          <w:color w:val="000000"/>
          <w:sz w:val="32"/>
          <w:szCs w:val="32"/>
          <w:highlight w:val="none"/>
          <w:lang w:val="en-US" w:eastAsia="zh-CN"/>
        </w:rPr>
        <w:t>养老保险</w:t>
      </w:r>
      <w:r>
        <w:rPr>
          <w:rFonts w:hint="eastAsia" w:ascii="宋体" w:hAnsi="宋体" w:cs="宋体"/>
          <w:b/>
          <w:bCs/>
          <w:color w:val="000000"/>
          <w:sz w:val="32"/>
          <w:szCs w:val="32"/>
          <w:highlight w:val="none"/>
        </w:rPr>
        <w:t>证明</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lang w:val="en-US" w:eastAsia="zh-CN"/>
        </w:rPr>
        <w:t>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r>
        <w:rPr>
          <w:rFonts w:hint="eastAsia" w:ascii="宋体" w:hAnsi="宋体" w:cs="宋体"/>
          <w:b/>
          <w:bCs/>
          <w:color w:val="000000"/>
          <w:sz w:val="32"/>
          <w:szCs w:val="32"/>
          <w:highlight w:val="none"/>
        </w:rPr>
        <w:t>】（委托代理时必须提供；如为联合体的，授权委托书原件须由牵头人出具）；</w:t>
      </w:r>
    </w:p>
    <w:p w14:paraId="391040C6">
      <w:pPr>
        <w:pStyle w:val="2"/>
        <w:rPr>
          <w:rFonts w:ascii="宋体" w:hAnsi="宋体"/>
          <w:color w:val="000000"/>
          <w:highlight w:val="none"/>
        </w:rPr>
      </w:pPr>
    </w:p>
    <w:p w14:paraId="7F4BC939">
      <w:pPr>
        <w:pStyle w:val="2"/>
        <w:rPr>
          <w:rFonts w:ascii="宋体" w:hAnsi="宋体"/>
          <w:color w:val="000000"/>
          <w:highlight w:val="none"/>
        </w:rPr>
      </w:pPr>
    </w:p>
    <w:p w14:paraId="618932B6">
      <w:pPr>
        <w:rPr>
          <w:color w:val="000000"/>
          <w:highlight w:val="none"/>
        </w:rPr>
      </w:pPr>
    </w:p>
    <w:p w14:paraId="5B6B48F9">
      <w:pPr>
        <w:jc w:val="center"/>
        <w:rPr>
          <w:rFonts w:hint="eastAsia" w:ascii="宋体" w:hAnsi="宋体" w:cs="宋体"/>
          <w:b/>
          <w:color w:val="000000"/>
          <w:sz w:val="32"/>
          <w:highlight w:val="none"/>
        </w:rPr>
      </w:pPr>
    </w:p>
    <w:p w14:paraId="3BF12F9C">
      <w:pPr>
        <w:jc w:val="center"/>
        <w:rPr>
          <w:rFonts w:hint="eastAsia" w:ascii="宋体" w:hAnsi="宋体" w:cs="宋体"/>
          <w:b/>
          <w:color w:val="000000"/>
          <w:sz w:val="32"/>
          <w:highlight w:val="none"/>
        </w:rPr>
      </w:pPr>
    </w:p>
    <w:p w14:paraId="4E85A77A">
      <w:pPr>
        <w:jc w:val="center"/>
        <w:rPr>
          <w:rFonts w:hint="eastAsia" w:ascii="宋体" w:hAnsi="宋体" w:cs="宋体"/>
          <w:b/>
          <w:color w:val="000000"/>
          <w:sz w:val="32"/>
          <w:highlight w:val="none"/>
        </w:rPr>
      </w:pPr>
    </w:p>
    <w:p w14:paraId="5EEC3C60">
      <w:pPr>
        <w:jc w:val="center"/>
        <w:rPr>
          <w:rFonts w:ascii="宋体" w:hAnsi="宋体" w:cs="宋体"/>
          <w:b/>
          <w:color w:val="000000"/>
          <w:sz w:val="32"/>
          <w:highlight w:val="none"/>
        </w:rPr>
      </w:pPr>
      <w:r>
        <w:rPr>
          <w:rFonts w:hint="eastAsia" w:ascii="宋体" w:hAnsi="宋体" w:cs="宋体"/>
          <w:b/>
          <w:color w:val="000000"/>
          <w:sz w:val="32"/>
          <w:highlight w:val="none"/>
        </w:rPr>
        <w:t>授权委托书（格式一）</w:t>
      </w:r>
    </w:p>
    <w:p w14:paraId="40068101">
      <w:pPr>
        <w:spacing w:line="400" w:lineRule="exact"/>
        <w:rPr>
          <w:rFonts w:ascii="宋体" w:hAnsi="宋体" w:cs="宋体"/>
          <w:color w:val="000000"/>
          <w:highlight w:val="none"/>
        </w:rPr>
      </w:pPr>
      <w:r>
        <w:rPr>
          <w:rFonts w:hint="eastAsia" w:ascii="宋体" w:hAnsi="宋体" w:cs="宋体"/>
          <w:b/>
          <w:color w:val="000000"/>
          <w:szCs w:val="21"/>
          <w:highlight w:val="none"/>
        </w:rPr>
        <w:t>致</w:t>
      </w:r>
      <w:r>
        <w:rPr>
          <w:rFonts w:hint="eastAsia" w:ascii="宋体" w:hAnsi="宋体" w:cs="宋体"/>
          <w:color w:val="000000"/>
          <w:szCs w:val="21"/>
          <w:highlight w:val="none"/>
        </w:rPr>
        <w:t>：</w:t>
      </w:r>
      <w:r>
        <w:rPr>
          <w:rFonts w:hint="eastAsia" w:ascii="宋体" w:hAnsi="宋体" w:cs="宋体"/>
          <w:color w:val="000000"/>
          <w:highlight w:val="none"/>
          <w:u w:val="single"/>
        </w:rPr>
        <w:t>桂林市政府集中采购中心</w:t>
      </w:r>
    </w:p>
    <w:p w14:paraId="7403B597">
      <w:pPr>
        <w:spacing w:line="400" w:lineRule="exact"/>
        <w:ind w:firstLine="525"/>
        <w:rPr>
          <w:rFonts w:ascii="宋体" w:hAnsi="宋体" w:cs="宋体"/>
          <w:color w:val="000000"/>
          <w:highlight w:val="none"/>
        </w:rPr>
      </w:pPr>
      <w:r>
        <w:rPr>
          <w:rFonts w:hint="eastAsia" w:ascii="宋体" w:hAnsi="宋体" w:cs="宋体"/>
          <w:color w:val="000000"/>
          <w:highlight w:val="none"/>
        </w:rPr>
        <w:t>我</w:t>
      </w:r>
      <w:r>
        <w:rPr>
          <w:rFonts w:hint="eastAsia" w:ascii="宋体" w:hAnsi="宋体" w:cs="宋体"/>
          <w:color w:val="000000"/>
          <w:highlight w:val="none"/>
          <w:u w:val="single"/>
        </w:rPr>
        <w:t xml:space="preserve">              </w:t>
      </w:r>
      <w:r>
        <w:rPr>
          <w:rFonts w:hint="eastAsia" w:ascii="宋体" w:hAnsi="宋体" w:cs="宋体"/>
          <w:color w:val="000000"/>
          <w:highlight w:val="none"/>
        </w:rPr>
        <w:t>（姓名）系</w:t>
      </w:r>
      <w:r>
        <w:rPr>
          <w:rFonts w:hint="eastAsia" w:ascii="宋体" w:hAnsi="宋体" w:cs="宋体"/>
          <w:color w:val="000000"/>
          <w:highlight w:val="none"/>
          <w:u w:val="single"/>
        </w:rPr>
        <w:t xml:space="preserve">                           </w:t>
      </w:r>
      <w:r>
        <w:rPr>
          <w:rFonts w:hint="eastAsia" w:ascii="宋体" w:hAnsi="宋体" w:cs="宋体"/>
          <w:color w:val="000000"/>
          <w:highlight w:val="none"/>
        </w:rPr>
        <w:t>（投标人名称）的法定代表人（负责人），现授权委托本单位在职职工</w:t>
      </w:r>
      <w:r>
        <w:rPr>
          <w:rFonts w:hint="eastAsia" w:ascii="宋体" w:hAnsi="宋体" w:cs="宋体"/>
          <w:color w:val="000000"/>
          <w:highlight w:val="none"/>
          <w:u w:val="single"/>
        </w:rPr>
        <w:t xml:space="preserve">          </w:t>
      </w:r>
      <w:r>
        <w:rPr>
          <w:rFonts w:hint="eastAsia" w:ascii="宋体" w:hAnsi="宋体" w:cs="宋体"/>
          <w:color w:val="000000"/>
          <w:highlight w:val="none"/>
        </w:rPr>
        <w:t>（姓名），身份证号码：</w:t>
      </w:r>
      <w:r>
        <w:rPr>
          <w:rFonts w:hint="eastAsia" w:ascii="宋体" w:hAnsi="宋体" w:cs="宋体"/>
          <w:color w:val="000000"/>
          <w:highlight w:val="none"/>
          <w:u w:val="single"/>
        </w:rPr>
        <w:t xml:space="preserve">                      </w:t>
      </w:r>
      <w:r>
        <w:rPr>
          <w:rFonts w:hint="eastAsia" w:ascii="宋体" w:hAnsi="宋体" w:cs="宋体"/>
          <w:color w:val="000000"/>
          <w:highlight w:val="none"/>
        </w:rPr>
        <w:t>以我公司名义参加</w:t>
      </w:r>
      <w:r>
        <w:rPr>
          <w:rFonts w:hint="eastAsia" w:ascii="宋体" w:hAnsi="宋体" w:cs="宋体"/>
          <w:color w:val="000000"/>
          <w:highlight w:val="none"/>
          <w:u w:val="single"/>
        </w:rPr>
        <w:t xml:space="preserve">   （项目名称及项目编号）    </w:t>
      </w:r>
      <w:r>
        <w:rPr>
          <w:rFonts w:hint="eastAsia" w:ascii="宋体" w:hAnsi="宋体" w:cs="宋体"/>
          <w:color w:val="000000"/>
          <w:highlight w:val="none"/>
        </w:rPr>
        <w:t>项目的投标活动，并代表我方全权办理针对上述项目的投标、开标、评标、签约等具体事务和签署相关文件。</w:t>
      </w:r>
    </w:p>
    <w:p w14:paraId="54EB6F7C">
      <w:pPr>
        <w:spacing w:line="400" w:lineRule="exact"/>
        <w:ind w:firstLine="420"/>
        <w:rPr>
          <w:rFonts w:ascii="宋体" w:hAnsi="宋体" w:cs="宋体"/>
          <w:color w:val="000000"/>
          <w:highlight w:val="none"/>
        </w:rPr>
      </w:pPr>
      <w:r>
        <w:rPr>
          <w:rFonts w:hint="eastAsia" w:ascii="宋体" w:hAnsi="宋体" w:cs="宋体"/>
          <w:color w:val="000000"/>
          <w:highlight w:val="none"/>
        </w:rPr>
        <w:t>我方对被授权人的签字事项负全部责任。</w:t>
      </w:r>
    </w:p>
    <w:p w14:paraId="27CFE6C2">
      <w:pPr>
        <w:spacing w:line="400" w:lineRule="exact"/>
        <w:ind w:firstLine="420"/>
        <w:rPr>
          <w:rFonts w:ascii="宋体" w:hAnsi="宋体" w:cs="宋体"/>
          <w:color w:val="000000"/>
          <w:highlight w:val="none"/>
          <w:u w:val="single"/>
        </w:rPr>
      </w:pPr>
      <w:r>
        <w:rPr>
          <w:rFonts w:hint="eastAsia" w:ascii="宋体" w:hAnsi="宋体" w:cs="宋体"/>
          <w:color w:val="000000"/>
          <w:highlight w:val="none"/>
        </w:rPr>
        <w:t>授权委托代理期限：自即日起至该项目政府采购活动结束。</w:t>
      </w:r>
    </w:p>
    <w:p w14:paraId="2A577BC1">
      <w:pPr>
        <w:spacing w:line="400" w:lineRule="exact"/>
        <w:rPr>
          <w:rFonts w:ascii="宋体" w:hAnsi="宋体" w:cs="宋体"/>
          <w:color w:val="000000"/>
          <w:highlight w:val="none"/>
          <w:u w:val="single"/>
        </w:rPr>
      </w:pPr>
      <w:r>
        <w:rPr>
          <w:rFonts w:hint="eastAsia" w:ascii="宋体" w:hAnsi="宋体" w:cs="宋体"/>
          <w:color w:val="000000"/>
          <w:highlight w:val="none"/>
        </w:rPr>
        <w:t xml:space="preserve">                                                                                             </w:t>
      </w:r>
    </w:p>
    <w:p w14:paraId="3411F05E">
      <w:pPr>
        <w:spacing w:line="400" w:lineRule="exact"/>
        <w:ind w:firstLine="420"/>
        <w:rPr>
          <w:rFonts w:ascii="宋体" w:hAnsi="宋体" w:cs="宋体"/>
          <w:color w:val="000000"/>
          <w:highlight w:val="none"/>
        </w:rPr>
      </w:pPr>
      <w:r>
        <w:rPr>
          <w:rFonts w:hint="eastAsia" w:ascii="宋体" w:hAnsi="宋体" w:cs="宋体"/>
          <w:color w:val="000000"/>
          <w:highlight w:val="none"/>
        </w:rPr>
        <w:t xml:space="preserve">代理人无转委托权,特此委托。 </w:t>
      </w:r>
    </w:p>
    <w:p w14:paraId="710DF265">
      <w:pPr>
        <w:spacing w:line="400" w:lineRule="exact"/>
        <w:ind w:firstLine="525"/>
        <w:rPr>
          <w:rFonts w:ascii="宋体" w:hAnsi="宋体" w:cs="宋体"/>
          <w:color w:val="000000"/>
          <w:szCs w:val="21"/>
          <w:highlight w:val="none"/>
        </w:rPr>
      </w:pPr>
    </w:p>
    <w:p w14:paraId="343163A2">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我已在下面签字，以资证明。</w:t>
      </w:r>
    </w:p>
    <w:p w14:paraId="626A84D8">
      <w:pPr>
        <w:spacing w:line="400" w:lineRule="exact"/>
        <w:ind w:firstLine="420"/>
        <w:rPr>
          <w:rFonts w:ascii="宋体" w:hAnsi="宋体" w:cs="宋体"/>
          <w:color w:val="000000"/>
          <w:szCs w:val="21"/>
          <w:highlight w:val="none"/>
        </w:rPr>
      </w:pPr>
    </w:p>
    <w:p w14:paraId="0225FA86">
      <w:pPr>
        <w:spacing w:line="400" w:lineRule="exact"/>
        <w:ind w:firstLine="420"/>
        <w:rPr>
          <w:rFonts w:ascii="宋体" w:hAnsi="宋体" w:cs="宋体"/>
          <w:color w:val="000000"/>
          <w:szCs w:val="21"/>
          <w:highlight w:val="none"/>
          <w:u w:val="single"/>
        </w:rPr>
      </w:pPr>
      <w:r>
        <w:rPr>
          <w:rFonts w:hint="eastAsia" w:ascii="宋体" w:hAnsi="宋体" w:cs="宋体"/>
          <w:color w:val="000000"/>
          <w:szCs w:val="21"/>
          <w:highlight w:val="none"/>
        </w:rPr>
        <w:t>投标人[公章（CA签章）]：</w:t>
      </w:r>
      <w:r>
        <w:rPr>
          <w:rFonts w:hint="eastAsia" w:ascii="宋体" w:hAnsi="宋体" w:cs="宋体"/>
          <w:color w:val="000000"/>
          <w:szCs w:val="21"/>
          <w:highlight w:val="none"/>
          <w:u w:val="single"/>
        </w:rPr>
        <w:t xml:space="preserve">                                   </w:t>
      </w:r>
    </w:p>
    <w:p w14:paraId="49B61FDC">
      <w:pPr>
        <w:spacing w:line="400" w:lineRule="exact"/>
        <w:ind w:firstLine="420"/>
        <w:rPr>
          <w:rFonts w:ascii="宋体" w:hAnsi="宋体" w:cs="宋体"/>
          <w:color w:val="000000"/>
          <w:szCs w:val="21"/>
          <w:highlight w:val="none"/>
        </w:rPr>
      </w:pPr>
    </w:p>
    <w:p w14:paraId="017F0D97">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法定代表人（负责人）签字（或个人CA签章）：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w:t>
      </w:r>
    </w:p>
    <w:p w14:paraId="4F66E705">
      <w:pPr>
        <w:spacing w:line="400" w:lineRule="exact"/>
        <w:ind w:firstLine="420"/>
        <w:rPr>
          <w:rFonts w:ascii="宋体" w:hAnsi="宋体" w:cs="宋体"/>
          <w:color w:val="000000"/>
          <w:szCs w:val="21"/>
          <w:highlight w:val="none"/>
        </w:rPr>
      </w:pPr>
    </w:p>
    <w:p w14:paraId="2443872F">
      <w:pPr>
        <w:spacing w:line="400" w:lineRule="exact"/>
        <w:ind w:firstLine="602"/>
        <w:rPr>
          <w:rFonts w:ascii="宋体" w:hAnsi="宋体" w:cs="宋体"/>
          <w:b/>
          <w:color w:val="000000"/>
          <w:sz w:val="24"/>
          <w:highlight w:val="none"/>
        </w:rPr>
      </w:pPr>
      <w:r>
        <w:rPr>
          <w:rFonts w:hint="eastAsia" w:ascii="宋体" w:hAnsi="宋体" w:cs="宋体"/>
          <w:b/>
          <w:color w:val="000000"/>
          <w:sz w:val="24"/>
          <w:highlight w:val="none"/>
          <w:lang w:eastAsia="zh-CN"/>
        </w:rPr>
        <w:t>注</w:t>
      </w:r>
      <w:r>
        <w:rPr>
          <w:rFonts w:hint="eastAsia" w:ascii="宋体" w:hAnsi="宋体" w:cs="宋体"/>
          <w:b/>
          <w:color w:val="000000"/>
          <w:sz w:val="24"/>
          <w:highlight w:val="none"/>
        </w:rPr>
        <w:t>：投标人的授权委托书原件、委托代理人身份证正反面</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以及由县级以上（含县级）社会养老保险经办机构出具的投标人为委托代理人交纳的开标截止时间前</w:t>
      </w:r>
      <w:r>
        <w:rPr>
          <w:rFonts w:hint="eastAsia" w:ascii="宋体" w:hAnsi="宋体" w:cs="宋体"/>
          <w:b/>
          <w:color w:val="000000"/>
          <w:sz w:val="24"/>
          <w:highlight w:val="none"/>
          <w:lang w:eastAsia="zh-CN"/>
        </w:rPr>
        <w:t>三个月内任意一个月</w:t>
      </w:r>
      <w:r>
        <w:rPr>
          <w:rFonts w:hint="eastAsia" w:ascii="宋体" w:hAnsi="宋体" w:cs="宋体"/>
          <w:b/>
          <w:color w:val="000000"/>
          <w:sz w:val="24"/>
          <w:highlight w:val="none"/>
          <w:lang w:val="en-US" w:eastAsia="zh-CN"/>
        </w:rPr>
        <w:t>养老保险</w:t>
      </w:r>
      <w:r>
        <w:rPr>
          <w:rFonts w:hint="eastAsia" w:ascii="宋体" w:hAnsi="宋体" w:cs="宋体"/>
          <w:b/>
          <w:color w:val="000000"/>
          <w:sz w:val="24"/>
          <w:highlight w:val="none"/>
        </w:rPr>
        <w:t>证明</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（如投标人为截标时间前60日以内成立的公司，可以提供投标人与委托代理人签订的劳动合同</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代替</w:t>
      </w:r>
      <w:r>
        <w:rPr>
          <w:rFonts w:hint="eastAsia" w:ascii="宋体" w:hAnsi="宋体" w:cs="宋体"/>
          <w:b/>
          <w:color w:val="000000"/>
          <w:sz w:val="24"/>
          <w:highlight w:val="none"/>
          <w:lang w:val="en-US" w:eastAsia="zh-CN"/>
        </w:rPr>
        <w:t>养老保险</w:t>
      </w:r>
      <w:r>
        <w:rPr>
          <w:rFonts w:hint="eastAsia" w:ascii="宋体" w:hAnsi="宋体" w:cs="宋体"/>
          <w:b/>
          <w:color w:val="000000"/>
          <w:sz w:val="24"/>
          <w:highlight w:val="none"/>
        </w:rPr>
        <w:t>证明</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；如投标人为事业单位，可以提供事业单位机构编制管理证</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或事业单位机构为其发放工资的工资条</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代替</w:t>
      </w:r>
      <w:r>
        <w:rPr>
          <w:rFonts w:hint="eastAsia" w:ascii="宋体" w:hAnsi="宋体" w:cs="宋体"/>
          <w:b/>
          <w:color w:val="000000"/>
          <w:sz w:val="24"/>
          <w:highlight w:val="none"/>
          <w:lang w:val="en-US" w:eastAsia="zh-CN"/>
        </w:rPr>
        <w:t>养老保险</w:t>
      </w:r>
      <w:r>
        <w:rPr>
          <w:rFonts w:hint="eastAsia" w:ascii="宋体" w:hAnsi="宋体" w:cs="宋体"/>
          <w:b/>
          <w:color w:val="000000"/>
          <w:sz w:val="24"/>
          <w:highlight w:val="none"/>
        </w:rPr>
        <w:t>证明</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；如委托代理人为免缴纳</w:t>
      </w:r>
      <w:r>
        <w:rPr>
          <w:rFonts w:hint="eastAsia" w:ascii="宋体" w:hAnsi="宋体" w:cs="宋体"/>
          <w:b/>
          <w:color w:val="000000"/>
          <w:sz w:val="24"/>
          <w:highlight w:val="none"/>
          <w:lang w:eastAsia="zh-CN"/>
        </w:rPr>
        <w:t>养老保险</w:t>
      </w:r>
      <w:r>
        <w:rPr>
          <w:rFonts w:hint="eastAsia" w:ascii="宋体" w:hAnsi="宋体" w:cs="宋体"/>
          <w:b/>
          <w:color w:val="000000"/>
          <w:sz w:val="24"/>
          <w:highlight w:val="none"/>
        </w:rPr>
        <w:t>人员，提供免缴纳</w:t>
      </w:r>
      <w:r>
        <w:rPr>
          <w:rFonts w:hint="eastAsia" w:ascii="宋体" w:hAnsi="宋体" w:cs="宋体"/>
          <w:b/>
          <w:color w:val="000000"/>
          <w:sz w:val="24"/>
          <w:highlight w:val="none"/>
          <w:lang w:eastAsia="zh-CN"/>
        </w:rPr>
        <w:t>养老保险</w:t>
      </w:r>
      <w:r>
        <w:rPr>
          <w:rFonts w:hint="eastAsia" w:ascii="宋体" w:hAnsi="宋体" w:cs="宋体"/>
          <w:b/>
          <w:color w:val="000000"/>
          <w:sz w:val="24"/>
          <w:highlight w:val="none"/>
        </w:rPr>
        <w:t>的证明材料</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及投标人与委托代理人签订的劳动合同</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代替</w:t>
      </w:r>
      <w:r>
        <w:rPr>
          <w:rFonts w:hint="eastAsia" w:ascii="宋体" w:hAnsi="宋体" w:cs="宋体"/>
          <w:b/>
          <w:color w:val="000000"/>
          <w:sz w:val="24"/>
          <w:highlight w:val="none"/>
          <w:lang w:val="en-US" w:eastAsia="zh-CN"/>
        </w:rPr>
        <w:t>养老保险</w:t>
      </w:r>
      <w:r>
        <w:rPr>
          <w:rFonts w:hint="eastAsia" w:ascii="宋体" w:hAnsi="宋体" w:cs="宋体"/>
          <w:b/>
          <w:color w:val="000000"/>
          <w:sz w:val="24"/>
          <w:highlight w:val="none"/>
        </w:rPr>
        <w:t>证明</w:t>
      </w:r>
      <w:r>
        <w:rPr>
          <w:rFonts w:hint="eastAsia" w:ascii="宋体" w:hAnsi="宋体" w:cs="宋体"/>
          <w:b/>
          <w:color w:val="000000"/>
          <w:sz w:val="24"/>
          <w:highlight w:val="none"/>
          <w:lang w:eastAsia="zh-CN"/>
        </w:rPr>
        <w:t>扫描件</w:t>
      </w:r>
      <w:r>
        <w:rPr>
          <w:rFonts w:hint="eastAsia" w:ascii="宋体" w:hAnsi="宋体" w:cs="宋体"/>
          <w:b/>
          <w:sz w:val="24"/>
          <w:lang w:eastAsia="zh-CN"/>
        </w:rPr>
        <w:t>；</w:t>
      </w:r>
      <w:r>
        <w:rPr>
          <w:rFonts w:hint="eastAsia" w:ascii="宋体" w:hAnsi="宋体" w:cs="宋体"/>
          <w:b/>
          <w:sz w:val="24"/>
          <w:lang w:val="en-US" w:eastAsia="zh-CN"/>
        </w:rPr>
        <w:t>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r>
        <w:rPr>
          <w:rFonts w:hint="eastAsia" w:ascii="宋体" w:hAnsi="宋体" w:cs="宋体"/>
          <w:b/>
          <w:color w:val="000000"/>
          <w:sz w:val="24"/>
          <w:highlight w:val="none"/>
        </w:rPr>
        <w:t>）（委托代理时必须提供）。</w:t>
      </w:r>
    </w:p>
    <w:p w14:paraId="32C826D0">
      <w:pPr>
        <w:pStyle w:val="213"/>
        <w:jc w:val="center"/>
        <w:rPr>
          <w:rFonts w:hAnsi="宋体" w:cs="宋体"/>
          <w:b/>
          <w:color w:val="000000"/>
          <w:sz w:val="32"/>
          <w:highlight w:val="none"/>
        </w:rPr>
      </w:pPr>
    </w:p>
    <w:p w14:paraId="1FE37106">
      <w:pPr>
        <w:pStyle w:val="213"/>
        <w:jc w:val="center"/>
        <w:rPr>
          <w:rFonts w:hAnsi="宋体" w:cs="宋体"/>
          <w:b/>
          <w:color w:val="000000"/>
          <w:sz w:val="32"/>
          <w:highlight w:val="none"/>
        </w:rPr>
      </w:pPr>
    </w:p>
    <w:p w14:paraId="22B6466C">
      <w:pPr>
        <w:pStyle w:val="213"/>
        <w:jc w:val="center"/>
        <w:rPr>
          <w:rFonts w:hAnsi="宋体" w:cs="宋体"/>
          <w:b/>
          <w:color w:val="000000"/>
          <w:sz w:val="32"/>
          <w:highlight w:val="none"/>
        </w:rPr>
      </w:pPr>
    </w:p>
    <w:p w14:paraId="3FD1C5EF">
      <w:pPr>
        <w:pStyle w:val="213"/>
        <w:jc w:val="both"/>
        <w:rPr>
          <w:rFonts w:hAnsi="宋体" w:cs="宋体"/>
          <w:b/>
          <w:color w:val="000000"/>
          <w:sz w:val="32"/>
          <w:highlight w:val="none"/>
        </w:rPr>
      </w:pPr>
    </w:p>
    <w:p w14:paraId="22416026">
      <w:pPr>
        <w:pStyle w:val="213"/>
        <w:jc w:val="center"/>
        <w:rPr>
          <w:rFonts w:hint="eastAsia" w:hAnsi="宋体" w:cs="宋体"/>
          <w:b/>
          <w:color w:val="000000"/>
          <w:sz w:val="32"/>
          <w:highlight w:val="none"/>
        </w:rPr>
      </w:pPr>
    </w:p>
    <w:p w14:paraId="068286D9">
      <w:pPr>
        <w:pStyle w:val="213"/>
        <w:jc w:val="center"/>
        <w:rPr>
          <w:rFonts w:hint="eastAsia" w:hAnsi="宋体" w:cs="宋体"/>
          <w:b/>
          <w:color w:val="000000"/>
          <w:sz w:val="32"/>
          <w:highlight w:val="none"/>
        </w:rPr>
      </w:pPr>
    </w:p>
    <w:p w14:paraId="6103994F">
      <w:pPr>
        <w:pStyle w:val="213"/>
        <w:jc w:val="center"/>
        <w:rPr>
          <w:rFonts w:hAnsi="宋体" w:cs="宋体"/>
          <w:b/>
          <w:color w:val="000000"/>
          <w:sz w:val="32"/>
          <w:highlight w:val="none"/>
        </w:rPr>
      </w:pPr>
      <w:r>
        <w:rPr>
          <w:rFonts w:hint="eastAsia" w:hAnsi="宋体" w:cs="宋体"/>
          <w:b/>
          <w:color w:val="000000"/>
          <w:sz w:val="32"/>
          <w:highlight w:val="none"/>
        </w:rPr>
        <w:t>授权委托书（格式二）</w:t>
      </w:r>
    </w:p>
    <w:p w14:paraId="68E93827">
      <w:pPr>
        <w:spacing w:line="400" w:lineRule="exact"/>
        <w:rPr>
          <w:rFonts w:ascii="宋体" w:hAnsi="宋体" w:cs="宋体"/>
          <w:color w:val="000000"/>
          <w:highlight w:val="none"/>
        </w:rPr>
      </w:pPr>
      <w:r>
        <w:rPr>
          <w:rFonts w:hint="eastAsia" w:ascii="宋体" w:hAnsi="宋体" w:cs="宋体"/>
          <w:b/>
          <w:color w:val="000000"/>
          <w:szCs w:val="21"/>
          <w:highlight w:val="none"/>
        </w:rPr>
        <w:t>致</w:t>
      </w:r>
      <w:r>
        <w:rPr>
          <w:rFonts w:hint="eastAsia" w:ascii="宋体" w:hAnsi="宋体" w:cs="宋体"/>
          <w:color w:val="000000"/>
          <w:szCs w:val="21"/>
          <w:highlight w:val="none"/>
        </w:rPr>
        <w:t>：</w:t>
      </w:r>
      <w:r>
        <w:rPr>
          <w:rFonts w:hint="eastAsia" w:ascii="宋体" w:hAnsi="宋体" w:cs="宋体"/>
          <w:color w:val="000000"/>
          <w:highlight w:val="none"/>
          <w:u w:val="single"/>
        </w:rPr>
        <w:t>桂林市政府集中采购中心</w:t>
      </w:r>
    </w:p>
    <w:p w14:paraId="6DCBBDF5">
      <w:pPr>
        <w:spacing w:line="400" w:lineRule="exact"/>
        <w:rPr>
          <w:rFonts w:ascii="宋体" w:hAnsi="宋体" w:cs="宋体"/>
          <w:color w:val="000000"/>
          <w:szCs w:val="21"/>
          <w:highlight w:val="none"/>
          <w:u w:val="single"/>
        </w:rPr>
      </w:pPr>
    </w:p>
    <w:p w14:paraId="6AC30393">
      <w:pPr>
        <w:pStyle w:val="213"/>
        <w:spacing w:line="340" w:lineRule="exact"/>
        <w:ind w:firstLine="420"/>
        <w:rPr>
          <w:rFonts w:hAnsi="宋体" w:cs="宋体"/>
          <w:color w:val="000000"/>
          <w:highlight w:val="none"/>
        </w:rPr>
      </w:pPr>
      <w:r>
        <w:rPr>
          <w:rFonts w:hint="eastAsia" w:hAnsi="宋体" w:cs="宋体"/>
          <w:color w:val="000000"/>
          <w:highlight w:val="none"/>
        </w:rPr>
        <w:t>我</w:t>
      </w:r>
      <w:r>
        <w:rPr>
          <w:rFonts w:hint="eastAsia" w:hAnsi="宋体" w:cs="宋体"/>
          <w:color w:val="000000"/>
          <w:highlight w:val="none"/>
          <w:u w:val="single"/>
        </w:rPr>
        <w:t xml:space="preserve">              </w:t>
      </w:r>
      <w:r>
        <w:rPr>
          <w:rFonts w:hint="eastAsia" w:hAnsi="宋体" w:cs="宋体"/>
          <w:color w:val="000000"/>
          <w:highlight w:val="none"/>
        </w:rPr>
        <w:t>（姓名）系自然人，现授权委托</w:t>
      </w:r>
      <w:r>
        <w:rPr>
          <w:rFonts w:hint="eastAsia" w:hAnsi="宋体" w:cs="宋体"/>
          <w:color w:val="000000"/>
          <w:highlight w:val="none"/>
          <w:u w:val="single"/>
        </w:rPr>
        <w:t xml:space="preserve">            </w:t>
      </w:r>
      <w:r>
        <w:rPr>
          <w:rFonts w:hint="eastAsia" w:hAnsi="宋体" w:cs="宋体"/>
          <w:color w:val="000000"/>
          <w:highlight w:val="none"/>
        </w:rPr>
        <w:t>（姓 名），身份证号码：</w:t>
      </w:r>
      <w:r>
        <w:rPr>
          <w:rFonts w:hint="eastAsia" w:hAnsi="宋体" w:cs="宋体"/>
          <w:color w:val="000000"/>
          <w:highlight w:val="none"/>
          <w:u w:val="single"/>
        </w:rPr>
        <w:t xml:space="preserve">              </w:t>
      </w:r>
      <w:r>
        <w:rPr>
          <w:rFonts w:hint="eastAsia" w:hAnsi="宋体" w:cs="宋体"/>
          <w:color w:val="000000"/>
          <w:highlight w:val="none"/>
        </w:rPr>
        <w:t>以本人名义参加</w:t>
      </w:r>
      <w:r>
        <w:rPr>
          <w:rFonts w:hint="eastAsia" w:hAnsi="宋体" w:cs="宋体"/>
          <w:color w:val="000000"/>
          <w:highlight w:val="none"/>
          <w:u w:val="single"/>
        </w:rPr>
        <w:t xml:space="preserve">      （项目名称及项目编号）        </w:t>
      </w:r>
      <w:r>
        <w:rPr>
          <w:rFonts w:hint="eastAsia" w:hAnsi="宋体" w:cs="宋体"/>
          <w:color w:val="000000"/>
          <w:highlight w:val="none"/>
        </w:rPr>
        <w:t>项目的投标活动，并代表本人全权办理针对上述项目的投标、开标、评标、签约等具体事务和签署相关文件。</w:t>
      </w:r>
    </w:p>
    <w:p w14:paraId="69EFFEE2">
      <w:pPr>
        <w:pStyle w:val="213"/>
        <w:spacing w:line="340" w:lineRule="exact"/>
        <w:ind w:firstLine="420"/>
        <w:rPr>
          <w:rFonts w:hAnsi="宋体" w:cs="宋体"/>
          <w:color w:val="000000"/>
          <w:highlight w:val="none"/>
        </w:rPr>
      </w:pPr>
      <w:r>
        <w:rPr>
          <w:rFonts w:hint="eastAsia" w:hAnsi="宋体" w:cs="宋体"/>
          <w:color w:val="000000"/>
          <w:highlight w:val="none"/>
        </w:rPr>
        <w:t>本人对被授权人的签字事项负全部责任。</w:t>
      </w:r>
    </w:p>
    <w:p w14:paraId="07E49067">
      <w:pPr>
        <w:pStyle w:val="213"/>
        <w:spacing w:line="400" w:lineRule="exact"/>
        <w:ind w:firstLine="420"/>
        <w:rPr>
          <w:rFonts w:hAnsi="宋体" w:cs="宋体"/>
          <w:color w:val="000000"/>
          <w:highlight w:val="none"/>
          <w:u w:val="single"/>
        </w:rPr>
      </w:pPr>
      <w:r>
        <w:rPr>
          <w:rFonts w:hint="eastAsia" w:hAnsi="宋体" w:cs="宋体"/>
          <w:color w:val="000000"/>
          <w:highlight w:val="none"/>
        </w:rPr>
        <w:t>授权委托代理期限：自即日起至该项目政府采购活动结束。</w:t>
      </w:r>
    </w:p>
    <w:p w14:paraId="0EF0910D">
      <w:pPr>
        <w:pStyle w:val="213"/>
        <w:spacing w:line="340" w:lineRule="exact"/>
        <w:ind w:firstLine="420"/>
        <w:rPr>
          <w:rFonts w:hAnsi="宋体" w:cs="宋体"/>
          <w:color w:val="000000"/>
          <w:highlight w:val="none"/>
          <w:u w:val="single"/>
        </w:rPr>
      </w:pPr>
    </w:p>
    <w:p w14:paraId="63DBE2D4">
      <w:pPr>
        <w:pStyle w:val="213"/>
        <w:spacing w:line="340" w:lineRule="exact"/>
        <w:rPr>
          <w:rFonts w:hAnsi="宋体" w:cs="宋体"/>
          <w:color w:val="000000"/>
          <w:highlight w:val="none"/>
          <w:u w:val="single"/>
        </w:rPr>
      </w:pPr>
      <w:r>
        <w:rPr>
          <w:rFonts w:hint="eastAsia" w:hAnsi="宋体" w:cs="宋体"/>
          <w:color w:val="000000"/>
          <w:highlight w:val="none"/>
        </w:rPr>
        <w:t xml:space="preserve">                                                                                             </w:t>
      </w:r>
    </w:p>
    <w:p w14:paraId="15B57E20">
      <w:pPr>
        <w:spacing w:line="340" w:lineRule="exact"/>
        <w:ind w:firstLine="420"/>
        <w:rPr>
          <w:rFonts w:ascii="宋体" w:hAnsi="宋体" w:cs="宋体"/>
          <w:color w:val="000000"/>
          <w:highlight w:val="none"/>
        </w:rPr>
      </w:pPr>
      <w:r>
        <w:rPr>
          <w:rFonts w:hint="eastAsia" w:ascii="宋体" w:hAnsi="宋体" w:cs="宋体"/>
          <w:color w:val="000000"/>
          <w:highlight w:val="none"/>
        </w:rPr>
        <w:t xml:space="preserve">代理人无转委托权,特此委托。 </w:t>
      </w:r>
    </w:p>
    <w:p w14:paraId="4428D687">
      <w:pPr>
        <w:spacing w:line="340" w:lineRule="exact"/>
        <w:ind w:firstLine="525"/>
        <w:rPr>
          <w:rFonts w:ascii="宋体" w:hAnsi="宋体" w:cs="宋体"/>
          <w:color w:val="000000"/>
          <w:szCs w:val="21"/>
          <w:highlight w:val="none"/>
        </w:rPr>
      </w:pPr>
    </w:p>
    <w:p w14:paraId="4F80CBE8">
      <w:pPr>
        <w:spacing w:line="340" w:lineRule="exact"/>
        <w:ind w:firstLine="420"/>
        <w:rPr>
          <w:rFonts w:ascii="宋体" w:hAnsi="宋体" w:cs="宋体"/>
          <w:color w:val="000000"/>
          <w:szCs w:val="21"/>
          <w:highlight w:val="none"/>
        </w:rPr>
      </w:pPr>
      <w:r>
        <w:rPr>
          <w:rFonts w:hint="eastAsia" w:ascii="宋体" w:hAnsi="宋体" w:cs="宋体"/>
          <w:color w:val="000000"/>
          <w:szCs w:val="21"/>
          <w:highlight w:val="none"/>
        </w:rPr>
        <w:t>我已在下面签字，以资证明。</w:t>
      </w:r>
    </w:p>
    <w:p w14:paraId="7B921092">
      <w:pPr>
        <w:spacing w:line="340" w:lineRule="exact"/>
        <w:ind w:firstLine="420"/>
        <w:rPr>
          <w:rFonts w:ascii="宋体" w:hAnsi="宋体" w:cs="宋体"/>
          <w:color w:val="000000"/>
          <w:szCs w:val="21"/>
          <w:highlight w:val="none"/>
        </w:rPr>
      </w:pPr>
    </w:p>
    <w:p w14:paraId="0D780208">
      <w:pPr>
        <w:spacing w:line="340" w:lineRule="exact"/>
        <w:ind w:firstLine="420"/>
        <w:rPr>
          <w:rFonts w:ascii="宋体" w:hAnsi="宋体" w:cs="宋体"/>
          <w:color w:val="000000"/>
          <w:szCs w:val="21"/>
          <w:highlight w:val="none"/>
        </w:rPr>
      </w:pPr>
      <w:r>
        <w:rPr>
          <w:rFonts w:hint="eastAsia" w:ascii="宋体" w:hAnsi="宋体" w:cs="宋体"/>
          <w:color w:val="000000"/>
          <w:szCs w:val="21"/>
          <w:highlight w:val="none"/>
        </w:rPr>
        <w:t>自然人签字并在签名处加盖大拇指指印或个人CA签章：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w:t>
      </w:r>
    </w:p>
    <w:p w14:paraId="0B6E9B3B">
      <w:pPr>
        <w:spacing w:line="340" w:lineRule="exact"/>
        <w:ind w:firstLine="420"/>
        <w:rPr>
          <w:rFonts w:ascii="宋体" w:hAnsi="宋体" w:cs="宋体"/>
          <w:color w:val="000000"/>
          <w:szCs w:val="21"/>
          <w:highlight w:val="none"/>
        </w:rPr>
      </w:pPr>
    </w:p>
    <w:p w14:paraId="1DAE6305">
      <w:pPr>
        <w:rPr>
          <w:rFonts w:ascii="宋体" w:hAnsi="宋体" w:cs="宋体"/>
          <w:b/>
          <w:bCs/>
          <w:color w:val="000000"/>
          <w:sz w:val="32"/>
          <w:szCs w:val="32"/>
          <w:highlight w:val="none"/>
        </w:rPr>
      </w:pPr>
    </w:p>
    <w:p w14:paraId="4BFA557D">
      <w:pPr>
        <w:rPr>
          <w:rFonts w:ascii="宋体" w:hAnsi="宋体" w:cs="宋体"/>
          <w:b/>
          <w:bCs/>
          <w:color w:val="000000"/>
          <w:sz w:val="32"/>
          <w:szCs w:val="32"/>
          <w:highlight w:val="none"/>
        </w:rPr>
      </w:pPr>
    </w:p>
    <w:p w14:paraId="4C5C8EB0">
      <w:pPr>
        <w:rPr>
          <w:rFonts w:ascii="宋体" w:hAnsi="宋体" w:cs="宋体"/>
          <w:b/>
          <w:bCs/>
          <w:color w:val="000000"/>
          <w:sz w:val="32"/>
          <w:szCs w:val="32"/>
          <w:highlight w:val="none"/>
        </w:rPr>
      </w:pPr>
      <w:r>
        <w:rPr>
          <w:rFonts w:hint="eastAsia" w:ascii="宋体" w:hAnsi="宋体" w:cs="宋体"/>
          <w:b/>
          <w:bCs/>
          <w:color w:val="000000"/>
          <w:sz w:val="32"/>
          <w:szCs w:val="32"/>
          <w:highlight w:val="none"/>
        </w:rPr>
        <w:t>3.投标人的法人或者其他组织营业执照等证明文件</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（必须提供，自然人除外）；</w:t>
      </w:r>
    </w:p>
    <w:p w14:paraId="0CC3FA70">
      <w:pPr>
        <w:tabs>
          <w:tab w:val="left" w:pos="1305"/>
        </w:tabs>
        <w:spacing w:line="400" w:lineRule="exact"/>
        <w:rPr>
          <w:rFonts w:ascii="宋体" w:hAnsi="宋体" w:cs="宋体"/>
          <w:b/>
          <w:color w:val="000000"/>
          <w:szCs w:val="21"/>
          <w:highlight w:val="none"/>
        </w:rPr>
      </w:pPr>
      <w:r>
        <w:rPr>
          <w:rFonts w:hint="eastAsia" w:ascii="宋体" w:hAnsi="宋体" w:cs="宋体"/>
          <w:b/>
          <w:color w:val="000000"/>
          <w:szCs w:val="21"/>
          <w:highlight w:val="none"/>
        </w:rPr>
        <w:t>注：供应商为企业（包括合伙企业），应提供</w:t>
      </w:r>
      <w:r>
        <w:rPr>
          <w:rFonts w:hint="eastAsia" w:ascii="宋体" w:hAnsi="宋体" w:cs="宋体"/>
          <w:b/>
          <w:color w:val="000000"/>
          <w:szCs w:val="21"/>
          <w:highlight w:val="none"/>
          <w:lang w:eastAsia="zh-CN"/>
        </w:rPr>
        <w:t>市场监管部门（登记机关）</w:t>
      </w:r>
      <w:r>
        <w:rPr>
          <w:rFonts w:hint="eastAsia" w:ascii="宋体" w:hAnsi="宋体" w:cs="宋体"/>
          <w:b/>
          <w:color w:val="000000"/>
          <w:szCs w:val="21"/>
          <w:highlight w:val="non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07DCF60">
      <w:pPr>
        <w:spacing w:line="400" w:lineRule="exact"/>
        <w:ind w:left="420" w:firstLine="157"/>
        <w:rPr>
          <w:rFonts w:ascii="宋体" w:hAnsi="宋体" w:cs="宋体"/>
          <w:b/>
          <w:color w:val="000000"/>
          <w:sz w:val="32"/>
          <w:szCs w:val="32"/>
          <w:highlight w:val="none"/>
        </w:rPr>
      </w:pPr>
    </w:p>
    <w:p w14:paraId="248EC3D5">
      <w:pPr>
        <w:pStyle w:val="317"/>
        <w:rPr>
          <w:rFonts w:ascii="宋体" w:hAnsi="宋体" w:cs="宋体"/>
          <w:color w:val="000000"/>
          <w:highlight w:val="none"/>
        </w:rPr>
      </w:pPr>
    </w:p>
    <w:p w14:paraId="74F2AD5C">
      <w:pPr>
        <w:rPr>
          <w:rFonts w:ascii="宋体" w:hAnsi="宋体" w:cs="宋体"/>
          <w:color w:val="000000"/>
          <w:highlight w:val="none"/>
        </w:rPr>
      </w:pPr>
    </w:p>
    <w:p w14:paraId="29FE2AE3">
      <w:pPr>
        <w:rPr>
          <w:rFonts w:ascii="宋体" w:hAnsi="宋体" w:cs="宋体"/>
          <w:b/>
          <w:bCs/>
          <w:color w:val="000000"/>
          <w:sz w:val="32"/>
          <w:szCs w:val="32"/>
          <w:highlight w:val="none"/>
        </w:rPr>
      </w:pPr>
      <w:r>
        <w:rPr>
          <w:rFonts w:hint="eastAsia" w:ascii="宋体" w:hAnsi="宋体" w:cs="宋体"/>
          <w:b/>
          <w:bCs/>
          <w:color w:val="000000"/>
          <w:sz w:val="32"/>
          <w:szCs w:val="32"/>
          <w:highlight w:val="none"/>
        </w:rPr>
        <w:t>4.财务状况报告</w:t>
      </w:r>
      <w:r>
        <w:rPr>
          <w:rFonts w:hint="eastAsia" w:ascii="宋体" w:hAnsi="宋体" w:eastAsia="宋体" w:cs="宋体"/>
          <w:b/>
          <w:bCs/>
          <w:color w:val="000000"/>
          <w:sz w:val="32"/>
          <w:szCs w:val="32"/>
          <w:highlight w:val="none"/>
          <w:lang w:eastAsia="zh-CN"/>
        </w:rPr>
        <w:t>（格式自拟，必须提供）</w:t>
      </w:r>
      <w:r>
        <w:rPr>
          <w:rFonts w:hint="eastAsia" w:ascii="宋体" w:hAnsi="宋体" w:cs="宋体"/>
          <w:b/>
          <w:bCs/>
          <w:color w:val="000000"/>
          <w:sz w:val="32"/>
          <w:szCs w:val="32"/>
          <w:highlight w:val="none"/>
        </w:rPr>
        <w:t>；</w:t>
      </w:r>
    </w:p>
    <w:p w14:paraId="525D6AD3">
      <w:pPr>
        <w:pStyle w:val="213"/>
        <w:ind w:firstLine="420"/>
        <w:jc w:val="left"/>
        <w:rPr>
          <w:rFonts w:hint="eastAsia" w:hAnsi="宋体" w:cs="宋体"/>
          <w:color w:val="000000"/>
          <w:szCs w:val="21"/>
          <w:highlight w:val="none"/>
        </w:rPr>
      </w:pPr>
    </w:p>
    <w:p w14:paraId="00F6B60D">
      <w:pPr>
        <w:pStyle w:val="213"/>
        <w:ind w:firstLine="420"/>
        <w:jc w:val="left"/>
        <w:rPr>
          <w:rFonts w:hint="eastAsia" w:hAnsi="宋体" w:cs="宋体"/>
          <w:color w:val="000000"/>
          <w:szCs w:val="21"/>
          <w:highlight w:val="none"/>
        </w:rPr>
      </w:pPr>
    </w:p>
    <w:p w14:paraId="3E7CBC13">
      <w:pPr>
        <w:pStyle w:val="213"/>
        <w:ind w:firstLine="420"/>
        <w:jc w:val="left"/>
        <w:rPr>
          <w:rFonts w:hint="eastAsia" w:hAnsi="宋体" w:cs="宋体"/>
          <w:color w:val="000000"/>
          <w:szCs w:val="21"/>
          <w:highlight w:val="none"/>
        </w:rPr>
      </w:pPr>
    </w:p>
    <w:p w14:paraId="46710842">
      <w:pPr>
        <w:rPr>
          <w:rFonts w:hint="eastAsia" w:ascii="宋体" w:hAnsi="宋体" w:cs="宋体"/>
          <w:b/>
          <w:bCs/>
          <w:color w:val="000000"/>
          <w:sz w:val="32"/>
          <w:szCs w:val="32"/>
          <w:highlight w:val="none"/>
        </w:rPr>
      </w:pPr>
    </w:p>
    <w:p w14:paraId="1434B0FD">
      <w:pPr>
        <w:pStyle w:val="2"/>
        <w:rPr>
          <w:rFonts w:hint="eastAsia" w:ascii="宋体" w:hAnsi="宋体" w:cs="宋体"/>
          <w:b/>
          <w:bCs/>
          <w:color w:val="000000"/>
          <w:sz w:val="32"/>
          <w:szCs w:val="32"/>
          <w:highlight w:val="none"/>
        </w:rPr>
      </w:pPr>
    </w:p>
    <w:p w14:paraId="2F0051E8">
      <w:pPr>
        <w:rPr>
          <w:rFonts w:hint="eastAsia" w:ascii="宋体" w:hAnsi="宋体" w:cs="宋体"/>
          <w:b/>
          <w:bCs/>
          <w:color w:val="000000"/>
          <w:sz w:val="32"/>
          <w:szCs w:val="32"/>
          <w:highlight w:val="none"/>
        </w:rPr>
      </w:pPr>
    </w:p>
    <w:p w14:paraId="2B0D832C">
      <w:pPr>
        <w:pStyle w:val="2"/>
        <w:rPr>
          <w:rFonts w:hint="eastAsia" w:ascii="宋体" w:hAnsi="宋体" w:cs="宋体"/>
          <w:b/>
          <w:bCs/>
          <w:color w:val="000000"/>
          <w:sz w:val="32"/>
          <w:szCs w:val="32"/>
          <w:highlight w:val="none"/>
        </w:rPr>
      </w:pPr>
    </w:p>
    <w:p w14:paraId="684402B8">
      <w:pPr>
        <w:rPr>
          <w:rFonts w:hint="eastAsia" w:ascii="宋体" w:hAnsi="宋体" w:cs="宋体"/>
          <w:b/>
          <w:bCs/>
          <w:color w:val="000000"/>
          <w:sz w:val="32"/>
          <w:szCs w:val="32"/>
          <w:highlight w:val="none"/>
        </w:rPr>
      </w:pPr>
    </w:p>
    <w:p w14:paraId="18F848E7">
      <w:pPr>
        <w:pStyle w:val="2"/>
        <w:rPr>
          <w:rFonts w:hint="eastAsia"/>
        </w:rPr>
      </w:pPr>
    </w:p>
    <w:p w14:paraId="4AE6076C">
      <w:pPr>
        <w:rPr>
          <w:rFonts w:hint="eastAsia"/>
          <w:color w:val="000000"/>
          <w:highlight w:val="none"/>
        </w:rPr>
      </w:pPr>
    </w:p>
    <w:p w14:paraId="69E26ACB">
      <w:pP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5.</w:t>
      </w:r>
      <w:r>
        <w:rPr>
          <w:rFonts w:hint="eastAsia" w:ascii="宋体" w:hAnsi="宋体" w:cs="宋体"/>
          <w:b/>
          <w:bCs/>
          <w:color w:val="000000"/>
          <w:sz w:val="32"/>
          <w:szCs w:val="32"/>
          <w:highlight w:val="none"/>
          <w:lang w:eastAsia="zh-CN"/>
        </w:rPr>
        <w:t>投标人参加政府采购活动前3年内在经营活动中没有重大违法记录及有关信用信息的书面声明或专项信用报告</w:t>
      </w:r>
      <w:r>
        <w:rPr>
          <w:rFonts w:hint="eastAsia" w:ascii="宋体" w:hAnsi="宋体" w:cs="宋体"/>
          <w:b/>
          <w:bCs/>
          <w:color w:val="000000"/>
          <w:sz w:val="32"/>
          <w:szCs w:val="32"/>
          <w:highlight w:val="none"/>
        </w:rPr>
        <w:t>（必须提供）；</w:t>
      </w:r>
    </w:p>
    <w:p w14:paraId="02D70B52">
      <w:pPr>
        <w:tabs>
          <w:tab w:val="left" w:pos="1305"/>
        </w:tabs>
        <w:spacing w:line="400" w:lineRule="exact"/>
        <w:rPr>
          <w:rFonts w:hint="eastAsia" w:ascii="宋体" w:hAnsi="宋体" w:eastAsia="宋体" w:cs="宋体"/>
          <w:b/>
          <w:color w:val="000000"/>
          <w:szCs w:val="21"/>
          <w:highlight w:val="none"/>
          <w:lang w:eastAsia="zh-CN"/>
        </w:rPr>
      </w:pPr>
      <w:r>
        <w:rPr>
          <w:rFonts w:hint="eastAsia" w:ascii="宋体" w:hAnsi="宋体" w:eastAsia="宋体" w:cs="宋体"/>
          <w:b/>
          <w:color w:val="000000"/>
          <w:szCs w:val="21"/>
          <w:highlight w:val="none"/>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投标人根据注册地信用中国网站的要求获取</w:t>
      </w:r>
      <w:r>
        <w:rPr>
          <w:rFonts w:hint="eastAsia" w:ascii="宋体" w:hAnsi="宋体" w:eastAsia="宋体" w:cs="宋体"/>
          <w:b/>
          <w:color w:val="000000"/>
          <w:szCs w:val="21"/>
          <w:highlight w:val="none"/>
          <w:lang w:eastAsia="zh-CN"/>
        </w:rPr>
        <w:t>；</w:t>
      </w:r>
    </w:p>
    <w:p w14:paraId="3EEF86C3">
      <w:pPr>
        <w:spacing w:line="400" w:lineRule="exact"/>
        <w:jc w:val="center"/>
        <w:rPr>
          <w:rFonts w:hint="eastAsia" w:ascii="宋体" w:hAnsi="宋体" w:cs="宋体"/>
          <w:b/>
          <w:color w:val="000000"/>
          <w:sz w:val="32"/>
          <w:szCs w:val="32"/>
          <w:highlight w:val="none"/>
        </w:rPr>
      </w:pPr>
    </w:p>
    <w:p w14:paraId="552CB797">
      <w:pPr>
        <w:spacing w:line="400" w:lineRule="exact"/>
        <w:jc w:val="center"/>
        <w:rPr>
          <w:rFonts w:hint="eastAsia" w:ascii="宋体" w:hAnsi="宋体" w:cs="宋体"/>
          <w:b/>
          <w:color w:val="000000"/>
          <w:sz w:val="32"/>
          <w:szCs w:val="32"/>
          <w:highlight w:val="none"/>
        </w:rPr>
      </w:pPr>
    </w:p>
    <w:p w14:paraId="208C9C43">
      <w:pPr>
        <w:spacing w:line="400" w:lineRule="exact"/>
        <w:jc w:val="center"/>
        <w:rPr>
          <w:rFonts w:ascii="宋体" w:hAnsi="宋体" w:cs="宋体"/>
          <w:b/>
          <w:color w:val="000000"/>
          <w:sz w:val="32"/>
          <w:szCs w:val="32"/>
          <w:highlight w:val="none"/>
        </w:rPr>
      </w:pPr>
      <w:r>
        <w:rPr>
          <w:rFonts w:hint="eastAsia" w:ascii="宋体" w:hAnsi="宋体" w:cs="宋体"/>
          <w:b/>
          <w:color w:val="000000"/>
          <w:sz w:val="32"/>
          <w:szCs w:val="32"/>
          <w:highlight w:val="none"/>
        </w:rPr>
        <w:t>声   明</w:t>
      </w:r>
    </w:p>
    <w:p w14:paraId="5D1C7CAA">
      <w:pPr>
        <w:spacing w:line="400" w:lineRule="exact"/>
        <w:rPr>
          <w:rFonts w:ascii="宋体" w:hAnsi="宋体" w:cs="宋体"/>
          <w:color w:val="000000"/>
          <w:highlight w:val="none"/>
        </w:rPr>
      </w:pPr>
      <w:r>
        <w:rPr>
          <w:rFonts w:hint="eastAsia" w:ascii="宋体" w:hAnsi="宋体" w:cs="宋体"/>
          <w:b/>
          <w:color w:val="000000"/>
          <w:szCs w:val="21"/>
          <w:highlight w:val="none"/>
        </w:rPr>
        <w:t>致</w:t>
      </w:r>
      <w:r>
        <w:rPr>
          <w:rFonts w:hint="eastAsia" w:ascii="宋体" w:hAnsi="宋体" w:cs="宋体"/>
          <w:color w:val="000000"/>
          <w:szCs w:val="21"/>
          <w:highlight w:val="none"/>
        </w:rPr>
        <w:t>：</w:t>
      </w:r>
      <w:r>
        <w:rPr>
          <w:rFonts w:hint="eastAsia" w:ascii="宋体" w:hAnsi="宋体" w:cs="宋体"/>
          <w:color w:val="000000"/>
          <w:highlight w:val="none"/>
          <w:u w:val="single"/>
        </w:rPr>
        <w:t>桂林市政府集中采购中心</w:t>
      </w:r>
    </w:p>
    <w:p w14:paraId="5D8F61B2">
      <w:pPr>
        <w:spacing w:line="400" w:lineRule="exact"/>
        <w:rPr>
          <w:rFonts w:ascii="宋体" w:hAnsi="宋体" w:cs="宋体"/>
          <w:color w:val="000000"/>
          <w:szCs w:val="21"/>
          <w:highlight w:val="none"/>
          <w:u w:val="single"/>
        </w:rPr>
      </w:pPr>
    </w:p>
    <w:p w14:paraId="1BE875F7">
      <w:pPr>
        <w:pStyle w:val="213"/>
        <w:spacing w:line="380" w:lineRule="exact"/>
        <w:ind w:firstLine="420"/>
        <w:rPr>
          <w:rFonts w:hAnsi="宋体" w:cs="宋体"/>
          <w:color w:val="000000"/>
          <w:highlight w:val="none"/>
        </w:rPr>
      </w:pPr>
      <w:r>
        <w:rPr>
          <w:rFonts w:hint="eastAsia" w:hAnsi="宋体" w:cs="宋体"/>
          <w:color w:val="000000"/>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7D31D05">
      <w:pPr>
        <w:spacing w:line="400" w:lineRule="exact"/>
        <w:ind w:firstLine="4515"/>
        <w:rPr>
          <w:rFonts w:ascii="宋体" w:hAnsi="宋体" w:cs="宋体"/>
          <w:color w:val="000000"/>
          <w:szCs w:val="21"/>
          <w:highlight w:val="none"/>
        </w:rPr>
      </w:pPr>
    </w:p>
    <w:p w14:paraId="5B0B52E9">
      <w:pPr>
        <w:spacing w:line="400" w:lineRule="exact"/>
        <w:ind w:firstLine="1890"/>
        <w:rPr>
          <w:rFonts w:ascii="宋体" w:hAnsi="宋体" w:cs="宋体"/>
          <w:color w:val="000000"/>
          <w:szCs w:val="21"/>
          <w:highlight w:val="none"/>
          <w:u w:val="single"/>
        </w:rPr>
      </w:pPr>
      <w:r>
        <w:rPr>
          <w:rFonts w:hint="eastAsia" w:ascii="宋体" w:hAnsi="宋体" w:cs="宋体"/>
          <w:color w:val="000000"/>
          <w:szCs w:val="21"/>
          <w:highlight w:val="none"/>
        </w:rPr>
        <w:t>投标人[公章(CA签章)，自然人签字或个人CA签章]：</w:t>
      </w:r>
      <w:r>
        <w:rPr>
          <w:rFonts w:hint="eastAsia" w:ascii="宋体" w:hAnsi="宋体" w:cs="宋体"/>
          <w:color w:val="000000"/>
          <w:szCs w:val="21"/>
          <w:highlight w:val="none"/>
          <w:u w:val="single"/>
        </w:rPr>
        <w:t xml:space="preserve">                                         </w:t>
      </w:r>
    </w:p>
    <w:p w14:paraId="25953DE0">
      <w:pPr>
        <w:spacing w:line="340" w:lineRule="exact"/>
        <w:ind w:firstLine="1680"/>
        <w:rPr>
          <w:rFonts w:ascii="宋体" w:hAnsi="宋体" w:cs="宋体"/>
          <w:color w:val="000000"/>
          <w:szCs w:val="21"/>
          <w:highlight w:val="none"/>
          <w:u w:val="single"/>
        </w:rPr>
      </w:pPr>
    </w:p>
    <w:p w14:paraId="53312F6F">
      <w:pPr>
        <w:spacing w:line="400" w:lineRule="exact"/>
        <w:ind w:firstLine="1890"/>
        <w:rPr>
          <w:rFonts w:ascii="宋体" w:hAnsi="宋体" w:cs="宋体"/>
          <w:color w:val="000000"/>
          <w:highlight w:val="none"/>
        </w:rPr>
      </w:pPr>
      <w:r>
        <w:rPr>
          <w:rFonts w:hint="eastAsia" w:ascii="宋体" w:hAnsi="宋体" w:cs="宋体"/>
          <w:color w:val="000000"/>
          <w:highlight w:val="none"/>
        </w:rPr>
        <w:t xml:space="preserve"> </w:t>
      </w:r>
    </w:p>
    <w:p w14:paraId="617419BF">
      <w:pPr>
        <w:spacing w:line="400" w:lineRule="exact"/>
        <w:ind w:firstLine="1890"/>
        <w:rPr>
          <w:rFonts w:ascii="宋体" w:hAnsi="宋体" w:cs="宋体"/>
          <w:color w:val="000000"/>
          <w:highlight w:val="none"/>
          <w:u w:val="single"/>
        </w:rPr>
      </w:pPr>
      <w:r>
        <w:rPr>
          <w:rFonts w:hint="eastAsia" w:ascii="宋体" w:hAnsi="宋体" w:cs="宋体"/>
          <w:color w:val="000000"/>
          <w:highlight w:val="none"/>
        </w:rPr>
        <w:t>日          期：</w:t>
      </w:r>
      <w:r>
        <w:rPr>
          <w:rFonts w:hint="eastAsia" w:ascii="宋体" w:hAnsi="宋体" w:cs="宋体"/>
          <w:color w:val="000000"/>
          <w:highlight w:val="none"/>
          <w:u w:val="single"/>
        </w:rPr>
        <w:t xml:space="preserve">                                                   </w:t>
      </w:r>
    </w:p>
    <w:p w14:paraId="545248AE">
      <w:pPr>
        <w:pStyle w:val="2"/>
        <w:rPr>
          <w:rFonts w:ascii="宋体" w:hAnsi="宋体" w:cs="宋体"/>
          <w:color w:val="000000"/>
          <w:highlight w:val="none"/>
          <w:u w:val="single"/>
        </w:rPr>
      </w:pPr>
    </w:p>
    <w:p w14:paraId="20B6C2F2">
      <w:pPr>
        <w:pStyle w:val="2"/>
        <w:rPr>
          <w:rFonts w:ascii="宋体" w:hAnsi="宋体" w:cs="宋体"/>
          <w:color w:val="000000"/>
          <w:highlight w:val="none"/>
          <w:u w:val="single"/>
        </w:rPr>
      </w:pPr>
    </w:p>
    <w:p w14:paraId="159994FA">
      <w:pPr>
        <w:pStyle w:val="2"/>
        <w:rPr>
          <w:rFonts w:ascii="宋体" w:hAnsi="宋体" w:cs="宋体"/>
          <w:color w:val="000000"/>
          <w:highlight w:val="none"/>
          <w:u w:val="single"/>
        </w:rPr>
      </w:pPr>
    </w:p>
    <w:p w14:paraId="5471D349">
      <w:pPr>
        <w:pStyle w:val="2"/>
        <w:rPr>
          <w:rFonts w:ascii="宋体" w:hAnsi="宋体" w:cs="宋体"/>
          <w:color w:val="000000"/>
          <w:highlight w:val="none"/>
          <w:u w:val="single"/>
        </w:rPr>
      </w:pPr>
    </w:p>
    <w:p w14:paraId="2AEDBC28">
      <w:pPr>
        <w:pStyle w:val="2"/>
        <w:rPr>
          <w:rFonts w:ascii="宋体" w:hAnsi="宋体" w:cs="宋体"/>
          <w:color w:val="000000"/>
          <w:highlight w:val="none"/>
          <w:u w:val="single"/>
        </w:rPr>
      </w:pPr>
    </w:p>
    <w:p w14:paraId="10978565">
      <w:pPr>
        <w:pStyle w:val="2"/>
        <w:rPr>
          <w:rFonts w:ascii="宋体" w:hAnsi="宋体" w:cs="宋体"/>
          <w:color w:val="000000"/>
          <w:highlight w:val="none"/>
          <w:u w:val="single"/>
        </w:rPr>
      </w:pPr>
    </w:p>
    <w:p w14:paraId="216AABD1">
      <w:pPr>
        <w:ind w:left="-31"/>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6.投标人近半年内任意一个月或任一季度依法缴纳税收的证明材料【增值税发票(税收完税证明)或企业所得税完税证明或税务部门出具的免税证明</w:t>
      </w:r>
      <w:r>
        <w:rPr>
          <w:rFonts w:hint="eastAsia" w:ascii="宋体" w:hAnsi="宋体" w:cs="宋体"/>
          <w:b/>
          <w:bCs/>
          <w:color w:val="000000"/>
          <w:sz w:val="32"/>
          <w:szCs w:val="32"/>
          <w:highlight w:val="none"/>
          <w:lang w:eastAsia="zh-CN"/>
        </w:rPr>
        <w:t>或税务部门出具的无欠税证明</w:t>
      </w:r>
      <w:r>
        <w:rPr>
          <w:rFonts w:hint="eastAsia" w:ascii="宋体" w:hAnsi="宋体" w:cs="宋体"/>
          <w:b/>
          <w:bCs/>
          <w:color w:val="000000"/>
          <w:sz w:val="32"/>
          <w:szCs w:val="32"/>
          <w:highlight w:val="none"/>
        </w:rPr>
        <w:t>】</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 xml:space="preserve">（必须提供）； </w:t>
      </w:r>
    </w:p>
    <w:p w14:paraId="492BC2B2">
      <w:pPr>
        <w:pStyle w:val="2"/>
        <w:ind w:left="-31"/>
        <w:rPr>
          <w:rFonts w:hint="eastAsia" w:ascii="宋体" w:hAnsi="宋体" w:cs="宋体"/>
          <w:b/>
          <w:bCs/>
          <w:color w:val="000000"/>
          <w:sz w:val="32"/>
          <w:szCs w:val="32"/>
          <w:highlight w:val="none"/>
        </w:rPr>
      </w:pPr>
    </w:p>
    <w:p w14:paraId="55040D34">
      <w:pPr>
        <w:rPr>
          <w:rFonts w:hint="eastAsia"/>
          <w:color w:val="000000"/>
          <w:highlight w:val="none"/>
        </w:rPr>
      </w:pPr>
    </w:p>
    <w:p w14:paraId="7C111725">
      <w:pPr>
        <w:pStyle w:val="2"/>
        <w:rPr>
          <w:rFonts w:hint="eastAsia"/>
          <w:color w:val="000000"/>
          <w:highlight w:val="none"/>
        </w:rPr>
      </w:pPr>
    </w:p>
    <w:p w14:paraId="3BB98EE4">
      <w:pPr>
        <w:rPr>
          <w:rFonts w:hint="eastAsia"/>
          <w:color w:val="000000"/>
          <w:highlight w:val="none"/>
        </w:rPr>
      </w:pPr>
    </w:p>
    <w:p w14:paraId="4770EF84">
      <w:pPr>
        <w:pStyle w:val="2"/>
        <w:rPr>
          <w:rFonts w:hint="eastAsia"/>
        </w:rPr>
      </w:pPr>
    </w:p>
    <w:p w14:paraId="264FD3D6">
      <w:pPr>
        <w:pStyle w:val="2"/>
        <w:ind w:left="-31"/>
        <w:rPr>
          <w:rFonts w:hint="eastAsia" w:ascii="宋体" w:hAnsi="宋体" w:cs="宋体"/>
          <w:b/>
          <w:bCs/>
          <w:color w:val="000000"/>
          <w:sz w:val="32"/>
          <w:szCs w:val="32"/>
          <w:highlight w:val="none"/>
        </w:rPr>
      </w:pPr>
    </w:p>
    <w:p w14:paraId="2ABEF114">
      <w:pPr>
        <w:pStyle w:val="2"/>
        <w:rPr>
          <w:rFonts w:hint="eastAsia" w:ascii="宋体" w:hAnsi="宋体" w:cs="宋体"/>
          <w:b/>
          <w:bCs/>
          <w:color w:val="000000"/>
          <w:sz w:val="32"/>
          <w:szCs w:val="32"/>
          <w:highlight w:val="none"/>
          <w:lang w:val="en-US" w:eastAsia="zh-CN"/>
        </w:rPr>
      </w:pPr>
      <w:r>
        <w:rPr>
          <w:rFonts w:hint="eastAsia" w:cs="宋体"/>
          <w:b/>
          <w:bCs/>
          <w:color w:val="000000"/>
          <w:sz w:val="32"/>
          <w:szCs w:val="32"/>
          <w:highlight w:val="none"/>
          <w:lang w:val="en-US" w:eastAsia="zh-CN"/>
        </w:rPr>
        <w:t>7.</w:t>
      </w:r>
      <w:r>
        <w:rPr>
          <w:rFonts w:hint="eastAsia" w:ascii="宋体" w:hAnsi="宋体" w:cs="宋体"/>
          <w:b/>
          <w:bCs/>
          <w:color w:val="000000"/>
          <w:sz w:val="32"/>
          <w:szCs w:val="32"/>
          <w:highlight w:val="none"/>
          <w:lang w:val="en-US" w:eastAsia="zh-CN"/>
        </w:rPr>
        <w:t>《中小企业声明函》（见附件）（除监狱企业及残疾人福利性单位外，必须提供）；</w:t>
      </w:r>
    </w:p>
    <w:p w14:paraId="1082CD5A">
      <w:pPr>
        <w:pStyle w:val="2"/>
        <w:rPr>
          <w:rFonts w:ascii="宋体" w:hAnsi="宋体" w:cs="宋体"/>
          <w:b/>
          <w:bCs/>
          <w:color w:val="000000"/>
          <w:sz w:val="32"/>
          <w:szCs w:val="32"/>
          <w:highlight w:val="none"/>
        </w:rPr>
      </w:pPr>
    </w:p>
    <w:p w14:paraId="57582170">
      <w:pPr>
        <w:pStyle w:val="213"/>
        <w:spacing w:line="440" w:lineRule="exact"/>
        <w:jc w:val="center"/>
        <w:rPr>
          <w:rFonts w:ascii="Times New Roman" w:hAnsi="Times New Roman"/>
          <w:b/>
          <w:bCs/>
          <w:color w:val="000000"/>
          <w:sz w:val="28"/>
          <w:szCs w:val="28"/>
          <w:highlight w:val="none"/>
        </w:rPr>
      </w:pPr>
      <w:r>
        <w:rPr>
          <w:rFonts w:ascii="Times New Roman" w:hAnsi="Times New Roman"/>
          <w:b/>
          <w:bCs/>
          <w:color w:val="000000"/>
          <w:sz w:val="28"/>
          <w:szCs w:val="28"/>
          <w:highlight w:val="none"/>
        </w:rPr>
        <w:t>中小企业声明函</w:t>
      </w:r>
    </w:p>
    <w:p w14:paraId="298B38EA">
      <w:pPr>
        <w:pStyle w:val="213"/>
        <w:spacing w:line="440" w:lineRule="exact"/>
        <w:ind w:firstLine="444"/>
        <w:rPr>
          <w:rFonts w:hint="eastAsia" w:hAnsi="宋体" w:cs="宋体"/>
          <w:color w:val="000000"/>
          <w:spacing w:val="6"/>
          <w:sz w:val="21"/>
          <w:szCs w:val="21"/>
          <w:highlight w:val="none"/>
          <w:lang w:val="en-US" w:eastAsia="zh-CN" w:bidi="ar-SA"/>
        </w:rPr>
      </w:pPr>
      <w:r>
        <w:rPr>
          <w:rFonts w:hint="eastAsia" w:ascii="宋体" w:hAnsi="宋体" w:cs="宋体"/>
          <w:color w:val="000000"/>
          <w:spacing w:val="6"/>
          <w:sz w:val="21"/>
          <w:szCs w:val="21"/>
          <w:highlight w:val="none"/>
          <w:lang w:val="en-US" w:eastAsia="zh-CN" w:bidi="ar-SA"/>
        </w:rPr>
        <w:t>本公司（联合体）郑重声明，根据《政府采购促进中小企业发展管理办法》（财库﹝2020﹞46 号）的规定，本公司（联合体）参加（</w:t>
      </w:r>
      <w:r>
        <w:rPr>
          <w:rFonts w:hint="eastAsia" w:ascii="宋体" w:hAnsi="宋体" w:cs="宋体"/>
          <w:color w:val="000000"/>
          <w:spacing w:val="6"/>
          <w:sz w:val="21"/>
          <w:szCs w:val="21"/>
          <w:highlight w:val="none"/>
          <w:u w:val="single"/>
          <w:lang w:val="en-US" w:eastAsia="zh-CN" w:bidi="ar-SA"/>
        </w:rPr>
        <w:t>单</w:t>
      </w:r>
      <w:r>
        <w:rPr>
          <w:rFonts w:hint="eastAsia" w:hAnsi="宋体" w:cs="宋体"/>
          <w:color w:val="000000"/>
          <w:spacing w:val="6"/>
          <w:sz w:val="21"/>
          <w:szCs w:val="21"/>
          <w:highlight w:val="none"/>
          <w:u w:val="single"/>
          <w:lang w:val="en-US" w:eastAsia="zh-CN" w:bidi="ar-SA"/>
        </w:rPr>
        <w:t xml:space="preserve"> </w:t>
      </w:r>
      <w:r>
        <w:rPr>
          <w:rFonts w:hint="eastAsia" w:ascii="宋体" w:hAnsi="宋体" w:cs="宋体"/>
          <w:color w:val="000000"/>
          <w:spacing w:val="6"/>
          <w:sz w:val="21"/>
          <w:szCs w:val="21"/>
          <w:highlight w:val="none"/>
          <w:u w:val="single"/>
          <w:lang w:val="en-US" w:eastAsia="zh-CN" w:bidi="ar-SA"/>
        </w:rPr>
        <w:t>位</w:t>
      </w:r>
      <w:r>
        <w:rPr>
          <w:rFonts w:hint="eastAsia" w:hAnsi="宋体" w:cs="宋体"/>
          <w:color w:val="000000"/>
          <w:spacing w:val="6"/>
          <w:sz w:val="21"/>
          <w:szCs w:val="21"/>
          <w:highlight w:val="none"/>
          <w:u w:val="single"/>
          <w:lang w:val="en-US" w:eastAsia="zh-CN" w:bidi="ar-SA"/>
        </w:rPr>
        <w:t xml:space="preserve"> </w:t>
      </w:r>
      <w:r>
        <w:rPr>
          <w:rFonts w:hint="eastAsia" w:ascii="宋体" w:hAnsi="宋体" w:cs="宋体"/>
          <w:color w:val="000000"/>
          <w:spacing w:val="6"/>
          <w:sz w:val="21"/>
          <w:szCs w:val="21"/>
          <w:highlight w:val="none"/>
          <w:u w:val="single"/>
          <w:lang w:val="en-US" w:eastAsia="zh-CN" w:bidi="ar-SA"/>
        </w:rPr>
        <w:t>名</w:t>
      </w:r>
      <w:r>
        <w:rPr>
          <w:rFonts w:hint="eastAsia" w:hAnsi="宋体" w:cs="宋体"/>
          <w:color w:val="000000"/>
          <w:spacing w:val="6"/>
          <w:sz w:val="21"/>
          <w:szCs w:val="21"/>
          <w:highlight w:val="none"/>
          <w:u w:val="single"/>
          <w:lang w:val="en-US" w:eastAsia="zh-CN" w:bidi="ar-SA"/>
        </w:rPr>
        <w:t xml:space="preserve"> </w:t>
      </w:r>
      <w:r>
        <w:rPr>
          <w:rFonts w:hint="eastAsia" w:ascii="宋体" w:hAnsi="宋体" w:cs="宋体"/>
          <w:color w:val="000000"/>
          <w:spacing w:val="6"/>
          <w:sz w:val="21"/>
          <w:szCs w:val="21"/>
          <w:highlight w:val="none"/>
          <w:u w:val="single"/>
          <w:lang w:val="en-US" w:eastAsia="zh-CN" w:bidi="ar-SA"/>
        </w:rPr>
        <w:t>称</w:t>
      </w:r>
      <w:r>
        <w:rPr>
          <w:rFonts w:hint="eastAsia" w:ascii="宋体" w:hAnsi="宋体" w:cs="宋体"/>
          <w:color w:val="000000"/>
          <w:spacing w:val="6"/>
          <w:sz w:val="21"/>
          <w:szCs w:val="21"/>
          <w:highlight w:val="none"/>
          <w:lang w:val="en-US" w:eastAsia="zh-CN" w:bidi="ar-SA"/>
        </w:rPr>
        <w:t>）的（</w:t>
      </w:r>
      <w:r>
        <w:rPr>
          <w:rFonts w:hint="eastAsia" w:ascii="宋体" w:hAnsi="宋体" w:cs="宋体"/>
          <w:color w:val="000000"/>
          <w:spacing w:val="6"/>
          <w:sz w:val="21"/>
          <w:szCs w:val="21"/>
          <w:highlight w:val="none"/>
          <w:u w:val="single"/>
          <w:lang w:val="en-US" w:eastAsia="zh-CN" w:bidi="ar-SA"/>
        </w:rPr>
        <w:t>项</w:t>
      </w:r>
      <w:r>
        <w:rPr>
          <w:rFonts w:hint="eastAsia" w:hAnsi="宋体" w:cs="宋体"/>
          <w:color w:val="000000"/>
          <w:spacing w:val="6"/>
          <w:sz w:val="21"/>
          <w:szCs w:val="21"/>
          <w:highlight w:val="none"/>
          <w:u w:val="single"/>
          <w:lang w:val="en-US" w:eastAsia="zh-CN" w:bidi="ar-SA"/>
        </w:rPr>
        <w:t xml:space="preserve"> </w:t>
      </w:r>
      <w:r>
        <w:rPr>
          <w:rFonts w:hint="eastAsia" w:ascii="宋体" w:hAnsi="宋体" w:cs="宋体"/>
          <w:color w:val="000000"/>
          <w:spacing w:val="6"/>
          <w:sz w:val="21"/>
          <w:szCs w:val="21"/>
          <w:highlight w:val="none"/>
          <w:u w:val="single"/>
          <w:lang w:val="en-US" w:eastAsia="zh-CN" w:bidi="ar-SA"/>
        </w:rPr>
        <w:t>目</w:t>
      </w:r>
      <w:r>
        <w:rPr>
          <w:rFonts w:hint="eastAsia" w:hAnsi="宋体" w:cs="宋体"/>
          <w:color w:val="000000"/>
          <w:spacing w:val="6"/>
          <w:sz w:val="21"/>
          <w:szCs w:val="21"/>
          <w:highlight w:val="none"/>
          <w:u w:val="single"/>
          <w:lang w:val="en-US" w:eastAsia="zh-CN" w:bidi="ar-SA"/>
        </w:rPr>
        <w:t xml:space="preserve"> </w:t>
      </w:r>
      <w:r>
        <w:rPr>
          <w:rFonts w:hint="eastAsia" w:ascii="宋体" w:hAnsi="宋体" w:cs="宋体"/>
          <w:color w:val="000000"/>
          <w:spacing w:val="6"/>
          <w:sz w:val="21"/>
          <w:szCs w:val="21"/>
          <w:highlight w:val="none"/>
          <w:u w:val="single"/>
          <w:lang w:val="en-US" w:eastAsia="zh-CN" w:bidi="ar-SA"/>
        </w:rPr>
        <w:t>名</w:t>
      </w:r>
      <w:r>
        <w:rPr>
          <w:rFonts w:hint="eastAsia" w:hAnsi="宋体" w:cs="宋体"/>
          <w:color w:val="000000"/>
          <w:spacing w:val="6"/>
          <w:sz w:val="21"/>
          <w:szCs w:val="21"/>
          <w:highlight w:val="none"/>
          <w:u w:val="single"/>
          <w:lang w:val="en-US" w:eastAsia="zh-CN" w:bidi="ar-SA"/>
        </w:rPr>
        <w:t xml:space="preserve"> </w:t>
      </w:r>
      <w:r>
        <w:rPr>
          <w:rFonts w:hint="eastAsia" w:ascii="宋体" w:hAnsi="宋体" w:cs="宋体"/>
          <w:color w:val="000000"/>
          <w:spacing w:val="6"/>
          <w:sz w:val="21"/>
          <w:szCs w:val="21"/>
          <w:highlight w:val="none"/>
          <w:u w:val="single"/>
          <w:lang w:val="en-US" w:eastAsia="zh-CN" w:bidi="ar-SA"/>
        </w:rPr>
        <w:t>称</w:t>
      </w:r>
      <w:r>
        <w:rPr>
          <w:rFonts w:hint="eastAsia" w:ascii="宋体" w:hAnsi="宋体" w:cs="宋体"/>
          <w:color w:val="000000"/>
          <w:spacing w:val="6"/>
          <w:sz w:val="21"/>
          <w:szCs w:val="21"/>
          <w:highlight w:val="none"/>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hAnsi="宋体" w:cs="宋体"/>
          <w:color w:val="000000"/>
          <w:spacing w:val="6"/>
          <w:sz w:val="21"/>
          <w:szCs w:val="21"/>
          <w:highlight w:val="none"/>
          <w:lang w:val="en-US" w:eastAsia="zh-CN" w:bidi="ar-SA"/>
        </w:rPr>
        <w:t>：</w:t>
      </w:r>
    </w:p>
    <w:p w14:paraId="40D773C4">
      <w:pPr>
        <w:pStyle w:val="213"/>
        <w:numPr>
          <w:ilvl w:val="0"/>
          <w:numId w:val="0"/>
        </w:numPr>
        <w:spacing w:line="440" w:lineRule="exact"/>
        <w:ind w:firstLine="444"/>
        <w:rPr>
          <w:rFonts w:hint="eastAsia"/>
          <w:color w:val="000000"/>
          <w:sz w:val="21"/>
          <w:szCs w:val="21"/>
          <w:highlight w:val="none"/>
          <w:lang w:val="en-US" w:eastAsia="zh-CN"/>
        </w:rPr>
      </w:pPr>
      <w:r>
        <w:rPr>
          <w:rFonts w:hint="eastAsia" w:hAnsi="宋体" w:cs="宋体"/>
          <w:color w:val="000000"/>
          <w:spacing w:val="6"/>
          <w:sz w:val="21"/>
          <w:szCs w:val="21"/>
          <w:highlight w:val="none"/>
          <w:u w:val="none"/>
          <w:lang w:val="en-US" w:eastAsia="zh-CN" w:bidi="ar-SA"/>
        </w:rPr>
        <w:t>1.</w:t>
      </w:r>
      <w:r>
        <w:rPr>
          <w:rFonts w:hint="eastAsia" w:hAnsi="宋体" w:cs="宋体"/>
          <w:color w:val="000000"/>
          <w:spacing w:val="6"/>
          <w:sz w:val="21"/>
          <w:szCs w:val="21"/>
          <w:highlight w:val="none"/>
          <w:u w:val="single"/>
          <w:lang w:val="en-US" w:eastAsia="zh-CN" w:bidi="ar-SA"/>
        </w:rPr>
        <w:t xml:space="preserve">（标的名称） </w:t>
      </w:r>
      <w:r>
        <w:rPr>
          <w:rFonts w:hint="eastAsia" w:hAnsi="宋体" w:cs="宋体"/>
          <w:color w:val="000000"/>
          <w:spacing w:val="6"/>
          <w:sz w:val="21"/>
          <w:szCs w:val="21"/>
          <w:highlight w:val="none"/>
          <w:lang w:val="en-US" w:eastAsia="zh-CN" w:bidi="ar-SA"/>
        </w:rPr>
        <w:t>，属于</w:t>
      </w:r>
      <w:r>
        <w:rPr>
          <w:rFonts w:hint="eastAsia" w:hAnsi="宋体" w:cs="宋体"/>
          <w:color w:val="000000"/>
          <w:spacing w:val="6"/>
          <w:sz w:val="21"/>
          <w:szCs w:val="21"/>
          <w:highlight w:val="none"/>
          <w:u w:val="single"/>
          <w:lang w:val="en-US" w:eastAsia="zh-CN" w:bidi="ar-SA"/>
        </w:rPr>
        <w:t>（采购文件中明确的所属行业）</w:t>
      </w:r>
      <w:r>
        <w:rPr>
          <w:rFonts w:hint="eastAsia" w:hAnsi="宋体" w:cs="宋体"/>
          <w:color w:val="000000"/>
          <w:spacing w:val="6"/>
          <w:sz w:val="21"/>
          <w:szCs w:val="21"/>
          <w:highlight w:val="none"/>
          <w:lang w:val="en-US" w:eastAsia="zh-CN" w:bidi="ar-SA"/>
        </w:rPr>
        <w:t>； 承建（承接）企业为（</w:t>
      </w:r>
      <w:r>
        <w:rPr>
          <w:rFonts w:hint="eastAsia" w:hAnsi="宋体" w:cs="宋体"/>
          <w:color w:val="000000"/>
          <w:spacing w:val="6"/>
          <w:sz w:val="21"/>
          <w:szCs w:val="21"/>
          <w:highlight w:val="none"/>
          <w:u w:val="single"/>
          <w:lang w:val="en-US" w:eastAsia="zh-CN" w:bidi="ar-SA"/>
        </w:rPr>
        <w:t>企业名称</w:t>
      </w:r>
      <w:r>
        <w:rPr>
          <w:rFonts w:hint="eastAsia" w:hAnsi="宋体" w:cs="宋体"/>
          <w:color w:val="000000"/>
          <w:spacing w:val="6"/>
          <w:sz w:val="21"/>
          <w:szCs w:val="21"/>
          <w:highlight w:val="none"/>
          <w:lang w:val="en-US" w:eastAsia="zh-CN" w:bidi="ar-SA"/>
        </w:rPr>
        <w:t>），从业人员</w:t>
      </w:r>
      <w:r>
        <w:rPr>
          <w:rFonts w:hint="eastAsia" w:hAnsi="宋体" w:cs="宋体"/>
          <w:color w:val="000000"/>
          <w:spacing w:val="6"/>
          <w:sz w:val="21"/>
          <w:szCs w:val="21"/>
          <w:highlight w:val="none"/>
          <w:u w:val="single"/>
          <w:lang w:val="en-US" w:eastAsia="zh-CN" w:bidi="ar-SA"/>
        </w:rPr>
        <w:t xml:space="preserve">   </w:t>
      </w:r>
      <w:r>
        <w:rPr>
          <w:rFonts w:hint="eastAsia" w:hAnsi="宋体" w:cs="宋体"/>
          <w:color w:val="000000"/>
          <w:spacing w:val="6"/>
          <w:sz w:val="21"/>
          <w:szCs w:val="21"/>
          <w:highlight w:val="none"/>
          <w:lang w:val="en-US" w:eastAsia="zh-CN" w:bidi="ar-SA"/>
        </w:rPr>
        <w:t>人，营业 收入为</w:t>
      </w:r>
      <w:r>
        <w:rPr>
          <w:rFonts w:hint="eastAsia" w:hAnsi="宋体" w:cs="宋体"/>
          <w:color w:val="000000"/>
          <w:spacing w:val="6"/>
          <w:sz w:val="21"/>
          <w:szCs w:val="21"/>
          <w:highlight w:val="none"/>
          <w:u w:val="single"/>
          <w:lang w:val="en-US" w:eastAsia="zh-CN" w:bidi="ar-SA"/>
        </w:rPr>
        <w:t xml:space="preserve">  </w:t>
      </w:r>
      <w:r>
        <w:rPr>
          <w:rFonts w:hint="eastAsia" w:hAnsi="宋体" w:cs="宋体"/>
          <w:color w:val="000000"/>
          <w:spacing w:val="6"/>
          <w:sz w:val="21"/>
          <w:szCs w:val="21"/>
          <w:highlight w:val="none"/>
          <w:lang w:val="en-US" w:eastAsia="zh-CN" w:bidi="ar-SA"/>
        </w:rPr>
        <w:t>万元，资产总额为</w:t>
      </w:r>
      <w:r>
        <w:rPr>
          <w:rFonts w:hint="eastAsia" w:hAnsi="宋体" w:cs="宋体"/>
          <w:color w:val="000000"/>
          <w:spacing w:val="6"/>
          <w:sz w:val="21"/>
          <w:szCs w:val="21"/>
          <w:highlight w:val="none"/>
          <w:u w:val="single"/>
          <w:lang w:val="en-US" w:eastAsia="zh-CN" w:bidi="ar-SA"/>
        </w:rPr>
        <w:t xml:space="preserve">  </w:t>
      </w:r>
      <w:r>
        <w:rPr>
          <w:rFonts w:hint="eastAsia" w:hAnsi="宋体" w:cs="宋体"/>
          <w:color w:val="000000"/>
          <w:spacing w:val="6"/>
          <w:sz w:val="21"/>
          <w:szCs w:val="21"/>
          <w:highlight w:val="none"/>
          <w:lang w:val="en-US" w:eastAsia="zh-CN" w:bidi="ar-SA"/>
        </w:rPr>
        <w:t>万元，属于（</w:t>
      </w:r>
      <w:r>
        <w:rPr>
          <w:rFonts w:hint="eastAsia" w:hAnsi="宋体" w:cs="宋体"/>
          <w:color w:val="000000"/>
          <w:spacing w:val="6"/>
          <w:sz w:val="21"/>
          <w:szCs w:val="21"/>
          <w:highlight w:val="none"/>
          <w:u w:val="single"/>
          <w:lang w:val="en-US" w:eastAsia="zh-CN" w:bidi="ar-SA"/>
        </w:rPr>
        <w:t>中型企业、 小型企业、微型企业</w:t>
      </w:r>
      <w:r>
        <w:rPr>
          <w:rFonts w:hint="eastAsia" w:hAnsi="宋体" w:cs="宋体"/>
          <w:color w:val="000000"/>
          <w:spacing w:val="6"/>
          <w:sz w:val="21"/>
          <w:szCs w:val="21"/>
          <w:highlight w:val="none"/>
          <w:lang w:val="en-US" w:eastAsia="zh-CN" w:bidi="ar-SA"/>
        </w:rPr>
        <w:t>）</w:t>
      </w:r>
    </w:p>
    <w:p w14:paraId="47407648">
      <w:pPr>
        <w:keepNext w:val="0"/>
        <w:keepLines w:val="0"/>
        <w:widowControl/>
        <w:suppressLineNumbers w:val="0"/>
        <w:ind w:firstLine="444"/>
        <w:jc w:val="left"/>
        <w:rPr>
          <w:rFonts w:hint="eastAsia" w:ascii="宋体" w:hAnsi="宋体" w:cs="宋体"/>
          <w:color w:val="000000"/>
          <w:spacing w:val="6"/>
          <w:sz w:val="21"/>
          <w:szCs w:val="21"/>
          <w:highlight w:val="none"/>
          <w:u w:val="none"/>
          <w:lang w:val="en-US" w:eastAsia="zh-CN" w:bidi="ar-SA"/>
        </w:rPr>
      </w:pPr>
      <w:r>
        <w:rPr>
          <w:rFonts w:hint="eastAsia" w:ascii="宋体" w:hAnsi="宋体" w:cs="宋体"/>
          <w:color w:val="000000"/>
          <w:spacing w:val="6"/>
          <w:sz w:val="21"/>
          <w:szCs w:val="21"/>
          <w:highlight w:val="none"/>
          <w:u w:val="none"/>
          <w:lang w:val="en-US" w:eastAsia="zh-CN" w:bidi="ar-SA"/>
        </w:rPr>
        <w:t>2.</w:t>
      </w:r>
      <w:r>
        <w:rPr>
          <w:rFonts w:hint="eastAsia" w:ascii="宋体" w:hAnsi="宋体" w:cs="宋体"/>
          <w:color w:val="000000"/>
          <w:spacing w:val="6"/>
          <w:sz w:val="21"/>
          <w:szCs w:val="21"/>
          <w:highlight w:val="none"/>
          <w:u w:val="single"/>
          <w:lang w:val="en-US" w:eastAsia="zh-CN" w:bidi="ar-SA"/>
        </w:rPr>
        <w:t xml:space="preserve">（标的名称） </w:t>
      </w:r>
      <w:r>
        <w:rPr>
          <w:rFonts w:hint="eastAsia" w:ascii="宋体" w:hAnsi="宋体" w:cs="宋体"/>
          <w:color w:val="000000"/>
          <w:spacing w:val="6"/>
          <w:sz w:val="21"/>
          <w:szCs w:val="21"/>
          <w:highlight w:val="none"/>
          <w:u w:val="none"/>
          <w:lang w:val="en-US" w:eastAsia="zh-CN" w:bidi="ar-SA"/>
        </w:rPr>
        <w:t>，属于</w:t>
      </w:r>
      <w:r>
        <w:rPr>
          <w:rFonts w:hint="eastAsia" w:ascii="宋体" w:hAnsi="宋体" w:cs="宋体"/>
          <w:color w:val="000000"/>
          <w:spacing w:val="6"/>
          <w:sz w:val="21"/>
          <w:szCs w:val="21"/>
          <w:highlight w:val="none"/>
          <w:u w:val="single"/>
          <w:lang w:val="en-US" w:eastAsia="zh-CN" w:bidi="ar-SA"/>
        </w:rPr>
        <w:t>（采购文件中明确的所属行业）</w:t>
      </w:r>
      <w:r>
        <w:rPr>
          <w:rFonts w:hint="eastAsia" w:ascii="宋体" w:hAnsi="宋体" w:cs="宋体"/>
          <w:color w:val="000000"/>
          <w:spacing w:val="6"/>
          <w:sz w:val="21"/>
          <w:szCs w:val="21"/>
          <w:highlight w:val="none"/>
          <w:u w:val="none"/>
          <w:lang w:val="en-US" w:eastAsia="zh-CN" w:bidi="ar-SA"/>
        </w:rPr>
        <w:t>；承建（承接）企业为（</w:t>
      </w:r>
      <w:r>
        <w:rPr>
          <w:rFonts w:hint="eastAsia" w:ascii="宋体" w:hAnsi="宋体" w:cs="宋体"/>
          <w:color w:val="000000"/>
          <w:spacing w:val="6"/>
          <w:sz w:val="21"/>
          <w:szCs w:val="21"/>
          <w:highlight w:val="none"/>
          <w:u w:val="single"/>
          <w:lang w:val="en-US" w:eastAsia="zh-CN" w:bidi="ar-SA"/>
        </w:rPr>
        <w:t>企业名称</w:t>
      </w:r>
      <w:r>
        <w:rPr>
          <w:rFonts w:hint="eastAsia" w:ascii="宋体" w:hAnsi="宋体" w:cs="宋体"/>
          <w:color w:val="000000"/>
          <w:spacing w:val="6"/>
          <w:sz w:val="21"/>
          <w:szCs w:val="21"/>
          <w:highlight w:val="none"/>
          <w:u w:val="none"/>
          <w:lang w:val="en-US" w:eastAsia="zh-CN" w:bidi="ar-SA"/>
        </w:rPr>
        <w:t>），从业人员</w:t>
      </w:r>
      <w:r>
        <w:rPr>
          <w:rFonts w:hint="eastAsia" w:ascii="宋体" w:hAnsi="宋体" w:cs="宋体"/>
          <w:color w:val="000000"/>
          <w:spacing w:val="6"/>
          <w:sz w:val="21"/>
          <w:szCs w:val="21"/>
          <w:highlight w:val="none"/>
          <w:u w:val="single"/>
          <w:lang w:val="en-US" w:eastAsia="zh-CN" w:bidi="ar-SA"/>
        </w:rPr>
        <w:t xml:space="preserve">  </w:t>
      </w:r>
      <w:r>
        <w:rPr>
          <w:rFonts w:hint="eastAsia" w:ascii="宋体" w:hAnsi="宋体" w:cs="宋体"/>
          <w:color w:val="000000"/>
          <w:spacing w:val="6"/>
          <w:sz w:val="21"/>
          <w:szCs w:val="21"/>
          <w:highlight w:val="none"/>
          <w:u w:val="none"/>
          <w:lang w:val="en-US" w:eastAsia="zh-CN" w:bidi="ar-SA"/>
        </w:rPr>
        <w:t>人，营业收入为</w:t>
      </w:r>
      <w:r>
        <w:rPr>
          <w:rFonts w:hint="eastAsia" w:ascii="宋体" w:hAnsi="宋体" w:cs="宋体"/>
          <w:color w:val="000000"/>
          <w:spacing w:val="6"/>
          <w:sz w:val="21"/>
          <w:szCs w:val="21"/>
          <w:highlight w:val="none"/>
          <w:u w:val="single"/>
          <w:lang w:val="en-US" w:eastAsia="zh-CN" w:bidi="ar-SA"/>
        </w:rPr>
        <w:t xml:space="preserve">  </w:t>
      </w:r>
      <w:r>
        <w:rPr>
          <w:rFonts w:hint="eastAsia" w:ascii="宋体" w:hAnsi="宋体" w:cs="宋体"/>
          <w:color w:val="000000"/>
          <w:spacing w:val="6"/>
          <w:sz w:val="21"/>
          <w:szCs w:val="21"/>
          <w:highlight w:val="none"/>
          <w:u w:val="none"/>
          <w:lang w:val="en-US" w:eastAsia="zh-CN" w:bidi="ar-SA"/>
        </w:rPr>
        <w:t>万元，资产总额为</w:t>
      </w:r>
      <w:r>
        <w:rPr>
          <w:rFonts w:hint="eastAsia" w:ascii="宋体" w:hAnsi="宋体" w:cs="宋体"/>
          <w:color w:val="000000"/>
          <w:spacing w:val="6"/>
          <w:sz w:val="21"/>
          <w:szCs w:val="21"/>
          <w:highlight w:val="none"/>
          <w:u w:val="single"/>
          <w:lang w:val="en-US" w:eastAsia="zh-CN" w:bidi="ar-SA"/>
        </w:rPr>
        <w:t xml:space="preserve">  </w:t>
      </w:r>
      <w:r>
        <w:rPr>
          <w:rFonts w:hint="eastAsia" w:ascii="宋体" w:hAnsi="宋体" w:cs="宋体"/>
          <w:color w:val="000000"/>
          <w:spacing w:val="6"/>
          <w:sz w:val="21"/>
          <w:szCs w:val="21"/>
          <w:highlight w:val="none"/>
          <w:u w:val="none"/>
          <w:lang w:val="en-US" w:eastAsia="zh-CN" w:bidi="ar-SA"/>
        </w:rPr>
        <w:t>万元，属于（</w:t>
      </w:r>
      <w:r>
        <w:rPr>
          <w:rFonts w:hint="eastAsia" w:ascii="宋体" w:hAnsi="宋体" w:cs="宋体"/>
          <w:color w:val="000000"/>
          <w:spacing w:val="6"/>
          <w:sz w:val="21"/>
          <w:szCs w:val="21"/>
          <w:highlight w:val="none"/>
          <w:u w:val="single"/>
          <w:lang w:val="en-US" w:eastAsia="zh-CN" w:bidi="ar-SA"/>
        </w:rPr>
        <w:t>中型企业、 小型企业、微型企业</w:t>
      </w:r>
      <w:r>
        <w:rPr>
          <w:rFonts w:hint="eastAsia" w:ascii="宋体" w:hAnsi="宋体" w:cs="宋体"/>
          <w:color w:val="000000"/>
          <w:spacing w:val="6"/>
          <w:sz w:val="21"/>
          <w:szCs w:val="21"/>
          <w:highlight w:val="none"/>
          <w:u w:val="none"/>
          <w:lang w:val="en-US" w:eastAsia="zh-CN" w:bidi="ar-SA"/>
        </w:rPr>
        <w:t>）；</w:t>
      </w:r>
    </w:p>
    <w:p w14:paraId="26549AB9">
      <w:pPr>
        <w:pStyle w:val="201"/>
        <w:ind w:left="0" w:firstLine="0"/>
        <w:rPr>
          <w:rFonts w:hint="eastAsia"/>
          <w:color w:val="000000"/>
          <w:sz w:val="21"/>
          <w:szCs w:val="21"/>
          <w:highlight w:val="none"/>
          <w:lang w:val="en-US" w:eastAsia="zh-CN"/>
        </w:rPr>
      </w:pPr>
      <w:r>
        <w:rPr>
          <w:rFonts w:hint="eastAsia"/>
          <w:color w:val="000000"/>
          <w:sz w:val="21"/>
          <w:szCs w:val="21"/>
          <w:highlight w:val="none"/>
          <w:lang w:val="en-US" w:eastAsia="zh-CN"/>
        </w:rPr>
        <w:t>……</w:t>
      </w:r>
    </w:p>
    <w:p w14:paraId="2A808974">
      <w:pPr>
        <w:keepNext w:val="0"/>
        <w:keepLines w:val="0"/>
        <w:widowControl/>
        <w:suppressLineNumbers w:val="0"/>
        <w:jc w:val="left"/>
        <w:rPr>
          <w:rFonts w:hint="eastAsia" w:ascii="宋体" w:hAnsi="宋体" w:cs="宋体"/>
          <w:color w:val="000000"/>
          <w:spacing w:val="6"/>
          <w:sz w:val="21"/>
          <w:szCs w:val="21"/>
          <w:highlight w:val="none"/>
          <w:lang w:val="en-US" w:eastAsia="zh-CN" w:bidi="ar-SA"/>
        </w:rPr>
      </w:pPr>
      <w:r>
        <w:rPr>
          <w:rFonts w:hint="eastAsia" w:ascii="宋体" w:hAnsi="宋体" w:cs="宋体"/>
          <w:color w:val="000000"/>
          <w:spacing w:val="6"/>
          <w:sz w:val="21"/>
          <w:szCs w:val="21"/>
          <w:highlight w:val="none"/>
          <w:lang w:val="en-US" w:eastAsia="zh-CN" w:bidi="ar-SA"/>
        </w:rPr>
        <w:t>以上企业，不属于大企业的分支机构，不存在控股股东为大企业的情形，也不存在与大企业的负责人为同一人的情形。</w:t>
      </w:r>
    </w:p>
    <w:p w14:paraId="0474FC5B">
      <w:pPr>
        <w:keepNext w:val="0"/>
        <w:keepLines w:val="0"/>
        <w:widowControl/>
        <w:suppressLineNumbers w:val="0"/>
        <w:jc w:val="left"/>
        <w:rPr>
          <w:rFonts w:hint="eastAsia" w:ascii="宋体" w:hAnsi="宋体" w:cs="宋体"/>
          <w:color w:val="000000"/>
          <w:spacing w:val="6"/>
          <w:sz w:val="21"/>
          <w:szCs w:val="21"/>
          <w:highlight w:val="none"/>
          <w:lang w:val="en-US" w:eastAsia="zh-CN" w:bidi="ar-SA"/>
        </w:rPr>
      </w:pPr>
      <w:r>
        <w:rPr>
          <w:rFonts w:hint="eastAsia" w:ascii="宋体" w:hAnsi="宋体" w:cs="宋体"/>
          <w:color w:val="000000"/>
          <w:spacing w:val="6"/>
          <w:sz w:val="21"/>
          <w:szCs w:val="21"/>
          <w:highlight w:val="none"/>
          <w:lang w:val="en-US" w:eastAsia="zh-CN" w:bidi="ar-SA"/>
        </w:rPr>
        <w:t xml:space="preserve">本企业对上述声明内容的真实性负责。如有虚假，将依法承担相应责任。 </w:t>
      </w:r>
    </w:p>
    <w:p w14:paraId="6755C170">
      <w:pPr>
        <w:pStyle w:val="288"/>
        <w:spacing w:after="40" w:line="400" w:lineRule="exact"/>
        <w:ind w:firstLine="640"/>
        <w:jc w:val="both"/>
        <w:rPr>
          <w:rFonts w:hint="eastAsia"/>
          <w:color w:val="000000"/>
          <w:sz w:val="24"/>
          <w:szCs w:val="24"/>
          <w:highlight w:val="none"/>
        </w:rPr>
      </w:pPr>
    </w:p>
    <w:p w14:paraId="1D978E8F">
      <w:pPr>
        <w:pStyle w:val="288"/>
        <w:spacing w:line="400" w:lineRule="exact"/>
        <w:ind w:firstLine="640"/>
        <w:jc w:val="both"/>
        <w:rPr>
          <w:rFonts w:hint="eastAsia" w:ascii="宋体" w:hAnsi="宋体" w:eastAsia="宋体" w:cs="宋体"/>
          <w:color w:val="000000"/>
          <w:spacing w:val="6"/>
          <w:sz w:val="21"/>
          <w:szCs w:val="21"/>
          <w:highlight w:val="none"/>
          <w:lang w:val="en-US" w:eastAsia="zh-CN" w:bidi="ar-SA"/>
        </w:rPr>
      </w:pPr>
      <w:r>
        <w:rPr>
          <w:rFonts w:hint="eastAsia"/>
          <w:color w:val="000000"/>
          <w:sz w:val="24"/>
          <w:szCs w:val="24"/>
          <w:highlight w:val="none"/>
        </w:rPr>
        <w:t xml:space="preserve">                        </w:t>
      </w:r>
      <w:r>
        <w:rPr>
          <w:rFonts w:hint="eastAsia"/>
          <w:color w:val="000000"/>
          <w:sz w:val="24"/>
          <w:szCs w:val="24"/>
          <w:highlight w:val="none"/>
          <w:lang w:val="en-US" w:eastAsia="zh-CN"/>
        </w:rPr>
        <w:t xml:space="preserve">  </w:t>
      </w:r>
      <w:r>
        <w:rPr>
          <w:rFonts w:hint="eastAsia" w:ascii="宋体" w:hAnsi="宋体" w:eastAsia="宋体" w:cs="宋体"/>
          <w:color w:val="000000"/>
          <w:spacing w:val="6"/>
          <w:sz w:val="21"/>
          <w:szCs w:val="21"/>
          <w:highlight w:val="none"/>
          <w:lang w:val="en-US" w:eastAsia="zh-CN" w:bidi="ar-SA"/>
        </w:rPr>
        <w:t xml:space="preserve">                        企业名称[盖公章（CA签章）]：</w:t>
      </w:r>
    </w:p>
    <w:p w14:paraId="05578A4F">
      <w:pPr>
        <w:pStyle w:val="288"/>
        <w:spacing w:line="400" w:lineRule="exact"/>
        <w:ind w:firstLine="640"/>
        <w:jc w:val="both"/>
        <w:rPr>
          <w:rFonts w:hint="eastAsia" w:ascii="宋体" w:hAnsi="宋体" w:eastAsia="宋体" w:cs="宋体"/>
          <w:color w:val="000000"/>
          <w:spacing w:val="6"/>
          <w:sz w:val="21"/>
          <w:szCs w:val="21"/>
          <w:highlight w:val="none"/>
          <w:lang w:val="en-US" w:eastAsia="zh-CN" w:bidi="ar-SA"/>
        </w:rPr>
      </w:pPr>
      <w:r>
        <w:rPr>
          <w:rFonts w:hint="eastAsia" w:ascii="宋体" w:hAnsi="宋体" w:eastAsia="宋体" w:cs="宋体"/>
          <w:color w:val="000000"/>
          <w:spacing w:val="6"/>
          <w:sz w:val="21"/>
          <w:szCs w:val="21"/>
          <w:highlight w:val="none"/>
          <w:lang w:val="en-US" w:eastAsia="zh-CN" w:bidi="ar-SA"/>
        </w:rPr>
        <w:t xml:space="preserve">                                                   日期：</w:t>
      </w:r>
    </w:p>
    <w:p w14:paraId="51987059">
      <w:pPr>
        <w:pStyle w:val="213"/>
        <w:numPr>
          <w:ilvl w:val="0"/>
          <w:numId w:val="0"/>
        </w:numPr>
        <w:spacing w:line="440" w:lineRule="exact"/>
        <w:ind w:firstLine="422"/>
        <w:rPr>
          <w:rFonts w:hAnsi="宋体" w:cs="宋体"/>
          <w:b/>
          <w:color w:val="000000"/>
          <w:sz w:val="21"/>
          <w:szCs w:val="21"/>
          <w:highlight w:val="none"/>
        </w:rPr>
      </w:pPr>
      <w:r>
        <w:rPr>
          <w:rFonts w:ascii="宋体" w:hAnsi="宋体" w:cs="宋体"/>
          <w:b/>
          <w:color w:val="000000"/>
          <w:sz w:val="21"/>
          <w:szCs w:val="21"/>
          <w:lang w:val="en-US" w:eastAsia="zh-CN" w:bidi="ar-SA"/>
        </w:rPr>
        <w:t>1、</w:t>
      </w:r>
      <w:r>
        <w:rPr>
          <w:rFonts w:hint="eastAsia" w:hAnsi="宋体" w:cs="宋体"/>
          <w:b/>
          <w:bCs/>
          <w:color w:val="000000"/>
          <w:sz w:val="21"/>
          <w:szCs w:val="21"/>
          <w:highlight w:val="none"/>
        </w:rPr>
        <w:t>注：</w:t>
      </w:r>
      <w:r>
        <w:rPr>
          <w:rFonts w:hint="eastAsia" w:hAnsi="宋体" w:cs="宋体"/>
          <w:b/>
          <w:bCs/>
          <w:color w:val="000000"/>
          <w:sz w:val="21"/>
          <w:szCs w:val="21"/>
          <w:highlight w:val="none"/>
          <w:lang w:val="en-US" w:eastAsia="zh-CN"/>
        </w:rPr>
        <w:t>从业人员、营业收入、资产总额填报上一年度数据，无上一年度数据的新成立企业可不填报。</w:t>
      </w:r>
    </w:p>
    <w:p w14:paraId="412A5C88">
      <w:pPr>
        <w:pStyle w:val="201"/>
        <w:rPr>
          <w:rFonts w:hint="eastAsia" w:hAnsi="宋体" w:cs="宋体"/>
          <w:b/>
          <w:bCs/>
          <w:color w:val="000000"/>
          <w:sz w:val="21"/>
          <w:szCs w:val="21"/>
          <w:highlight w:val="none"/>
          <w:lang w:val="en-US" w:eastAsia="zh-CN"/>
        </w:rPr>
      </w:pPr>
    </w:p>
    <w:p w14:paraId="71FDA9DA">
      <w:pPr>
        <w:rPr>
          <w:color w:val="000000"/>
          <w:highlight w:val="none"/>
        </w:rPr>
      </w:pPr>
    </w:p>
    <w:p w14:paraId="6ED7AF8C">
      <w:pPr>
        <w:rPr>
          <w:rFonts w:ascii="宋体" w:hAnsi="宋体" w:cs="宋体"/>
          <w:b/>
          <w:bCs/>
          <w:color w:val="000000"/>
          <w:sz w:val="32"/>
          <w:szCs w:val="32"/>
          <w:highlight w:val="none"/>
        </w:rPr>
      </w:pPr>
    </w:p>
    <w:p w14:paraId="5EFF9DF5">
      <w:pPr>
        <w:numPr>
          <w:ilvl w:val="0"/>
          <w:numId w:val="8"/>
        </w:numPr>
        <w:rPr>
          <w:rFonts w:hint="eastAsia" w:ascii="宋体" w:hAnsi="宋体" w:cs="宋体"/>
          <w:b/>
          <w:bCs/>
          <w:color w:val="000000"/>
          <w:sz w:val="32"/>
          <w:szCs w:val="32"/>
          <w:highlight w:val="none"/>
          <w:lang w:val="en-US" w:eastAsia="zh-CN"/>
        </w:rPr>
      </w:pPr>
      <w:r>
        <w:rPr>
          <w:rFonts w:hint="eastAsia" w:ascii="宋体" w:hAnsi="宋体" w:cs="宋体"/>
          <w:b/>
          <w:bCs/>
          <w:color w:val="000000"/>
          <w:sz w:val="32"/>
          <w:szCs w:val="32"/>
          <w:highlight w:val="none"/>
          <w:lang w:val="en-US" w:eastAsia="zh-CN"/>
        </w:rPr>
        <w:t>如提供服务的供应商属于监狱企业的，应当提供由省级以上监狱管理局、戒毒管理局等（含新疆生产建设兵团）出具的属于监狱企业的证明文件, 否则不予享受优惠政策（如供应商属于监狱企业的，则必须提供）；</w:t>
      </w:r>
    </w:p>
    <w:p w14:paraId="04EF0B5E">
      <w:pPr>
        <w:pStyle w:val="2"/>
        <w:widowControl w:val="0"/>
        <w:numPr>
          <w:ilvl w:val="0"/>
          <w:numId w:val="0"/>
        </w:numPr>
        <w:rPr>
          <w:rFonts w:hint="eastAsia"/>
          <w:color w:val="000000"/>
          <w:highlight w:val="none"/>
          <w:lang w:val="en-US" w:eastAsia="zh-CN"/>
        </w:rPr>
      </w:pPr>
    </w:p>
    <w:p w14:paraId="68E878E6">
      <w:pPr>
        <w:pStyle w:val="2"/>
        <w:widowControl w:val="0"/>
        <w:numPr>
          <w:ilvl w:val="0"/>
          <w:numId w:val="0"/>
        </w:numPr>
        <w:rPr>
          <w:rFonts w:hint="eastAsia"/>
          <w:color w:val="000000"/>
          <w:highlight w:val="none"/>
          <w:lang w:val="en-US" w:eastAsia="zh-CN"/>
        </w:rPr>
      </w:pPr>
    </w:p>
    <w:p w14:paraId="0360F1E0">
      <w:pPr>
        <w:rPr>
          <w:rFonts w:hint="eastAsia"/>
          <w:color w:val="000000"/>
          <w:highlight w:val="none"/>
          <w:lang w:val="en-US" w:eastAsia="zh-CN"/>
        </w:rPr>
      </w:pPr>
    </w:p>
    <w:p w14:paraId="2AEFDC41">
      <w:pPr>
        <w:pStyle w:val="2"/>
        <w:rPr>
          <w:rFonts w:hint="eastAsia"/>
          <w:color w:val="000000"/>
          <w:highlight w:val="none"/>
          <w:lang w:val="en-US" w:eastAsia="zh-CN"/>
        </w:rPr>
      </w:pPr>
    </w:p>
    <w:p w14:paraId="5D53F55F">
      <w:pPr>
        <w:rPr>
          <w:rFonts w:hint="eastAsia"/>
          <w:color w:val="000000"/>
          <w:highlight w:val="none"/>
          <w:lang w:val="en-US" w:eastAsia="zh-CN"/>
        </w:rPr>
      </w:pPr>
    </w:p>
    <w:p w14:paraId="77FBFA87">
      <w:pPr>
        <w:pStyle w:val="2"/>
        <w:rPr>
          <w:rFonts w:hint="eastAsia"/>
          <w:color w:val="000000"/>
          <w:highlight w:val="none"/>
          <w:lang w:val="en-US" w:eastAsia="zh-CN"/>
        </w:rPr>
      </w:pPr>
    </w:p>
    <w:p w14:paraId="35366C86">
      <w:pPr>
        <w:rPr>
          <w:rFonts w:hint="eastAsia"/>
          <w:color w:val="000000"/>
          <w:highlight w:val="none"/>
          <w:lang w:val="en-US" w:eastAsia="zh-CN"/>
        </w:rPr>
      </w:pPr>
    </w:p>
    <w:p w14:paraId="6DFAFA13">
      <w:pPr>
        <w:pStyle w:val="2"/>
        <w:rPr>
          <w:rFonts w:hint="eastAsia"/>
          <w:lang w:val="en-US" w:eastAsia="zh-CN"/>
        </w:rPr>
      </w:pPr>
    </w:p>
    <w:p w14:paraId="23D37ECD">
      <w:pPr>
        <w:rPr>
          <w:rFonts w:hint="eastAsia" w:ascii="宋体" w:hAnsi="宋体" w:cs="宋体"/>
          <w:b/>
          <w:bCs/>
          <w:color w:val="000000"/>
          <w:sz w:val="32"/>
          <w:szCs w:val="32"/>
          <w:highlight w:val="none"/>
          <w:lang w:val="en-US" w:eastAsia="zh-CN"/>
        </w:rPr>
      </w:pPr>
    </w:p>
    <w:p w14:paraId="02B5B383">
      <w:pPr>
        <w:rPr>
          <w:rFonts w:hint="eastAsia" w:ascii="宋体" w:hAnsi="宋体" w:cs="宋体"/>
          <w:b/>
          <w:bCs/>
          <w:color w:val="000000"/>
          <w:sz w:val="32"/>
          <w:szCs w:val="32"/>
          <w:highlight w:val="none"/>
          <w:lang w:val="en-US" w:eastAsia="zh-CN"/>
        </w:rPr>
      </w:pPr>
    </w:p>
    <w:p w14:paraId="5AC35F2B">
      <w:pP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lang w:val="en-US" w:eastAsia="zh-CN"/>
        </w:rPr>
        <w:t>9.符合条件的残疾人福利性单位在参加政府采购活动时，应当提供《残疾人福利性单位声明函》（见附件），并对声明的真实性负责（如供应商属于残疾人福利性单位的，则必须提供）。</w:t>
      </w:r>
    </w:p>
    <w:p w14:paraId="717318DE">
      <w:pPr>
        <w:spacing w:line="588" w:lineRule="exact"/>
        <w:ind w:firstLine="444"/>
        <w:rPr>
          <w:rFonts w:ascii="宋体" w:hAnsi="宋体" w:cs="宋体"/>
          <w:color w:val="000000"/>
          <w:spacing w:val="6"/>
          <w:sz w:val="21"/>
          <w:szCs w:val="21"/>
          <w:highlight w:val="none"/>
        </w:rPr>
      </w:pPr>
      <w:r>
        <w:rPr>
          <w:rFonts w:hint="eastAsia" w:ascii="宋体" w:hAnsi="宋体" w:cs="宋体"/>
          <w:color w:val="000000"/>
          <w:spacing w:val="6"/>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w:t>
      </w:r>
      <w:r>
        <w:rPr>
          <w:rFonts w:hint="eastAsia" w:ascii="宋体" w:hAnsi="宋体" w:cs="宋体"/>
          <w:color w:val="000000"/>
          <w:spacing w:val="6"/>
          <w:sz w:val="21"/>
          <w:szCs w:val="21"/>
          <w:highlight w:val="none"/>
          <w:lang w:eastAsia="zh-CN"/>
        </w:rPr>
        <w:t>提供</w:t>
      </w:r>
      <w:r>
        <w:rPr>
          <w:rFonts w:hint="eastAsia" w:ascii="宋体" w:hAnsi="宋体" w:cs="宋体"/>
          <w:color w:val="000000"/>
          <w:spacing w:val="6"/>
          <w:sz w:val="21"/>
          <w:szCs w:val="21"/>
          <w:highlight w:val="none"/>
        </w:rPr>
        <w:t>的货物</w:t>
      </w:r>
      <w:r>
        <w:rPr>
          <w:rFonts w:hint="eastAsia" w:ascii="宋体" w:hAnsi="宋体" w:cs="宋体"/>
          <w:color w:val="000000"/>
          <w:spacing w:val="6"/>
          <w:sz w:val="21"/>
          <w:szCs w:val="21"/>
          <w:highlight w:val="none"/>
          <w:lang w:eastAsia="zh-CN"/>
        </w:rPr>
        <w:t>或服务</w:t>
      </w:r>
      <w:r>
        <w:rPr>
          <w:rFonts w:hint="eastAsia" w:ascii="宋体" w:hAnsi="宋体" w:cs="宋体"/>
          <w:color w:val="000000"/>
          <w:spacing w:val="6"/>
          <w:sz w:val="21"/>
          <w:szCs w:val="21"/>
          <w:highlight w:val="none"/>
        </w:rPr>
        <w:t>（由本单位承担工程/提供服务），或者提供其他残疾人福利性单位</w:t>
      </w:r>
      <w:r>
        <w:rPr>
          <w:rFonts w:hint="eastAsia" w:ascii="宋体" w:hAnsi="宋体" w:cs="宋体"/>
          <w:color w:val="000000"/>
          <w:spacing w:val="6"/>
          <w:sz w:val="21"/>
          <w:szCs w:val="21"/>
          <w:highlight w:val="none"/>
          <w:lang w:eastAsia="zh-CN"/>
        </w:rPr>
        <w:t>提供</w:t>
      </w:r>
      <w:r>
        <w:rPr>
          <w:rFonts w:hint="eastAsia" w:ascii="宋体" w:hAnsi="宋体" w:cs="宋体"/>
          <w:color w:val="000000"/>
          <w:spacing w:val="6"/>
          <w:sz w:val="21"/>
          <w:szCs w:val="21"/>
          <w:highlight w:val="none"/>
        </w:rPr>
        <w:t>的货物</w:t>
      </w:r>
      <w:r>
        <w:rPr>
          <w:rFonts w:hint="eastAsia" w:ascii="宋体" w:hAnsi="宋体" w:cs="宋体"/>
          <w:color w:val="000000"/>
          <w:spacing w:val="6"/>
          <w:sz w:val="21"/>
          <w:szCs w:val="21"/>
          <w:highlight w:val="none"/>
          <w:lang w:eastAsia="zh-CN"/>
        </w:rPr>
        <w:t>或服务</w:t>
      </w:r>
      <w:r>
        <w:rPr>
          <w:rFonts w:hint="eastAsia" w:ascii="宋体" w:hAnsi="宋体" w:cs="宋体"/>
          <w:color w:val="000000"/>
          <w:spacing w:val="6"/>
          <w:sz w:val="21"/>
          <w:szCs w:val="21"/>
          <w:highlight w:val="none"/>
        </w:rPr>
        <w:t>（不包括使用非残疾人福利性单位注册商标的货物）。</w:t>
      </w:r>
    </w:p>
    <w:p w14:paraId="35F490F1">
      <w:pPr>
        <w:spacing w:line="588" w:lineRule="exact"/>
        <w:ind w:firstLine="444"/>
        <w:rPr>
          <w:rFonts w:ascii="宋体" w:hAnsi="宋体" w:cs="宋体"/>
          <w:color w:val="000000"/>
          <w:spacing w:val="6"/>
          <w:sz w:val="21"/>
          <w:szCs w:val="21"/>
          <w:highlight w:val="none"/>
        </w:rPr>
      </w:pPr>
      <w:r>
        <w:rPr>
          <w:rFonts w:hint="eastAsia" w:ascii="宋体" w:hAnsi="宋体" w:cs="宋体"/>
          <w:color w:val="000000"/>
          <w:spacing w:val="6"/>
          <w:sz w:val="21"/>
          <w:szCs w:val="21"/>
          <w:highlight w:val="none"/>
        </w:rPr>
        <w:t>本单位对上述声明的真实性负责。如有虚假，将依法承担相应责任。</w:t>
      </w:r>
    </w:p>
    <w:p w14:paraId="56C89C32">
      <w:pPr>
        <w:spacing w:line="588" w:lineRule="exact"/>
        <w:rPr>
          <w:rFonts w:ascii="宋体" w:hAnsi="宋体" w:cs="宋体"/>
          <w:color w:val="000000"/>
          <w:spacing w:val="6"/>
          <w:sz w:val="21"/>
          <w:szCs w:val="21"/>
          <w:highlight w:val="none"/>
        </w:rPr>
      </w:pPr>
    </w:p>
    <w:p w14:paraId="3988CF14">
      <w:pPr>
        <w:spacing w:line="588" w:lineRule="exact"/>
        <w:ind w:firstLine="6438"/>
        <w:rPr>
          <w:rFonts w:hint="eastAsia" w:ascii="宋体" w:hAnsi="宋体" w:eastAsia="宋体" w:cs="宋体"/>
          <w:color w:val="000000"/>
          <w:spacing w:val="6"/>
          <w:sz w:val="21"/>
          <w:szCs w:val="21"/>
          <w:highlight w:val="none"/>
        </w:rPr>
      </w:pPr>
      <w:r>
        <w:rPr>
          <w:rFonts w:hint="eastAsia" w:ascii="宋体" w:hAnsi="宋体" w:eastAsia="宋体" w:cs="宋体"/>
          <w:color w:val="000000"/>
          <w:spacing w:val="6"/>
          <w:sz w:val="21"/>
          <w:szCs w:val="21"/>
          <w:highlight w:val="none"/>
        </w:rPr>
        <w:t>单</w:t>
      </w:r>
      <w:r>
        <w:rPr>
          <w:rFonts w:hint="eastAsia" w:ascii="宋体" w:hAnsi="宋体" w:eastAsia="宋体" w:cs="宋体"/>
          <w:color w:val="000000"/>
          <w:spacing w:val="6"/>
          <w:sz w:val="21"/>
          <w:szCs w:val="21"/>
          <w:highlight w:val="none"/>
          <w:lang w:val="en-US" w:eastAsia="zh-CN"/>
        </w:rPr>
        <w:t xml:space="preserve"> </w:t>
      </w:r>
      <w:r>
        <w:rPr>
          <w:rFonts w:hint="eastAsia" w:ascii="宋体" w:hAnsi="宋体" w:eastAsia="宋体" w:cs="宋体"/>
          <w:color w:val="000000"/>
          <w:spacing w:val="6"/>
          <w:sz w:val="21"/>
          <w:szCs w:val="21"/>
          <w:highlight w:val="none"/>
        </w:rPr>
        <w:t>位</w:t>
      </w:r>
      <w:r>
        <w:rPr>
          <w:rFonts w:hint="eastAsia" w:ascii="宋体" w:hAnsi="宋体" w:eastAsia="宋体" w:cs="宋体"/>
          <w:color w:val="000000"/>
          <w:spacing w:val="6"/>
          <w:sz w:val="21"/>
          <w:szCs w:val="21"/>
          <w:highlight w:val="none"/>
          <w:lang w:val="en-US" w:eastAsia="zh-CN"/>
        </w:rPr>
        <w:t xml:space="preserve"> </w:t>
      </w:r>
      <w:r>
        <w:rPr>
          <w:rFonts w:hint="eastAsia" w:ascii="宋体" w:hAnsi="宋体" w:eastAsia="宋体" w:cs="宋体"/>
          <w:color w:val="000000"/>
          <w:spacing w:val="6"/>
          <w:sz w:val="21"/>
          <w:szCs w:val="21"/>
          <w:highlight w:val="none"/>
        </w:rPr>
        <w:t>名</w:t>
      </w:r>
      <w:r>
        <w:rPr>
          <w:rFonts w:hint="eastAsia" w:ascii="宋体" w:hAnsi="宋体" w:eastAsia="宋体" w:cs="宋体"/>
          <w:color w:val="000000"/>
          <w:spacing w:val="6"/>
          <w:sz w:val="21"/>
          <w:szCs w:val="21"/>
          <w:highlight w:val="none"/>
          <w:lang w:val="en-US" w:eastAsia="zh-CN"/>
        </w:rPr>
        <w:t xml:space="preserve"> </w:t>
      </w:r>
      <w:r>
        <w:rPr>
          <w:rFonts w:hint="eastAsia" w:ascii="宋体" w:hAnsi="宋体" w:eastAsia="宋体" w:cs="宋体"/>
          <w:color w:val="000000"/>
          <w:spacing w:val="6"/>
          <w:sz w:val="21"/>
          <w:szCs w:val="21"/>
          <w:highlight w:val="none"/>
        </w:rPr>
        <w:t>称[盖公章(CA签章)]：</w:t>
      </w:r>
    </w:p>
    <w:p w14:paraId="78F827AB">
      <w:pPr>
        <w:pStyle w:val="2"/>
        <w:rPr>
          <w:rFonts w:hint="eastAsia"/>
          <w:color w:val="000000"/>
          <w:highlight w:val="none"/>
        </w:rPr>
      </w:pPr>
      <w:r>
        <w:rPr>
          <w:rFonts w:hint="eastAsia" w:ascii="宋体" w:hAnsi="宋体" w:eastAsia="宋体" w:cs="宋体"/>
          <w:color w:val="000000"/>
          <w:spacing w:val="6"/>
          <w:sz w:val="21"/>
          <w:szCs w:val="21"/>
          <w:highlight w:val="none"/>
        </w:rPr>
        <w:t xml:space="preserve">                        </w:t>
      </w:r>
      <w:r>
        <w:rPr>
          <w:rFonts w:hint="eastAsia" w:ascii="宋体" w:hAnsi="宋体" w:eastAsia="宋体" w:cs="宋体"/>
          <w:color w:val="000000"/>
          <w:spacing w:val="6"/>
          <w:sz w:val="21"/>
          <w:szCs w:val="21"/>
          <w:highlight w:val="none"/>
          <w:lang w:val="en-US" w:eastAsia="zh-CN"/>
        </w:rPr>
        <w:t xml:space="preserve">                                     </w:t>
      </w:r>
      <w:r>
        <w:rPr>
          <w:rFonts w:hint="eastAsia" w:ascii="宋体" w:hAnsi="宋体" w:eastAsia="宋体" w:cs="宋体"/>
          <w:color w:val="000000"/>
          <w:spacing w:val="6"/>
          <w:sz w:val="21"/>
          <w:szCs w:val="21"/>
          <w:highlight w:val="none"/>
        </w:rPr>
        <w:t xml:space="preserve"> 日  期：</w:t>
      </w:r>
    </w:p>
    <w:p w14:paraId="5DFB47D5">
      <w:pPr>
        <w:pStyle w:val="2"/>
        <w:rPr>
          <w:rFonts w:hint="eastAsia" w:ascii="宋体" w:hAnsi="宋体" w:cs="宋体"/>
          <w:b/>
          <w:bCs/>
          <w:color w:val="000000"/>
          <w:sz w:val="32"/>
          <w:szCs w:val="32"/>
          <w:highlight w:val="none"/>
        </w:rPr>
      </w:pPr>
    </w:p>
    <w:p w14:paraId="5D787F57">
      <w:pPr>
        <w:rPr>
          <w:rFonts w:hint="eastAsia" w:ascii="宋体" w:hAnsi="宋体" w:cs="宋体"/>
          <w:b/>
          <w:bCs/>
          <w:color w:val="000000"/>
          <w:sz w:val="32"/>
          <w:szCs w:val="32"/>
          <w:highlight w:val="none"/>
        </w:rPr>
      </w:pPr>
    </w:p>
    <w:p w14:paraId="509B1D40">
      <w:pPr>
        <w:pStyle w:val="2"/>
        <w:rPr>
          <w:rFonts w:hint="eastAsia"/>
          <w:color w:val="000000"/>
          <w:highlight w:val="none"/>
        </w:rPr>
      </w:pPr>
    </w:p>
    <w:p w14:paraId="69FDED44">
      <w:pPr>
        <w:rPr>
          <w:rFonts w:hint="eastAsia" w:ascii="宋体" w:hAnsi="宋体" w:cs="宋体"/>
          <w:b/>
          <w:bCs/>
          <w:color w:val="000000"/>
          <w:sz w:val="32"/>
          <w:szCs w:val="32"/>
          <w:highlight w:val="none"/>
        </w:rPr>
      </w:pPr>
    </w:p>
    <w:p w14:paraId="6A23E9B7">
      <w:pPr>
        <w:pStyle w:val="2"/>
        <w:rPr>
          <w:rFonts w:hint="eastAsia" w:ascii="宋体" w:hAnsi="宋体" w:cs="宋体"/>
          <w:b/>
          <w:bCs/>
          <w:color w:val="000000"/>
          <w:sz w:val="32"/>
          <w:szCs w:val="32"/>
          <w:highlight w:val="none"/>
        </w:rPr>
      </w:pPr>
    </w:p>
    <w:p w14:paraId="65A47EAA">
      <w:pPr>
        <w:rPr>
          <w:rFonts w:hint="eastAsia" w:ascii="宋体" w:hAnsi="宋体" w:cs="宋体"/>
          <w:b/>
          <w:bCs/>
          <w:color w:val="000000"/>
          <w:sz w:val="32"/>
          <w:szCs w:val="32"/>
          <w:highlight w:val="none"/>
        </w:rPr>
      </w:pPr>
    </w:p>
    <w:p w14:paraId="68FDABE5">
      <w:pPr>
        <w:pStyle w:val="2"/>
        <w:rPr>
          <w:rFonts w:hint="eastAsia" w:ascii="宋体" w:hAnsi="宋体" w:cs="宋体"/>
          <w:b/>
          <w:bCs/>
          <w:color w:val="000000"/>
          <w:sz w:val="32"/>
          <w:szCs w:val="32"/>
          <w:highlight w:val="none"/>
        </w:rPr>
      </w:pPr>
    </w:p>
    <w:p w14:paraId="458FB019">
      <w:pPr>
        <w:rPr>
          <w:rFonts w:hint="eastAsia" w:ascii="宋体" w:hAnsi="宋体" w:cs="宋体"/>
          <w:b/>
          <w:bCs/>
          <w:color w:val="000000"/>
          <w:sz w:val="32"/>
          <w:szCs w:val="32"/>
          <w:highlight w:val="none"/>
        </w:rPr>
      </w:pPr>
    </w:p>
    <w:p w14:paraId="20883DFF">
      <w:pPr>
        <w:pStyle w:val="2"/>
        <w:rPr>
          <w:rFonts w:hint="eastAsia" w:ascii="宋体" w:hAnsi="宋体" w:cs="宋体"/>
          <w:b/>
          <w:bCs/>
          <w:color w:val="000000"/>
          <w:sz w:val="32"/>
          <w:szCs w:val="32"/>
          <w:highlight w:val="none"/>
        </w:rPr>
      </w:pPr>
    </w:p>
    <w:p w14:paraId="70477E5A">
      <w:pPr>
        <w:rPr>
          <w:rFonts w:hint="eastAsia" w:ascii="宋体" w:hAnsi="宋体" w:cs="宋体"/>
          <w:b/>
          <w:bCs/>
          <w:color w:val="000000"/>
          <w:sz w:val="32"/>
          <w:szCs w:val="32"/>
          <w:highlight w:val="none"/>
        </w:rPr>
      </w:pPr>
    </w:p>
    <w:p w14:paraId="44269880">
      <w:pPr>
        <w:pStyle w:val="2"/>
        <w:rPr>
          <w:rFonts w:hint="eastAsia" w:ascii="宋体" w:hAnsi="宋体" w:cs="宋体"/>
          <w:b/>
          <w:bCs/>
          <w:color w:val="000000"/>
          <w:sz w:val="32"/>
          <w:szCs w:val="32"/>
          <w:highlight w:val="none"/>
        </w:rPr>
      </w:pPr>
    </w:p>
    <w:p w14:paraId="7289F088">
      <w:pPr>
        <w:rPr>
          <w:rFonts w:hint="eastAsia" w:ascii="宋体" w:hAnsi="宋体" w:cs="宋体"/>
          <w:b/>
          <w:bCs/>
          <w:color w:val="000000"/>
          <w:sz w:val="32"/>
          <w:szCs w:val="32"/>
          <w:highlight w:val="none"/>
        </w:rPr>
      </w:pPr>
    </w:p>
    <w:p w14:paraId="74BEA4E9">
      <w:pPr>
        <w:pStyle w:val="2"/>
        <w:rPr>
          <w:rFonts w:hint="eastAsia" w:ascii="宋体" w:hAnsi="宋体" w:cs="宋体"/>
          <w:b/>
          <w:bCs/>
          <w:color w:val="000000"/>
          <w:sz w:val="32"/>
          <w:szCs w:val="32"/>
          <w:highlight w:val="none"/>
        </w:rPr>
      </w:pPr>
    </w:p>
    <w:p w14:paraId="41B5ED79">
      <w:pPr>
        <w:rPr>
          <w:rFonts w:hint="eastAsia" w:ascii="宋体" w:hAnsi="宋体" w:cs="宋体"/>
          <w:b/>
          <w:bCs/>
          <w:color w:val="000000"/>
          <w:sz w:val="32"/>
          <w:szCs w:val="32"/>
          <w:highlight w:val="none"/>
        </w:rPr>
      </w:pPr>
    </w:p>
    <w:p w14:paraId="6BD65915">
      <w:pPr>
        <w:pStyle w:val="2"/>
        <w:rPr>
          <w:rFonts w:hint="eastAsia" w:ascii="宋体" w:hAnsi="宋体" w:cs="宋体"/>
          <w:b/>
          <w:bCs/>
          <w:color w:val="000000"/>
          <w:sz w:val="32"/>
          <w:szCs w:val="32"/>
          <w:highlight w:val="none"/>
        </w:rPr>
      </w:pPr>
    </w:p>
    <w:p w14:paraId="3453057B">
      <w:pPr>
        <w:rPr>
          <w:rFonts w:hint="eastAsia" w:ascii="宋体" w:hAnsi="宋体" w:cs="宋体"/>
          <w:b/>
          <w:bCs/>
          <w:color w:val="000000"/>
          <w:sz w:val="32"/>
          <w:szCs w:val="32"/>
          <w:highlight w:val="none"/>
        </w:rPr>
      </w:pPr>
    </w:p>
    <w:p w14:paraId="464E4EA4">
      <w:pPr>
        <w:pStyle w:val="2"/>
        <w:rPr>
          <w:rFonts w:hint="eastAsia" w:ascii="宋体" w:hAnsi="宋体" w:cs="宋体"/>
          <w:b/>
          <w:bCs/>
          <w:color w:val="000000"/>
          <w:sz w:val="32"/>
          <w:szCs w:val="32"/>
          <w:highlight w:val="none"/>
        </w:rPr>
      </w:pPr>
    </w:p>
    <w:p w14:paraId="432C6D84">
      <w:pPr>
        <w:rPr>
          <w:rFonts w:hint="eastAsia"/>
        </w:rPr>
      </w:pPr>
    </w:p>
    <w:p w14:paraId="439592F5">
      <w:pPr>
        <w:pStyle w:val="2"/>
        <w:rPr>
          <w:color w:val="000000"/>
          <w:highlight w:val="none"/>
        </w:rPr>
      </w:pPr>
    </w:p>
    <w:p w14:paraId="7370A609">
      <w:pPr>
        <w:rPr>
          <w:rFonts w:ascii="宋体" w:hAnsi="宋体" w:cs="宋体"/>
          <w:b/>
          <w:bCs/>
          <w:color w:val="000000"/>
          <w:sz w:val="32"/>
          <w:szCs w:val="32"/>
          <w:highlight w:val="none"/>
        </w:rPr>
      </w:pPr>
      <w:r>
        <w:rPr>
          <w:rFonts w:hint="eastAsia" w:ascii="宋体" w:hAnsi="宋体" w:cs="宋体"/>
          <w:b/>
          <w:bCs/>
          <w:color w:val="000000"/>
          <w:sz w:val="32"/>
          <w:szCs w:val="32"/>
          <w:highlight w:val="none"/>
        </w:rPr>
        <w:t>二、商务、技术性响应及其他有效证明材料（格式）</w:t>
      </w:r>
    </w:p>
    <w:p w14:paraId="62C464AC">
      <w:pPr>
        <w:rPr>
          <w:rFonts w:hint="eastAsia" w:ascii="宋体" w:hAnsi="宋体" w:eastAsia="宋体" w:cs="宋体"/>
          <w:b/>
          <w:bCs/>
          <w:color w:val="000000"/>
          <w:sz w:val="32"/>
          <w:szCs w:val="32"/>
          <w:highlight w:val="none"/>
          <w:lang w:eastAsia="zh-CN"/>
        </w:rPr>
      </w:pPr>
      <w:r>
        <w:rPr>
          <w:rFonts w:hint="eastAsia" w:ascii="宋体" w:hAnsi="宋体" w:cs="宋体"/>
          <w:b/>
          <w:bCs/>
          <w:color w:val="000000"/>
          <w:sz w:val="32"/>
          <w:szCs w:val="32"/>
          <w:highlight w:val="none"/>
        </w:rPr>
        <w:t>1.投标报价表（格式见附件）（必须提供）</w:t>
      </w:r>
      <w:r>
        <w:rPr>
          <w:rFonts w:hint="eastAsia" w:ascii="宋体" w:hAnsi="宋体" w:cs="宋体"/>
          <w:b/>
          <w:bCs/>
          <w:color w:val="000000"/>
          <w:sz w:val="32"/>
          <w:szCs w:val="32"/>
          <w:highlight w:val="none"/>
          <w:lang w:eastAsia="zh-CN"/>
        </w:rPr>
        <w:t>；</w:t>
      </w:r>
    </w:p>
    <w:p w14:paraId="2186822B">
      <w:pPr>
        <w:jc w:val="center"/>
        <w:rPr>
          <w:rFonts w:hint="eastAsia" w:ascii="宋体" w:hAnsi="宋体"/>
          <w:b/>
          <w:bCs/>
          <w:color w:val="000000"/>
          <w:sz w:val="24"/>
          <w:highlight w:val="none"/>
        </w:rPr>
      </w:pPr>
    </w:p>
    <w:p w14:paraId="3F9E7A01">
      <w:pPr>
        <w:pStyle w:val="201"/>
        <w:ind w:left="0" w:firstLine="0"/>
        <w:rPr>
          <w:rFonts w:hint="eastAsia" w:ascii="宋体" w:hAnsi="宋体" w:eastAsia="宋体" w:cs="宋体"/>
          <w:color w:val="000000"/>
          <w:highlight w:val="none"/>
          <w:lang w:val="en-US" w:eastAsia="zh-CN"/>
        </w:rPr>
      </w:pPr>
      <w:r>
        <w:rPr>
          <w:rFonts w:hint="eastAsia" w:ascii="宋体" w:hAnsi="宋体" w:eastAsia="宋体" w:cs="宋体"/>
          <w:b/>
          <w:bCs/>
          <w:color w:val="000000"/>
          <w:sz w:val="30"/>
          <w:szCs w:val="30"/>
          <w:highlight w:val="none"/>
        </w:rPr>
        <w:t>附件：</w:t>
      </w:r>
    </w:p>
    <w:p w14:paraId="63CA917F">
      <w:pPr>
        <w:pStyle w:val="213"/>
        <w:keepNext w:val="0"/>
        <w:keepLines w:val="0"/>
        <w:pageBreakBefore w:val="0"/>
        <w:widowControl w:val="0"/>
        <w:bidi w:val="0"/>
        <w:spacing w:line="480" w:lineRule="exact"/>
        <w:ind w:left="42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lang w:val="en-US" w:eastAsia="zh-CN" w:bidi="ar-SA"/>
        </w:rPr>
        <w:t>投标报价表（格式）</w:t>
      </w:r>
    </w:p>
    <w:tbl>
      <w:tblPr>
        <w:tblStyle w:val="30"/>
        <w:tblW w:w="967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570"/>
        <w:gridCol w:w="1740"/>
        <w:gridCol w:w="780"/>
        <w:gridCol w:w="855"/>
        <w:gridCol w:w="810"/>
        <w:gridCol w:w="1785"/>
        <w:gridCol w:w="1710"/>
      </w:tblGrid>
      <w:tr w14:paraId="3514E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14:paraId="17EAD10B">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项号</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0BADF38">
            <w:pPr>
              <w:spacing w:line="2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采购内容名称</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2554568F">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服务内容及承诺</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83FA0C1">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数量①</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1D49D1B2">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6BC5AE1">
            <w:pPr>
              <w:spacing w:line="30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单价②</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1C23B7B">
            <w:pPr>
              <w:spacing w:line="300" w:lineRule="exact"/>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eastAsia="zh-CN"/>
              </w:rPr>
              <w:t>单项合计</w:t>
            </w:r>
            <w:r>
              <w:rPr>
                <w:rFonts w:hint="eastAsia" w:ascii="宋体" w:hAnsi="宋体" w:eastAsia="宋体" w:cs="宋体"/>
                <w:color w:val="000000"/>
                <w:highlight w:val="none"/>
                <w:lang w:val="en-US" w:eastAsia="zh-CN"/>
              </w:rPr>
              <w:t>=数量×单价</w:t>
            </w:r>
          </w:p>
          <w:p w14:paraId="6C5A63DF">
            <w:pPr>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③=</w:t>
            </w:r>
            <w:r>
              <w:rPr>
                <w:rFonts w:hint="eastAsia" w:ascii="宋体" w:hAnsi="宋体" w:eastAsia="宋体" w:cs="宋体"/>
                <w:color w:val="000000"/>
                <w:sz w:val="21"/>
                <w:szCs w:val="21"/>
                <w:highlight w:val="none"/>
              </w:rPr>
              <w:t>①</w:t>
            </w:r>
            <w:r>
              <w:rPr>
                <w:rFonts w:hint="eastAsia" w:ascii="宋体" w:hAnsi="宋体" w:eastAsia="宋体" w:cs="宋体"/>
                <w:color w:val="000000"/>
                <w:highlight w:val="none"/>
                <w:lang w:val="en-US" w:eastAsia="zh-CN"/>
              </w:rPr>
              <w:t>×</w:t>
            </w:r>
            <w:r>
              <w:rPr>
                <w:rFonts w:hint="eastAsia" w:ascii="宋体" w:hAnsi="宋体" w:eastAsia="宋体" w:cs="宋体"/>
                <w:color w:val="000000"/>
                <w:sz w:val="21"/>
                <w:szCs w:val="21"/>
                <w:highlight w:val="none"/>
                <w:lang w:val="en-US" w:eastAsia="zh-CN"/>
              </w:rPr>
              <w:t>②</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4D6DC15">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w:t>
            </w:r>
          </w:p>
        </w:tc>
      </w:tr>
      <w:tr w14:paraId="52A78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79" w:hRule="exact"/>
        </w:trPr>
        <w:tc>
          <w:tcPr>
            <w:tcW w:w="426" w:type="dxa"/>
            <w:tcBorders>
              <w:top w:val="single" w:color="auto" w:sz="4" w:space="0"/>
              <w:left w:val="single" w:color="auto" w:sz="4" w:space="0"/>
              <w:bottom w:val="single" w:color="auto" w:sz="4" w:space="0"/>
              <w:right w:val="single" w:color="auto" w:sz="4" w:space="0"/>
            </w:tcBorders>
            <w:noWrap w:val="0"/>
            <w:vAlign w:val="center"/>
          </w:tcPr>
          <w:p w14:paraId="2EB5EE9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49B0878">
            <w:pPr>
              <w:spacing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color w:val="000000" w:themeColor="text1"/>
                <w:lang w:eastAsia="zh-CN"/>
                <w14:textFill>
                  <w14:solidFill>
                    <w14:schemeClr w14:val="tx1"/>
                  </w14:solidFill>
                </w14:textFill>
              </w:rPr>
              <w:t>桂林市建设大厦、桂林投资发展商务大厦(桂林市市直机关第二办公区)</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4684612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C6ADC15">
            <w:pPr>
              <w:jc w:val="center"/>
              <w:rPr>
                <w:rFonts w:hint="eastAsia" w:ascii="宋体" w:hAnsi="宋体" w:eastAsia="宋体" w:cs="宋体"/>
                <w:color w:val="000000"/>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0CD6AB1">
            <w:pPr>
              <w:jc w:val="center"/>
              <w:rPr>
                <w:rFonts w:hint="eastAsia" w:ascii="宋体" w:hAnsi="宋体" w:eastAsia="宋体" w:cs="宋体"/>
                <w:color w:val="000000"/>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85B263B">
            <w:pPr>
              <w:jc w:val="center"/>
              <w:rPr>
                <w:rFonts w:hint="eastAsia" w:ascii="宋体" w:hAnsi="宋体" w:eastAsia="宋体" w:cs="宋体"/>
                <w:color w:val="000000"/>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E698723">
            <w:pPr>
              <w:spacing w:line="300" w:lineRule="exact"/>
              <w:jc w:val="center"/>
              <w:rPr>
                <w:rFonts w:hint="eastAsia" w:ascii="宋体" w:hAnsi="宋体" w:eastAsia="宋体" w:cs="宋体"/>
                <w:b/>
                <w:bCs/>
                <w:color w:val="000000"/>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56CBC14B">
            <w:pPr>
              <w:spacing w:line="300" w:lineRule="exact"/>
              <w:jc w:val="center"/>
              <w:rPr>
                <w:rFonts w:hint="eastAsia" w:ascii="宋体" w:hAnsi="宋体" w:eastAsia="宋体" w:cs="宋体"/>
                <w:b/>
                <w:bCs/>
                <w:color w:val="000000"/>
                <w:sz w:val="21"/>
                <w:szCs w:val="21"/>
                <w:highlight w:val="none"/>
              </w:rPr>
            </w:pPr>
          </w:p>
        </w:tc>
      </w:tr>
      <w:tr w14:paraId="1D9F1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36" w:hRule="exact"/>
        </w:trPr>
        <w:tc>
          <w:tcPr>
            <w:tcW w:w="426" w:type="dxa"/>
            <w:tcBorders>
              <w:top w:val="single" w:color="auto" w:sz="4" w:space="0"/>
              <w:left w:val="single" w:color="auto" w:sz="4" w:space="0"/>
              <w:bottom w:val="single" w:color="auto" w:sz="4" w:space="0"/>
              <w:right w:val="single" w:color="auto" w:sz="4" w:space="0"/>
            </w:tcBorders>
            <w:noWrap w:val="0"/>
            <w:vAlign w:val="center"/>
          </w:tcPr>
          <w:p w14:paraId="43475D1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6841C24F">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桂林市</w:t>
            </w:r>
            <w:r>
              <w:rPr>
                <w:rFonts w:hint="eastAsia"/>
                <w:color w:val="000000" w:themeColor="text1"/>
                <w:highlight w:val="none"/>
                <w:lang w:eastAsia="zh-CN"/>
                <w14:textFill>
                  <w14:solidFill>
                    <w14:schemeClr w14:val="tx1"/>
                  </w14:solidFill>
                </w14:textFill>
              </w:rPr>
              <w:t>交通枢纽指挥中心（鼎晟大厦）</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42025E2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897325C">
            <w:pPr>
              <w:jc w:val="center"/>
              <w:rPr>
                <w:rFonts w:hint="eastAsia" w:ascii="宋体" w:hAnsi="宋体" w:eastAsia="宋体" w:cs="宋体"/>
                <w:color w:val="000000"/>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62C4C81">
            <w:pPr>
              <w:jc w:val="center"/>
              <w:rPr>
                <w:rFonts w:hint="eastAsia" w:ascii="宋体" w:hAnsi="宋体" w:eastAsia="宋体" w:cs="宋体"/>
                <w:color w:val="000000"/>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7C9634B">
            <w:pPr>
              <w:jc w:val="center"/>
              <w:rPr>
                <w:rFonts w:hint="eastAsia" w:ascii="宋体" w:hAnsi="宋体" w:eastAsia="宋体" w:cs="宋体"/>
                <w:color w:val="000000"/>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8999EBB">
            <w:pPr>
              <w:spacing w:line="300" w:lineRule="exact"/>
              <w:jc w:val="center"/>
              <w:rPr>
                <w:rFonts w:hint="eastAsia" w:ascii="宋体" w:hAnsi="宋体" w:eastAsia="宋体" w:cs="宋体"/>
                <w:b/>
                <w:bCs/>
                <w:color w:val="000000"/>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43970F53">
            <w:pPr>
              <w:spacing w:line="300" w:lineRule="exact"/>
              <w:jc w:val="center"/>
              <w:rPr>
                <w:rFonts w:hint="eastAsia" w:ascii="宋体" w:hAnsi="宋体" w:eastAsia="宋体" w:cs="宋体"/>
                <w:b/>
                <w:bCs/>
                <w:color w:val="000000"/>
                <w:sz w:val="21"/>
                <w:szCs w:val="21"/>
                <w:highlight w:val="none"/>
              </w:rPr>
            </w:pPr>
          </w:p>
        </w:tc>
      </w:tr>
      <w:tr w14:paraId="74A1E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left w:val="single" w:color="auto" w:sz="4" w:space="0"/>
              <w:bottom w:val="single" w:color="auto" w:sz="4" w:space="0"/>
              <w:right w:val="single" w:color="auto" w:sz="4" w:space="0"/>
            </w:tcBorders>
            <w:noWrap w:val="0"/>
            <w:vAlign w:val="center"/>
          </w:tcPr>
          <w:p w14:paraId="49A9F4C9">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300D9C4E">
            <w:pPr>
              <w:spacing w:line="360" w:lineRule="auto"/>
              <w:jc w:val="center"/>
              <w:rPr>
                <w:rFonts w:hint="eastAsia" w:ascii="宋体" w:hAnsi="宋体" w:eastAsia="宋体" w:cs="宋体"/>
                <w:color w:val="000000"/>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4772AA07">
            <w:pPr>
              <w:jc w:val="center"/>
              <w:rPr>
                <w:rFonts w:hint="eastAsia" w:ascii="宋体" w:hAnsi="宋体" w:eastAsia="宋体" w:cs="宋体"/>
                <w:color w:val="000000"/>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EB616C3">
            <w:pPr>
              <w:jc w:val="center"/>
              <w:rPr>
                <w:rFonts w:hint="eastAsia" w:ascii="宋体" w:hAnsi="宋体" w:eastAsia="宋体" w:cs="宋体"/>
                <w:color w:val="000000"/>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ACE95A1">
            <w:pPr>
              <w:jc w:val="center"/>
              <w:rPr>
                <w:rFonts w:hint="eastAsia" w:ascii="宋体" w:hAnsi="宋体" w:eastAsia="宋体" w:cs="宋体"/>
                <w:color w:val="000000"/>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BE9C2F7">
            <w:pPr>
              <w:jc w:val="center"/>
              <w:rPr>
                <w:rFonts w:hint="eastAsia" w:ascii="宋体" w:hAnsi="宋体" w:eastAsia="宋体" w:cs="宋体"/>
                <w:color w:val="000000"/>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0643E79">
            <w:pPr>
              <w:spacing w:line="300" w:lineRule="exact"/>
              <w:jc w:val="center"/>
              <w:rPr>
                <w:rFonts w:hint="eastAsia" w:ascii="宋体" w:hAnsi="宋体" w:eastAsia="宋体" w:cs="宋体"/>
                <w:b/>
                <w:bCs/>
                <w:color w:val="000000"/>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5F3BEAD0">
            <w:pPr>
              <w:spacing w:line="300" w:lineRule="exact"/>
              <w:jc w:val="center"/>
              <w:rPr>
                <w:rFonts w:hint="eastAsia" w:ascii="宋体" w:hAnsi="宋体" w:eastAsia="宋体" w:cs="宋体"/>
                <w:b/>
                <w:bCs/>
                <w:color w:val="000000"/>
                <w:sz w:val="21"/>
                <w:szCs w:val="21"/>
                <w:highlight w:val="none"/>
              </w:rPr>
            </w:pPr>
          </w:p>
        </w:tc>
      </w:tr>
      <w:tr w14:paraId="5DBE6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left w:val="single" w:color="auto" w:sz="4" w:space="0"/>
              <w:bottom w:val="single" w:color="auto" w:sz="4" w:space="0"/>
              <w:right w:val="single" w:color="auto" w:sz="4" w:space="0"/>
            </w:tcBorders>
            <w:noWrap w:val="0"/>
            <w:vAlign w:val="center"/>
          </w:tcPr>
          <w:p w14:paraId="64B153A9">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6EDDE962">
            <w:pPr>
              <w:spacing w:line="360" w:lineRule="auto"/>
              <w:jc w:val="center"/>
              <w:rPr>
                <w:rFonts w:hint="eastAsia" w:ascii="宋体" w:hAnsi="宋体" w:eastAsia="宋体" w:cs="宋体"/>
                <w:color w:val="000000"/>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211C1E89">
            <w:pPr>
              <w:jc w:val="center"/>
              <w:rPr>
                <w:rFonts w:hint="eastAsia" w:ascii="宋体" w:hAnsi="宋体" w:eastAsia="宋体" w:cs="宋体"/>
                <w:color w:val="000000"/>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0EE957B6">
            <w:pPr>
              <w:jc w:val="center"/>
              <w:rPr>
                <w:rFonts w:hint="eastAsia" w:ascii="宋体" w:hAnsi="宋体" w:eastAsia="宋体" w:cs="宋体"/>
                <w:color w:val="000000"/>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B837138">
            <w:pPr>
              <w:jc w:val="center"/>
              <w:rPr>
                <w:rFonts w:hint="eastAsia" w:ascii="宋体" w:hAnsi="宋体" w:eastAsia="宋体" w:cs="宋体"/>
                <w:color w:val="000000"/>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2320772">
            <w:pPr>
              <w:jc w:val="center"/>
              <w:rPr>
                <w:rFonts w:hint="eastAsia" w:ascii="宋体" w:hAnsi="宋体" w:eastAsia="宋体" w:cs="宋体"/>
                <w:color w:val="000000"/>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7EF65E7">
            <w:pPr>
              <w:spacing w:line="300" w:lineRule="exact"/>
              <w:jc w:val="center"/>
              <w:rPr>
                <w:rFonts w:hint="eastAsia" w:ascii="宋体" w:hAnsi="宋体" w:eastAsia="宋体" w:cs="宋体"/>
                <w:b/>
                <w:bCs/>
                <w:color w:val="000000"/>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0D773AD4">
            <w:pPr>
              <w:spacing w:line="300" w:lineRule="exact"/>
              <w:jc w:val="center"/>
              <w:rPr>
                <w:rFonts w:hint="eastAsia" w:ascii="宋体" w:hAnsi="宋体" w:eastAsia="宋体" w:cs="宋体"/>
                <w:b/>
                <w:bCs/>
                <w:color w:val="000000"/>
                <w:sz w:val="21"/>
                <w:szCs w:val="21"/>
                <w:highlight w:val="none"/>
              </w:rPr>
            </w:pPr>
          </w:p>
        </w:tc>
      </w:tr>
      <w:tr w14:paraId="50C23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8"/>
            <w:tcBorders>
              <w:top w:val="single" w:color="auto" w:sz="4" w:space="0"/>
              <w:left w:val="single" w:color="auto" w:sz="4" w:space="0"/>
              <w:bottom w:val="single" w:color="auto" w:sz="4" w:space="0"/>
              <w:right w:val="single" w:color="auto" w:sz="4" w:space="0"/>
            </w:tcBorders>
            <w:noWrap w:val="0"/>
            <w:vAlign w:val="center"/>
          </w:tcPr>
          <w:p w14:paraId="5FDECD76">
            <w:pPr>
              <w:spacing w:line="300" w:lineRule="exact"/>
              <w:rPr>
                <w:rFonts w:hint="eastAsia" w:ascii="宋体" w:hAnsi="宋体" w:eastAsia="宋体" w:cs="宋体"/>
                <w:color w:val="000000"/>
                <w:spacing w:val="-6"/>
                <w:sz w:val="21"/>
                <w:szCs w:val="21"/>
                <w:highlight w:val="none"/>
              </w:rPr>
            </w:pPr>
            <w:r>
              <w:rPr>
                <w:rFonts w:hint="eastAsia" w:ascii="宋体" w:hAnsi="宋体" w:eastAsia="宋体" w:cs="宋体"/>
                <w:color w:val="000000"/>
                <w:spacing w:val="-6"/>
                <w:sz w:val="21"/>
                <w:szCs w:val="21"/>
                <w:highlight w:val="none"/>
              </w:rPr>
              <w:t xml:space="preserve">投标总报价（大写）：人民币               </w:t>
            </w:r>
            <w:r>
              <w:rPr>
                <w:rFonts w:hint="eastAsia" w:ascii="宋体" w:hAnsi="宋体" w:eastAsia="宋体" w:cs="宋体"/>
                <w:color w:val="000000"/>
                <w:spacing w:val="-6"/>
                <w:sz w:val="21"/>
                <w:szCs w:val="21"/>
                <w:highlight w:val="none"/>
                <w:lang w:val="en-US" w:eastAsia="zh-CN"/>
              </w:rPr>
              <w:t xml:space="preserve">               </w:t>
            </w:r>
            <w:r>
              <w:rPr>
                <w:rFonts w:hint="eastAsia" w:ascii="宋体" w:hAnsi="宋体" w:eastAsia="宋体" w:cs="宋体"/>
                <w:color w:val="000000"/>
                <w:spacing w:val="-6"/>
                <w:sz w:val="21"/>
                <w:szCs w:val="21"/>
                <w:highlight w:val="none"/>
              </w:rPr>
              <w:t xml:space="preserve">                   （</w:t>
            </w:r>
            <w:r>
              <w:rPr>
                <w:rFonts w:hint="eastAsia" w:ascii="宋体" w:hAnsi="宋体" w:eastAsia="宋体" w:cs="宋体"/>
                <w:color w:val="000000"/>
                <w:spacing w:val="-6"/>
                <w:sz w:val="21"/>
                <w:szCs w:val="21"/>
                <w:highlight w:val="none"/>
                <w:lang w:val="en-US" w:eastAsia="zh-CN"/>
              </w:rPr>
              <w:t>¥</w:t>
            </w:r>
            <w:r>
              <w:rPr>
                <w:rFonts w:hint="eastAsia" w:ascii="宋体" w:hAnsi="宋体" w:eastAsia="宋体" w:cs="宋体"/>
                <w:color w:val="000000"/>
                <w:spacing w:val="-6"/>
                <w:sz w:val="21"/>
                <w:szCs w:val="21"/>
                <w:highlight w:val="none"/>
              </w:rPr>
              <w:t xml:space="preserve">                   ）</w:t>
            </w:r>
          </w:p>
        </w:tc>
      </w:tr>
      <w:tr w14:paraId="76240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9676" w:type="dxa"/>
            <w:gridSpan w:val="8"/>
            <w:tcBorders>
              <w:top w:val="single" w:color="auto" w:sz="4" w:space="0"/>
              <w:left w:val="single" w:color="auto" w:sz="4" w:space="0"/>
              <w:bottom w:val="single" w:color="auto" w:sz="4" w:space="0"/>
              <w:right w:val="single" w:color="auto" w:sz="4" w:space="0"/>
            </w:tcBorders>
            <w:noWrap w:val="0"/>
            <w:vAlign w:val="center"/>
          </w:tcPr>
          <w:p w14:paraId="1DAF9A90">
            <w:pPr>
              <w:spacing w:line="300" w:lineRule="exact"/>
              <w:rPr>
                <w:rFonts w:hint="eastAsia" w:ascii="宋体" w:hAnsi="宋体" w:eastAsia="宋体" w:cs="宋体"/>
                <w:b w:val="0"/>
                <w:bCs w:val="0"/>
                <w:color w:val="000000"/>
                <w:spacing w:val="-6"/>
                <w:sz w:val="21"/>
                <w:szCs w:val="21"/>
                <w:highlight w:val="none"/>
              </w:rPr>
            </w:pPr>
            <w:r>
              <w:rPr>
                <w:rFonts w:hint="eastAsia" w:ascii="宋体" w:hAnsi="宋体" w:eastAsia="宋体" w:cs="宋体"/>
                <w:b w:val="0"/>
                <w:bCs w:val="0"/>
                <w:color w:val="000000"/>
                <w:spacing w:val="-6"/>
                <w:sz w:val="21"/>
                <w:szCs w:val="21"/>
                <w:highlight w:val="none"/>
              </w:rPr>
              <w:t>服务时间：</w:t>
            </w:r>
          </w:p>
        </w:tc>
      </w:tr>
      <w:tr w14:paraId="16052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6" w:type="dxa"/>
            <w:gridSpan w:val="8"/>
            <w:tcBorders>
              <w:top w:val="single" w:color="auto" w:sz="4" w:space="0"/>
              <w:left w:val="single" w:color="auto" w:sz="4" w:space="0"/>
              <w:bottom w:val="single" w:color="auto" w:sz="4" w:space="0"/>
              <w:right w:val="single" w:color="auto" w:sz="4" w:space="0"/>
            </w:tcBorders>
            <w:noWrap w:val="0"/>
            <w:vAlign w:val="center"/>
          </w:tcPr>
          <w:p w14:paraId="54DA5FBA">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说明：投标报价指本次招标采购范围内</w:t>
            </w:r>
            <w:r>
              <w:rPr>
                <w:rFonts w:hint="eastAsia" w:ascii="宋体" w:hAnsi="宋体" w:eastAsia="宋体" w:cs="宋体"/>
              </w:rPr>
              <w:t>所需服务的人员工资及社保、服装、工具、管理、培训、加班费、节假日奖金、税费及其他成本等所有费用</w:t>
            </w:r>
            <w:r>
              <w:rPr>
                <w:rFonts w:hint="eastAsia" w:ascii="宋体" w:hAnsi="宋体" w:eastAsia="宋体" w:cs="宋体"/>
                <w:lang w:eastAsia="zh-CN"/>
              </w:rPr>
              <w:t>，供应商</w:t>
            </w:r>
            <w:r>
              <w:rPr>
                <w:rFonts w:hint="eastAsia" w:ascii="宋体" w:hAnsi="宋体" w:eastAsia="宋体" w:cs="宋体"/>
              </w:rPr>
              <w:t>综合考虑在报价中</w:t>
            </w:r>
            <w:r>
              <w:rPr>
                <w:rFonts w:hint="eastAsia" w:ascii="宋体" w:hAnsi="宋体" w:eastAsia="宋体" w:cs="宋体"/>
                <w:color w:val="000000"/>
                <w:sz w:val="21"/>
                <w:szCs w:val="21"/>
                <w:highlight w:val="none"/>
              </w:rPr>
              <w:t>。</w:t>
            </w:r>
          </w:p>
        </w:tc>
      </w:tr>
    </w:tbl>
    <w:p w14:paraId="679928A4">
      <w:pPr>
        <w:spacing w:line="340" w:lineRule="exact"/>
        <w:rPr>
          <w:rFonts w:hint="eastAsia" w:ascii="宋体" w:hAnsi="宋体" w:eastAsia="宋体" w:cs="宋体"/>
          <w:color w:val="000000"/>
          <w:szCs w:val="21"/>
          <w:highlight w:val="none"/>
        </w:rPr>
      </w:pPr>
    </w:p>
    <w:p w14:paraId="7AD757D6">
      <w:pPr>
        <w:spacing w:line="340" w:lineRule="exact"/>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，自然人除外）：</w:t>
      </w:r>
      <w:r>
        <w:rPr>
          <w:rFonts w:hint="eastAsia" w:ascii="宋体" w:hAnsi="宋体" w:eastAsia="宋体" w:cs="宋体"/>
          <w:color w:val="000000"/>
          <w:szCs w:val="21"/>
          <w:highlight w:val="none"/>
          <w:u w:val="single"/>
        </w:rPr>
        <w:t xml:space="preserve">                                        </w:t>
      </w:r>
    </w:p>
    <w:p w14:paraId="0FF2CE53">
      <w:pPr>
        <w:spacing w:line="340" w:lineRule="exact"/>
        <w:rPr>
          <w:rFonts w:hint="eastAsia" w:ascii="宋体" w:hAnsi="宋体" w:eastAsia="宋体" w:cs="宋体"/>
          <w:color w:val="000000"/>
          <w:szCs w:val="21"/>
          <w:highlight w:val="none"/>
          <w:u w:val="single"/>
        </w:rPr>
      </w:pPr>
      <w:r>
        <w:rPr>
          <w:rFonts w:hint="eastAsia" w:ascii="宋体" w:hAnsi="宋体" w:eastAsia="宋体" w:cs="宋体"/>
          <w:color w:val="000000"/>
          <w:highlight w:val="none"/>
        </w:rPr>
        <w:t>法定代表人、负责人、自然人或相应的委托代理人签字或</w:t>
      </w:r>
      <w:r>
        <w:rPr>
          <w:rFonts w:hint="eastAsia" w:ascii="宋体" w:hAnsi="宋体" w:eastAsia="宋体" w:cs="宋体"/>
          <w:color w:val="000000"/>
          <w:highlight w:val="none"/>
          <w:lang w:eastAsia="zh-CN"/>
        </w:rPr>
        <w:t>个人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（属自然人的应在签名处加盖</w:t>
      </w:r>
      <w:r>
        <w:rPr>
          <w:rFonts w:hint="eastAsia" w:ascii="宋体" w:hAnsi="宋体" w:cs="宋体"/>
          <w:color w:val="000000"/>
          <w:highlight w:val="none"/>
          <w:lang w:val="en-US" w:eastAsia="zh-CN"/>
        </w:rPr>
        <w:t>大拇指</w:t>
      </w:r>
      <w:r>
        <w:rPr>
          <w:rFonts w:hint="eastAsia" w:ascii="宋体" w:hAnsi="宋体" w:eastAsia="宋体" w:cs="宋体"/>
          <w:color w:val="000000"/>
          <w:highlight w:val="none"/>
        </w:rPr>
        <w:t>指印</w:t>
      </w:r>
      <w:r>
        <w:rPr>
          <w:rFonts w:hint="eastAsia" w:ascii="宋体" w:hAnsi="宋体" w:eastAsia="宋体" w:cs="宋体"/>
          <w:color w:val="000000"/>
          <w:highlight w:val="none"/>
          <w:lang w:eastAsia="zh-CN"/>
        </w:rPr>
        <w:t>或个人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w:t>
      </w:r>
      <w:r>
        <w:rPr>
          <w:rFonts w:hint="eastAsia" w:ascii="宋体" w:hAnsi="宋体" w:eastAsia="宋体" w:cs="宋体"/>
          <w:color w:val="000000"/>
          <w:szCs w:val="21"/>
          <w:highlight w:val="none"/>
          <w:u w:val="single"/>
        </w:rPr>
        <w:t xml:space="preserve">                                    </w:t>
      </w:r>
    </w:p>
    <w:p w14:paraId="1483ECA6">
      <w:pPr>
        <w:tabs>
          <w:tab w:val="left" w:pos="1305"/>
        </w:tabs>
        <w:spacing w:line="340" w:lineRule="exact"/>
        <w:rPr>
          <w:rFonts w:hint="eastAsia" w:ascii="宋体" w:hAnsi="宋体" w:eastAsia="宋体" w:cs="宋体"/>
          <w:bCs/>
          <w:color w:val="000000"/>
          <w:sz w:val="21"/>
          <w:szCs w:val="21"/>
          <w:highlight w:val="none"/>
        </w:rPr>
      </w:pPr>
    </w:p>
    <w:p w14:paraId="4CC1FB0B">
      <w:pPr>
        <w:tabs>
          <w:tab w:val="left" w:pos="1305"/>
        </w:tabs>
        <w:spacing w:line="340" w:lineRule="exac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注</w:t>
      </w:r>
      <w:r>
        <w:rPr>
          <w:rFonts w:hint="eastAsia" w:ascii="宋体" w:hAnsi="宋体" w:eastAsia="宋体" w:cs="宋体"/>
          <w:b/>
          <w:bCs/>
          <w:color w:val="000000"/>
          <w:sz w:val="21"/>
          <w:szCs w:val="21"/>
          <w:highlight w:val="none"/>
        </w:rPr>
        <w:t>：</w:t>
      </w:r>
      <w:r>
        <w:rPr>
          <w:rFonts w:hint="eastAsia" w:ascii="宋体" w:hAnsi="宋体" w:eastAsia="宋体" w:cs="宋体"/>
          <w:bCs/>
          <w:color w:val="000000"/>
          <w:sz w:val="21"/>
          <w:szCs w:val="21"/>
          <w:highlight w:val="none"/>
        </w:rPr>
        <w:t>1.各投标人</w:t>
      </w:r>
      <w:r>
        <w:rPr>
          <w:rFonts w:hint="eastAsia" w:ascii="宋体" w:hAnsi="宋体" w:eastAsia="宋体" w:cs="宋体"/>
          <w:color w:val="000000"/>
          <w:sz w:val="21"/>
          <w:szCs w:val="21"/>
          <w:highlight w:val="none"/>
        </w:rPr>
        <w:t>必须就“采购需求”中所投分标的所有内容作完整唯一报价，否则，其投标将被拒绝。投标文件只允许有一个报价。</w:t>
      </w:r>
    </w:p>
    <w:p w14:paraId="4EF96249">
      <w:pPr>
        <w:pStyle w:val="213"/>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2.投标人应根据所投</w:t>
      </w:r>
      <w:r>
        <w:rPr>
          <w:rFonts w:hint="eastAsia" w:ascii="宋体" w:hAnsi="宋体" w:eastAsia="宋体" w:cs="宋体"/>
          <w:color w:val="000000"/>
          <w:sz w:val="21"/>
          <w:szCs w:val="21"/>
          <w:highlight w:val="none"/>
          <w:lang w:val="en-US" w:eastAsia="zh-CN"/>
        </w:rPr>
        <w:t>项目</w:t>
      </w:r>
      <w:r>
        <w:rPr>
          <w:rFonts w:hint="eastAsia" w:ascii="宋体" w:hAnsi="宋体" w:eastAsia="宋体" w:cs="宋体"/>
          <w:color w:val="000000"/>
          <w:sz w:val="21"/>
          <w:szCs w:val="21"/>
          <w:highlight w:val="none"/>
        </w:rPr>
        <w:t>如实填写投标报价表</w:t>
      </w:r>
      <w:r>
        <w:rPr>
          <w:rFonts w:hint="eastAsia" w:ascii="宋体" w:hAnsi="宋体" w:eastAsia="宋体" w:cs="宋体"/>
          <w:bCs/>
          <w:color w:val="000000"/>
          <w:sz w:val="21"/>
          <w:szCs w:val="21"/>
          <w:highlight w:val="none"/>
        </w:rPr>
        <w:t>的各项内容。</w:t>
      </w:r>
    </w:p>
    <w:p w14:paraId="1057FA10">
      <w:pPr>
        <w:ind w:firstLine="420"/>
        <w:rPr>
          <w:rFonts w:hint="eastAsia" w:ascii="宋体" w:hAnsi="宋体" w:eastAsia="宋体" w:cs="宋体"/>
          <w:b/>
          <w:bCs/>
          <w:color w:val="000000"/>
          <w:sz w:val="32"/>
          <w:szCs w:val="32"/>
          <w:highlight w:val="none"/>
          <w:lang w:val="en-US" w:eastAsia="zh-CN"/>
        </w:rPr>
      </w:pPr>
      <w:r>
        <w:rPr>
          <w:rFonts w:hint="eastAsia" w:ascii="宋体" w:hAnsi="宋体" w:eastAsia="宋体" w:cs="宋体"/>
          <w:color w:val="000000"/>
          <w:sz w:val="21"/>
          <w:szCs w:val="21"/>
          <w:highlight w:val="none"/>
        </w:rPr>
        <w:t>3.</w:t>
      </w:r>
      <w:r>
        <w:rPr>
          <w:rFonts w:hint="eastAsia" w:ascii="宋体" w:hAnsi="宋体" w:eastAsia="宋体" w:cs="宋体"/>
          <w:color w:val="000000"/>
          <w:highlight w:val="none"/>
        </w:rPr>
        <w:t>投标报价表须由法定代表人负责人、自然人或相应的委托代理人签字或</w:t>
      </w:r>
      <w:r>
        <w:rPr>
          <w:rFonts w:hint="eastAsia" w:ascii="宋体" w:hAnsi="宋体" w:eastAsia="宋体" w:cs="宋体"/>
          <w:color w:val="000000"/>
          <w:highlight w:val="none"/>
          <w:lang w:eastAsia="zh-CN"/>
        </w:rPr>
        <w:t>个人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（属自然人的应在签名处加盖</w:t>
      </w:r>
      <w:r>
        <w:rPr>
          <w:rFonts w:hint="eastAsia" w:ascii="宋体" w:hAnsi="宋体" w:cs="宋体"/>
          <w:color w:val="000000"/>
          <w:highlight w:val="none"/>
          <w:lang w:eastAsia="zh-CN"/>
        </w:rPr>
        <w:t>大拇指</w:t>
      </w:r>
      <w:r>
        <w:rPr>
          <w:rFonts w:hint="eastAsia" w:ascii="宋体" w:hAnsi="宋体" w:eastAsia="宋体" w:cs="宋体"/>
          <w:color w:val="000000"/>
          <w:highlight w:val="none"/>
        </w:rPr>
        <w:t>指印</w:t>
      </w:r>
      <w:r>
        <w:rPr>
          <w:rFonts w:hint="eastAsia" w:ascii="宋体" w:hAnsi="宋体" w:eastAsia="宋体" w:cs="宋体"/>
          <w:color w:val="000000"/>
          <w:highlight w:val="none"/>
          <w:lang w:eastAsia="zh-CN"/>
        </w:rPr>
        <w:t>或个人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）并加盖投标人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（自然人除外）。</w:t>
      </w:r>
      <w:r>
        <w:rPr>
          <w:rFonts w:hint="eastAsia" w:ascii="宋体" w:hAnsi="宋体" w:eastAsia="宋体" w:cs="宋体"/>
          <w:b/>
          <w:color w:val="000000"/>
          <w:highlight w:val="none"/>
        </w:rPr>
        <w:t>当本表由多页构成时，需逐页加盖投标人公章（属自然人的须逐页签字</w:t>
      </w:r>
      <w:r>
        <w:rPr>
          <w:rFonts w:hint="eastAsia" w:ascii="宋体" w:hAnsi="宋体" w:eastAsia="宋体" w:cs="宋体"/>
          <w:b/>
          <w:color w:val="000000"/>
          <w:highlight w:val="none"/>
          <w:lang w:eastAsia="zh-CN"/>
        </w:rPr>
        <w:t>或个人</w:t>
      </w:r>
      <w:r>
        <w:rPr>
          <w:rFonts w:hint="eastAsia" w:ascii="宋体" w:hAnsi="宋体" w:eastAsia="宋体" w:cs="宋体"/>
          <w:b/>
          <w:color w:val="000000"/>
          <w:highlight w:val="none"/>
          <w:lang w:val="en-US" w:eastAsia="zh-CN"/>
        </w:rPr>
        <w:t>CA签章</w:t>
      </w:r>
      <w:r>
        <w:rPr>
          <w:rFonts w:hint="eastAsia" w:ascii="宋体" w:hAnsi="宋体" w:eastAsia="宋体" w:cs="宋体"/>
          <w:b/>
          <w:color w:val="000000"/>
          <w:highlight w:val="none"/>
        </w:rPr>
        <w:t>）</w:t>
      </w:r>
    </w:p>
    <w:p w14:paraId="40A5AA5B">
      <w:pPr>
        <w:rPr>
          <w:rFonts w:hint="eastAsia" w:ascii="宋体" w:hAnsi="宋体" w:eastAsia="宋体" w:cs="宋体"/>
          <w:b/>
          <w:bCs/>
          <w:color w:val="000000"/>
          <w:sz w:val="32"/>
          <w:szCs w:val="32"/>
          <w:highlight w:val="none"/>
        </w:rPr>
      </w:pPr>
    </w:p>
    <w:p w14:paraId="7A1EEA11">
      <w:pPr>
        <w:pStyle w:val="2"/>
        <w:rPr>
          <w:rFonts w:hint="eastAsia" w:ascii="宋体" w:hAnsi="宋体"/>
          <w:color w:val="000000"/>
          <w:sz w:val="21"/>
          <w:szCs w:val="20"/>
          <w:highlight w:val="none"/>
        </w:rPr>
      </w:pPr>
    </w:p>
    <w:p w14:paraId="16AC9C1E">
      <w:pPr>
        <w:spacing w:line="400" w:lineRule="exact"/>
        <w:ind w:firstLine="562"/>
        <w:jc w:val="center"/>
        <w:rPr>
          <w:rFonts w:hint="eastAsia" w:ascii="宋体" w:hAnsi="宋体" w:cs="宋体"/>
          <w:b/>
          <w:bCs/>
          <w:color w:val="000000"/>
          <w:sz w:val="28"/>
          <w:szCs w:val="28"/>
          <w:highlight w:val="none"/>
        </w:rPr>
      </w:pPr>
    </w:p>
    <w:p w14:paraId="23A52D48">
      <w:pPr>
        <w:spacing w:line="400" w:lineRule="exact"/>
        <w:ind w:firstLine="562"/>
        <w:jc w:val="center"/>
        <w:rPr>
          <w:rFonts w:hint="eastAsia" w:ascii="宋体" w:hAnsi="宋体" w:cs="宋体"/>
          <w:b/>
          <w:bCs/>
          <w:color w:val="000000"/>
          <w:sz w:val="28"/>
          <w:szCs w:val="28"/>
          <w:highlight w:val="none"/>
        </w:rPr>
      </w:pPr>
    </w:p>
    <w:p w14:paraId="726E75B6">
      <w:pPr>
        <w:spacing w:line="400" w:lineRule="exact"/>
        <w:ind w:firstLine="0"/>
        <w:jc w:val="both"/>
        <w:rPr>
          <w:rFonts w:hint="eastAsia" w:ascii="宋体" w:hAnsi="宋体" w:cs="宋体"/>
          <w:b/>
          <w:bCs/>
          <w:color w:val="000000"/>
          <w:sz w:val="28"/>
          <w:szCs w:val="28"/>
          <w:highlight w:val="none"/>
        </w:rPr>
      </w:pPr>
    </w:p>
    <w:p w14:paraId="3C50B15C">
      <w:pPr>
        <w:spacing w:line="400" w:lineRule="exact"/>
        <w:ind w:firstLine="562"/>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报价明细表（格式）</w:t>
      </w:r>
    </w:p>
    <w:p w14:paraId="4B62ABF1">
      <w:pPr>
        <w:keepNext w:val="0"/>
        <w:keepLines w:val="0"/>
        <w:pageBreakBefore w:val="0"/>
        <w:bidi w:val="0"/>
        <w:spacing w:line="360" w:lineRule="auto"/>
        <w:outlineLvl w:val="9"/>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eastAsia="zh-CN"/>
        </w:rPr>
        <w:t>（一）物业</w:t>
      </w:r>
      <w:r>
        <w:rPr>
          <w:rFonts w:hint="eastAsia" w:ascii="宋体" w:hAnsi="宋体" w:cs="宋体"/>
          <w:b/>
          <w:bCs/>
          <w:color w:val="000000"/>
          <w:szCs w:val="21"/>
          <w:highlight w:val="none"/>
          <w:lang w:val="en-US" w:eastAsia="zh-CN"/>
        </w:rPr>
        <w:t>1（</w:t>
      </w:r>
      <w:r>
        <w:rPr>
          <w:rFonts w:hint="eastAsia" w:ascii="宋体" w:hAnsi="宋体" w:cs="宋体"/>
          <w:b/>
          <w:bCs/>
          <w:color w:val="000000"/>
          <w:szCs w:val="21"/>
          <w:highlight w:val="none"/>
          <w:lang w:eastAsia="zh-CN"/>
        </w:rPr>
        <w:t>桂林市建设大厦、桂林投资发展商务大厦(桂林市市直机关第二办公区)</w:t>
      </w:r>
      <w:r>
        <w:rPr>
          <w:rFonts w:hint="eastAsia" w:ascii="宋体" w:hAnsi="宋体" w:cs="宋体"/>
          <w:b/>
          <w:bCs/>
          <w:color w:val="000000"/>
          <w:szCs w:val="21"/>
          <w:highlight w:val="none"/>
          <w:lang w:val="en-US" w:eastAsia="zh-CN"/>
        </w:rPr>
        <w:t>）报价：</w:t>
      </w:r>
    </w:p>
    <w:tbl>
      <w:tblPr>
        <w:tblStyle w:val="3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7"/>
        <w:gridCol w:w="7"/>
        <w:gridCol w:w="1531"/>
        <w:gridCol w:w="2122"/>
        <w:gridCol w:w="1963"/>
        <w:gridCol w:w="6"/>
        <w:gridCol w:w="14"/>
        <w:gridCol w:w="1573"/>
        <w:gridCol w:w="128"/>
        <w:gridCol w:w="15"/>
        <w:gridCol w:w="1418"/>
      </w:tblGrid>
      <w:tr w14:paraId="5486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64" w:type="dxa"/>
            <w:gridSpan w:val="12"/>
            <w:tcBorders>
              <w:top w:val="single" w:color="auto" w:sz="4" w:space="0"/>
              <w:left w:val="single" w:color="auto" w:sz="4" w:space="0"/>
              <w:bottom w:val="single" w:color="auto" w:sz="4" w:space="0"/>
              <w:right w:val="single" w:color="auto" w:sz="4" w:space="0"/>
            </w:tcBorders>
            <w:noWrap w:val="0"/>
            <w:vAlign w:val="center"/>
          </w:tcPr>
          <w:p w14:paraId="77F6D6C2">
            <w:pPr>
              <w:widowControl/>
              <w:rPr>
                <w:rFonts w:ascii="宋体" w:hAnsi="宋体" w:cs="宋体"/>
                <w:b/>
                <w:color w:val="000000"/>
                <w:szCs w:val="21"/>
                <w:highlight w:val="none"/>
              </w:rPr>
            </w:pPr>
            <w:r>
              <w:rPr>
                <w:rFonts w:hint="eastAsia" w:ascii="宋体" w:hAnsi="宋体" w:cs="宋体"/>
                <w:b/>
                <w:color w:val="000000"/>
                <w:szCs w:val="21"/>
                <w:highlight w:val="none"/>
              </w:rPr>
              <w:t>一、服务人员基本工资费用：</w:t>
            </w:r>
          </w:p>
        </w:tc>
      </w:tr>
      <w:tr w14:paraId="7522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4D865D99">
            <w:pPr>
              <w:widowControl/>
              <w:jc w:val="center"/>
              <w:rPr>
                <w:rFonts w:ascii="宋体" w:hAnsi="宋体" w:cs="宋体"/>
                <w:b/>
                <w:color w:val="000000"/>
                <w:szCs w:val="21"/>
                <w:highlight w:val="none"/>
              </w:rPr>
            </w:pPr>
            <w:r>
              <w:rPr>
                <w:rFonts w:hint="eastAsia" w:ascii="宋体" w:hAnsi="宋体" w:cs="宋体"/>
                <w:b/>
                <w:color w:val="000000"/>
                <w:szCs w:val="21"/>
                <w:highlight w:val="none"/>
              </w:rPr>
              <w:t>序号</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2FE10723">
            <w:pPr>
              <w:widowControl/>
              <w:jc w:val="center"/>
              <w:rPr>
                <w:rFonts w:ascii="宋体" w:hAnsi="宋体" w:cs="宋体"/>
                <w:b/>
                <w:color w:val="000000"/>
                <w:szCs w:val="21"/>
                <w:highlight w:val="none"/>
              </w:rPr>
            </w:pPr>
            <w:r>
              <w:rPr>
                <w:rFonts w:hint="eastAsia" w:ascii="宋体" w:hAnsi="宋体" w:cs="宋体"/>
                <w:b/>
                <w:color w:val="000000"/>
                <w:szCs w:val="21"/>
                <w:highlight w:val="none"/>
              </w:rPr>
              <w:t>科目类别</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7AB5C812">
            <w:pPr>
              <w:widowControl/>
              <w:jc w:val="center"/>
              <w:rPr>
                <w:rFonts w:ascii="宋体" w:hAnsi="宋体" w:cs="宋体"/>
                <w:b/>
                <w:color w:val="000000"/>
                <w:szCs w:val="21"/>
                <w:highlight w:val="none"/>
              </w:rPr>
            </w:pPr>
            <w:r>
              <w:rPr>
                <w:rFonts w:hint="eastAsia" w:ascii="宋体" w:hAnsi="宋体" w:cs="宋体"/>
                <w:b/>
                <w:color w:val="000000"/>
                <w:szCs w:val="21"/>
                <w:highlight w:val="none"/>
              </w:rPr>
              <w:t>测算依据</w:t>
            </w:r>
          </w:p>
        </w:tc>
        <w:tc>
          <w:tcPr>
            <w:tcW w:w="1983" w:type="dxa"/>
            <w:gridSpan w:val="3"/>
            <w:tcBorders>
              <w:top w:val="single" w:color="auto" w:sz="4" w:space="0"/>
              <w:left w:val="single" w:color="auto" w:sz="4" w:space="0"/>
              <w:bottom w:val="single" w:color="auto" w:sz="4" w:space="0"/>
              <w:right w:val="single" w:color="auto" w:sz="4" w:space="0"/>
            </w:tcBorders>
            <w:noWrap w:val="0"/>
            <w:vAlign w:val="center"/>
          </w:tcPr>
          <w:p w14:paraId="52E321CD">
            <w:pPr>
              <w:widowControl/>
              <w:jc w:val="center"/>
              <w:rPr>
                <w:rFonts w:ascii="宋体" w:hAnsi="宋体" w:cs="宋体"/>
                <w:b/>
                <w:color w:val="000000"/>
                <w:szCs w:val="21"/>
                <w:highlight w:val="none"/>
              </w:rPr>
            </w:pPr>
            <w:r>
              <w:rPr>
                <w:rFonts w:hint="eastAsia" w:ascii="宋体" w:hAnsi="宋体" w:cs="宋体"/>
                <w:b/>
                <w:color w:val="000000"/>
                <w:szCs w:val="21"/>
                <w:highlight w:val="none"/>
              </w:rPr>
              <w:t>单人单月费用</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5689B6C6">
            <w:pPr>
              <w:widowControl/>
              <w:jc w:val="center"/>
              <w:rPr>
                <w:rFonts w:hint="eastAsia" w:ascii="宋体" w:hAnsi="宋体" w:eastAsia="宋体" w:cs="宋体"/>
                <w:b/>
                <w:color w:val="000000"/>
                <w:szCs w:val="21"/>
                <w:highlight w:val="none"/>
                <w:lang w:val="en-US" w:eastAsia="zh-CN"/>
              </w:rPr>
            </w:pPr>
            <w:r>
              <w:rPr>
                <w:rFonts w:hint="eastAsia" w:ascii="宋体" w:hAnsi="宋体" w:cs="宋体"/>
                <w:b/>
                <w:color w:val="000000"/>
                <w:szCs w:val="21"/>
                <w:highlight w:val="none"/>
              </w:rPr>
              <w:t>合计</w:t>
            </w:r>
            <w:r>
              <w:rPr>
                <w:rFonts w:hint="eastAsia"/>
                <w:lang w:val="en-US" w:eastAsia="zh-CN"/>
              </w:rPr>
              <w:t>费用</w:t>
            </w:r>
          </w:p>
        </w:tc>
        <w:tc>
          <w:tcPr>
            <w:tcW w:w="1433" w:type="dxa"/>
            <w:gridSpan w:val="2"/>
            <w:tcBorders>
              <w:top w:val="single" w:color="auto" w:sz="4" w:space="0"/>
              <w:left w:val="single" w:color="auto" w:sz="4" w:space="0"/>
              <w:bottom w:val="single" w:color="auto" w:sz="4" w:space="0"/>
              <w:right w:val="single" w:color="auto" w:sz="4" w:space="0"/>
            </w:tcBorders>
            <w:noWrap w:val="0"/>
            <w:vAlign w:val="center"/>
          </w:tcPr>
          <w:p w14:paraId="52F5F408">
            <w:pPr>
              <w:widowControl/>
              <w:jc w:val="center"/>
              <w:rPr>
                <w:rFonts w:ascii="宋体" w:hAnsi="宋体" w:cs="宋体"/>
                <w:b/>
                <w:color w:val="000000"/>
                <w:szCs w:val="21"/>
                <w:highlight w:val="none"/>
              </w:rPr>
            </w:pPr>
            <w:r>
              <w:rPr>
                <w:rFonts w:hint="eastAsia" w:ascii="宋体" w:hAnsi="宋体" w:cs="宋体"/>
                <w:b/>
                <w:color w:val="000000"/>
                <w:szCs w:val="21"/>
                <w:highlight w:val="none"/>
              </w:rPr>
              <w:t>备注</w:t>
            </w:r>
          </w:p>
        </w:tc>
      </w:tr>
      <w:tr w14:paraId="13F4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658B9327">
            <w:pPr>
              <w:widowControl/>
              <w:jc w:val="center"/>
              <w:rPr>
                <w:rFonts w:ascii="宋体" w:hAnsi="宋体" w:cs="宋体"/>
                <w:b/>
                <w:color w:val="000000"/>
                <w:szCs w:val="21"/>
                <w:highlight w:val="none"/>
              </w:rPr>
            </w:pPr>
            <w:r>
              <w:rPr>
                <w:rFonts w:hint="eastAsia" w:ascii="宋体" w:hAnsi="宋体" w:cs="宋体"/>
                <w:b/>
                <w:color w:val="000000"/>
                <w:szCs w:val="21"/>
                <w:highlight w:val="none"/>
              </w:rPr>
              <w:t>1</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16383E24">
            <w:pPr>
              <w:jc w:val="center"/>
              <w:rPr>
                <w:rFonts w:ascii="宋体" w:hAnsi="宋体" w:cs="宋体"/>
                <w:b/>
                <w:bCs/>
                <w:color w:val="000000"/>
                <w:szCs w:val="21"/>
                <w:highlight w:val="none"/>
              </w:rPr>
            </w:pPr>
            <w:r>
              <w:rPr>
                <w:rFonts w:hint="eastAsia" w:ascii="宋体" w:hAnsi="宋体" w:cs="宋体"/>
                <w:b/>
                <w:bCs/>
                <w:color w:val="000000"/>
                <w:szCs w:val="21"/>
                <w:highlight w:val="none"/>
              </w:rPr>
              <w:t>服务人员工资</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78B08606">
            <w:pPr>
              <w:jc w:val="center"/>
              <w:rPr>
                <w:rFonts w:ascii="宋体" w:hAnsi="宋体" w:cs="宋体"/>
                <w:color w:val="000000"/>
                <w:szCs w:val="21"/>
                <w:highlight w:val="none"/>
                <w:u w:val="single"/>
              </w:rPr>
            </w:pPr>
            <w:r>
              <w:rPr>
                <w:rFonts w:hint="eastAsia" w:ascii="宋体" w:hAnsi="宋体" w:cs="宋体"/>
                <w:b/>
                <w:color w:val="000000"/>
                <w:szCs w:val="21"/>
                <w:highlight w:val="none"/>
              </w:rPr>
              <w:t>工资标准 （元/月）不得低于广西壮族自治区桂林市区最新最低工资标准</w:t>
            </w:r>
          </w:p>
        </w:tc>
        <w:tc>
          <w:tcPr>
            <w:tcW w:w="1983" w:type="dxa"/>
            <w:gridSpan w:val="3"/>
            <w:tcBorders>
              <w:top w:val="single" w:color="auto" w:sz="4" w:space="0"/>
              <w:left w:val="single" w:color="auto" w:sz="4" w:space="0"/>
              <w:bottom w:val="single" w:color="auto" w:sz="4" w:space="0"/>
              <w:right w:val="single" w:color="auto" w:sz="4" w:space="0"/>
            </w:tcBorders>
            <w:noWrap w:val="0"/>
            <w:vAlign w:val="center"/>
          </w:tcPr>
          <w:p w14:paraId="5B97B968">
            <w:pPr>
              <w:jc w:val="center"/>
              <w:rPr>
                <w:rFonts w:ascii="宋体" w:hAnsi="宋体" w:cs="宋体"/>
                <w:color w:val="000000"/>
                <w:szCs w:val="21"/>
                <w:highlight w:val="none"/>
                <w:u w:val="single"/>
              </w:rPr>
            </w:pPr>
            <w:r>
              <w:rPr>
                <w:rFonts w:hint="eastAsia" w:ascii="宋体" w:hAnsi="宋体" w:cs="宋体"/>
                <w:color w:val="000000"/>
                <w:szCs w:val="21"/>
                <w:highlight w:val="none"/>
              </w:rPr>
              <w:t>元/人/月</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488270B6">
            <w:pPr>
              <w:ind w:firstLine="422"/>
              <w:rPr>
                <w:rFonts w:ascii="宋体" w:hAnsi="宋体" w:cs="宋体"/>
                <w:b/>
                <w:color w:val="000000"/>
                <w:szCs w:val="21"/>
                <w:highlight w:val="none"/>
                <w:u w:val="single"/>
              </w:rPr>
            </w:pPr>
            <w:r>
              <w:rPr>
                <w:rFonts w:hint="eastAsia" w:ascii="宋体" w:hAnsi="宋体" w:cs="宋体"/>
                <w:b/>
                <w:color w:val="000000"/>
                <w:szCs w:val="21"/>
                <w:highlight w:val="none"/>
                <w:u w:val="single"/>
              </w:rPr>
              <w:t>按投标人承诺拟投入的总人数乘以</w:t>
            </w:r>
            <w:r>
              <w:rPr>
                <w:rFonts w:hint="eastAsia" w:ascii="宋体" w:hAnsi="宋体" w:cs="宋体"/>
                <w:b/>
                <w:color w:val="000000"/>
                <w:szCs w:val="21"/>
                <w:highlight w:val="none"/>
                <w:u w:val="single"/>
                <w:lang w:val="en-US" w:eastAsia="zh-CN"/>
              </w:rPr>
              <w:t>12</w:t>
            </w:r>
            <w:r>
              <w:rPr>
                <w:rFonts w:hint="eastAsia" w:ascii="宋体" w:hAnsi="宋体" w:cs="宋体"/>
                <w:b/>
                <w:color w:val="000000"/>
                <w:szCs w:val="21"/>
                <w:highlight w:val="none"/>
                <w:u w:val="single"/>
              </w:rPr>
              <w:t>个月</w:t>
            </w:r>
          </w:p>
          <w:p w14:paraId="37E7BDAC">
            <w:pPr>
              <w:ind w:firstLine="422"/>
              <w:rPr>
                <w:rFonts w:ascii="宋体" w:hAnsi="宋体" w:cs="宋体"/>
                <w:color w:val="000000"/>
                <w:szCs w:val="21"/>
                <w:highlight w:val="none"/>
              </w:rPr>
            </w:pPr>
            <w:r>
              <w:rPr>
                <w:rFonts w:hint="eastAsia" w:ascii="宋体" w:hAnsi="宋体" w:cs="宋体"/>
                <w:b/>
                <w:color w:val="000000"/>
                <w:szCs w:val="21"/>
                <w:highlight w:val="none"/>
                <w:u w:val="single"/>
              </w:rPr>
              <w:t>合计：       元</w:t>
            </w:r>
          </w:p>
        </w:tc>
        <w:tc>
          <w:tcPr>
            <w:tcW w:w="1433" w:type="dxa"/>
            <w:gridSpan w:val="2"/>
            <w:tcBorders>
              <w:top w:val="single" w:color="auto" w:sz="4" w:space="0"/>
              <w:left w:val="single" w:color="auto" w:sz="4" w:space="0"/>
              <w:bottom w:val="single" w:color="auto" w:sz="4" w:space="0"/>
              <w:right w:val="single" w:color="auto" w:sz="4" w:space="0"/>
            </w:tcBorders>
            <w:noWrap w:val="0"/>
            <w:vAlign w:val="center"/>
          </w:tcPr>
          <w:p w14:paraId="69FB5791">
            <w:pPr>
              <w:rPr>
                <w:rFonts w:ascii="宋体" w:hAnsi="宋体" w:cs="宋体"/>
                <w:b/>
                <w:color w:val="000000"/>
                <w:szCs w:val="21"/>
                <w:highlight w:val="none"/>
                <w:u w:val="single"/>
              </w:rPr>
            </w:pPr>
            <w:r>
              <w:rPr>
                <w:rFonts w:hint="eastAsia" w:ascii="宋体" w:hAnsi="宋体" w:cs="宋体"/>
                <w:b/>
                <w:color w:val="000000"/>
                <w:szCs w:val="21"/>
                <w:highlight w:val="none"/>
              </w:rPr>
              <w:t>按投标人承诺拟投入的总人数乘以</w:t>
            </w:r>
            <w:r>
              <w:rPr>
                <w:rFonts w:hint="eastAsia" w:ascii="宋体" w:hAnsi="宋体" w:cs="宋体"/>
                <w:b/>
                <w:color w:val="000000"/>
                <w:szCs w:val="21"/>
                <w:highlight w:val="none"/>
                <w:lang w:val="en-US" w:eastAsia="zh-CN"/>
              </w:rPr>
              <w:t>12</w:t>
            </w:r>
            <w:r>
              <w:rPr>
                <w:rFonts w:hint="eastAsia" w:ascii="宋体" w:hAnsi="宋体" w:cs="宋体"/>
                <w:b/>
                <w:color w:val="000000"/>
                <w:szCs w:val="21"/>
                <w:highlight w:val="none"/>
              </w:rPr>
              <w:t>个月为计算标准</w:t>
            </w:r>
          </w:p>
        </w:tc>
      </w:tr>
      <w:tr w14:paraId="5EF8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464" w:type="dxa"/>
            <w:gridSpan w:val="12"/>
            <w:tcBorders>
              <w:top w:val="single" w:color="auto" w:sz="4" w:space="0"/>
              <w:left w:val="single" w:color="auto" w:sz="4" w:space="0"/>
              <w:bottom w:val="single" w:color="auto" w:sz="4" w:space="0"/>
              <w:right w:val="single" w:color="auto" w:sz="4" w:space="0"/>
            </w:tcBorders>
            <w:noWrap w:val="0"/>
            <w:vAlign w:val="center"/>
          </w:tcPr>
          <w:p w14:paraId="65C4B6A5">
            <w:pPr>
              <w:jc w:val="left"/>
              <w:rPr>
                <w:rFonts w:ascii="宋体" w:hAnsi="宋体" w:cs="宋体"/>
                <w:color w:val="000000"/>
                <w:szCs w:val="21"/>
                <w:highlight w:val="none"/>
              </w:rPr>
            </w:pPr>
            <w:r>
              <w:rPr>
                <w:rFonts w:hint="eastAsia" w:ascii="宋体" w:hAnsi="宋体" w:cs="宋体"/>
                <w:b/>
                <w:color w:val="000000"/>
                <w:szCs w:val="21"/>
                <w:highlight w:val="none"/>
              </w:rPr>
              <w:t>二、服务人员社会保险及公积金费用：</w:t>
            </w:r>
          </w:p>
        </w:tc>
      </w:tr>
      <w:tr w14:paraId="54E8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291E60C5">
            <w:pPr>
              <w:widowControl/>
              <w:jc w:val="center"/>
              <w:rPr>
                <w:rFonts w:ascii="宋体" w:hAnsi="宋体" w:cs="宋体"/>
                <w:b/>
                <w:color w:val="000000"/>
                <w:szCs w:val="21"/>
                <w:highlight w:val="none"/>
              </w:rPr>
            </w:pPr>
            <w:r>
              <w:rPr>
                <w:rFonts w:hint="eastAsia" w:ascii="宋体" w:hAnsi="宋体" w:cs="宋体"/>
                <w:b/>
                <w:color w:val="000000"/>
                <w:szCs w:val="21"/>
                <w:highlight w:val="none"/>
              </w:rPr>
              <w:t>序号</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7728FA58">
            <w:pPr>
              <w:widowControl/>
              <w:jc w:val="center"/>
              <w:rPr>
                <w:rFonts w:ascii="宋体" w:hAnsi="宋体" w:cs="宋体"/>
                <w:b/>
                <w:color w:val="000000"/>
                <w:szCs w:val="21"/>
                <w:highlight w:val="none"/>
              </w:rPr>
            </w:pPr>
            <w:r>
              <w:rPr>
                <w:rFonts w:hint="eastAsia" w:ascii="宋体" w:hAnsi="宋体" w:cs="宋体"/>
                <w:b/>
                <w:color w:val="000000"/>
                <w:szCs w:val="21"/>
                <w:highlight w:val="none"/>
              </w:rPr>
              <w:t>科目类别</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68352CEF">
            <w:pPr>
              <w:widowControl/>
              <w:jc w:val="center"/>
              <w:rPr>
                <w:rFonts w:ascii="宋体" w:hAnsi="宋体" w:cs="宋体"/>
                <w:b/>
                <w:color w:val="000000"/>
                <w:szCs w:val="21"/>
                <w:highlight w:val="none"/>
              </w:rPr>
            </w:pPr>
            <w:r>
              <w:rPr>
                <w:rFonts w:hint="eastAsia" w:ascii="宋体" w:hAnsi="宋体" w:cs="宋体"/>
                <w:b/>
                <w:color w:val="000000"/>
                <w:szCs w:val="21"/>
                <w:highlight w:val="none"/>
              </w:rPr>
              <w:t>测算依据</w:t>
            </w:r>
          </w:p>
        </w:tc>
        <w:tc>
          <w:tcPr>
            <w:tcW w:w="1969" w:type="dxa"/>
            <w:gridSpan w:val="2"/>
            <w:tcBorders>
              <w:top w:val="single" w:color="auto" w:sz="4" w:space="0"/>
              <w:left w:val="single" w:color="auto" w:sz="4" w:space="0"/>
              <w:bottom w:val="single" w:color="auto" w:sz="4" w:space="0"/>
              <w:right w:val="single" w:color="auto" w:sz="4" w:space="0"/>
            </w:tcBorders>
            <w:noWrap w:val="0"/>
            <w:vAlign w:val="center"/>
          </w:tcPr>
          <w:p w14:paraId="4F673290">
            <w:pPr>
              <w:widowControl/>
              <w:jc w:val="center"/>
              <w:rPr>
                <w:rFonts w:ascii="宋体" w:hAnsi="宋体" w:cs="宋体"/>
                <w:b/>
                <w:color w:val="000000"/>
                <w:szCs w:val="21"/>
                <w:highlight w:val="none"/>
              </w:rPr>
            </w:pPr>
            <w:r>
              <w:rPr>
                <w:rFonts w:hint="eastAsia" w:ascii="宋体" w:hAnsi="宋体" w:cs="宋体"/>
                <w:b/>
                <w:color w:val="000000"/>
                <w:szCs w:val="21"/>
                <w:highlight w:val="none"/>
              </w:rPr>
              <w:t>单人单月费用</w:t>
            </w:r>
          </w:p>
        </w:tc>
        <w:tc>
          <w:tcPr>
            <w:tcW w:w="1715" w:type="dxa"/>
            <w:gridSpan w:val="3"/>
            <w:tcBorders>
              <w:top w:val="single" w:color="auto" w:sz="4" w:space="0"/>
              <w:left w:val="single" w:color="auto" w:sz="4" w:space="0"/>
              <w:bottom w:val="single" w:color="auto" w:sz="4" w:space="0"/>
              <w:right w:val="single" w:color="auto" w:sz="4" w:space="0"/>
            </w:tcBorders>
            <w:noWrap w:val="0"/>
            <w:vAlign w:val="center"/>
          </w:tcPr>
          <w:p w14:paraId="1EDAB491">
            <w:pPr>
              <w:widowControl/>
              <w:jc w:val="center"/>
              <w:rPr>
                <w:rFonts w:ascii="宋体" w:hAnsi="宋体" w:cs="宋体"/>
                <w:b/>
                <w:color w:val="000000"/>
                <w:szCs w:val="21"/>
                <w:highlight w:val="none"/>
              </w:rPr>
            </w:pPr>
            <w:r>
              <w:rPr>
                <w:rFonts w:hint="eastAsia" w:ascii="宋体" w:hAnsi="宋体" w:cs="宋体"/>
                <w:b/>
                <w:color w:val="000000"/>
                <w:szCs w:val="21"/>
                <w:highlight w:val="none"/>
              </w:rPr>
              <w:t>合计费用</w:t>
            </w:r>
          </w:p>
        </w:tc>
        <w:tc>
          <w:tcPr>
            <w:tcW w:w="1433" w:type="dxa"/>
            <w:gridSpan w:val="2"/>
            <w:tcBorders>
              <w:top w:val="single" w:color="auto" w:sz="4" w:space="0"/>
              <w:left w:val="single" w:color="auto" w:sz="4" w:space="0"/>
              <w:bottom w:val="single" w:color="auto" w:sz="4" w:space="0"/>
              <w:right w:val="single" w:color="auto" w:sz="4" w:space="0"/>
            </w:tcBorders>
            <w:noWrap w:val="0"/>
            <w:vAlign w:val="center"/>
          </w:tcPr>
          <w:p w14:paraId="79630D4E">
            <w:pPr>
              <w:widowControl/>
              <w:jc w:val="center"/>
              <w:rPr>
                <w:rFonts w:ascii="宋体" w:hAnsi="宋体" w:cs="宋体"/>
                <w:b/>
                <w:color w:val="000000"/>
                <w:szCs w:val="21"/>
                <w:highlight w:val="none"/>
              </w:rPr>
            </w:pPr>
            <w:r>
              <w:rPr>
                <w:rFonts w:hint="eastAsia" w:ascii="宋体" w:hAnsi="宋体" w:cs="宋体"/>
                <w:b/>
                <w:color w:val="000000"/>
                <w:szCs w:val="21"/>
                <w:highlight w:val="none"/>
              </w:rPr>
              <w:t>备注</w:t>
            </w:r>
          </w:p>
        </w:tc>
      </w:tr>
      <w:tr w14:paraId="6930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3DC40FEA">
            <w:pPr>
              <w:jc w:val="center"/>
              <w:rPr>
                <w:rFonts w:ascii="宋体" w:hAnsi="宋体" w:cs="宋体"/>
                <w:b/>
                <w:color w:val="000000"/>
                <w:szCs w:val="21"/>
                <w:highlight w:val="none"/>
              </w:rPr>
            </w:pPr>
            <w:r>
              <w:rPr>
                <w:rFonts w:hint="eastAsia" w:ascii="宋体" w:hAnsi="宋体" w:cs="宋体"/>
                <w:b/>
                <w:color w:val="000000"/>
                <w:szCs w:val="21"/>
                <w:highlight w:val="none"/>
              </w:rPr>
              <w:t>1</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144BE174">
            <w:pPr>
              <w:jc w:val="center"/>
              <w:rPr>
                <w:rFonts w:ascii="宋体" w:hAnsi="宋体" w:cs="宋体"/>
                <w:b/>
                <w:color w:val="000000"/>
                <w:szCs w:val="21"/>
                <w:highlight w:val="none"/>
              </w:rPr>
            </w:pPr>
            <w:r>
              <w:rPr>
                <w:rFonts w:hint="eastAsia" w:ascii="宋体" w:hAnsi="宋体" w:cs="宋体"/>
                <w:b/>
                <w:color w:val="000000"/>
                <w:szCs w:val="21"/>
                <w:highlight w:val="none"/>
              </w:rPr>
              <w:t>社会保险费（含养老保险，失业保险，工伤保险，医疗</w:t>
            </w:r>
            <w:r>
              <w:rPr>
                <w:rFonts w:hint="eastAsia" w:ascii="宋体" w:hAnsi="宋体" w:cs="宋体"/>
                <w:b/>
                <w:color w:val="000000"/>
                <w:szCs w:val="21"/>
                <w:highlight w:val="none"/>
                <w:lang w:eastAsia="zh-CN"/>
              </w:rPr>
              <w:t>（含</w:t>
            </w:r>
            <w:r>
              <w:rPr>
                <w:rFonts w:hint="eastAsia" w:ascii="宋体" w:hAnsi="宋体" w:cs="宋体"/>
                <w:b/>
                <w:color w:val="000000"/>
                <w:szCs w:val="21"/>
                <w:highlight w:val="none"/>
              </w:rPr>
              <w:t>生育</w:t>
            </w:r>
            <w:r>
              <w:rPr>
                <w:rFonts w:hint="eastAsia" w:ascii="宋体" w:hAnsi="宋体" w:cs="宋体"/>
                <w:b/>
                <w:color w:val="000000"/>
                <w:szCs w:val="21"/>
                <w:highlight w:val="none"/>
                <w:lang w:eastAsia="zh-CN"/>
              </w:rPr>
              <w:t>）</w:t>
            </w:r>
            <w:r>
              <w:rPr>
                <w:rFonts w:hint="eastAsia" w:ascii="宋体" w:hAnsi="宋体" w:cs="宋体"/>
                <w:b/>
                <w:color w:val="000000"/>
                <w:szCs w:val="21"/>
                <w:highlight w:val="none"/>
              </w:rPr>
              <w:t>保险</w:t>
            </w:r>
            <w:r>
              <w:rPr>
                <w:rFonts w:hint="eastAsia" w:ascii="宋体" w:hAnsi="宋体" w:cs="宋体"/>
                <w:b/>
                <w:color w:val="000000"/>
                <w:szCs w:val="21"/>
                <w:highlight w:val="none"/>
                <w:lang w:eastAsia="zh-CN"/>
              </w:rPr>
              <w:t>）</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604C5E75">
            <w:pPr>
              <w:jc w:val="center"/>
              <w:rPr>
                <w:rFonts w:ascii="宋体" w:hAnsi="宋体" w:cs="宋体"/>
                <w:b/>
                <w:color w:val="000000"/>
                <w:szCs w:val="21"/>
                <w:highlight w:val="none"/>
              </w:rPr>
            </w:pPr>
            <w:r>
              <w:rPr>
                <w:rFonts w:hint="eastAsia" w:ascii="宋体" w:hAnsi="宋体" w:cs="宋体"/>
                <w:b/>
                <w:color w:val="000000"/>
                <w:szCs w:val="21"/>
                <w:highlight w:val="none"/>
              </w:rPr>
              <w:t>按当年国家现行规定及地区现行规定执行（如国家基数有调整则按其执行）</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15F2CAAA">
            <w:pPr>
              <w:jc w:val="center"/>
              <w:rPr>
                <w:rFonts w:ascii="宋体" w:hAnsi="宋体" w:cs="宋体"/>
                <w:color w:val="000000"/>
                <w:szCs w:val="21"/>
                <w:highlight w:val="none"/>
                <w:u w:val="single"/>
              </w:rPr>
            </w:pPr>
            <w:r>
              <w:rPr>
                <w:rFonts w:hint="eastAsia" w:ascii="宋体" w:hAnsi="宋体" w:cs="宋体"/>
                <w:color w:val="000000"/>
                <w:szCs w:val="21"/>
                <w:highlight w:val="none"/>
              </w:rPr>
              <w:t>元/人/月</w:t>
            </w:r>
          </w:p>
        </w:tc>
        <w:tc>
          <w:tcPr>
            <w:tcW w:w="1721" w:type="dxa"/>
            <w:gridSpan w:val="4"/>
            <w:tcBorders>
              <w:top w:val="single" w:color="auto" w:sz="4" w:space="0"/>
              <w:left w:val="single" w:color="auto" w:sz="4" w:space="0"/>
              <w:bottom w:val="single" w:color="auto" w:sz="4" w:space="0"/>
              <w:right w:val="single" w:color="auto" w:sz="4" w:space="0"/>
            </w:tcBorders>
            <w:noWrap w:val="0"/>
            <w:vAlign w:val="center"/>
          </w:tcPr>
          <w:p w14:paraId="344BB308">
            <w:pPr>
              <w:jc w:val="center"/>
              <w:rPr>
                <w:rFonts w:ascii="宋体" w:hAnsi="宋体" w:cs="宋体"/>
                <w:b/>
                <w:color w:val="000000"/>
                <w:szCs w:val="21"/>
                <w:highlight w:val="none"/>
                <w:u w:val="single"/>
              </w:rPr>
            </w:pPr>
            <w:r>
              <w:rPr>
                <w:rFonts w:hint="eastAsia" w:ascii="宋体" w:hAnsi="宋体" w:cs="宋体"/>
                <w:b/>
                <w:color w:val="000000"/>
                <w:szCs w:val="21"/>
                <w:highlight w:val="none"/>
                <w:u w:val="single"/>
              </w:rPr>
              <w:t>按投标人承诺拟投入的总人数乘以</w:t>
            </w:r>
            <w:r>
              <w:rPr>
                <w:rFonts w:hint="eastAsia" w:ascii="宋体" w:hAnsi="宋体" w:cs="宋体"/>
                <w:b/>
                <w:color w:val="000000"/>
                <w:szCs w:val="21"/>
                <w:highlight w:val="none"/>
                <w:u w:val="single"/>
                <w:lang w:val="en-US" w:eastAsia="zh-CN"/>
              </w:rPr>
              <w:t>12</w:t>
            </w:r>
            <w:r>
              <w:rPr>
                <w:rFonts w:hint="eastAsia" w:ascii="宋体" w:hAnsi="宋体" w:cs="宋体"/>
                <w:b/>
                <w:color w:val="000000"/>
                <w:szCs w:val="21"/>
                <w:highlight w:val="none"/>
                <w:u w:val="single"/>
              </w:rPr>
              <w:t>个月</w:t>
            </w:r>
          </w:p>
          <w:p w14:paraId="1CD85486">
            <w:pPr>
              <w:ind w:firstLine="422"/>
              <w:jc w:val="center"/>
              <w:rPr>
                <w:rFonts w:ascii="宋体" w:hAnsi="宋体" w:cs="宋体"/>
                <w:color w:val="000000"/>
                <w:szCs w:val="21"/>
                <w:highlight w:val="none"/>
              </w:rPr>
            </w:pPr>
            <w:r>
              <w:rPr>
                <w:rFonts w:hint="eastAsia" w:ascii="宋体" w:hAnsi="宋体" w:cs="宋体"/>
                <w:b/>
                <w:color w:val="000000"/>
                <w:szCs w:val="21"/>
                <w:highlight w:val="none"/>
                <w:u w:val="single"/>
              </w:rPr>
              <w:t>合计：       元</w:t>
            </w:r>
          </w:p>
        </w:tc>
        <w:tc>
          <w:tcPr>
            <w:tcW w:w="1433" w:type="dxa"/>
            <w:gridSpan w:val="2"/>
            <w:tcBorders>
              <w:top w:val="single" w:color="auto" w:sz="4" w:space="0"/>
              <w:left w:val="single" w:color="auto" w:sz="4" w:space="0"/>
              <w:bottom w:val="single" w:color="auto" w:sz="4" w:space="0"/>
              <w:right w:val="single" w:color="auto" w:sz="4" w:space="0"/>
            </w:tcBorders>
            <w:noWrap w:val="0"/>
            <w:vAlign w:val="center"/>
          </w:tcPr>
          <w:p w14:paraId="6F2C552B">
            <w:pPr>
              <w:jc w:val="center"/>
              <w:rPr>
                <w:rFonts w:ascii="宋体" w:hAnsi="宋体" w:cs="宋体"/>
                <w:b/>
                <w:color w:val="000000"/>
                <w:szCs w:val="21"/>
                <w:highlight w:val="none"/>
              </w:rPr>
            </w:pPr>
            <w:r>
              <w:rPr>
                <w:rFonts w:hint="eastAsia" w:ascii="宋体" w:hAnsi="宋体" w:cs="宋体"/>
                <w:b/>
                <w:color w:val="000000"/>
                <w:szCs w:val="21"/>
                <w:highlight w:val="none"/>
              </w:rPr>
              <w:t>按投标人承诺拟投入的总人数乘以</w:t>
            </w:r>
            <w:r>
              <w:rPr>
                <w:rFonts w:hint="eastAsia" w:ascii="宋体" w:hAnsi="宋体" w:cs="宋体"/>
                <w:b/>
                <w:color w:val="000000"/>
                <w:szCs w:val="21"/>
                <w:highlight w:val="none"/>
                <w:lang w:val="en-US" w:eastAsia="zh-CN"/>
              </w:rPr>
              <w:t>12</w:t>
            </w:r>
            <w:r>
              <w:rPr>
                <w:rFonts w:hint="eastAsia" w:ascii="宋体" w:hAnsi="宋体" w:cs="宋体"/>
                <w:b/>
                <w:color w:val="000000"/>
                <w:szCs w:val="21"/>
                <w:highlight w:val="none"/>
              </w:rPr>
              <w:t>个月为计算标准</w:t>
            </w:r>
          </w:p>
        </w:tc>
      </w:tr>
      <w:tr w14:paraId="39C7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64DBDFED">
            <w:pPr>
              <w:jc w:val="center"/>
              <w:rPr>
                <w:rFonts w:ascii="宋体" w:hAnsi="宋体" w:cs="宋体"/>
                <w:b/>
                <w:color w:val="000000"/>
                <w:szCs w:val="21"/>
                <w:highlight w:val="none"/>
              </w:rPr>
            </w:pPr>
            <w:r>
              <w:rPr>
                <w:rFonts w:hint="eastAsia" w:ascii="宋体" w:hAnsi="宋体" w:cs="宋体"/>
                <w:b/>
                <w:color w:val="000000"/>
                <w:szCs w:val="21"/>
                <w:highlight w:val="none"/>
              </w:rPr>
              <w:t>2</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0599E85A">
            <w:pPr>
              <w:jc w:val="center"/>
              <w:rPr>
                <w:rFonts w:ascii="宋体" w:hAnsi="宋体" w:cs="宋体"/>
                <w:b/>
                <w:color w:val="000000"/>
                <w:szCs w:val="21"/>
                <w:highlight w:val="none"/>
              </w:rPr>
            </w:pPr>
            <w:r>
              <w:rPr>
                <w:rFonts w:hint="eastAsia" w:ascii="宋体" w:hAnsi="宋体" w:cs="宋体"/>
                <w:b/>
                <w:color w:val="000000"/>
                <w:szCs w:val="21"/>
                <w:highlight w:val="none"/>
              </w:rPr>
              <w:t>公积金</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15F4DC8F">
            <w:pPr>
              <w:jc w:val="center"/>
              <w:rPr>
                <w:rFonts w:ascii="宋体" w:hAnsi="宋体" w:cs="宋体"/>
                <w:b/>
                <w:color w:val="000000"/>
                <w:szCs w:val="21"/>
                <w:highlight w:val="none"/>
              </w:rPr>
            </w:pPr>
            <w:r>
              <w:rPr>
                <w:rFonts w:hint="eastAsia" w:ascii="宋体" w:hAnsi="宋体" w:cs="宋体"/>
                <w:b/>
                <w:color w:val="000000"/>
                <w:szCs w:val="21"/>
                <w:highlight w:val="none"/>
              </w:rPr>
              <w:t>按当年国家现行规定及地区现行规定执行（如国家基数有调整则按其执行）</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4DD39088">
            <w:pPr>
              <w:jc w:val="center"/>
              <w:rPr>
                <w:rFonts w:ascii="宋体" w:hAnsi="宋体" w:cs="宋体"/>
                <w:color w:val="000000"/>
                <w:szCs w:val="21"/>
                <w:highlight w:val="none"/>
              </w:rPr>
            </w:pPr>
            <w:r>
              <w:rPr>
                <w:rFonts w:hint="eastAsia" w:ascii="宋体" w:hAnsi="宋体" w:cs="宋体"/>
                <w:color w:val="000000"/>
                <w:szCs w:val="21"/>
                <w:highlight w:val="none"/>
              </w:rPr>
              <w:t>元/人/月</w:t>
            </w:r>
          </w:p>
        </w:tc>
        <w:tc>
          <w:tcPr>
            <w:tcW w:w="1721" w:type="dxa"/>
            <w:gridSpan w:val="4"/>
            <w:tcBorders>
              <w:top w:val="single" w:color="auto" w:sz="4" w:space="0"/>
              <w:left w:val="single" w:color="auto" w:sz="4" w:space="0"/>
              <w:bottom w:val="single" w:color="auto" w:sz="4" w:space="0"/>
              <w:right w:val="single" w:color="auto" w:sz="4" w:space="0"/>
            </w:tcBorders>
            <w:noWrap w:val="0"/>
            <w:vAlign w:val="center"/>
          </w:tcPr>
          <w:p w14:paraId="23F2F4C5">
            <w:pPr>
              <w:jc w:val="center"/>
              <w:rPr>
                <w:rFonts w:ascii="宋体" w:hAnsi="宋体" w:cs="宋体"/>
                <w:b/>
                <w:color w:val="000000"/>
                <w:szCs w:val="21"/>
                <w:highlight w:val="none"/>
                <w:u w:val="single"/>
              </w:rPr>
            </w:pPr>
            <w:r>
              <w:rPr>
                <w:rFonts w:hint="eastAsia" w:ascii="宋体" w:hAnsi="宋体" w:cs="宋体"/>
                <w:b/>
                <w:color w:val="000000"/>
                <w:szCs w:val="21"/>
                <w:highlight w:val="none"/>
                <w:u w:val="single"/>
              </w:rPr>
              <w:t>按投标人承诺拟投入的总人数乘以</w:t>
            </w:r>
            <w:r>
              <w:rPr>
                <w:rFonts w:hint="eastAsia" w:ascii="宋体" w:hAnsi="宋体" w:cs="宋体"/>
                <w:b/>
                <w:color w:val="000000"/>
                <w:szCs w:val="21"/>
                <w:highlight w:val="none"/>
                <w:u w:val="single"/>
                <w:lang w:val="en-US" w:eastAsia="zh-CN"/>
              </w:rPr>
              <w:t>12</w:t>
            </w:r>
            <w:r>
              <w:rPr>
                <w:rFonts w:hint="eastAsia" w:ascii="宋体" w:hAnsi="宋体" w:cs="宋体"/>
                <w:b/>
                <w:color w:val="000000"/>
                <w:szCs w:val="21"/>
                <w:highlight w:val="none"/>
                <w:u w:val="single"/>
              </w:rPr>
              <w:t>个月</w:t>
            </w:r>
          </w:p>
          <w:p w14:paraId="7AB3A30C">
            <w:pPr>
              <w:ind w:firstLine="422"/>
              <w:jc w:val="center"/>
              <w:rPr>
                <w:rFonts w:ascii="宋体" w:hAnsi="宋体" w:cs="宋体"/>
                <w:b/>
                <w:color w:val="000000"/>
                <w:szCs w:val="21"/>
                <w:highlight w:val="none"/>
                <w:u w:val="single"/>
              </w:rPr>
            </w:pPr>
            <w:r>
              <w:rPr>
                <w:rFonts w:hint="eastAsia" w:ascii="宋体" w:hAnsi="宋体" w:cs="宋体"/>
                <w:b/>
                <w:color w:val="000000"/>
                <w:szCs w:val="21"/>
                <w:highlight w:val="none"/>
                <w:u w:val="single"/>
              </w:rPr>
              <w:t>合计：       元</w:t>
            </w:r>
          </w:p>
        </w:tc>
        <w:tc>
          <w:tcPr>
            <w:tcW w:w="1433" w:type="dxa"/>
            <w:gridSpan w:val="2"/>
            <w:tcBorders>
              <w:top w:val="single" w:color="auto" w:sz="4" w:space="0"/>
              <w:left w:val="single" w:color="auto" w:sz="4" w:space="0"/>
              <w:bottom w:val="single" w:color="auto" w:sz="4" w:space="0"/>
              <w:right w:val="single" w:color="auto" w:sz="4" w:space="0"/>
            </w:tcBorders>
            <w:noWrap w:val="0"/>
            <w:vAlign w:val="center"/>
          </w:tcPr>
          <w:p w14:paraId="4895731F">
            <w:pPr>
              <w:jc w:val="center"/>
              <w:rPr>
                <w:rFonts w:ascii="宋体" w:hAnsi="宋体" w:cs="宋体"/>
                <w:b/>
                <w:color w:val="000000"/>
                <w:szCs w:val="21"/>
                <w:highlight w:val="none"/>
              </w:rPr>
            </w:pPr>
            <w:r>
              <w:rPr>
                <w:rFonts w:hint="eastAsia" w:ascii="宋体" w:hAnsi="宋体" w:cs="宋体"/>
                <w:b/>
                <w:color w:val="000000"/>
                <w:szCs w:val="21"/>
                <w:highlight w:val="none"/>
              </w:rPr>
              <w:t>按投标人承诺拟投入的总人数乘以</w:t>
            </w:r>
            <w:r>
              <w:rPr>
                <w:rFonts w:hint="eastAsia" w:ascii="宋体" w:hAnsi="宋体" w:cs="宋体"/>
                <w:b/>
                <w:color w:val="000000"/>
                <w:szCs w:val="21"/>
                <w:highlight w:val="none"/>
                <w:lang w:val="en-US" w:eastAsia="zh-CN"/>
              </w:rPr>
              <w:t>12</w:t>
            </w:r>
            <w:r>
              <w:rPr>
                <w:rFonts w:hint="eastAsia" w:ascii="宋体" w:hAnsi="宋体" w:cs="宋体"/>
                <w:b/>
                <w:color w:val="000000"/>
                <w:szCs w:val="21"/>
                <w:highlight w:val="none"/>
              </w:rPr>
              <w:t>个月为计算标准</w:t>
            </w:r>
          </w:p>
        </w:tc>
      </w:tr>
      <w:tr w14:paraId="0E53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4165C72C">
            <w:pPr>
              <w:jc w:val="center"/>
              <w:rPr>
                <w:rFonts w:hint="eastAsia" w:ascii="宋体" w:hAnsi="宋体" w:cs="宋体"/>
                <w:b/>
                <w:color w:val="000000"/>
                <w:szCs w:val="21"/>
                <w:highlight w:val="none"/>
              </w:rPr>
            </w:pPr>
            <w:r>
              <w:rPr>
                <w:rFonts w:hint="eastAsia" w:ascii="宋体" w:hAnsi="宋体" w:cs="宋体"/>
                <w:b/>
                <w:color w:val="000000"/>
                <w:szCs w:val="21"/>
                <w:highlight w:val="none"/>
              </w:rPr>
              <w:t>3</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714283CA">
            <w:pPr>
              <w:jc w:val="center"/>
              <w:rPr>
                <w:rFonts w:hint="eastAsia" w:ascii="宋体" w:hAnsi="宋体" w:cs="宋体"/>
                <w:b/>
                <w:color w:val="000000"/>
                <w:szCs w:val="21"/>
                <w:highlight w:val="none"/>
              </w:rPr>
            </w:pPr>
            <w:r>
              <w:rPr>
                <w:rFonts w:hint="eastAsia" w:ascii="宋体" w:hAnsi="宋体" w:cs="宋体"/>
                <w:b/>
                <w:color w:val="000000"/>
                <w:szCs w:val="21"/>
                <w:highlight w:val="none"/>
              </w:rPr>
              <w:t>残疾人保障金</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278D59D6">
            <w:pPr>
              <w:jc w:val="center"/>
              <w:rPr>
                <w:rFonts w:hint="eastAsia" w:ascii="宋体" w:hAnsi="宋体" w:cs="宋体"/>
                <w:b/>
                <w:color w:val="000000"/>
                <w:szCs w:val="21"/>
                <w:highlight w:val="none"/>
              </w:rPr>
            </w:pPr>
            <w:r>
              <w:rPr>
                <w:rFonts w:hint="eastAsia" w:ascii="宋体" w:hAnsi="宋体" w:cs="宋体"/>
                <w:b/>
                <w:color w:val="000000"/>
                <w:szCs w:val="21"/>
                <w:highlight w:val="none"/>
              </w:rPr>
              <w:t>按当年国家现行规定及地区现行规定执行（如国家基数有调整则按其执行）</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000F4F65">
            <w:pPr>
              <w:jc w:val="center"/>
              <w:rPr>
                <w:rFonts w:hint="eastAsia" w:ascii="宋体" w:hAnsi="宋体" w:cs="宋体"/>
                <w:color w:val="000000"/>
                <w:szCs w:val="21"/>
                <w:highlight w:val="none"/>
              </w:rPr>
            </w:pPr>
          </w:p>
        </w:tc>
        <w:tc>
          <w:tcPr>
            <w:tcW w:w="1721" w:type="dxa"/>
            <w:gridSpan w:val="4"/>
            <w:tcBorders>
              <w:top w:val="single" w:color="auto" w:sz="4" w:space="0"/>
              <w:left w:val="single" w:color="auto" w:sz="4" w:space="0"/>
              <w:bottom w:val="single" w:color="auto" w:sz="4" w:space="0"/>
              <w:right w:val="single" w:color="auto" w:sz="4" w:space="0"/>
            </w:tcBorders>
            <w:noWrap w:val="0"/>
            <w:vAlign w:val="center"/>
          </w:tcPr>
          <w:p w14:paraId="01124DA6">
            <w:pPr>
              <w:ind w:firstLine="422"/>
              <w:jc w:val="center"/>
              <w:rPr>
                <w:rFonts w:hint="eastAsia" w:ascii="宋体" w:hAnsi="宋体" w:cs="宋体"/>
                <w:b/>
                <w:color w:val="000000"/>
                <w:szCs w:val="21"/>
                <w:highlight w:val="none"/>
                <w:u w:val="single"/>
              </w:rPr>
            </w:pPr>
            <w:r>
              <w:rPr>
                <w:rFonts w:hint="eastAsia" w:ascii="宋体" w:hAnsi="宋体" w:cs="宋体"/>
                <w:b/>
                <w:color w:val="000000"/>
                <w:szCs w:val="21"/>
                <w:highlight w:val="none"/>
              </w:rPr>
              <w:t>元</w:t>
            </w:r>
          </w:p>
        </w:tc>
        <w:tc>
          <w:tcPr>
            <w:tcW w:w="1433" w:type="dxa"/>
            <w:gridSpan w:val="2"/>
            <w:tcBorders>
              <w:top w:val="single" w:color="auto" w:sz="4" w:space="0"/>
              <w:left w:val="single" w:color="auto" w:sz="4" w:space="0"/>
              <w:bottom w:val="single" w:color="auto" w:sz="4" w:space="0"/>
              <w:right w:val="single" w:color="auto" w:sz="4" w:space="0"/>
            </w:tcBorders>
            <w:noWrap w:val="0"/>
            <w:vAlign w:val="center"/>
          </w:tcPr>
          <w:p w14:paraId="4015B0FA">
            <w:pPr>
              <w:jc w:val="center"/>
              <w:rPr>
                <w:rFonts w:hint="eastAsia" w:ascii="宋体" w:hAnsi="宋体" w:cs="宋体"/>
                <w:b/>
                <w:color w:val="000000"/>
                <w:szCs w:val="21"/>
                <w:highlight w:val="none"/>
              </w:rPr>
            </w:pPr>
            <w:r>
              <w:rPr>
                <w:rFonts w:hint="eastAsia" w:ascii="宋体" w:hAnsi="宋体" w:cs="宋体"/>
                <w:b/>
                <w:color w:val="000000"/>
                <w:szCs w:val="21"/>
                <w:highlight w:val="none"/>
              </w:rPr>
              <w:t>按投标人承诺拟投入的总人数乘以</w:t>
            </w:r>
            <w:r>
              <w:rPr>
                <w:rFonts w:hint="eastAsia" w:ascii="宋体" w:hAnsi="宋体" w:cs="宋体"/>
                <w:b/>
                <w:color w:val="000000"/>
                <w:szCs w:val="21"/>
                <w:highlight w:val="none"/>
                <w:lang w:val="en-US" w:eastAsia="zh-CN"/>
              </w:rPr>
              <w:t>12</w:t>
            </w:r>
            <w:r>
              <w:rPr>
                <w:rFonts w:hint="eastAsia" w:ascii="宋体" w:hAnsi="宋体" w:cs="宋体"/>
                <w:b/>
                <w:color w:val="000000"/>
                <w:szCs w:val="21"/>
                <w:highlight w:val="none"/>
              </w:rPr>
              <w:t>个月为计算标准</w:t>
            </w:r>
          </w:p>
        </w:tc>
      </w:tr>
      <w:tr w14:paraId="2BA8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464" w:type="dxa"/>
            <w:gridSpan w:val="12"/>
            <w:tcBorders>
              <w:top w:val="single" w:color="auto" w:sz="4" w:space="0"/>
              <w:left w:val="single" w:color="auto" w:sz="4" w:space="0"/>
              <w:bottom w:val="single" w:color="auto" w:sz="4" w:space="0"/>
              <w:right w:val="single" w:color="auto" w:sz="4" w:space="0"/>
            </w:tcBorders>
            <w:noWrap w:val="0"/>
            <w:vAlign w:val="center"/>
          </w:tcPr>
          <w:p w14:paraId="2064B7F4">
            <w:pPr>
              <w:rPr>
                <w:rFonts w:ascii="宋体" w:hAnsi="宋体" w:cs="宋体"/>
                <w:color w:val="000000"/>
                <w:szCs w:val="21"/>
                <w:highlight w:val="none"/>
                <w:u w:val="single"/>
              </w:rPr>
            </w:pPr>
            <w:r>
              <w:rPr>
                <w:rFonts w:hint="eastAsia" w:ascii="宋体" w:hAnsi="宋体" w:cs="宋体"/>
                <w:b/>
                <w:color w:val="000000"/>
                <w:szCs w:val="21"/>
                <w:highlight w:val="none"/>
              </w:rPr>
              <w:t>三、员工福利及意外保险：</w:t>
            </w:r>
          </w:p>
        </w:tc>
      </w:tr>
      <w:tr w14:paraId="6354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87" w:type="dxa"/>
            <w:gridSpan w:val="2"/>
            <w:tcBorders>
              <w:top w:val="single" w:color="auto" w:sz="4" w:space="0"/>
              <w:left w:val="single" w:color="auto" w:sz="4" w:space="0"/>
              <w:bottom w:val="single" w:color="auto" w:sz="4" w:space="0"/>
              <w:right w:val="single" w:color="auto" w:sz="4" w:space="0"/>
            </w:tcBorders>
            <w:noWrap w:val="0"/>
            <w:vAlign w:val="center"/>
          </w:tcPr>
          <w:p w14:paraId="73462716">
            <w:pPr>
              <w:widowControl/>
              <w:jc w:val="center"/>
              <w:rPr>
                <w:rFonts w:ascii="宋体" w:hAnsi="宋体" w:cs="宋体"/>
                <w:b/>
                <w:color w:val="000000"/>
                <w:szCs w:val="21"/>
                <w:highlight w:val="none"/>
              </w:rPr>
            </w:pPr>
            <w:r>
              <w:rPr>
                <w:rFonts w:hint="eastAsia" w:ascii="宋体" w:hAnsi="宋体" w:cs="宋体"/>
                <w:b/>
                <w:color w:val="000000"/>
                <w:szCs w:val="21"/>
                <w:highlight w:val="none"/>
              </w:rPr>
              <w:t>序号</w:t>
            </w:r>
          </w:p>
        </w:tc>
        <w:tc>
          <w:tcPr>
            <w:tcW w:w="1538" w:type="dxa"/>
            <w:gridSpan w:val="2"/>
            <w:tcBorders>
              <w:top w:val="single" w:color="auto" w:sz="4" w:space="0"/>
              <w:left w:val="single" w:color="auto" w:sz="4" w:space="0"/>
              <w:bottom w:val="single" w:color="auto" w:sz="4" w:space="0"/>
              <w:right w:val="single" w:color="auto" w:sz="4" w:space="0"/>
            </w:tcBorders>
            <w:noWrap w:val="0"/>
            <w:vAlign w:val="center"/>
          </w:tcPr>
          <w:p w14:paraId="5C1C00B2">
            <w:pPr>
              <w:widowControl/>
              <w:jc w:val="center"/>
              <w:rPr>
                <w:rFonts w:ascii="宋体" w:hAnsi="宋体" w:cs="宋体"/>
                <w:b/>
                <w:color w:val="000000"/>
                <w:szCs w:val="21"/>
                <w:highlight w:val="none"/>
              </w:rPr>
            </w:pPr>
            <w:r>
              <w:rPr>
                <w:rFonts w:hint="eastAsia" w:ascii="宋体" w:hAnsi="宋体" w:cs="宋体"/>
                <w:b/>
                <w:color w:val="000000"/>
                <w:szCs w:val="21"/>
                <w:highlight w:val="none"/>
              </w:rPr>
              <w:t>科目类别</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32135222">
            <w:pPr>
              <w:widowControl/>
              <w:jc w:val="center"/>
              <w:rPr>
                <w:rFonts w:ascii="宋体" w:hAnsi="宋体" w:cs="宋体"/>
                <w:b/>
                <w:color w:val="000000"/>
                <w:szCs w:val="21"/>
                <w:highlight w:val="none"/>
              </w:rPr>
            </w:pPr>
            <w:r>
              <w:rPr>
                <w:rFonts w:hint="eastAsia" w:ascii="宋体" w:hAnsi="宋体" w:cs="宋体"/>
                <w:b/>
                <w:color w:val="000000"/>
                <w:szCs w:val="21"/>
                <w:highlight w:val="none"/>
              </w:rPr>
              <w:t>测算依据</w:t>
            </w:r>
          </w:p>
        </w:tc>
        <w:tc>
          <w:tcPr>
            <w:tcW w:w="1983" w:type="dxa"/>
            <w:gridSpan w:val="3"/>
            <w:tcBorders>
              <w:top w:val="single" w:color="auto" w:sz="4" w:space="0"/>
              <w:left w:val="single" w:color="auto" w:sz="4" w:space="0"/>
              <w:bottom w:val="single" w:color="auto" w:sz="4" w:space="0"/>
              <w:right w:val="single" w:color="auto" w:sz="4" w:space="0"/>
            </w:tcBorders>
            <w:noWrap w:val="0"/>
            <w:vAlign w:val="center"/>
          </w:tcPr>
          <w:p w14:paraId="76B5BE6E">
            <w:pPr>
              <w:widowControl/>
              <w:jc w:val="center"/>
              <w:rPr>
                <w:rFonts w:ascii="宋体" w:hAnsi="宋体" w:cs="宋体"/>
                <w:b/>
                <w:color w:val="000000"/>
                <w:szCs w:val="21"/>
                <w:highlight w:val="none"/>
              </w:rPr>
            </w:pPr>
            <w:r>
              <w:rPr>
                <w:rFonts w:hint="eastAsia" w:ascii="宋体" w:hAnsi="宋体" w:cs="宋体"/>
                <w:b/>
                <w:color w:val="000000"/>
                <w:szCs w:val="21"/>
                <w:highlight w:val="none"/>
              </w:rPr>
              <w:t>单人单月费用</w:t>
            </w: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14:paraId="74AB1114">
            <w:pPr>
              <w:widowControl/>
              <w:jc w:val="center"/>
              <w:rPr>
                <w:rFonts w:ascii="宋体" w:hAnsi="宋体" w:cs="宋体"/>
                <w:b/>
                <w:color w:val="000000"/>
                <w:szCs w:val="21"/>
                <w:highlight w:val="none"/>
              </w:rPr>
            </w:pPr>
            <w:r>
              <w:rPr>
                <w:rFonts w:hint="eastAsia" w:ascii="宋体" w:hAnsi="宋体" w:cs="宋体"/>
                <w:b/>
                <w:color w:val="000000"/>
                <w:szCs w:val="21"/>
                <w:highlight w:val="none"/>
              </w:rPr>
              <w:t>合计费用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D541F43">
            <w:pPr>
              <w:widowControl/>
              <w:jc w:val="center"/>
              <w:rPr>
                <w:rFonts w:ascii="宋体" w:hAnsi="宋体" w:cs="宋体"/>
                <w:b/>
                <w:color w:val="000000"/>
                <w:szCs w:val="21"/>
                <w:highlight w:val="none"/>
              </w:rPr>
            </w:pPr>
            <w:r>
              <w:rPr>
                <w:rFonts w:hint="eastAsia" w:ascii="宋体" w:hAnsi="宋体" w:cs="宋体"/>
                <w:b/>
                <w:color w:val="000000"/>
                <w:szCs w:val="21"/>
                <w:highlight w:val="none"/>
              </w:rPr>
              <w:t>备注</w:t>
            </w:r>
          </w:p>
        </w:tc>
      </w:tr>
      <w:tr w14:paraId="342B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14:paraId="579F7ECC">
            <w:pPr>
              <w:jc w:val="center"/>
              <w:rPr>
                <w:rFonts w:ascii="宋体" w:hAnsi="宋体" w:cs="宋体"/>
                <w:b/>
                <w:color w:val="000000"/>
                <w:szCs w:val="21"/>
                <w:highlight w:val="none"/>
              </w:rPr>
            </w:pPr>
            <w:r>
              <w:rPr>
                <w:rFonts w:hint="eastAsia" w:ascii="宋体" w:hAnsi="宋体" w:cs="宋体"/>
                <w:b/>
                <w:color w:val="000000"/>
                <w:szCs w:val="21"/>
                <w:highlight w:val="none"/>
              </w:rPr>
              <w:t>1</w:t>
            </w:r>
          </w:p>
        </w:tc>
        <w:tc>
          <w:tcPr>
            <w:tcW w:w="1545" w:type="dxa"/>
            <w:gridSpan w:val="3"/>
            <w:tcBorders>
              <w:top w:val="single" w:color="auto" w:sz="4" w:space="0"/>
              <w:left w:val="single" w:color="auto" w:sz="4" w:space="0"/>
              <w:bottom w:val="single" w:color="auto" w:sz="4" w:space="0"/>
              <w:right w:val="single" w:color="auto" w:sz="4" w:space="0"/>
            </w:tcBorders>
            <w:noWrap w:val="0"/>
            <w:vAlign w:val="center"/>
          </w:tcPr>
          <w:p w14:paraId="71150C5D">
            <w:pPr>
              <w:jc w:val="center"/>
              <w:rPr>
                <w:rFonts w:ascii="宋体" w:hAnsi="宋体" w:cs="宋体"/>
                <w:b/>
                <w:color w:val="000000"/>
                <w:szCs w:val="21"/>
                <w:highlight w:val="none"/>
              </w:rPr>
            </w:pPr>
            <w:r>
              <w:rPr>
                <w:rFonts w:hint="eastAsia" w:ascii="宋体" w:hAnsi="宋体" w:cs="宋体"/>
                <w:b/>
                <w:color w:val="000000"/>
                <w:szCs w:val="21"/>
                <w:highlight w:val="none"/>
              </w:rPr>
              <w:t>高温补贴</w:t>
            </w:r>
          </w:p>
        </w:tc>
        <w:tc>
          <w:tcPr>
            <w:tcW w:w="2122" w:type="dxa"/>
            <w:vMerge w:val="restart"/>
            <w:tcBorders>
              <w:top w:val="single" w:color="auto" w:sz="4" w:space="0"/>
              <w:left w:val="single" w:color="auto" w:sz="4" w:space="0"/>
              <w:bottom w:val="single" w:color="auto" w:sz="4" w:space="0"/>
              <w:right w:val="single" w:color="auto" w:sz="4" w:space="0"/>
            </w:tcBorders>
            <w:noWrap w:val="0"/>
            <w:vAlign w:val="center"/>
          </w:tcPr>
          <w:p w14:paraId="6CFE7AF5">
            <w:pPr>
              <w:jc w:val="center"/>
              <w:rPr>
                <w:rFonts w:ascii="宋体" w:hAnsi="宋体" w:cs="宋体"/>
                <w:color w:val="000000"/>
                <w:szCs w:val="21"/>
                <w:highlight w:val="none"/>
              </w:rPr>
            </w:pPr>
            <w:r>
              <w:rPr>
                <w:rFonts w:hint="eastAsia" w:ascii="宋体" w:hAnsi="宋体" w:cs="宋体"/>
                <w:b/>
                <w:color w:val="000000"/>
                <w:szCs w:val="21"/>
                <w:highlight w:val="none"/>
              </w:rPr>
              <w:t>投标人自身运营实际情况填写</w:t>
            </w:r>
          </w:p>
        </w:tc>
        <w:tc>
          <w:tcPr>
            <w:tcW w:w="1983" w:type="dxa"/>
            <w:gridSpan w:val="3"/>
            <w:tcBorders>
              <w:top w:val="single" w:color="auto" w:sz="4" w:space="0"/>
              <w:left w:val="single" w:color="auto" w:sz="4" w:space="0"/>
              <w:bottom w:val="single" w:color="auto" w:sz="4" w:space="0"/>
              <w:right w:val="single" w:color="auto" w:sz="4" w:space="0"/>
            </w:tcBorders>
            <w:noWrap w:val="0"/>
            <w:vAlign w:val="center"/>
          </w:tcPr>
          <w:p w14:paraId="500DEC5B">
            <w:pPr>
              <w:jc w:val="center"/>
              <w:rPr>
                <w:rFonts w:ascii="宋体" w:hAnsi="宋体" w:cs="宋体"/>
                <w:color w:val="000000"/>
                <w:szCs w:val="21"/>
                <w:highlight w:val="none"/>
                <w:u w:val="single"/>
              </w:rPr>
            </w:pPr>
            <w:r>
              <w:rPr>
                <w:rFonts w:hint="eastAsia" w:ascii="宋体" w:hAnsi="宋体" w:cs="宋体"/>
                <w:color w:val="000000"/>
                <w:szCs w:val="21"/>
                <w:highlight w:val="none"/>
              </w:rPr>
              <w:t>元/人/月</w:t>
            </w: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14:paraId="7EFEB699">
            <w:pPr>
              <w:ind w:firstLine="422"/>
              <w:jc w:val="center"/>
              <w:rPr>
                <w:rFonts w:ascii="宋体" w:hAnsi="宋体" w:cs="宋体"/>
                <w:b/>
                <w:color w:val="000000"/>
                <w:szCs w:val="21"/>
                <w:highlight w:val="none"/>
                <w:u w:val="single"/>
              </w:rPr>
            </w:pPr>
            <w:r>
              <w:rPr>
                <w:rFonts w:hint="eastAsia" w:ascii="宋体" w:hAnsi="宋体" w:cs="宋体"/>
                <w:b/>
                <w:color w:val="000000"/>
                <w:szCs w:val="21"/>
                <w:highlight w:val="none"/>
                <w:u w:val="single"/>
              </w:rPr>
              <w:t>按投标人承诺拟投入的总人数乘以</w:t>
            </w:r>
            <w:r>
              <w:rPr>
                <w:rFonts w:hint="eastAsia" w:ascii="宋体" w:hAnsi="宋体" w:cs="宋体"/>
                <w:b/>
                <w:color w:val="000000"/>
                <w:szCs w:val="21"/>
                <w:highlight w:val="none"/>
                <w:u w:val="single"/>
                <w:lang w:val="en-US" w:eastAsia="zh-CN"/>
              </w:rPr>
              <w:t>12</w:t>
            </w:r>
            <w:r>
              <w:rPr>
                <w:rFonts w:hint="eastAsia" w:ascii="宋体" w:hAnsi="宋体" w:cs="宋体"/>
                <w:b/>
                <w:color w:val="000000"/>
                <w:szCs w:val="21"/>
                <w:highlight w:val="none"/>
                <w:u w:val="single"/>
              </w:rPr>
              <w:t>个月</w:t>
            </w:r>
          </w:p>
          <w:p w14:paraId="65850FB7">
            <w:pPr>
              <w:ind w:firstLine="422"/>
              <w:jc w:val="center"/>
              <w:rPr>
                <w:rFonts w:ascii="宋体" w:hAnsi="宋体" w:cs="宋体"/>
                <w:color w:val="000000"/>
                <w:szCs w:val="21"/>
                <w:highlight w:val="none"/>
              </w:rPr>
            </w:pPr>
            <w:r>
              <w:rPr>
                <w:rFonts w:hint="eastAsia" w:ascii="宋体" w:hAnsi="宋体" w:cs="宋体"/>
                <w:b/>
                <w:color w:val="000000"/>
                <w:szCs w:val="21"/>
                <w:highlight w:val="none"/>
                <w:u w:val="single"/>
              </w:rPr>
              <w:t>合计：       元</w:t>
            </w: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14:paraId="3DDE8104">
            <w:pPr>
              <w:jc w:val="center"/>
              <w:rPr>
                <w:rFonts w:ascii="宋体" w:hAnsi="宋体" w:cs="宋体"/>
                <w:color w:val="000000"/>
                <w:szCs w:val="21"/>
                <w:highlight w:val="none"/>
                <w:u w:val="single"/>
              </w:rPr>
            </w:pPr>
            <w:r>
              <w:rPr>
                <w:rFonts w:hint="eastAsia" w:ascii="宋体" w:hAnsi="宋体" w:cs="宋体"/>
                <w:b/>
                <w:color w:val="000000"/>
                <w:szCs w:val="21"/>
                <w:highlight w:val="none"/>
              </w:rPr>
              <w:t>按投标人承诺拟投入的总人数乘以</w:t>
            </w:r>
            <w:r>
              <w:rPr>
                <w:rFonts w:hint="eastAsia" w:ascii="宋体" w:hAnsi="宋体" w:cs="宋体"/>
                <w:b/>
                <w:color w:val="000000"/>
                <w:szCs w:val="21"/>
                <w:highlight w:val="none"/>
                <w:lang w:val="en-US" w:eastAsia="zh-CN"/>
              </w:rPr>
              <w:t>12</w:t>
            </w:r>
            <w:r>
              <w:rPr>
                <w:rFonts w:hint="eastAsia" w:ascii="宋体" w:hAnsi="宋体" w:cs="宋体"/>
                <w:b/>
                <w:color w:val="000000"/>
                <w:szCs w:val="21"/>
                <w:highlight w:val="none"/>
              </w:rPr>
              <w:t>个月为计算标准</w:t>
            </w:r>
          </w:p>
        </w:tc>
      </w:tr>
      <w:tr w14:paraId="12BA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14:paraId="72903F4D">
            <w:pPr>
              <w:jc w:val="center"/>
              <w:rPr>
                <w:rFonts w:ascii="宋体" w:hAnsi="宋体" w:cs="宋体"/>
                <w:b/>
                <w:color w:val="000000"/>
                <w:szCs w:val="21"/>
                <w:highlight w:val="none"/>
              </w:rPr>
            </w:pPr>
            <w:r>
              <w:rPr>
                <w:rFonts w:hint="eastAsia" w:ascii="宋体" w:hAnsi="宋体" w:cs="宋体"/>
                <w:b/>
                <w:color w:val="000000"/>
                <w:szCs w:val="21"/>
                <w:highlight w:val="none"/>
              </w:rPr>
              <w:t>2</w:t>
            </w:r>
          </w:p>
        </w:tc>
        <w:tc>
          <w:tcPr>
            <w:tcW w:w="1545" w:type="dxa"/>
            <w:gridSpan w:val="3"/>
            <w:tcBorders>
              <w:top w:val="single" w:color="auto" w:sz="4" w:space="0"/>
              <w:left w:val="single" w:color="auto" w:sz="4" w:space="0"/>
              <w:bottom w:val="single" w:color="auto" w:sz="4" w:space="0"/>
              <w:right w:val="single" w:color="auto" w:sz="4" w:space="0"/>
            </w:tcBorders>
            <w:noWrap w:val="0"/>
            <w:vAlign w:val="center"/>
          </w:tcPr>
          <w:p w14:paraId="2B0AABC8">
            <w:pPr>
              <w:jc w:val="center"/>
              <w:rPr>
                <w:rFonts w:ascii="宋体" w:hAnsi="宋体" w:cs="宋体"/>
                <w:b/>
                <w:color w:val="000000"/>
                <w:szCs w:val="21"/>
                <w:highlight w:val="none"/>
              </w:rPr>
            </w:pPr>
            <w:r>
              <w:rPr>
                <w:rFonts w:hint="eastAsia" w:ascii="宋体" w:hAnsi="宋体" w:cs="宋体"/>
                <w:b/>
                <w:color w:val="000000"/>
                <w:szCs w:val="21"/>
                <w:highlight w:val="none"/>
              </w:rPr>
              <w:t>重大节日慰问福利</w:t>
            </w:r>
          </w:p>
        </w:tc>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14:paraId="1D38CE33">
            <w:pPr>
              <w:jc w:val="center"/>
              <w:rPr>
                <w:rFonts w:ascii="宋体" w:hAnsi="宋体" w:cs="宋体"/>
                <w:color w:val="000000"/>
                <w:szCs w:val="21"/>
                <w:highlight w:val="none"/>
              </w:rPr>
            </w:pPr>
          </w:p>
        </w:tc>
        <w:tc>
          <w:tcPr>
            <w:tcW w:w="1983" w:type="dxa"/>
            <w:gridSpan w:val="3"/>
            <w:tcBorders>
              <w:top w:val="single" w:color="auto" w:sz="4" w:space="0"/>
              <w:left w:val="single" w:color="auto" w:sz="4" w:space="0"/>
              <w:bottom w:val="single" w:color="auto" w:sz="4" w:space="0"/>
              <w:right w:val="single" w:color="auto" w:sz="4" w:space="0"/>
            </w:tcBorders>
            <w:noWrap w:val="0"/>
            <w:vAlign w:val="center"/>
          </w:tcPr>
          <w:p w14:paraId="77A0EB1A">
            <w:pPr>
              <w:jc w:val="center"/>
              <w:rPr>
                <w:rFonts w:ascii="宋体" w:hAnsi="宋体" w:cs="宋体"/>
                <w:color w:val="000000"/>
                <w:szCs w:val="21"/>
                <w:highlight w:val="none"/>
                <w:u w:val="single"/>
              </w:rPr>
            </w:pPr>
            <w:r>
              <w:rPr>
                <w:rFonts w:hint="eastAsia" w:ascii="宋体" w:hAnsi="宋体" w:cs="宋体"/>
                <w:color w:val="000000"/>
                <w:szCs w:val="21"/>
                <w:highlight w:val="none"/>
              </w:rPr>
              <w:t>元/人/月</w:t>
            </w: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14:paraId="263ACA73">
            <w:pPr>
              <w:ind w:firstLine="422"/>
              <w:jc w:val="center"/>
              <w:rPr>
                <w:rFonts w:ascii="宋体" w:hAnsi="宋体" w:cs="宋体"/>
                <w:b/>
                <w:color w:val="000000"/>
                <w:szCs w:val="21"/>
                <w:highlight w:val="none"/>
                <w:u w:val="single"/>
              </w:rPr>
            </w:pPr>
            <w:r>
              <w:rPr>
                <w:rFonts w:hint="eastAsia" w:ascii="宋体" w:hAnsi="宋体" w:cs="宋体"/>
                <w:b/>
                <w:color w:val="000000"/>
                <w:szCs w:val="21"/>
                <w:highlight w:val="none"/>
                <w:u w:val="single"/>
              </w:rPr>
              <w:t>按投标人承诺拟投入的总人数乘以</w:t>
            </w:r>
            <w:r>
              <w:rPr>
                <w:rFonts w:hint="eastAsia" w:ascii="宋体" w:hAnsi="宋体" w:cs="宋体"/>
                <w:b/>
                <w:color w:val="000000"/>
                <w:szCs w:val="21"/>
                <w:highlight w:val="none"/>
                <w:u w:val="single"/>
                <w:lang w:val="en-US" w:eastAsia="zh-CN"/>
              </w:rPr>
              <w:t>12</w:t>
            </w:r>
            <w:r>
              <w:rPr>
                <w:rFonts w:hint="eastAsia" w:ascii="宋体" w:hAnsi="宋体" w:cs="宋体"/>
                <w:b/>
                <w:color w:val="000000"/>
                <w:szCs w:val="21"/>
                <w:highlight w:val="none"/>
                <w:u w:val="single"/>
              </w:rPr>
              <w:t>个月</w:t>
            </w:r>
          </w:p>
          <w:p w14:paraId="68EDB8B2">
            <w:pPr>
              <w:ind w:firstLine="422"/>
              <w:jc w:val="center"/>
              <w:rPr>
                <w:rFonts w:ascii="宋体" w:hAnsi="宋体" w:cs="宋体"/>
                <w:color w:val="000000"/>
                <w:szCs w:val="21"/>
                <w:highlight w:val="none"/>
              </w:rPr>
            </w:pPr>
            <w:r>
              <w:rPr>
                <w:rFonts w:hint="eastAsia" w:ascii="宋体" w:hAnsi="宋体" w:cs="宋体"/>
                <w:b/>
                <w:color w:val="000000"/>
                <w:szCs w:val="21"/>
                <w:highlight w:val="none"/>
                <w:u w:val="single"/>
              </w:rPr>
              <w:t>合计：       元</w:t>
            </w: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58B65E1F">
            <w:pPr>
              <w:jc w:val="center"/>
              <w:rPr>
                <w:rFonts w:ascii="宋体" w:hAnsi="宋体" w:cs="宋体"/>
                <w:color w:val="000000"/>
                <w:szCs w:val="21"/>
                <w:highlight w:val="none"/>
                <w:u w:val="single"/>
              </w:rPr>
            </w:pPr>
          </w:p>
        </w:tc>
      </w:tr>
      <w:tr w14:paraId="51A9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14:paraId="06F4EC5C">
            <w:pPr>
              <w:jc w:val="center"/>
              <w:rPr>
                <w:rFonts w:ascii="宋体" w:hAnsi="宋体" w:cs="宋体"/>
                <w:b/>
                <w:color w:val="000000"/>
                <w:szCs w:val="21"/>
                <w:highlight w:val="none"/>
              </w:rPr>
            </w:pPr>
            <w:r>
              <w:rPr>
                <w:rFonts w:hint="eastAsia" w:ascii="宋体" w:hAnsi="宋体" w:cs="宋体"/>
                <w:b/>
                <w:color w:val="000000"/>
                <w:szCs w:val="21"/>
                <w:highlight w:val="none"/>
              </w:rPr>
              <w:t>3</w:t>
            </w:r>
          </w:p>
        </w:tc>
        <w:tc>
          <w:tcPr>
            <w:tcW w:w="1545" w:type="dxa"/>
            <w:gridSpan w:val="3"/>
            <w:tcBorders>
              <w:top w:val="single" w:color="auto" w:sz="4" w:space="0"/>
              <w:left w:val="single" w:color="auto" w:sz="4" w:space="0"/>
              <w:bottom w:val="single" w:color="auto" w:sz="4" w:space="0"/>
              <w:right w:val="single" w:color="auto" w:sz="4" w:space="0"/>
            </w:tcBorders>
            <w:noWrap w:val="0"/>
            <w:vAlign w:val="center"/>
          </w:tcPr>
          <w:p w14:paraId="39FF7D21">
            <w:pPr>
              <w:jc w:val="center"/>
              <w:rPr>
                <w:rFonts w:ascii="宋体" w:hAnsi="宋体" w:cs="宋体"/>
                <w:b/>
                <w:color w:val="000000"/>
                <w:szCs w:val="21"/>
                <w:highlight w:val="none"/>
              </w:rPr>
            </w:pPr>
            <w:r>
              <w:rPr>
                <w:rFonts w:hint="eastAsia" w:ascii="宋体" w:hAnsi="宋体" w:cs="宋体"/>
                <w:b/>
                <w:color w:val="000000"/>
                <w:szCs w:val="21"/>
                <w:highlight w:val="none"/>
              </w:rPr>
              <w:t>餐费补助</w:t>
            </w:r>
          </w:p>
        </w:tc>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14:paraId="0447DD4B">
            <w:pPr>
              <w:jc w:val="center"/>
              <w:rPr>
                <w:rFonts w:ascii="宋体" w:hAnsi="宋体" w:cs="宋体"/>
                <w:color w:val="000000"/>
                <w:szCs w:val="21"/>
                <w:highlight w:val="none"/>
              </w:rPr>
            </w:pPr>
          </w:p>
        </w:tc>
        <w:tc>
          <w:tcPr>
            <w:tcW w:w="1983" w:type="dxa"/>
            <w:gridSpan w:val="3"/>
            <w:tcBorders>
              <w:top w:val="single" w:color="auto" w:sz="4" w:space="0"/>
              <w:left w:val="single" w:color="auto" w:sz="4" w:space="0"/>
              <w:bottom w:val="single" w:color="auto" w:sz="4" w:space="0"/>
              <w:right w:val="single" w:color="auto" w:sz="4" w:space="0"/>
            </w:tcBorders>
            <w:noWrap w:val="0"/>
            <w:vAlign w:val="center"/>
          </w:tcPr>
          <w:p w14:paraId="0E0BA42A">
            <w:pPr>
              <w:jc w:val="center"/>
              <w:rPr>
                <w:rFonts w:ascii="宋体" w:hAnsi="宋体" w:cs="宋体"/>
                <w:color w:val="000000"/>
                <w:szCs w:val="21"/>
                <w:highlight w:val="none"/>
                <w:u w:val="single"/>
              </w:rPr>
            </w:pPr>
            <w:r>
              <w:rPr>
                <w:rFonts w:hint="eastAsia" w:ascii="宋体" w:hAnsi="宋体" w:cs="宋体"/>
                <w:color w:val="000000"/>
                <w:szCs w:val="21"/>
                <w:highlight w:val="none"/>
              </w:rPr>
              <w:t>元/人/月</w:t>
            </w: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14:paraId="11148B05">
            <w:pPr>
              <w:ind w:firstLine="422"/>
              <w:jc w:val="center"/>
              <w:rPr>
                <w:rFonts w:ascii="宋体" w:hAnsi="宋体" w:cs="宋体"/>
                <w:b/>
                <w:color w:val="000000"/>
                <w:szCs w:val="21"/>
                <w:highlight w:val="none"/>
                <w:u w:val="single"/>
              </w:rPr>
            </w:pPr>
            <w:r>
              <w:rPr>
                <w:rFonts w:hint="eastAsia" w:ascii="宋体" w:hAnsi="宋体" w:cs="宋体"/>
                <w:b/>
                <w:color w:val="000000"/>
                <w:szCs w:val="21"/>
                <w:highlight w:val="none"/>
                <w:u w:val="single"/>
              </w:rPr>
              <w:t>按投标人承诺拟投入的总人数乘以</w:t>
            </w:r>
            <w:r>
              <w:rPr>
                <w:rFonts w:hint="eastAsia" w:ascii="宋体" w:hAnsi="宋体" w:cs="宋体"/>
                <w:b/>
                <w:color w:val="000000"/>
                <w:szCs w:val="21"/>
                <w:highlight w:val="none"/>
                <w:u w:val="single"/>
                <w:lang w:val="en-US" w:eastAsia="zh-CN"/>
              </w:rPr>
              <w:t>12</w:t>
            </w:r>
            <w:r>
              <w:rPr>
                <w:rFonts w:hint="eastAsia" w:ascii="宋体" w:hAnsi="宋体" w:cs="宋体"/>
                <w:b/>
                <w:color w:val="000000"/>
                <w:szCs w:val="21"/>
                <w:highlight w:val="none"/>
                <w:u w:val="single"/>
              </w:rPr>
              <w:t>个月</w:t>
            </w:r>
          </w:p>
          <w:p w14:paraId="52FA53CC">
            <w:pPr>
              <w:ind w:firstLine="422"/>
              <w:jc w:val="center"/>
              <w:rPr>
                <w:rFonts w:ascii="宋体" w:hAnsi="宋体" w:cs="宋体"/>
                <w:color w:val="000000"/>
                <w:szCs w:val="21"/>
                <w:highlight w:val="none"/>
              </w:rPr>
            </w:pPr>
            <w:r>
              <w:rPr>
                <w:rFonts w:hint="eastAsia" w:ascii="宋体" w:hAnsi="宋体" w:cs="宋体"/>
                <w:b/>
                <w:color w:val="000000"/>
                <w:szCs w:val="21"/>
                <w:highlight w:val="none"/>
                <w:u w:val="single"/>
              </w:rPr>
              <w:t>合计：       元</w:t>
            </w: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0716D9C8">
            <w:pPr>
              <w:jc w:val="center"/>
              <w:rPr>
                <w:rFonts w:ascii="宋体" w:hAnsi="宋体" w:cs="宋体"/>
                <w:color w:val="000000"/>
                <w:szCs w:val="21"/>
                <w:highlight w:val="none"/>
                <w:u w:val="single"/>
              </w:rPr>
            </w:pPr>
          </w:p>
        </w:tc>
      </w:tr>
      <w:tr w14:paraId="79EE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14:paraId="50ADA6B5">
            <w:pPr>
              <w:jc w:val="center"/>
              <w:rPr>
                <w:rFonts w:ascii="宋体" w:hAnsi="宋体" w:cs="宋体"/>
                <w:b/>
                <w:color w:val="000000"/>
                <w:szCs w:val="21"/>
                <w:highlight w:val="none"/>
              </w:rPr>
            </w:pPr>
            <w:r>
              <w:rPr>
                <w:rFonts w:hint="eastAsia" w:ascii="宋体" w:hAnsi="宋体" w:cs="宋体"/>
                <w:b/>
                <w:color w:val="000000"/>
                <w:szCs w:val="21"/>
                <w:highlight w:val="none"/>
              </w:rPr>
              <w:t>4</w:t>
            </w:r>
          </w:p>
        </w:tc>
        <w:tc>
          <w:tcPr>
            <w:tcW w:w="1545" w:type="dxa"/>
            <w:gridSpan w:val="3"/>
            <w:tcBorders>
              <w:top w:val="single" w:color="auto" w:sz="4" w:space="0"/>
              <w:left w:val="single" w:color="auto" w:sz="4" w:space="0"/>
              <w:bottom w:val="single" w:color="auto" w:sz="4" w:space="0"/>
              <w:right w:val="single" w:color="auto" w:sz="4" w:space="0"/>
            </w:tcBorders>
            <w:noWrap w:val="0"/>
            <w:vAlign w:val="center"/>
          </w:tcPr>
          <w:p w14:paraId="0F2F4B57">
            <w:pPr>
              <w:jc w:val="center"/>
              <w:rPr>
                <w:rFonts w:ascii="宋体" w:hAnsi="宋体" w:cs="宋体"/>
                <w:b/>
                <w:color w:val="000000"/>
                <w:szCs w:val="21"/>
                <w:highlight w:val="none"/>
              </w:rPr>
            </w:pPr>
            <w:r>
              <w:rPr>
                <w:rFonts w:hint="eastAsia" w:ascii="宋体" w:hAnsi="宋体" w:cs="宋体"/>
                <w:b/>
                <w:color w:val="000000"/>
                <w:szCs w:val="21"/>
                <w:highlight w:val="none"/>
              </w:rPr>
              <w:t>意外保险</w:t>
            </w:r>
          </w:p>
        </w:tc>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14:paraId="670BE959">
            <w:pPr>
              <w:jc w:val="center"/>
              <w:rPr>
                <w:rFonts w:ascii="宋体" w:hAnsi="宋体" w:cs="宋体"/>
                <w:color w:val="000000"/>
                <w:szCs w:val="21"/>
                <w:highlight w:val="none"/>
              </w:rPr>
            </w:pPr>
          </w:p>
        </w:tc>
        <w:tc>
          <w:tcPr>
            <w:tcW w:w="1983" w:type="dxa"/>
            <w:gridSpan w:val="3"/>
            <w:tcBorders>
              <w:top w:val="single" w:color="auto" w:sz="4" w:space="0"/>
              <w:left w:val="single" w:color="auto" w:sz="4" w:space="0"/>
              <w:bottom w:val="single" w:color="auto" w:sz="4" w:space="0"/>
              <w:right w:val="single" w:color="auto" w:sz="4" w:space="0"/>
            </w:tcBorders>
            <w:noWrap w:val="0"/>
            <w:vAlign w:val="center"/>
          </w:tcPr>
          <w:p w14:paraId="2382B2D4">
            <w:pPr>
              <w:jc w:val="center"/>
              <w:rPr>
                <w:rFonts w:ascii="宋体" w:hAnsi="宋体" w:cs="宋体"/>
                <w:color w:val="000000"/>
                <w:szCs w:val="21"/>
                <w:highlight w:val="none"/>
              </w:rPr>
            </w:pPr>
            <w:r>
              <w:rPr>
                <w:rFonts w:hint="eastAsia" w:ascii="宋体" w:hAnsi="宋体" w:cs="宋体"/>
                <w:color w:val="000000"/>
                <w:szCs w:val="21"/>
                <w:highlight w:val="none"/>
              </w:rPr>
              <w:t>元/人/月</w:t>
            </w: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14:paraId="2FCD1852">
            <w:pPr>
              <w:ind w:firstLine="422"/>
              <w:jc w:val="center"/>
              <w:rPr>
                <w:rFonts w:ascii="宋体" w:hAnsi="宋体" w:cs="宋体"/>
                <w:b/>
                <w:color w:val="000000"/>
                <w:szCs w:val="21"/>
                <w:highlight w:val="none"/>
                <w:u w:val="single"/>
              </w:rPr>
            </w:pPr>
            <w:r>
              <w:rPr>
                <w:rFonts w:hint="eastAsia" w:ascii="宋体" w:hAnsi="宋体" w:cs="宋体"/>
                <w:b/>
                <w:color w:val="000000"/>
                <w:szCs w:val="21"/>
                <w:highlight w:val="none"/>
                <w:u w:val="single"/>
              </w:rPr>
              <w:t>按投标人承诺拟投入的总人数乘以</w:t>
            </w:r>
            <w:r>
              <w:rPr>
                <w:rFonts w:hint="eastAsia" w:ascii="宋体" w:hAnsi="宋体" w:cs="宋体"/>
                <w:b/>
                <w:color w:val="000000"/>
                <w:szCs w:val="21"/>
                <w:highlight w:val="none"/>
                <w:u w:val="single"/>
                <w:lang w:val="en-US" w:eastAsia="zh-CN"/>
              </w:rPr>
              <w:t>12</w:t>
            </w:r>
            <w:r>
              <w:rPr>
                <w:rFonts w:hint="eastAsia" w:ascii="宋体" w:hAnsi="宋体" w:cs="宋体"/>
                <w:b/>
                <w:color w:val="000000"/>
                <w:szCs w:val="21"/>
                <w:highlight w:val="none"/>
                <w:u w:val="single"/>
              </w:rPr>
              <w:t>个月</w:t>
            </w:r>
          </w:p>
          <w:p w14:paraId="495C5384">
            <w:pPr>
              <w:ind w:firstLine="422"/>
              <w:jc w:val="center"/>
              <w:rPr>
                <w:rFonts w:ascii="宋体" w:hAnsi="宋体" w:cs="宋体"/>
                <w:b/>
                <w:color w:val="000000"/>
                <w:szCs w:val="21"/>
                <w:highlight w:val="none"/>
                <w:u w:val="single"/>
              </w:rPr>
            </w:pPr>
            <w:r>
              <w:rPr>
                <w:rFonts w:hint="eastAsia" w:ascii="宋体" w:hAnsi="宋体" w:cs="宋体"/>
                <w:b/>
                <w:color w:val="000000"/>
                <w:szCs w:val="21"/>
                <w:highlight w:val="none"/>
                <w:u w:val="single"/>
              </w:rPr>
              <w:t>合计：       元</w:t>
            </w: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495A22E0">
            <w:pPr>
              <w:jc w:val="center"/>
              <w:rPr>
                <w:rFonts w:ascii="宋体" w:hAnsi="宋体" w:cs="宋体"/>
                <w:color w:val="000000"/>
                <w:szCs w:val="21"/>
                <w:highlight w:val="none"/>
                <w:u w:val="single"/>
              </w:rPr>
            </w:pPr>
          </w:p>
        </w:tc>
      </w:tr>
      <w:tr w14:paraId="1C1E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464" w:type="dxa"/>
            <w:gridSpan w:val="12"/>
            <w:tcBorders>
              <w:top w:val="single" w:color="auto" w:sz="4" w:space="0"/>
              <w:left w:val="single" w:color="auto" w:sz="4" w:space="0"/>
              <w:bottom w:val="single" w:color="auto" w:sz="4" w:space="0"/>
              <w:right w:val="single" w:color="auto" w:sz="4" w:space="0"/>
            </w:tcBorders>
            <w:noWrap w:val="0"/>
            <w:vAlign w:val="center"/>
          </w:tcPr>
          <w:p w14:paraId="6EB61D2E">
            <w:pPr>
              <w:rPr>
                <w:rFonts w:ascii="宋体" w:hAnsi="宋体" w:cs="宋体"/>
                <w:color w:val="000000"/>
                <w:szCs w:val="21"/>
                <w:highlight w:val="none"/>
                <w:u w:val="single"/>
              </w:rPr>
            </w:pPr>
            <w:r>
              <w:rPr>
                <w:rFonts w:hint="eastAsia" w:ascii="宋体" w:hAnsi="宋体" w:cs="宋体"/>
                <w:b/>
                <w:color w:val="000000"/>
                <w:szCs w:val="21"/>
                <w:highlight w:val="none"/>
              </w:rPr>
              <w:t>四、法定节假日加班费用：</w:t>
            </w:r>
          </w:p>
        </w:tc>
      </w:tr>
      <w:tr w14:paraId="3C86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4A28D191">
            <w:pPr>
              <w:widowControl/>
              <w:jc w:val="center"/>
              <w:rPr>
                <w:rFonts w:ascii="宋体" w:hAnsi="宋体" w:cs="宋体"/>
                <w:b/>
                <w:color w:val="000000"/>
                <w:szCs w:val="21"/>
                <w:highlight w:val="none"/>
              </w:rPr>
            </w:pPr>
            <w:r>
              <w:rPr>
                <w:rFonts w:hint="eastAsia" w:ascii="宋体" w:hAnsi="宋体" w:cs="宋体"/>
                <w:b/>
                <w:color w:val="000000"/>
                <w:szCs w:val="21"/>
                <w:highlight w:val="none"/>
              </w:rPr>
              <w:t>序号</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794300DB">
            <w:pPr>
              <w:widowControl/>
              <w:jc w:val="center"/>
              <w:rPr>
                <w:rFonts w:ascii="宋体" w:hAnsi="宋体" w:cs="宋体"/>
                <w:b/>
                <w:color w:val="000000"/>
                <w:szCs w:val="21"/>
                <w:highlight w:val="none"/>
              </w:rPr>
            </w:pPr>
            <w:r>
              <w:rPr>
                <w:rFonts w:hint="eastAsia" w:ascii="宋体" w:hAnsi="宋体" w:cs="宋体"/>
                <w:b/>
                <w:color w:val="000000"/>
                <w:szCs w:val="21"/>
                <w:highlight w:val="none"/>
              </w:rPr>
              <w:t>科目类别</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09564149">
            <w:pPr>
              <w:widowControl/>
              <w:jc w:val="center"/>
              <w:rPr>
                <w:rFonts w:ascii="宋体" w:hAnsi="宋体" w:cs="宋体"/>
                <w:b/>
                <w:color w:val="000000"/>
                <w:szCs w:val="21"/>
                <w:highlight w:val="none"/>
              </w:rPr>
            </w:pPr>
            <w:r>
              <w:rPr>
                <w:rFonts w:hint="eastAsia" w:ascii="宋体" w:hAnsi="宋体" w:cs="宋体"/>
                <w:b/>
                <w:color w:val="000000"/>
                <w:szCs w:val="21"/>
                <w:highlight w:val="none"/>
              </w:rPr>
              <w:t>测算依据</w:t>
            </w:r>
          </w:p>
        </w:tc>
        <w:tc>
          <w:tcPr>
            <w:tcW w:w="1983" w:type="dxa"/>
            <w:gridSpan w:val="3"/>
            <w:tcBorders>
              <w:top w:val="single" w:color="auto" w:sz="4" w:space="0"/>
              <w:left w:val="single" w:color="auto" w:sz="4" w:space="0"/>
              <w:bottom w:val="single" w:color="auto" w:sz="4" w:space="0"/>
              <w:right w:val="single" w:color="auto" w:sz="4" w:space="0"/>
            </w:tcBorders>
            <w:noWrap w:val="0"/>
            <w:vAlign w:val="center"/>
          </w:tcPr>
          <w:p w14:paraId="4D39274D">
            <w:pPr>
              <w:widowControl/>
              <w:jc w:val="center"/>
              <w:rPr>
                <w:rFonts w:ascii="宋体" w:hAnsi="宋体" w:cs="宋体"/>
                <w:b/>
                <w:color w:val="000000"/>
                <w:szCs w:val="21"/>
                <w:highlight w:val="none"/>
              </w:rPr>
            </w:pPr>
            <w:r>
              <w:rPr>
                <w:rFonts w:hint="eastAsia" w:ascii="宋体" w:hAnsi="宋体" w:cs="宋体"/>
                <w:b/>
                <w:color w:val="000000"/>
                <w:szCs w:val="21"/>
                <w:highlight w:val="none"/>
              </w:rPr>
              <w:t>单人单天费用</w:t>
            </w: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14:paraId="5138DE13">
            <w:pPr>
              <w:widowControl/>
              <w:jc w:val="center"/>
              <w:rPr>
                <w:rFonts w:ascii="宋体" w:hAnsi="宋体" w:cs="宋体"/>
                <w:b/>
                <w:color w:val="000000"/>
                <w:szCs w:val="21"/>
                <w:highlight w:val="none"/>
              </w:rPr>
            </w:pPr>
            <w:r>
              <w:rPr>
                <w:rFonts w:hint="eastAsia" w:ascii="宋体" w:hAnsi="宋体" w:cs="宋体"/>
                <w:b/>
                <w:color w:val="000000"/>
                <w:szCs w:val="21"/>
                <w:highlight w:val="none"/>
              </w:rPr>
              <w:t>合计费用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EFDAB2E">
            <w:pPr>
              <w:widowControl/>
              <w:jc w:val="center"/>
              <w:rPr>
                <w:rFonts w:ascii="宋体" w:hAnsi="宋体" w:cs="宋体"/>
                <w:b/>
                <w:color w:val="000000"/>
                <w:szCs w:val="21"/>
                <w:highlight w:val="none"/>
              </w:rPr>
            </w:pPr>
            <w:r>
              <w:rPr>
                <w:rFonts w:hint="eastAsia" w:ascii="宋体" w:hAnsi="宋体" w:cs="宋体"/>
                <w:b/>
                <w:color w:val="000000"/>
                <w:szCs w:val="21"/>
                <w:highlight w:val="none"/>
              </w:rPr>
              <w:t>备注</w:t>
            </w:r>
          </w:p>
        </w:tc>
      </w:tr>
      <w:tr w14:paraId="0738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1B9E0D7A">
            <w:pPr>
              <w:jc w:val="center"/>
              <w:rPr>
                <w:rFonts w:ascii="宋体" w:hAnsi="宋体" w:cs="宋体"/>
                <w:b/>
                <w:color w:val="000000"/>
                <w:szCs w:val="21"/>
                <w:highlight w:val="none"/>
              </w:rPr>
            </w:pPr>
            <w:r>
              <w:rPr>
                <w:rFonts w:hint="eastAsia" w:ascii="宋体" w:hAnsi="宋体" w:cs="宋体"/>
                <w:b/>
                <w:color w:val="000000"/>
                <w:szCs w:val="21"/>
                <w:highlight w:val="none"/>
              </w:rPr>
              <w:t>1</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5EFCD72B">
            <w:pPr>
              <w:jc w:val="center"/>
              <w:rPr>
                <w:rFonts w:ascii="宋体" w:hAnsi="宋体" w:cs="宋体"/>
                <w:b/>
                <w:color w:val="000000"/>
                <w:szCs w:val="21"/>
                <w:highlight w:val="none"/>
              </w:rPr>
            </w:pPr>
            <w:r>
              <w:rPr>
                <w:rFonts w:hint="eastAsia" w:ascii="宋体" w:hAnsi="宋体" w:cs="宋体"/>
                <w:b/>
                <w:color w:val="000000"/>
                <w:szCs w:val="21"/>
                <w:highlight w:val="none"/>
              </w:rPr>
              <w:t>法定节假日加班费</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57BB4FA4">
            <w:pPr>
              <w:jc w:val="center"/>
              <w:rPr>
                <w:rFonts w:ascii="宋体" w:hAnsi="宋体" w:cs="宋体"/>
                <w:b/>
                <w:color w:val="000000"/>
                <w:szCs w:val="21"/>
                <w:highlight w:val="none"/>
              </w:rPr>
            </w:pPr>
            <w:r>
              <w:rPr>
                <w:rFonts w:hint="eastAsia" w:ascii="宋体" w:hAnsi="宋体" w:cs="宋体"/>
                <w:b/>
                <w:color w:val="000000"/>
                <w:szCs w:val="21"/>
                <w:highlight w:val="none"/>
              </w:rPr>
              <w:t>根据《</w:t>
            </w:r>
            <w:r>
              <w:rPr>
                <w:rFonts w:hint="eastAsia" w:ascii="宋体" w:hAnsi="宋体" w:cs="宋体"/>
                <w:b/>
                <w:color w:val="000000"/>
                <w:szCs w:val="21"/>
              </w:rPr>
              <w:t>劳动法</w:t>
            </w:r>
            <w:r>
              <w:rPr>
                <w:rFonts w:hint="eastAsia" w:ascii="宋体" w:hAnsi="宋体" w:cs="宋体"/>
                <w:b/>
                <w:color w:val="000000"/>
                <w:szCs w:val="21"/>
                <w:highlight w:val="none"/>
              </w:rPr>
              <w:t>》规定不低于劳动者本人日工资的300%支付法定节假日加班工资</w:t>
            </w:r>
          </w:p>
        </w:tc>
        <w:tc>
          <w:tcPr>
            <w:tcW w:w="1983" w:type="dxa"/>
            <w:gridSpan w:val="3"/>
            <w:tcBorders>
              <w:top w:val="single" w:color="auto" w:sz="4" w:space="0"/>
              <w:left w:val="single" w:color="auto" w:sz="4" w:space="0"/>
              <w:bottom w:val="single" w:color="auto" w:sz="4" w:space="0"/>
              <w:right w:val="single" w:color="auto" w:sz="4" w:space="0"/>
            </w:tcBorders>
            <w:noWrap w:val="0"/>
            <w:vAlign w:val="center"/>
          </w:tcPr>
          <w:p w14:paraId="661283B9">
            <w:pPr>
              <w:jc w:val="center"/>
              <w:rPr>
                <w:rFonts w:ascii="宋体" w:hAnsi="宋体" w:cs="宋体"/>
                <w:color w:val="000000"/>
                <w:szCs w:val="21"/>
                <w:highlight w:val="none"/>
                <w:u w:val="single"/>
              </w:rPr>
            </w:pPr>
            <w:r>
              <w:rPr>
                <w:rFonts w:hint="eastAsia" w:ascii="宋体" w:hAnsi="宋体" w:cs="宋体"/>
                <w:color w:val="000000"/>
                <w:szCs w:val="21"/>
                <w:highlight w:val="none"/>
              </w:rPr>
              <w:t>元/天/人</w:t>
            </w: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14:paraId="11F02FF0">
            <w:pPr>
              <w:ind w:firstLine="422"/>
              <w:jc w:val="center"/>
              <w:rPr>
                <w:rFonts w:ascii="宋体" w:hAnsi="宋体" w:cs="宋体"/>
                <w:b/>
                <w:color w:val="000000"/>
                <w:szCs w:val="21"/>
                <w:highlight w:val="none"/>
                <w:u w:val="single"/>
              </w:rPr>
            </w:pPr>
            <w:r>
              <w:rPr>
                <w:rFonts w:hint="eastAsia" w:ascii="宋体" w:hAnsi="宋体" w:cs="宋体"/>
                <w:b/>
                <w:color w:val="000000"/>
                <w:szCs w:val="21"/>
                <w:highlight w:val="none"/>
                <w:u w:val="single"/>
              </w:rPr>
              <w:t>按人 天</w:t>
            </w:r>
          </w:p>
          <w:p w14:paraId="1C7CF62A">
            <w:pPr>
              <w:ind w:firstLine="422"/>
              <w:jc w:val="center"/>
              <w:rPr>
                <w:rFonts w:ascii="宋体" w:hAnsi="宋体" w:cs="宋体"/>
                <w:color w:val="000000"/>
                <w:szCs w:val="21"/>
                <w:highlight w:val="none"/>
              </w:rPr>
            </w:pPr>
            <w:r>
              <w:rPr>
                <w:rFonts w:hint="eastAsia" w:ascii="宋体" w:hAnsi="宋体" w:cs="宋体"/>
                <w:b/>
                <w:color w:val="000000"/>
                <w:szCs w:val="21"/>
                <w:highlight w:val="none"/>
                <w:u w:val="single"/>
              </w:rPr>
              <w:t>合计：      元</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9741A36">
            <w:pPr>
              <w:spacing w:line="300" w:lineRule="exact"/>
              <w:jc w:val="center"/>
              <w:rPr>
                <w:rFonts w:ascii="宋体" w:hAnsi="宋体" w:cs="宋体"/>
                <w:color w:val="000000"/>
                <w:szCs w:val="21"/>
                <w:highlight w:val="none"/>
                <w:u w:val="single"/>
              </w:rPr>
            </w:pPr>
            <w:r>
              <w:rPr>
                <w:rFonts w:hint="eastAsia" w:ascii="宋体" w:hAnsi="宋体" w:cs="宋体"/>
                <w:b/>
                <w:bCs/>
                <w:color w:val="000000"/>
                <w:szCs w:val="21"/>
                <w:highlight w:val="none"/>
              </w:rPr>
              <w:t>每年（元旦1天、春节</w:t>
            </w:r>
            <w:r>
              <w:rPr>
                <w:rFonts w:hint="eastAsia" w:ascii="宋体" w:hAnsi="宋体" w:cs="宋体"/>
                <w:b/>
                <w:bCs/>
                <w:color w:val="000000"/>
                <w:szCs w:val="21"/>
                <w:highlight w:val="none"/>
                <w:lang w:val="en-US" w:eastAsia="zh-CN"/>
              </w:rPr>
              <w:t>4</w:t>
            </w:r>
            <w:r>
              <w:rPr>
                <w:rFonts w:hint="eastAsia" w:ascii="宋体" w:hAnsi="宋体" w:cs="宋体"/>
                <w:b/>
                <w:bCs/>
                <w:color w:val="000000"/>
                <w:szCs w:val="21"/>
                <w:highlight w:val="none"/>
              </w:rPr>
              <w:t>天、端午节1天、清明节1天、劳动节</w:t>
            </w:r>
            <w:r>
              <w:rPr>
                <w:rFonts w:hint="eastAsia" w:ascii="宋体" w:hAnsi="宋体" w:cs="宋体"/>
                <w:b/>
                <w:bCs/>
                <w:color w:val="000000"/>
                <w:szCs w:val="21"/>
                <w:highlight w:val="none"/>
                <w:lang w:val="en-US" w:eastAsia="zh-CN"/>
              </w:rPr>
              <w:t>2</w:t>
            </w:r>
            <w:r>
              <w:rPr>
                <w:rFonts w:hint="eastAsia" w:ascii="宋体" w:hAnsi="宋体" w:cs="宋体"/>
                <w:b/>
                <w:bCs/>
                <w:color w:val="000000"/>
                <w:szCs w:val="21"/>
                <w:highlight w:val="none"/>
              </w:rPr>
              <w:t>天、中秋节1天、国庆3天，共计1</w:t>
            </w:r>
            <w:r>
              <w:rPr>
                <w:rFonts w:hint="eastAsia" w:ascii="宋体" w:hAnsi="宋体" w:cs="宋体"/>
                <w:b/>
                <w:bCs/>
                <w:color w:val="000000"/>
                <w:szCs w:val="21"/>
                <w:highlight w:val="none"/>
                <w:lang w:val="en-US" w:eastAsia="zh-CN"/>
              </w:rPr>
              <w:t>3</w:t>
            </w:r>
            <w:r>
              <w:rPr>
                <w:rFonts w:hint="eastAsia" w:ascii="宋体" w:hAnsi="宋体" w:cs="宋体"/>
                <w:b/>
                <w:bCs/>
                <w:color w:val="000000"/>
                <w:szCs w:val="21"/>
                <w:highlight w:val="none"/>
              </w:rPr>
              <w:t>天）</w:t>
            </w:r>
            <w:r>
              <w:rPr>
                <w:rFonts w:hint="eastAsia" w:ascii="宋体" w:hAnsi="宋体" w:cs="宋体"/>
                <w:b/>
                <w:color w:val="000000"/>
                <w:szCs w:val="21"/>
                <w:highlight w:val="none"/>
                <w:u w:val="none"/>
              </w:rPr>
              <w:t>为</w:t>
            </w:r>
            <w:r>
              <w:rPr>
                <w:rFonts w:hint="eastAsia" w:ascii="宋体" w:hAnsi="宋体" w:cs="宋体"/>
                <w:b/>
                <w:color w:val="000000"/>
                <w:szCs w:val="21"/>
                <w:highlight w:val="none"/>
              </w:rPr>
              <w:t>计算标准</w:t>
            </w:r>
            <w:r>
              <w:rPr>
                <w:rFonts w:hint="eastAsia" w:ascii="宋体" w:hAnsi="宋体" w:cs="宋体"/>
                <w:b/>
                <w:bCs/>
                <w:color w:val="000000"/>
                <w:szCs w:val="21"/>
                <w:highlight w:val="none"/>
              </w:rPr>
              <w:t>。</w:t>
            </w:r>
          </w:p>
        </w:tc>
      </w:tr>
      <w:tr w14:paraId="5F7C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464" w:type="dxa"/>
            <w:gridSpan w:val="12"/>
            <w:tcBorders>
              <w:top w:val="single" w:color="auto" w:sz="4" w:space="0"/>
              <w:left w:val="single" w:color="auto" w:sz="4" w:space="0"/>
              <w:bottom w:val="single" w:color="auto" w:sz="4" w:space="0"/>
              <w:right w:val="single" w:color="auto" w:sz="4" w:space="0"/>
            </w:tcBorders>
            <w:noWrap w:val="0"/>
            <w:vAlign w:val="center"/>
          </w:tcPr>
          <w:p w14:paraId="5B5FF032">
            <w:pPr>
              <w:rPr>
                <w:rFonts w:ascii="宋体" w:hAnsi="宋体" w:cs="宋体"/>
                <w:color w:val="000000"/>
                <w:szCs w:val="21"/>
                <w:highlight w:val="none"/>
                <w:u w:val="single"/>
              </w:rPr>
            </w:pPr>
            <w:r>
              <w:rPr>
                <w:rFonts w:hint="eastAsia" w:ascii="宋体" w:hAnsi="宋体" w:cs="宋体"/>
                <w:b/>
                <w:color w:val="000000"/>
                <w:szCs w:val="21"/>
                <w:highlight w:val="none"/>
              </w:rPr>
              <w:t>五、装备、工具及</w:t>
            </w:r>
            <w:r>
              <w:rPr>
                <w:rFonts w:hint="eastAsia" w:ascii="宋体" w:hAnsi="宋体" w:cs="宋体"/>
                <w:b/>
                <w:color w:val="000000"/>
                <w:szCs w:val="21"/>
                <w:highlight w:val="none"/>
                <w:lang w:val="en-US" w:eastAsia="zh-CN"/>
              </w:rPr>
              <w:t>设施设备维护维修</w:t>
            </w:r>
            <w:r>
              <w:rPr>
                <w:rFonts w:hint="eastAsia" w:ascii="宋体" w:hAnsi="宋体" w:cs="宋体"/>
                <w:b/>
                <w:color w:val="000000"/>
                <w:szCs w:val="21"/>
                <w:highlight w:val="none"/>
              </w:rPr>
              <w:t>费用</w:t>
            </w:r>
          </w:p>
        </w:tc>
      </w:tr>
      <w:tr w14:paraId="3A74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098EB461">
            <w:pPr>
              <w:widowControl/>
              <w:jc w:val="center"/>
              <w:rPr>
                <w:rFonts w:ascii="宋体" w:hAnsi="宋体" w:cs="宋体"/>
                <w:color w:val="000000"/>
                <w:szCs w:val="21"/>
                <w:highlight w:val="none"/>
              </w:rPr>
            </w:pPr>
            <w:r>
              <w:rPr>
                <w:rFonts w:hint="eastAsia" w:ascii="宋体" w:hAnsi="宋体" w:cs="宋体"/>
                <w:b/>
                <w:color w:val="000000"/>
                <w:szCs w:val="21"/>
                <w:highlight w:val="none"/>
              </w:rPr>
              <w:t>序号</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34EC9F8C">
            <w:pPr>
              <w:widowControl/>
              <w:jc w:val="center"/>
              <w:rPr>
                <w:rFonts w:ascii="宋体" w:hAnsi="宋体" w:cs="宋体"/>
                <w:color w:val="000000"/>
                <w:szCs w:val="21"/>
                <w:highlight w:val="none"/>
              </w:rPr>
            </w:pPr>
            <w:r>
              <w:rPr>
                <w:rFonts w:hint="eastAsia" w:ascii="宋体" w:hAnsi="宋体" w:cs="宋体"/>
                <w:b/>
                <w:color w:val="000000"/>
                <w:szCs w:val="21"/>
                <w:highlight w:val="none"/>
              </w:rPr>
              <w:t>科目类别</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6DDF831F">
            <w:pPr>
              <w:widowControl/>
              <w:jc w:val="center"/>
              <w:rPr>
                <w:rFonts w:ascii="宋体" w:hAnsi="宋体" w:cs="宋体"/>
                <w:color w:val="000000"/>
                <w:szCs w:val="21"/>
                <w:highlight w:val="none"/>
              </w:rPr>
            </w:pPr>
            <w:r>
              <w:rPr>
                <w:rFonts w:hint="eastAsia" w:ascii="宋体" w:hAnsi="宋体" w:cs="宋体"/>
                <w:b/>
                <w:color w:val="000000"/>
                <w:szCs w:val="21"/>
                <w:highlight w:val="none"/>
              </w:rPr>
              <w:t>测算依据</w:t>
            </w: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4E12A9F7">
            <w:pPr>
              <w:jc w:val="center"/>
              <w:rPr>
                <w:rFonts w:ascii="宋体" w:hAnsi="宋体" w:cs="宋体"/>
                <w:color w:val="000000"/>
                <w:szCs w:val="21"/>
                <w:highlight w:val="none"/>
                <w:u w:val="single"/>
              </w:rPr>
            </w:pPr>
            <w:r>
              <w:rPr>
                <w:rFonts w:hint="eastAsia" w:ascii="宋体" w:hAnsi="宋体" w:cs="宋体"/>
                <w:b/>
                <w:color w:val="000000"/>
                <w:szCs w:val="21"/>
                <w:highlight w:val="none"/>
              </w:rPr>
              <w:t>费用（元）</w:t>
            </w:r>
          </w:p>
        </w:tc>
        <w:tc>
          <w:tcPr>
            <w:tcW w:w="1561" w:type="dxa"/>
            <w:gridSpan w:val="3"/>
            <w:tcBorders>
              <w:top w:val="single" w:color="auto" w:sz="4" w:space="0"/>
              <w:left w:val="single" w:color="auto" w:sz="4" w:space="0"/>
              <w:bottom w:val="single" w:color="auto" w:sz="4" w:space="0"/>
              <w:right w:val="single" w:color="auto" w:sz="4" w:space="0"/>
            </w:tcBorders>
            <w:noWrap w:val="0"/>
            <w:vAlign w:val="center"/>
          </w:tcPr>
          <w:p w14:paraId="1D6A8611">
            <w:pPr>
              <w:widowControl/>
              <w:jc w:val="center"/>
              <w:rPr>
                <w:rFonts w:ascii="宋体" w:hAnsi="宋体" w:cs="宋体"/>
                <w:b/>
                <w:color w:val="000000"/>
                <w:szCs w:val="21"/>
                <w:highlight w:val="none"/>
              </w:rPr>
            </w:pPr>
            <w:r>
              <w:rPr>
                <w:rFonts w:hint="eastAsia" w:ascii="宋体" w:hAnsi="宋体" w:cs="宋体"/>
                <w:b/>
                <w:color w:val="000000"/>
                <w:szCs w:val="21"/>
                <w:highlight w:val="none"/>
              </w:rPr>
              <w:t>备注</w:t>
            </w:r>
          </w:p>
        </w:tc>
      </w:tr>
      <w:tr w14:paraId="4840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1D159633">
            <w:pPr>
              <w:jc w:val="center"/>
              <w:rPr>
                <w:rFonts w:ascii="宋体" w:hAnsi="宋体" w:cs="宋体"/>
                <w:b/>
                <w:color w:val="000000"/>
                <w:szCs w:val="21"/>
                <w:highlight w:val="none"/>
              </w:rPr>
            </w:pPr>
            <w:r>
              <w:rPr>
                <w:rFonts w:hint="eastAsia" w:ascii="宋体" w:hAnsi="宋体" w:cs="宋体"/>
                <w:b/>
                <w:color w:val="000000"/>
                <w:szCs w:val="21"/>
                <w:highlight w:val="none"/>
              </w:rPr>
              <w:t>1</w:t>
            </w:r>
          </w:p>
        </w:tc>
        <w:tc>
          <w:tcPr>
            <w:tcW w:w="8770" w:type="dxa"/>
            <w:gridSpan w:val="9"/>
            <w:tcBorders>
              <w:top w:val="single" w:color="auto" w:sz="4" w:space="0"/>
              <w:left w:val="single" w:color="auto" w:sz="4" w:space="0"/>
              <w:bottom w:val="single" w:color="auto" w:sz="4" w:space="0"/>
              <w:right w:val="single" w:color="auto" w:sz="4" w:space="0"/>
            </w:tcBorders>
            <w:noWrap w:val="0"/>
            <w:vAlign w:val="center"/>
          </w:tcPr>
          <w:p w14:paraId="2C3EBA19">
            <w:pPr>
              <w:rPr>
                <w:rFonts w:ascii="宋体" w:hAnsi="宋体" w:cs="宋体"/>
                <w:color w:val="000000"/>
                <w:szCs w:val="21"/>
                <w:highlight w:val="none"/>
                <w:u w:val="single"/>
              </w:rPr>
            </w:pPr>
            <w:r>
              <w:rPr>
                <w:rFonts w:hint="eastAsia" w:ascii="宋体" w:hAnsi="宋体" w:cs="宋体"/>
                <w:b/>
                <w:color w:val="000000"/>
                <w:szCs w:val="21"/>
                <w:highlight w:val="none"/>
              </w:rPr>
              <w:t>装备、工具</w:t>
            </w:r>
            <w:r>
              <w:rPr>
                <w:rFonts w:hint="eastAsia" w:ascii="宋体" w:hAnsi="宋体" w:cs="宋体"/>
                <w:b/>
                <w:bCs/>
                <w:color w:val="000000"/>
                <w:szCs w:val="21"/>
                <w:highlight w:val="none"/>
              </w:rPr>
              <w:t>费用</w:t>
            </w:r>
          </w:p>
        </w:tc>
      </w:tr>
      <w:tr w14:paraId="3AB3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0193558B">
            <w:pPr>
              <w:jc w:val="center"/>
              <w:rPr>
                <w:rFonts w:ascii="宋体" w:hAnsi="宋体" w:cs="宋体"/>
                <w:b/>
                <w:color w:val="000000"/>
                <w:szCs w:val="21"/>
                <w:highlight w:val="none"/>
              </w:rPr>
            </w:pPr>
            <w:r>
              <w:rPr>
                <w:rFonts w:hint="eastAsia" w:ascii="宋体" w:hAnsi="宋体" w:cs="宋体"/>
                <w:b/>
                <w:color w:val="000000"/>
                <w:szCs w:val="21"/>
                <w:highlight w:val="none"/>
              </w:rPr>
              <w:t>1.1</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67F4A4C1">
            <w:pPr>
              <w:jc w:val="center"/>
              <w:rPr>
                <w:rFonts w:ascii="宋体" w:hAnsi="宋体" w:cs="宋体"/>
                <w:b/>
                <w:bCs/>
                <w:color w:val="000000"/>
                <w:szCs w:val="21"/>
                <w:highlight w:val="none"/>
              </w:rPr>
            </w:pPr>
            <w:r>
              <w:rPr>
                <w:rFonts w:hint="eastAsia" w:ascii="宋体" w:hAnsi="宋体" w:cs="宋体"/>
                <w:b/>
                <w:bCs/>
                <w:color w:val="000000"/>
                <w:szCs w:val="21"/>
                <w:highlight w:val="none"/>
                <w:lang w:eastAsia="zh-CN"/>
              </w:rPr>
              <w:t>保安</w:t>
            </w:r>
            <w:r>
              <w:rPr>
                <w:rFonts w:hint="eastAsia" w:ascii="宋体" w:hAnsi="宋体" w:cs="宋体"/>
                <w:b/>
                <w:bCs/>
                <w:color w:val="000000"/>
                <w:szCs w:val="21"/>
                <w:highlight w:val="none"/>
              </w:rPr>
              <w:t>装备费用</w:t>
            </w:r>
          </w:p>
        </w:tc>
        <w:tc>
          <w:tcPr>
            <w:tcW w:w="2122" w:type="dxa"/>
            <w:vMerge w:val="restart"/>
            <w:tcBorders>
              <w:top w:val="single" w:color="auto" w:sz="4" w:space="0"/>
              <w:left w:val="single" w:color="auto" w:sz="4" w:space="0"/>
              <w:bottom w:val="single" w:color="auto" w:sz="4" w:space="0"/>
              <w:right w:val="single" w:color="auto" w:sz="4" w:space="0"/>
            </w:tcBorders>
            <w:noWrap w:val="0"/>
            <w:vAlign w:val="center"/>
          </w:tcPr>
          <w:p w14:paraId="65E7B6A2">
            <w:pPr>
              <w:ind w:firstLine="422"/>
              <w:jc w:val="center"/>
              <w:rPr>
                <w:rFonts w:ascii="宋体" w:hAnsi="宋体" w:cs="宋体"/>
                <w:b/>
                <w:color w:val="000000"/>
                <w:szCs w:val="21"/>
                <w:highlight w:val="none"/>
              </w:rPr>
            </w:pPr>
            <w:r>
              <w:rPr>
                <w:rFonts w:hint="eastAsia" w:ascii="宋体" w:hAnsi="宋体" w:cs="宋体"/>
                <w:b/>
                <w:color w:val="000000"/>
                <w:szCs w:val="21"/>
                <w:highlight w:val="none"/>
              </w:rPr>
              <w:t>按投标人承诺拟投入的总人数服务</w:t>
            </w:r>
            <w:r>
              <w:rPr>
                <w:rFonts w:hint="eastAsia" w:ascii="宋体" w:hAnsi="宋体" w:cs="宋体"/>
                <w:b/>
                <w:color w:val="000000"/>
                <w:szCs w:val="21"/>
                <w:highlight w:val="none"/>
                <w:lang w:val="en-US" w:eastAsia="zh-CN"/>
              </w:rPr>
              <w:t>12</w:t>
            </w:r>
            <w:r>
              <w:rPr>
                <w:rFonts w:hint="eastAsia" w:ascii="宋体" w:hAnsi="宋体" w:cs="宋体"/>
                <w:b/>
                <w:color w:val="000000"/>
                <w:szCs w:val="21"/>
                <w:highlight w:val="none"/>
              </w:rPr>
              <w:t>个月的用量</w:t>
            </w:r>
          </w:p>
          <w:p w14:paraId="7CB0F075">
            <w:pPr>
              <w:jc w:val="center"/>
              <w:rPr>
                <w:rFonts w:ascii="宋体" w:hAnsi="宋体" w:cs="宋体"/>
                <w:color w:val="000000"/>
                <w:szCs w:val="21"/>
                <w:highlight w:val="none"/>
              </w:rPr>
            </w:pP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736E6E6F">
            <w:pPr>
              <w:jc w:val="center"/>
              <w:rPr>
                <w:rFonts w:ascii="宋体" w:hAnsi="宋体" w:cs="宋体"/>
                <w:color w:val="000000"/>
                <w:szCs w:val="21"/>
                <w:highlight w:val="none"/>
                <w:u w:val="single"/>
              </w:rPr>
            </w:pPr>
            <w:r>
              <w:rPr>
                <w:rFonts w:hint="eastAsia" w:ascii="宋体" w:hAnsi="宋体" w:cs="宋体"/>
                <w:color w:val="000000"/>
                <w:szCs w:val="21"/>
                <w:highlight w:val="none"/>
              </w:rPr>
              <w:t>元</w:t>
            </w:r>
          </w:p>
        </w:tc>
        <w:tc>
          <w:tcPr>
            <w:tcW w:w="1561"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39B23FC3">
            <w:pPr>
              <w:jc w:val="both"/>
              <w:rPr>
                <w:rFonts w:ascii="宋体" w:hAnsi="宋体" w:cs="宋体"/>
                <w:color w:val="000000"/>
                <w:szCs w:val="21"/>
                <w:highlight w:val="none"/>
              </w:rPr>
            </w:pPr>
            <w:r>
              <w:rPr>
                <w:rFonts w:hint="eastAsia" w:ascii="宋体" w:hAnsi="宋体" w:cs="宋体"/>
                <w:b/>
                <w:color w:val="000000"/>
                <w:szCs w:val="21"/>
                <w:highlight w:val="none"/>
              </w:rPr>
              <w:t>按</w:t>
            </w:r>
            <w:r>
              <w:rPr>
                <w:rFonts w:hint="eastAsia" w:ascii="宋体" w:hAnsi="宋体" w:cs="宋体"/>
                <w:b/>
                <w:color w:val="000000"/>
                <w:szCs w:val="21"/>
                <w:highlight w:val="none"/>
                <w:lang w:val="en-US" w:eastAsia="zh-CN"/>
              </w:rPr>
              <w:t>12</w:t>
            </w:r>
            <w:r>
              <w:rPr>
                <w:rFonts w:hint="eastAsia" w:ascii="宋体" w:hAnsi="宋体" w:cs="宋体"/>
                <w:b/>
                <w:color w:val="000000"/>
                <w:szCs w:val="21"/>
                <w:highlight w:val="none"/>
              </w:rPr>
              <w:t>个月用量为计算标准</w:t>
            </w:r>
          </w:p>
        </w:tc>
      </w:tr>
      <w:tr w14:paraId="1865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49DE6E1C">
            <w:pPr>
              <w:jc w:val="center"/>
              <w:rPr>
                <w:rFonts w:ascii="宋体" w:hAnsi="宋体" w:cs="宋体"/>
                <w:b/>
                <w:color w:val="000000"/>
                <w:szCs w:val="21"/>
                <w:highlight w:val="none"/>
              </w:rPr>
            </w:pPr>
            <w:r>
              <w:rPr>
                <w:rFonts w:hint="eastAsia" w:ascii="宋体" w:hAnsi="宋体" w:cs="宋体"/>
                <w:b/>
                <w:color w:val="000000"/>
                <w:szCs w:val="21"/>
                <w:highlight w:val="none"/>
              </w:rPr>
              <w:t>1.2</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09CF3C0D">
            <w:pPr>
              <w:jc w:val="center"/>
              <w:rPr>
                <w:rFonts w:ascii="宋体" w:hAnsi="宋体" w:cs="宋体"/>
                <w:b/>
                <w:bCs/>
                <w:color w:val="000000"/>
                <w:szCs w:val="21"/>
                <w:highlight w:val="none"/>
              </w:rPr>
            </w:pPr>
            <w:r>
              <w:rPr>
                <w:rFonts w:hint="eastAsia" w:ascii="宋体" w:hAnsi="宋体" w:cs="宋体"/>
                <w:b/>
                <w:bCs/>
                <w:color w:val="000000"/>
                <w:szCs w:val="21"/>
                <w:highlight w:val="none"/>
              </w:rPr>
              <w:t>保洁、绿化相关工具、耗材、农药品费用</w:t>
            </w:r>
          </w:p>
        </w:tc>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14:paraId="427DEAD6">
            <w:pPr>
              <w:jc w:val="center"/>
              <w:rPr>
                <w:rFonts w:ascii="宋体" w:hAnsi="宋体" w:cs="宋体"/>
                <w:color w:val="000000"/>
                <w:szCs w:val="21"/>
                <w:highlight w:val="none"/>
              </w:rPr>
            </w:pP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43709278">
            <w:pPr>
              <w:jc w:val="center"/>
              <w:rPr>
                <w:rFonts w:ascii="宋体" w:hAnsi="宋体" w:cs="宋体"/>
                <w:color w:val="000000"/>
                <w:szCs w:val="21"/>
                <w:highlight w:val="none"/>
                <w:u w:val="single"/>
              </w:rPr>
            </w:pPr>
            <w:r>
              <w:rPr>
                <w:rFonts w:hint="eastAsia" w:ascii="宋体" w:hAnsi="宋体" w:cs="宋体"/>
                <w:color w:val="000000"/>
                <w:szCs w:val="21"/>
                <w:highlight w:val="none"/>
              </w:rPr>
              <w:t>元</w:t>
            </w:r>
          </w:p>
        </w:tc>
        <w:tc>
          <w:tcPr>
            <w:tcW w:w="15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E77C65D">
            <w:pPr>
              <w:jc w:val="center"/>
              <w:rPr>
                <w:rFonts w:ascii="宋体" w:hAnsi="宋体" w:cs="宋体"/>
                <w:color w:val="000000"/>
                <w:szCs w:val="21"/>
                <w:highlight w:val="none"/>
              </w:rPr>
            </w:pPr>
          </w:p>
        </w:tc>
      </w:tr>
      <w:tr w14:paraId="1855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26CBD701">
            <w:pPr>
              <w:jc w:val="center"/>
              <w:rPr>
                <w:rFonts w:ascii="宋体" w:hAnsi="宋体" w:cs="宋体"/>
                <w:b/>
                <w:color w:val="000000"/>
                <w:szCs w:val="21"/>
                <w:highlight w:val="none"/>
              </w:rPr>
            </w:pPr>
            <w:r>
              <w:rPr>
                <w:rFonts w:hint="eastAsia" w:ascii="宋体" w:hAnsi="宋体" w:cs="宋体"/>
                <w:b/>
                <w:color w:val="000000"/>
                <w:szCs w:val="21"/>
                <w:highlight w:val="none"/>
              </w:rPr>
              <w:t>2</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3F2985D3">
            <w:pPr>
              <w:jc w:val="center"/>
              <w:rPr>
                <w:rFonts w:ascii="宋体" w:hAnsi="宋体" w:cs="宋体"/>
                <w:b/>
                <w:bCs/>
                <w:color w:val="000000"/>
                <w:szCs w:val="21"/>
                <w:highlight w:val="none"/>
              </w:rPr>
            </w:pPr>
            <w:r>
              <w:rPr>
                <w:rFonts w:hint="eastAsia" w:ascii="宋体" w:hAnsi="宋体" w:cs="宋体"/>
                <w:b/>
                <w:bCs/>
                <w:color w:val="000000"/>
                <w:szCs w:val="21"/>
                <w:highlight w:val="none"/>
              </w:rPr>
              <w:t>工作服装及劳保用品费用</w:t>
            </w:r>
          </w:p>
        </w:tc>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14:paraId="22DE4445">
            <w:pPr>
              <w:jc w:val="center"/>
              <w:rPr>
                <w:rFonts w:ascii="宋体" w:hAnsi="宋体" w:cs="宋体"/>
                <w:b/>
                <w:color w:val="000000"/>
                <w:szCs w:val="21"/>
                <w:highlight w:val="none"/>
                <w:u w:val="single"/>
              </w:rPr>
            </w:pP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70154DD1">
            <w:pPr>
              <w:jc w:val="center"/>
              <w:rPr>
                <w:rFonts w:ascii="宋体" w:hAnsi="宋体" w:cs="宋体"/>
                <w:color w:val="000000"/>
                <w:szCs w:val="21"/>
                <w:highlight w:val="none"/>
                <w:u w:val="single"/>
              </w:rPr>
            </w:pPr>
            <w:r>
              <w:rPr>
                <w:rFonts w:hint="eastAsia" w:ascii="宋体" w:hAnsi="宋体" w:cs="宋体"/>
                <w:color w:val="000000"/>
                <w:szCs w:val="21"/>
                <w:highlight w:val="none"/>
              </w:rPr>
              <w:t>元</w:t>
            </w:r>
          </w:p>
        </w:tc>
        <w:tc>
          <w:tcPr>
            <w:tcW w:w="15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F053D4C">
            <w:pPr>
              <w:jc w:val="center"/>
              <w:rPr>
                <w:rFonts w:ascii="宋体" w:hAnsi="宋体" w:cs="宋体"/>
                <w:color w:val="000000"/>
                <w:szCs w:val="21"/>
                <w:highlight w:val="none"/>
              </w:rPr>
            </w:pPr>
          </w:p>
        </w:tc>
      </w:tr>
      <w:tr w14:paraId="745F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62DC1A3B">
            <w:pPr>
              <w:jc w:val="center"/>
              <w:rPr>
                <w:rFonts w:ascii="宋体" w:hAnsi="宋体" w:cs="宋体"/>
                <w:b/>
                <w:color w:val="000000"/>
                <w:szCs w:val="21"/>
                <w:highlight w:val="none"/>
              </w:rPr>
            </w:pPr>
            <w:r>
              <w:rPr>
                <w:rFonts w:hint="eastAsia" w:ascii="宋体" w:hAnsi="宋体" w:cs="宋体"/>
                <w:b/>
                <w:color w:val="000000"/>
                <w:szCs w:val="21"/>
                <w:highlight w:val="none"/>
              </w:rPr>
              <w:t>3</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37AA22C9">
            <w:pPr>
              <w:jc w:val="center"/>
              <w:rPr>
                <w:rFonts w:ascii="宋体" w:hAnsi="宋体" w:cs="宋体"/>
                <w:b/>
                <w:bCs/>
                <w:color w:val="000000"/>
                <w:szCs w:val="21"/>
                <w:highlight w:val="none"/>
              </w:rPr>
            </w:pPr>
            <w:r>
              <w:rPr>
                <w:rFonts w:hint="eastAsia" w:ascii="宋体" w:hAnsi="宋体" w:cs="宋体"/>
                <w:b/>
                <w:bCs/>
                <w:color w:val="000000"/>
                <w:szCs w:val="21"/>
                <w:highlight w:val="none"/>
              </w:rPr>
              <w:t>空调</w:t>
            </w:r>
            <w:r>
              <w:rPr>
                <w:rFonts w:hint="eastAsia" w:ascii="宋体" w:hAnsi="宋体" w:cs="宋体"/>
                <w:b/>
                <w:bCs/>
                <w:color w:val="000000"/>
                <w:szCs w:val="21"/>
                <w:highlight w:val="none"/>
                <w:lang w:val="en-US" w:eastAsia="zh-CN"/>
              </w:rPr>
              <w:t>维护</w:t>
            </w:r>
            <w:r>
              <w:rPr>
                <w:rFonts w:hint="eastAsia" w:ascii="宋体" w:hAnsi="宋体" w:cs="宋体"/>
                <w:b/>
                <w:bCs/>
                <w:color w:val="000000"/>
                <w:szCs w:val="21"/>
                <w:highlight w:val="none"/>
              </w:rPr>
              <w:t>维</w:t>
            </w:r>
            <w:r>
              <w:rPr>
                <w:rFonts w:hint="eastAsia" w:ascii="宋体" w:hAnsi="宋体" w:cs="宋体"/>
                <w:b/>
                <w:bCs/>
                <w:color w:val="000000"/>
                <w:szCs w:val="21"/>
                <w:highlight w:val="none"/>
                <w:lang w:eastAsia="zh-CN"/>
              </w:rPr>
              <w:t>修</w:t>
            </w:r>
            <w:r>
              <w:rPr>
                <w:rFonts w:hint="eastAsia" w:ascii="宋体" w:hAnsi="宋体" w:cs="宋体"/>
                <w:b/>
                <w:bCs/>
                <w:color w:val="000000"/>
                <w:szCs w:val="21"/>
                <w:highlight w:val="none"/>
              </w:rPr>
              <w:t>费用</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1F8BF74B">
            <w:pPr>
              <w:jc w:val="center"/>
              <w:rPr>
                <w:rFonts w:ascii="宋体" w:hAnsi="宋体" w:cs="宋体"/>
                <w:b/>
                <w:color w:val="000000"/>
                <w:szCs w:val="21"/>
                <w:highlight w:val="none"/>
                <w:u w:val="single"/>
              </w:rPr>
            </w:pP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6FA89671">
            <w:pPr>
              <w:jc w:val="center"/>
              <w:rPr>
                <w:rFonts w:ascii="宋体" w:hAnsi="宋体" w:cs="宋体"/>
                <w:color w:val="000000"/>
                <w:szCs w:val="21"/>
                <w:highlight w:val="none"/>
                <w:u w:val="single"/>
              </w:rPr>
            </w:pPr>
            <w:r>
              <w:rPr>
                <w:rFonts w:hint="eastAsia" w:ascii="宋体" w:hAnsi="宋体" w:cs="宋体"/>
                <w:color w:val="000000"/>
                <w:szCs w:val="21"/>
                <w:highlight w:val="none"/>
              </w:rPr>
              <w:t>元</w:t>
            </w:r>
          </w:p>
        </w:tc>
        <w:tc>
          <w:tcPr>
            <w:tcW w:w="1561"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1C8FFB67">
            <w:pPr>
              <w:jc w:val="both"/>
              <w:rPr>
                <w:rFonts w:ascii="宋体" w:hAnsi="宋体" w:cs="宋体"/>
                <w:color w:val="000000"/>
                <w:szCs w:val="21"/>
                <w:highlight w:val="none"/>
              </w:rPr>
            </w:pPr>
            <w:r>
              <w:rPr>
                <w:rFonts w:hint="eastAsia" w:ascii="宋体" w:hAnsi="宋体" w:cs="宋体"/>
                <w:b/>
                <w:color w:val="000000"/>
                <w:szCs w:val="21"/>
                <w:highlight w:val="none"/>
              </w:rPr>
              <w:t>按</w:t>
            </w:r>
            <w:r>
              <w:rPr>
                <w:rFonts w:hint="eastAsia" w:ascii="宋体" w:hAnsi="宋体" w:cs="宋体"/>
                <w:b/>
                <w:color w:val="000000"/>
                <w:szCs w:val="21"/>
                <w:highlight w:val="none"/>
                <w:lang w:val="en-US" w:eastAsia="zh-CN"/>
              </w:rPr>
              <w:t>12</w:t>
            </w:r>
            <w:r>
              <w:rPr>
                <w:rFonts w:hint="eastAsia" w:ascii="宋体" w:hAnsi="宋体" w:cs="宋体"/>
                <w:b/>
                <w:color w:val="000000"/>
                <w:szCs w:val="21"/>
                <w:highlight w:val="none"/>
              </w:rPr>
              <w:t>个月服务期为计算标准</w:t>
            </w:r>
          </w:p>
        </w:tc>
      </w:tr>
      <w:tr w14:paraId="3E50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7906619B">
            <w:pPr>
              <w:jc w:val="center"/>
              <w:rPr>
                <w:rFonts w:ascii="宋体" w:hAnsi="宋体" w:cs="宋体"/>
                <w:b/>
                <w:color w:val="000000"/>
                <w:szCs w:val="21"/>
                <w:highlight w:val="none"/>
              </w:rPr>
            </w:pPr>
            <w:r>
              <w:rPr>
                <w:rFonts w:hint="eastAsia" w:ascii="宋体" w:hAnsi="宋体" w:cs="宋体"/>
                <w:b/>
                <w:color w:val="000000"/>
                <w:szCs w:val="21"/>
                <w:highlight w:val="none"/>
              </w:rPr>
              <w:t>4</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4303ADEE">
            <w:pPr>
              <w:jc w:val="center"/>
              <w:rPr>
                <w:rFonts w:ascii="宋体" w:hAnsi="宋体" w:cs="宋体"/>
                <w:b/>
                <w:bCs/>
                <w:color w:val="000000"/>
                <w:szCs w:val="21"/>
                <w:highlight w:val="none"/>
              </w:rPr>
            </w:pPr>
            <w:r>
              <w:rPr>
                <w:rFonts w:hint="eastAsia" w:ascii="宋体" w:hAnsi="宋体" w:cs="宋体"/>
                <w:b/>
                <w:bCs/>
                <w:color w:val="000000"/>
                <w:szCs w:val="21"/>
                <w:highlight w:val="none"/>
              </w:rPr>
              <w:t>消防设施</w:t>
            </w:r>
            <w:r>
              <w:rPr>
                <w:rFonts w:hint="eastAsia" w:ascii="宋体" w:hAnsi="宋体" w:cs="宋体"/>
                <w:b/>
                <w:bCs/>
                <w:color w:val="000000"/>
                <w:szCs w:val="21"/>
                <w:highlight w:val="none"/>
                <w:lang w:val="en-US" w:eastAsia="zh-CN"/>
              </w:rPr>
              <w:t>维护</w:t>
            </w:r>
            <w:r>
              <w:rPr>
                <w:rFonts w:hint="eastAsia" w:ascii="宋体" w:hAnsi="宋体" w:cs="宋体"/>
                <w:b/>
                <w:bCs/>
                <w:color w:val="000000"/>
                <w:szCs w:val="21"/>
                <w:highlight w:val="none"/>
              </w:rPr>
              <w:t>维</w:t>
            </w:r>
            <w:r>
              <w:rPr>
                <w:rFonts w:hint="eastAsia" w:ascii="宋体" w:hAnsi="宋体" w:cs="宋体"/>
                <w:b/>
                <w:bCs/>
                <w:color w:val="000000"/>
                <w:szCs w:val="21"/>
                <w:highlight w:val="none"/>
                <w:lang w:eastAsia="zh-CN"/>
              </w:rPr>
              <w:t>修</w:t>
            </w:r>
            <w:r>
              <w:rPr>
                <w:rFonts w:hint="eastAsia" w:ascii="宋体" w:hAnsi="宋体" w:cs="宋体"/>
                <w:b/>
                <w:bCs/>
                <w:color w:val="000000"/>
                <w:szCs w:val="21"/>
                <w:highlight w:val="none"/>
              </w:rPr>
              <w:t>费用</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70E42B68">
            <w:pPr>
              <w:jc w:val="center"/>
              <w:rPr>
                <w:rFonts w:ascii="宋体" w:hAnsi="宋体" w:cs="宋体"/>
                <w:b/>
                <w:color w:val="000000"/>
                <w:szCs w:val="21"/>
                <w:highlight w:val="none"/>
                <w:u w:val="single"/>
              </w:rPr>
            </w:pP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6C0E17EC">
            <w:pPr>
              <w:jc w:val="center"/>
              <w:rPr>
                <w:rFonts w:ascii="宋体" w:hAnsi="宋体" w:cs="宋体"/>
                <w:color w:val="000000"/>
                <w:szCs w:val="21"/>
                <w:highlight w:val="none"/>
                <w:u w:val="single"/>
              </w:rPr>
            </w:pPr>
            <w:r>
              <w:rPr>
                <w:rFonts w:hint="eastAsia" w:ascii="宋体" w:hAnsi="宋体" w:cs="宋体"/>
                <w:color w:val="000000"/>
                <w:szCs w:val="21"/>
                <w:highlight w:val="none"/>
              </w:rPr>
              <w:t>元</w:t>
            </w:r>
          </w:p>
        </w:tc>
        <w:tc>
          <w:tcPr>
            <w:tcW w:w="15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B1F92BA">
            <w:pPr>
              <w:jc w:val="center"/>
              <w:rPr>
                <w:rFonts w:ascii="宋体" w:hAnsi="宋体" w:cs="宋体"/>
                <w:color w:val="000000"/>
                <w:szCs w:val="21"/>
                <w:highlight w:val="none"/>
              </w:rPr>
            </w:pPr>
          </w:p>
        </w:tc>
      </w:tr>
      <w:tr w14:paraId="4B1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44C372A2">
            <w:pPr>
              <w:jc w:val="center"/>
              <w:rPr>
                <w:rFonts w:hint="eastAsia" w:ascii="宋体" w:hAnsi="宋体" w:cs="宋体"/>
                <w:b/>
                <w:color w:val="000000"/>
                <w:szCs w:val="21"/>
                <w:highlight w:val="none"/>
              </w:rPr>
            </w:pPr>
            <w:r>
              <w:rPr>
                <w:rFonts w:hint="eastAsia" w:ascii="宋体" w:hAnsi="宋体" w:cs="宋体"/>
                <w:b/>
                <w:color w:val="000000"/>
                <w:szCs w:val="21"/>
                <w:highlight w:val="none"/>
              </w:rPr>
              <w:t>5</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27338118">
            <w:pPr>
              <w:jc w:val="center"/>
              <w:rPr>
                <w:rFonts w:hint="eastAsia" w:ascii="宋体" w:hAnsi="宋体" w:eastAsia="宋体" w:cs="宋体"/>
                <w:b/>
                <w:bCs/>
                <w:color w:val="000000"/>
                <w:szCs w:val="21"/>
                <w:highlight w:val="none"/>
                <w:lang w:val="en-US" w:eastAsia="zh-CN"/>
              </w:rPr>
            </w:pPr>
            <w:r>
              <w:rPr>
                <w:rFonts w:hint="eastAsia" w:ascii="宋体" w:hAnsi="宋体" w:cs="宋体"/>
                <w:b/>
                <w:bCs/>
                <w:color w:val="000000"/>
                <w:szCs w:val="21"/>
                <w:highlight w:val="none"/>
                <w:lang w:val="en-US" w:eastAsia="zh-CN"/>
              </w:rPr>
              <w:t>电梯维护维修费用</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7F7091E2">
            <w:pPr>
              <w:jc w:val="center"/>
              <w:rPr>
                <w:rFonts w:ascii="宋体" w:hAnsi="宋体" w:cs="宋体"/>
                <w:b/>
                <w:color w:val="000000"/>
                <w:szCs w:val="21"/>
                <w:highlight w:val="none"/>
                <w:u w:val="single"/>
              </w:rPr>
            </w:pP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63CE3E47">
            <w:pPr>
              <w:jc w:val="center"/>
              <w:rPr>
                <w:rFonts w:hint="eastAsia" w:ascii="宋体" w:hAnsi="宋体" w:cs="宋体"/>
                <w:color w:val="000000"/>
                <w:szCs w:val="21"/>
                <w:highlight w:val="none"/>
              </w:rPr>
            </w:pPr>
            <w:r>
              <w:rPr>
                <w:rFonts w:hint="eastAsia" w:ascii="宋体" w:hAnsi="宋体" w:cs="宋体"/>
                <w:color w:val="000000"/>
                <w:szCs w:val="21"/>
                <w:highlight w:val="none"/>
              </w:rPr>
              <w:t>元</w:t>
            </w:r>
          </w:p>
        </w:tc>
        <w:tc>
          <w:tcPr>
            <w:tcW w:w="15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2DCAFC4">
            <w:pPr>
              <w:jc w:val="center"/>
              <w:rPr>
                <w:rFonts w:ascii="宋体" w:hAnsi="宋体" w:cs="宋体"/>
                <w:color w:val="000000"/>
                <w:szCs w:val="21"/>
                <w:highlight w:val="none"/>
              </w:rPr>
            </w:pPr>
          </w:p>
        </w:tc>
      </w:tr>
      <w:tr w14:paraId="2016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13173B64">
            <w:pPr>
              <w:jc w:val="center"/>
              <w:rPr>
                <w:rFonts w:ascii="宋体" w:hAnsi="宋体" w:cs="宋体"/>
                <w:b/>
                <w:color w:val="000000"/>
                <w:szCs w:val="21"/>
                <w:highlight w:val="none"/>
              </w:rPr>
            </w:pPr>
            <w:r>
              <w:rPr>
                <w:rFonts w:hint="eastAsia" w:ascii="宋体" w:hAnsi="宋体" w:cs="宋体"/>
                <w:b/>
                <w:color w:val="000000"/>
                <w:szCs w:val="21"/>
                <w:highlight w:val="none"/>
                <w:lang w:val="en-US" w:eastAsia="zh-CN"/>
              </w:rPr>
              <w:t>6</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31A826B0">
            <w:pPr>
              <w:jc w:val="center"/>
              <w:rPr>
                <w:rFonts w:ascii="宋体" w:hAnsi="宋体" w:cs="宋体"/>
                <w:b/>
                <w:bCs/>
                <w:color w:val="000000"/>
                <w:szCs w:val="21"/>
                <w:highlight w:val="none"/>
              </w:rPr>
            </w:pPr>
            <w:r>
              <w:rPr>
                <w:rFonts w:hint="eastAsia" w:ascii="宋体" w:hAnsi="宋体" w:cs="宋体"/>
                <w:b/>
                <w:bCs/>
                <w:color w:val="000000"/>
                <w:szCs w:val="21"/>
                <w:highlight w:val="none"/>
                <w:lang w:val="en-US" w:eastAsia="zh-CN"/>
              </w:rPr>
              <w:t>供</w:t>
            </w:r>
            <w:r>
              <w:rPr>
                <w:rFonts w:hint="eastAsia" w:ascii="宋体" w:hAnsi="宋体" w:cs="宋体"/>
                <w:b/>
                <w:bCs/>
                <w:color w:val="000000"/>
                <w:szCs w:val="21"/>
                <w:highlight w:val="none"/>
              </w:rPr>
              <w:t>配电</w:t>
            </w:r>
            <w:r>
              <w:rPr>
                <w:rFonts w:hint="eastAsia" w:ascii="宋体" w:hAnsi="宋体" w:cs="宋体"/>
                <w:b/>
                <w:bCs/>
                <w:color w:val="000000"/>
                <w:szCs w:val="21"/>
                <w:highlight w:val="none"/>
                <w:lang w:val="en-US" w:eastAsia="zh-CN"/>
              </w:rPr>
              <w:t>维护</w:t>
            </w:r>
            <w:r>
              <w:rPr>
                <w:rFonts w:hint="eastAsia" w:ascii="宋体" w:hAnsi="宋体" w:cs="宋体"/>
                <w:b/>
                <w:bCs/>
                <w:color w:val="000000"/>
                <w:szCs w:val="21"/>
                <w:highlight w:val="none"/>
              </w:rPr>
              <w:t>维</w:t>
            </w:r>
            <w:r>
              <w:rPr>
                <w:rFonts w:hint="eastAsia" w:ascii="宋体" w:hAnsi="宋体" w:cs="宋体"/>
                <w:b/>
                <w:bCs/>
                <w:color w:val="000000"/>
                <w:szCs w:val="21"/>
                <w:highlight w:val="none"/>
                <w:lang w:eastAsia="zh-CN"/>
              </w:rPr>
              <w:t>修</w:t>
            </w:r>
            <w:r>
              <w:rPr>
                <w:rFonts w:hint="eastAsia" w:ascii="宋体" w:hAnsi="宋体" w:cs="宋体"/>
                <w:b/>
                <w:bCs/>
                <w:color w:val="000000"/>
                <w:szCs w:val="21"/>
                <w:highlight w:val="none"/>
              </w:rPr>
              <w:t>费用</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7B1B9661">
            <w:pPr>
              <w:jc w:val="center"/>
              <w:rPr>
                <w:rFonts w:ascii="宋体" w:hAnsi="宋体" w:cs="宋体"/>
                <w:b/>
                <w:bCs/>
                <w:color w:val="000000"/>
                <w:szCs w:val="21"/>
                <w:highlight w:val="none"/>
              </w:rPr>
            </w:pP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312CBB36">
            <w:pPr>
              <w:jc w:val="center"/>
              <w:rPr>
                <w:rFonts w:ascii="宋体" w:hAnsi="宋体" w:cs="宋体"/>
                <w:color w:val="000000"/>
                <w:szCs w:val="21"/>
                <w:highlight w:val="none"/>
              </w:rPr>
            </w:pPr>
            <w:r>
              <w:rPr>
                <w:rFonts w:hint="eastAsia" w:ascii="宋体" w:hAnsi="宋体" w:cs="宋体"/>
                <w:color w:val="000000"/>
                <w:szCs w:val="21"/>
                <w:highlight w:val="none"/>
              </w:rPr>
              <w:t>元</w:t>
            </w:r>
          </w:p>
        </w:tc>
        <w:tc>
          <w:tcPr>
            <w:tcW w:w="15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C2BB22E">
            <w:pPr>
              <w:jc w:val="center"/>
              <w:rPr>
                <w:rFonts w:ascii="宋体" w:hAnsi="宋体" w:cs="宋体"/>
                <w:color w:val="000000"/>
                <w:szCs w:val="21"/>
                <w:highlight w:val="none"/>
              </w:rPr>
            </w:pPr>
          </w:p>
        </w:tc>
      </w:tr>
      <w:tr w14:paraId="6EC3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597379F0">
            <w:pPr>
              <w:jc w:val="center"/>
              <w:rPr>
                <w:rFonts w:hint="eastAsia" w:ascii="宋体" w:hAnsi="宋体" w:eastAsia="宋体" w:cs="宋体"/>
                <w:b/>
                <w:color w:val="000000"/>
                <w:szCs w:val="21"/>
                <w:highlight w:val="none"/>
                <w:lang w:val="en-US" w:eastAsia="zh-CN"/>
              </w:rPr>
            </w:pPr>
            <w:r>
              <w:rPr>
                <w:rFonts w:hint="eastAsia" w:ascii="宋体" w:hAnsi="宋体" w:cs="宋体"/>
                <w:b/>
                <w:color w:val="000000"/>
                <w:szCs w:val="21"/>
                <w:highlight w:val="none"/>
                <w:lang w:val="en-US" w:eastAsia="zh-CN"/>
              </w:rPr>
              <w:t>7</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51C8574B">
            <w:pPr>
              <w:jc w:val="center"/>
              <w:rPr>
                <w:rFonts w:hint="eastAsia" w:ascii="宋体" w:hAnsi="宋体" w:cs="宋体"/>
                <w:b/>
                <w:bCs/>
                <w:color w:val="000000"/>
                <w:szCs w:val="21"/>
                <w:highlight w:val="none"/>
              </w:rPr>
            </w:pPr>
            <w:r>
              <w:rPr>
                <w:rFonts w:hint="eastAsia" w:ascii="宋体" w:hAnsi="宋体" w:cs="宋体"/>
                <w:b/>
                <w:bCs/>
                <w:color w:val="000000"/>
                <w:szCs w:val="21"/>
                <w:highlight w:val="none"/>
                <w:lang w:val="en-US" w:eastAsia="zh-CN"/>
              </w:rPr>
              <w:t>给排</w:t>
            </w:r>
            <w:r>
              <w:rPr>
                <w:rFonts w:hint="eastAsia" w:ascii="宋体" w:hAnsi="宋体" w:cs="宋体"/>
                <w:b/>
                <w:bCs/>
                <w:color w:val="000000"/>
                <w:szCs w:val="21"/>
                <w:highlight w:val="none"/>
                <w:lang w:eastAsia="zh-CN"/>
              </w:rPr>
              <w:t>水维修费用</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4692538D">
            <w:pPr>
              <w:jc w:val="center"/>
              <w:rPr>
                <w:rFonts w:ascii="宋体" w:hAnsi="宋体" w:cs="宋体"/>
                <w:b/>
                <w:bCs/>
                <w:color w:val="000000"/>
                <w:szCs w:val="21"/>
                <w:highlight w:val="none"/>
              </w:rPr>
            </w:pP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54453D1C">
            <w:pPr>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元</w:t>
            </w:r>
          </w:p>
        </w:tc>
        <w:tc>
          <w:tcPr>
            <w:tcW w:w="15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A5702FA">
            <w:pPr>
              <w:jc w:val="center"/>
              <w:rPr>
                <w:rFonts w:ascii="宋体" w:hAnsi="宋体" w:cs="宋体"/>
                <w:color w:val="000000"/>
                <w:szCs w:val="21"/>
                <w:highlight w:val="none"/>
              </w:rPr>
            </w:pPr>
          </w:p>
        </w:tc>
      </w:tr>
      <w:tr w14:paraId="1DB9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319754C0">
            <w:pPr>
              <w:jc w:val="center"/>
              <w:rPr>
                <w:rFonts w:hint="eastAsia" w:ascii="宋体" w:hAnsi="宋体" w:eastAsia="宋体" w:cs="宋体"/>
                <w:b/>
                <w:color w:val="000000"/>
                <w:szCs w:val="21"/>
                <w:highlight w:val="none"/>
                <w:lang w:eastAsia="zh-CN"/>
              </w:rPr>
            </w:pPr>
            <w:r>
              <w:rPr>
                <w:rFonts w:hint="eastAsia" w:ascii="宋体" w:hAnsi="宋体" w:cs="宋体"/>
                <w:b/>
                <w:color w:val="000000"/>
                <w:szCs w:val="21"/>
                <w:highlight w:val="none"/>
                <w:lang w:val="en-US" w:eastAsia="zh-CN"/>
              </w:rPr>
              <w:t>8</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3394604F">
            <w:pPr>
              <w:jc w:val="center"/>
              <w:rPr>
                <w:rFonts w:ascii="宋体" w:hAnsi="宋体" w:cs="宋体"/>
                <w:b/>
                <w:bCs/>
                <w:color w:val="000000"/>
                <w:szCs w:val="21"/>
                <w:highlight w:val="none"/>
              </w:rPr>
            </w:pPr>
            <w:r>
              <w:rPr>
                <w:rFonts w:hint="eastAsia" w:ascii="宋体" w:hAnsi="宋体" w:cs="宋体"/>
                <w:b/>
                <w:bCs/>
                <w:color w:val="000000"/>
                <w:szCs w:val="21"/>
                <w:highlight w:val="none"/>
              </w:rPr>
              <w:t>门禁、道闸、监控系统维修费用</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5DAD79BE">
            <w:pPr>
              <w:jc w:val="center"/>
              <w:rPr>
                <w:rFonts w:ascii="宋体" w:hAnsi="宋体" w:cs="宋体"/>
                <w:b/>
                <w:bCs/>
                <w:color w:val="000000"/>
                <w:szCs w:val="21"/>
                <w:highlight w:val="none"/>
              </w:rPr>
            </w:pP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771F4EF5">
            <w:pPr>
              <w:jc w:val="center"/>
              <w:rPr>
                <w:rFonts w:ascii="宋体" w:hAnsi="宋体" w:cs="宋体"/>
                <w:color w:val="000000"/>
                <w:szCs w:val="21"/>
                <w:highlight w:val="none"/>
              </w:rPr>
            </w:pPr>
            <w:r>
              <w:rPr>
                <w:rFonts w:hint="eastAsia" w:ascii="宋体" w:hAnsi="宋体" w:cs="宋体"/>
                <w:color w:val="000000"/>
                <w:szCs w:val="21"/>
                <w:highlight w:val="none"/>
              </w:rPr>
              <w:t>元</w:t>
            </w:r>
          </w:p>
        </w:tc>
        <w:tc>
          <w:tcPr>
            <w:tcW w:w="15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D9AF917">
            <w:pPr>
              <w:jc w:val="center"/>
              <w:rPr>
                <w:rFonts w:ascii="宋体" w:hAnsi="宋体" w:cs="宋体"/>
                <w:color w:val="000000"/>
                <w:szCs w:val="21"/>
                <w:highlight w:val="none"/>
              </w:rPr>
            </w:pPr>
          </w:p>
        </w:tc>
      </w:tr>
      <w:tr w14:paraId="3090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06D25C16">
            <w:pPr>
              <w:jc w:val="center"/>
              <w:rPr>
                <w:rFonts w:hint="eastAsia" w:ascii="宋体" w:hAnsi="宋体" w:eastAsia="宋体" w:cs="宋体"/>
                <w:b/>
                <w:color w:val="000000"/>
                <w:szCs w:val="21"/>
                <w:highlight w:val="none"/>
                <w:lang w:eastAsia="zh-CN"/>
              </w:rPr>
            </w:pPr>
            <w:r>
              <w:rPr>
                <w:rFonts w:hint="eastAsia" w:ascii="宋体" w:hAnsi="宋体" w:cs="宋体"/>
                <w:b/>
                <w:color w:val="000000"/>
                <w:szCs w:val="21"/>
                <w:highlight w:val="none"/>
                <w:lang w:val="en-US" w:eastAsia="zh-CN"/>
              </w:rPr>
              <w:t>9</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494CB01D">
            <w:pPr>
              <w:jc w:val="center"/>
              <w:rPr>
                <w:rFonts w:hint="eastAsia" w:ascii="宋体" w:hAnsi="宋体" w:cs="宋体"/>
                <w:b/>
                <w:bCs/>
                <w:color w:val="000000"/>
                <w:szCs w:val="21"/>
                <w:highlight w:val="none"/>
              </w:rPr>
            </w:pPr>
            <w:r>
              <w:rPr>
                <w:rFonts w:hint="eastAsia" w:ascii="宋体" w:hAnsi="宋体"/>
                <w:b/>
                <w:bCs/>
                <w:color w:val="000000"/>
                <w:highlight w:val="none"/>
                <w:lang w:eastAsia="zh-CN"/>
              </w:rPr>
              <w:t>房屋维修费用</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4584CA57">
            <w:pPr>
              <w:jc w:val="center"/>
              <w:rPr>
                <w:rFonts w:ascii="宋体" w:hAnsi="宋体" w:cs="宋体"/>
                <w:b/>
                <w:bCs/>
                <w:color w:val="000000"/>
                <w:szCs w:val="21"/>
                <w:highlight w:val="none"/>
              </w:rPr>
            </w:pP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683148A5">
            <w:pPr>
              <w:jc w:val="center"/>
              <w:rPr>
                <w:rFonts w:hint="eastAsia" w:ascii="宋体" w:hAnsi="宋体" w:cs="宋体"/>
                <w:color w:val="000000"/>
                <w:szCs w:val="21"/>
                <w:highlight w:val="none"/>
              </w:rPr>
            </w:pPr>
            <w:r>
              <w:rPr>
                <w:rFonts w:hint="eastAsia" w:ascii="宋体" w:hAnsi="宋体" w:cs="宋体"/>
                <w:color w:val="000000"/>
                <w:szCs w:val="21"/>
                <w:highlight w:val="none"/>
              </w:rPr>
              <w:t>元</w:t>
            </w:r>
          </w:p>
        </w:tc>
        <w:tc>
          <w:tcPr>
            <w:tcW w:w="15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4F9DF61">
            <w:pPr>
              <w:jc w:val="center"/>
              <w:rPr>
                <w:rFonts w:ascii="宋体" w:hAnsi="宋体" w:cs="宋体"/>
                <w:color w:val="000000"/>
                <w:szCs w:val="21"/>
                <w:highlight w:val="none"/>
              </w:rPr>
            </w:pPr>
          </w:p>
        </w:tc>
      </w:tr>
      <w:tr w14:paraId="3CB7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2EE605B1">
            <w:pPr>
              <w:jc w:val="center"/>
              <w:rPr>
                <w:rFonts w:hint="eastAsia" w:ascii="宋体" w:hAnsi="宋体" w:eastAsia="宋体" w:cs="宋体"/>
                <w:b/>
                <w:color w:val="000000"/>
                <w:szCs w:val="21"/>
                <w:highlight w:val="none"/>
                <w:lang w:val="en-US" w:eastAsia="zh-CN"/>
              </w:rPr>
            </w:pPr>
            <w:r>
              <w:rPr>
                <w:rFonts w:hint="eastAsia" w:ascii="宋体" w:hAnsi="宋体" w:cs="宋体"/>
                <w:b/>
                <w:color w:val="000000"/>
                <w:szCs w:val="21"/>
                <w:highlight w:val="none"/>
                <w:lang w:val="en-US" w:eastAsia="zh-CN"/>
              </w:rPr>
              <w:t>10</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28C2151F">
            <w:pPr>
              <w:jc w:val="center"/>
              <w:rPr>
                <w:rFonts w:ascii="宋体" w:hAnsi="宋体" w:cs="宋体"/>
                <w:b/>
                <w:bCs/>
                <w:color w:val="000000"/>
                <w:szCs w:val="21"/>
                <w:highlight w:val="none"/>
              </w:rPr>
            </w:pPr>
            <w:r>
              <w:rPr>
                <w:rFonts w:hint="eastAsia" w:ascii="宋体" w:hAnsi="宋体" w:cs="宋体"/>
                <w:b/>
                <w:bCs/>
                <w:color w:val="000000"/>
                <w:szCs w:val="21"/>
                <w:highlight w:val="none"/>
              </w:rPr>
              <w:t>其它</w:t>
            </w:r>
            <w:r>
              <w:rPr>
                <w:rFonts w:hint="eastAsia" w:ascii="宋体" w:hAnsi="宋体" w:cs="宋体"/>
                <w:b/>
                <w:bCs/>
                <w:color w:val="000000"/>
                <w:szCs w:val="21"/>
                <w:highlight w:val="none"/>
                <w:lang w:val="en-US" w:eastAsia="zh-CN"/>
              </w:rPr>
              <w:t>项目维修</w:t>
            </w:r>
            <w:r>
              <w:rPr>
                <w:rFonts w:hint="eastAsia" w:ascii="宋体" w:hAnsi="宋体" w:cs="宋体"/>
                <w:b/>
                <w:bCs/>
                <w:color w:val="000000"/>
                <w:szCs w:val="21"/>
                <w:highlight w:val="none"/>
              </w:rPr>
              <w:t>费用</w:t>
            </w:r>
            <w:r>
              <w:rPr>
                <w:rFonts w:hint="eastAsia" w:ascii="宋体" w:hAnsi="宋体" w:cs="宋体"/>
                <w:b/>
                <w:bCs/>
                <w:color w:val="000000"/>
                <w:szCs w:val="21"/>
                <w:highlight w:val="none"/>
                <w:lang w:eastAsia="zh-CN"/>
              </w:rPr>
              <w:t>（照明、弱电等）</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15A22366">
            <w:pPr>
              <w:jc w:val="center"/>
              <w:rPr>
                <w:rFonts w:ascii="宋体" w:hAnsi="宋体" w:cs="宋体"/>
                <w:b/>
                <w:color w:val="000000"/>
                <w:szCs w:val="21"/>
                <w:highlight w:val="none"/>
                <w:u w:val="single"/>
              </w:rPr>
            </w:pP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0A69696F">
            <w:pPr>
              <w:jc w:val="center"/>
              <w:rPr>
                <w:rFonts w:ascii="宋体" w:hAnsi="宋体" w:cs="宋体"/>
                <w:color w:val="000000"/>
                <w:szCs w:val="21"/>
                <w:highlight w:val="none"/>
                <w:u w:val="single"/>
              </w:rPr>
            </w:pPr>
            <w:r>
              <w:rPr>
                <w:rFonts w:hint="eastAsia" w:ascii="宋体" w:hAnsi="宋体" w:cs="宋体"/>
                <w:color w:val="000000"/>
                <w:szCs w:val="21"/>
                <w:highlight w:val="none"/>
              </w:rPr>
              <w:t>元</w:t>
            </w:r>
          </w:p>
        </w:tc>
        <w:tc>
          <w:tcPr>
            <w:tcW w:w="15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ABEC9A6">
            <w:pPr>
              <w:jc w:val="center"/>
              <w:rPr>
                <w:rFonts w:ascii="宋体" w:hAnsi="宋体" w:cs="宋体"/>
                <w:color w:val="000000"/>
                <w:szCs w:val="21"/>
                <w:highlight w:val="none"/>
              </w:rPr>
            </w:pPr>
          </w:p>
        </w:tc>
      </w:tr>
      <w:tr w14:paraId="2139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464" w:type="dxa"/>
            <w:gridSpan w:val="12"/>
            <w:tcBorders>
              <w:top w:val="single" w:color="auto" w:sz="4" w:space="0"/>
              <w:left w:val="single" w:color="auto" w:sz="4" w:space="0"/>
              <w:bottom w:val="single" w:color="auto" w:sz="4" w:space="0"/>
              <w:right w:val="single" w:color="auto" w:sz="4" w:space="0"/>
            </w:tcBorders>
            <w:noWrap w:val="0"/>
            <w:vAlign w:val="center"/>
          </w:tcPr>
          <w:p w14:paraId="55F63B45">
            <w:pPr>
              <w:jc w:val="left"/>
              <w:rPr>
                <w:rFonts w:ascii="宋体" w:hAnsi="宋体" w:cs="宋体"/>
                <w:color w:val="000000"/>
                <w:szCs w:val="21"/>
                <w:highlight w:val="none"/>
              </w:rPr>
            </w:pPr>
            <w:r>
              <w:rPr>
                <w:rFonts w:hint="eastAsia" w:ascii="宋体" w:hAnsi="宋体" w:cs="宋体"/>
                <w:b/>
                <w:color w:val="000000"/>
                <w:szCs w:val="21"/>
                <w:highlight w:val="none"/>
              </w:rPr>
              <w:t>六、</w:t>
            </w:r>
            <w:r>
              <w:rPr>
                <w:rFonts w:hint="eastAsia" w:ascii="宋体" w:hAnsi="宋体" w:cs="宋体"/>
                <w:b/>
                <w:color w:val="000000"/>
                <w:szCs w:val="21"/>
                <w:highlight w:val="none"/>
                <w:lang w:val="en-US" w:eastAsia="zh-CN"/>
              </w:rPr>
              <w:t>前期</w:t>
            </w:r>
            <w:r>
              <w:rPr>
                <w:rFonts w:hint="eastAsia" w:ascii="宋体" w:hAnsi="宋体" w:cs="宋体"/>
                <w:b/>
                <w:color w:val="000000"/>
                <w:szCs w:val="21"/>
                <w:highlight w:val="none"/>
              </w:rPr>
              <w:t>费</w:t>
            </w:r>
            <w:r>
              <w:rPr>
                <w:rFonts w:hint="eastAsia" w:ascii="宋体" w:hAnsi="宋体" w:cs="宋体"/>
                <w:b/>
                <w:color w:val="000000"/>
                <w:szCs w:val="21"/>
                <w:highlight w:val="none"/>
                <w:lang w:val="en-US" w:eastAsia="zh-CN"/>
              </w:rPr>
              <w:t>用</w:t>
            </w:r>
          </w:p>
        </w:tc>
      </w:tr>
      <w:tr w14:paraId="4443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77EA7E18">
            <w:pPr>
              <w:widowControl/>
              <w:jc w:val="center"/>
              <w:rPr>
                <w:rFonts w:ascii="宋体" w:hAnsi="宋体" w:cs="宋体"/>
                <w:color w:val="000000"/>
                <w:szCs w:val="21"/>
                <w:highlight w:val="none"/>
              </w:rPr>
            </w:pPr>
            <w:r>
              <w:rPr>
                <w:rFonts w:hint="eastAsia" w:ascii="宋体" w:hAnsi="宋体" w:cs="宋体"/>
                <w:b/>
                <w:color w:val="000000"/>
                <w:szCs w:val="21"/>
                <w:highlight w:val="none"/>
              </w:rPr>
              <w:t>序号</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75FA144B">
            <w:pPr>
              <w:widowControl/>
              <w:jc w:val="center"/>
            </w:pPr>
            <w:r>
              <w:rPr>
                <w:rFonts w:hint="eastAsia" w:ascii="宋体" w:hAnsi="宋体" w:cs="宋体"/>
                <w:b/>
                <w:color w:val="000000"/>
                <w:szCs w:val="21"/>
                <w:highlight w:val="none"/>
              </w:rPr>
              <w:t>科目类别</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400D6013">
            <w:pPr>
              <w:widowControl/>
              <w:jc w:val="center"/>
            </w:pPr>
            <w:r>
              <w:rPr>
                <w:rFonts w:hint="eastAsia" w:ascii="宋体" w:hAnsi="宋体" w:cs="宋体"/>
                <w:b/>
                <w:color w:val="000000"/>
                <w:szCs w:val="21"/>
                <w:highlight w:val="none"/>
              </w:rPr>
              <w:t>测算依据</w:t>
            </w: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53B5CC3E">
            <w:pPr>
              <w:jc w:val="center"/>
            </w:pPr>
            <w:r>
              <w:rPr>
                <w:rFonts w:hint="eastAsia" w:ascii="宋体" w:hAnsi="宋体" w:cs="宋体"/>
                <w:b/>
                <w:color w:val="000000"/>
                <w:szCs w:val="21"/>
                <w:highlight w:val="none"/>
              </w:rPr>
              <w:t>费用合计（元）</w:t>
            </w:r>
          </w:p>
        </w:tc>
        <w:tc>
          <w:tcPr>
            <w:tcW w:w="1561" w:type="dxa"/>
            <w:gridSpan w:val="3"/>
            <w:tcBorders>
              <w:top w:val="single" w:color="auto" w:sz="4" w:space="0"/>
              <w:left w:val="single" w:color="auto" w:sz="4" w:space="0"/>
              <w:bottom w:val="single" w:color="auto" w:sz="4" w:space="0"/>
              <w:right w:val="single" w:color="auto" w:sz="4" w:space="0"/>
            </w:tcBorders>
            <w:noWrap w:val="0"/>
            <w:vAlign w:val="center"/>
          </w:tcPr>
          <w:p w14:paraId="09D2680F">
            <w:pPr>
              <w:widowControl/>
              <w:jc w:val="center"/>
            </w:pPr>
            <w:r>
              <w:rPr>
                <w:rFonts w:hint="eastAsia" w:ascii="宋体" w:hAnsi="宋体" w:cs="宋体"/>
                <w:b/>
                <w:color w:val="000000"/>
                <w:szCs w:val="21"/>
                <w:highlight w:val="none"/>
              </w:rPr>
              <w:t>备注</w:t>
            </w:r>
          </w:p>
        </w:tc>
      </w:tr>
      <w:tr w14:paraId="2E0A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326598BF">
            <w:pPr>
              <w:jc w:val="center"/>
              <w:rPr>
                <w:rFonts w:hint="eastAsia" w:ascii="宋体" w:hAnsi="宋体" w:cs="宋体"/>
                <w:b/>
                <w:color w:val="000000"/>
                <w:szCs w:val="21"/>
                <w:highlight w:val="none"/>
              </w:rPr>
            </w:pPr>
            <w:r>
              <w:rPr>
                <w:rFonts w:hint="eastAsia" w:ascii="宋体" w:hAnsi="宋体" w:cs="宋体"/>
                <w:b/>
                <w:color w:val="000000"/>
                <w:szCs w:val="21"/>
                <w:highlight w:val="none"/>
                <w:lang w:val="en-US" w:eastAsia="zh-CN"/>
              </w:rPr>
              <w:t>1</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38BF62C6">
            <w:pPr>
              <w:jc w:val="center"/>
            </w:pPr>
            <w:r>
              <w:rPr>
                <w:rFonts w:hint="eastAsia" w:ascii="宋体" w:hAnsi="宋体" w:cs="宋体"/>
                <w:b/>
                <w:bCs/>
                <w:color w:val="000000"/>
                <w:szCs w:val="21"/>
                <w:highlight w:val="none"/>
                <w:lang w:val="en-US" w:eastAsia="zh-CN"/>
              </w:rPr>
              <w:t>项目前期服务费用</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4C01B123">
            <w:pPr>
              <w:jc w:val="left"/>
            </w:pPr>
            <w:r>
              <w:rPr>
                <w:rFonts w:hint="eastAsia" w:ascii="宋体" w:hAnsi="宋体" w:cs="宋体"/>
                <w:b/>
                <w:bCs/>
                <w:color w:val="000000"/>
                <w:szCs w:val="21"/>
                <w:highlight w:val="none"/>
                <w:lang w:val="en-US" w:eastAsia="zh-CN"/>
              </w:rPr>
              <w:t>1.人员费用。按报表中一、二项人员经费总额除以365天进行核算； 2.物料费用约5万元，以实际支出为准。</w:t>
            </w: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166D367A">
            <w:pPr>
              <w:jc w:val="center"/>
            </w:pPr>
          </w:p>
        </w:tc>
        <w:tc>
          <w:tcPr>
            <w:tcW w:w="1561" w:type="dxa"/>
            <w:gridSpan w:val="3"/>
            <w:tcBorders>
              <w:top w:val="single" w:color="auto" w:sz="4" w:space="0"/>
              <w:left w:val="single" w:color="auto" w:sz="4" w:space="0"/>
              <w:bottom w:val="single" w:color="auto" w:sz="4" w:space="0"/>
              <w:right w:val="single" w:color="auto" w:sz="4" w:space="0"/>
            </w:tcBorders>
            <w:noWrap w:val="0"/>
            <w:vAlign w:val="center"/>
          </w:tcPr>
          <w:p w14:paraId="21DF6D16">
            <w:pPr>
              <w:jc w:val="center"/>
            </w:pPr>
            <w:r>
              <w:rPr>
                <w:rFonts w:hint="eastAsia" w:ascii="宋体" w:hAnsi="宋体" w:cs="宋体"/>
                <w:b/>
                <w:bCs/>
                <w:color w:val="000000"/>
                <w:szCs w:val="21"/>
                <w:highlight w:val="none"/>
                <w:lang w:val="en-US" w:eastAsia="zh-CN"/>
              </w:rPr>
              <w:t>自2026年3月22日起至新中标供应商正式进场日止，按实际天数结算。</w:t>
            </w:r>
          </w:p>
        </w:tc>
      </w:tr>
      <w:tr w14:paraId="05A6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464" w:type="dxa"/>
            <w:gridSpan w:val="12"/>
            <w:noWrap w:val="0"/>
            <w:vAlign w:val="center"/>
          </w:tcPr>
          <w:p w14:paraId="5E62CE53">
            <w:pPr>
              <w:rPr>
                <w:rFonts w:ascii="宋体" w:hAnsi="宋体" w:cs="宋体"/>
                <w:color w:val="auto"/>
                <w:szCs w:val="21"/>
                <w:highlight w:val="none"/>
              </w:rPr>
            </w:pPr>
            <w:r>
              <w:rPr>
                <w:rFonts w:hint="eastAsia" w:ascii="宋体" w:hAnsi="宋体" w:cs="宋体"/>
                <w:b/>
                <w:color w:val="auto"/>
                <w:szCs w:val="21"/>
                <w:highlight w:val="none"/>
                <w:lang w:val="en-US" w:eastAsia="zh-CN"/>
              </w:rPr>
              <w:t>七</w:t>
            </w:r>
            <w:r>
              <w:rPr>
                <w:rFonts w:hint="eastAsia" w:ascii="宋体" w:hAnsi="宋体" w:cs="宋体"/>
                <w:b/>
                <w:color w:val="auto"/>
                <w:szCs w:val="21"/>
                <w:highlight w:val="none"/>
              </w:rPr>
              <w:t>、</w:t>
            </w:r>
            <w:r>
              <w:rPr>
                <w:rFonts w:hint="eastAsia" w:ascii="宋体" w:hAnsi="宋体" w:cs="宋体"/>
                <w:b/>
                <w:color w:val="auto"/>
                <w:szCs w:val="21"/>
                <w:highlight w:val="none"/>
                <w:lang w:eastAsia="zh-CN"/>
              </w:rPr>
              <w:t>其他</w:t>
            </w:r>
            <w:r>
              <w:rPr>
                <w:rFonts w:hint="eastAsia" w:ascii="宋体" w:hAnsi="宋体" w:cs="宋体"/>
                <w:b/>
                <w:color w:val="auto"/>
                <w:szCs w:val="21"/>
                <w:highlight w:val="none"/>
              </w:rPr>
              <w:t>费</w:t>
            </w:r>
            <w:r>
              <w:rPr>
                <w:rFonts w:hint="eastAsia" w:ascii="宋体" w:hAnsi="宋体" w:cs="宋体"/>
                <w:b/>
                <w:color w:val="auto"/>
                <w:szCs w:val="21"/>
                <w:highlight w:val="none"/>
                <w:lang w:eastAsia="zh-CN"/>
              </w:rPr>
              <w:t>用</w:t>
            </w:r>
          </w:p>
        </w:tc>
      </w:tr>
      <w:tr w14:paraId="2BE0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94" w:type="dxa"/>
            <w:gridSpan w:val="3"/>
            <w:noWrap w:val="0"/>
            <w:vAlign w:val="center"/>
          </w:tcPr>
          <w:p w14:paraId="4D8BBF7B">
            <w:pPr>
              <w:widowControl/>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531" w:type="dxa"/>
            <w:noWrap w:val="0"/>
            <w:vAlign w:val="center"/>
          </w:tcPr>
          <w:p w14:paraId="554C1236">
            <w:pPr>
              <w:widowControl/>
              <w:jc w:val="center"/>
            </w:pPr>
            <w:r>
              <w:rPr>
                <w:rFonts w:hint="eastAsia" w:ascii="宋体" w:hAnsi="宋体" w:cs="宋体"/>
                <w:b/>
                <w:color w:val="auto"/>
                <w:szCs w:val="21"/>
                <w:highlight w:val="none"/>
              </w:rPr>
              <w:t>科目类别</w:t>
            </w:r>
          </w:p>
        </w:tc>
        <w:tc>
          <w:tcPr>
            <w:tcW w:w="2122" w:type="dxa"/>
            <w:noWrap w:val="0"/>
            <w:vAlign w:val="center"/>
          </w:tcPr>
          <w:p w14:paraId="10BB6091">
            <w:pPr>
              <w:widowControl/>
              <w:jc w:val="center"/>
            </w:pPr>
            <w:r>
              <w:rPr>
                <w:rFonts w:hint="eastAsia" w:ascii="宋体" w:hAnsi="宋体" w:cs="宋体"/>
                <w:b/>
                <w:color w:val="auto"/>
                <w:szCs w:val="21"/>
                <w:highlight w:val="none"/>
              </w:rPr>
              <w:t>测算依据</w:t>
            </w:r>
          </w:p>
        </w:tc>
        <w:tc>
          <w:tcPr>
            <w:tcW w:w="3556" w:type="dxa"/>
            <w:gridSpan w:val="4"/>
            <w:noWrap w:val="0"/>
            <w:vAlign w:val="center"/>
          </w:tcPr>
          <w:p w14:paraId="56D62A88">
            <w:pPr>
              <w:jc w:val="center"/>
            </w:pPr>
            <w:r>
              <w:rPr>
                <w:rFonts w:hint="eastAsia" w:ascii="宋体" w:hAnsi="宋体" w:cs="宋体"/>
                <w:b/>
                <w:color w:val="auto"/>
                <w:szCs w:val="21"/>
                <w:highlight w:val="none"/>
              </w:rPr>
              <w:t>费用合计（元）</w:t>
            </w:r>
          </w:p>
        </w:tc>
        <w:tc>
          <w:tcPr>
            <w:tcW w:w="1561" w:type="dxa"/>
            <w:gridSpan w:val="3"/>
            <w:noWrap w:val="0"/>
            <w:vAlign w:val="center"/>
          </w:tcPr>
          <w:p w14:paraId="06D22D14">
            <w:pPr>
              <w:widowControl/>
              <w:jc w:val="center"/>
            </w:pPr>
            <w:r>
              <w:rPr>
                <w:rFonts w:hint="eastAsia" w:ascii="宋体" w:hAnsi="宋体" w:cs="宋体"/>
                <w:b/>
                <w:color w:val="auto"/>
                <w:szCs w:val="21"/>
                <w:highlight w:val="none"/>
              </w:rPr>
              <w:t>备注</w:t>
            </w:r>
          </w:p>
        </w:tc>
      </w:tr>
      <w:tr w14:paraId="06DB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4" w:type="dxa"/>
            <w:gridSpan w:val="3"/>
            <w:noWrap w:val="0"/>
            <w:vAlign w:val="center"/>
          </w:tcPr>
          <w:p w14:paraId="4EDF37DF">
            <w:pPr>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1531" w:type="dxa"/>
            <w:noWrap w:val="0"/>
            <w:vAlign w:val="center"/>
          </w:tcPr>
          <w:p w14:paraId="3ACE65EC">
            <w:pPr>
              <w:widowControl/>
              <w:jc w:val="center"/>
              <w:rPr>
                <w:rFonts w:hint="eastAsia" w:ascii="宋体" w:hAnsi="宋体" w:eastAsia="宋体" w:cs="宋体"/>
                <w:b/>
                <w:color w:val="auto"/>
                <w:szCs w:val="21"/>
                <w:highlight w:val="none"/>
                <w:lang w:eastAsia="zh-CN"/>
              </w:rPr>
            </w:pPr>
            <w:r>
              <w:rPr>
                <w:rFonts w:hint="eastAsia" w:ascii="宋体" w:hAnsi="宋体" w:cs="宋体"/>
                <w:b/>
                <w:bCs/>
                <w:color w:val="auto"/>
                <w:szCs w:val="21"/>
                <w:highlight w:val="none"/>
                <w:lang w:eastAsia="zh-CN"/>
              </w:rPr>
              <w:t>其他费用（供应商根据需求自行列举）</w:t>
            </w:r>
          </w:p>
        </w:tc>
        <w:tc>
          <w:tcPr>
            <w:tcW w:w="2122" w:type="dxa"/>
            <w:noWrap w:val="0"/>
            <w:vAlign w:val="center"/>
          </w:tcPr>
          <w:p w14:paraId="5C2C97CC">
            <w:pPr>
              <w:jc w:val="center"/>
              <w:rPr>
                <w:rFonts w:ascii="宋体" w:hAnsi="宋体" w:cs="宋体"/>
                <w:b/>
                <w:color w:val="auto"/>
                <w:szCs w:val="21"/>
                <w:highlight w:val="none"/>
              </w:rPr>
            </w:pPr>
          </w:p>
        </w:tc>
        <w:tc>
          <w:tcPr>
            <w:tcW w:w="3556" w:type="dxa"/>
            <w:gridSpan w:val="4"/>
            <w:noWrap w:val="0"/>
            <w:vAlign w:val="center"/>
          </w:tcPr>
          <w:p w14:paraId="2138BC97">
            <w:pPr>
              <w:jc w:val="center"/>
              <w:rPr>
                <w:rFonts w:ascii="宋体" w:hAnsi="宋体" w:cs="宋体"/>
                <w:color w:val="auto"/>
                <w:szCs w:val="21"/>
                <w:highlight w:val="none"/>
              </w:rPr>
            </w:pPr>
            <w:r>
              <w:rPr>
                <w:rFonts w:hint="eastAsia" w:ascii="宋体" w:hAnsi="宋体" w:cs="宋体"/>
                <w:color w:val="auto"/>
                <w:szCs w:val="21"/>
                <w:highlight w:val="none"/>
                <w:lang w:eastAsia="zh-CN"/>
              </w:rPr>
              <w:t>元</w:t>
            </w:r>
          </w:p>
        </w:tc>
        <w:tc>
          <w:tcPr>
            <w:tcW w:w="1561" w:type="dxa"/>
            <w:gridSpan w:val="3"/>
            <w:noWrap w:val="0"/>
            <w:vAlign w:val="center"/>
          </w:tcPr>
          <w:p w14:paraId="1D57077F">
            <w:pPr>
              <w:jc w:val="center"/>
              <w:rPr>
                <w:rFonts w:ascii="宋体" w:hAnsi="宋体" w:cs="宋体"/>
                <w:b/>
                <w:color w:val="auto"/>
                <w:szCs w:val="21"/>
                <w:highlight w:val="none"/>
              </w:rPr>
            </w:pPr>
          </w:p>
        </w:tc>
      </w:tr>
      <w:tr w14:paraId="3E6C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4" w:type="dxa"/>
            <w:gridSpan w:val="12"/>
            <w:noWrap w:val="0"/>
            <w:vAlign w:val="center"/>
          </w:tcPr>
          <w:p w14:paraId="036CB68E">
            <w:pPr>
              <w:jc w:val="left"/>
              <w:rPr>
                <w:rFonts w:ascii="宋体" w:hAnsi="宋体" w:cs="宋体"/>
                <w:b/>
                <w:color w:val="auto"/>
                <w:szCs w:val="21"/>
                <w:highlight w:val="none"/>
              </w:rPr>
            </w:pPr>
            <w:r>
              <w:rPr>
                <w:rFonts w:hint="eastAsia" w:ascii="宋体" w:hAnsi="宋体" w:cs="宋体"/>
                <w:b/>
                <w:color w:val="auto"/>
                <w:szCs w:val="21"/>
                <w:highlight w:val="none"/>
                <w:lang w:eastAsia="zh-CN"/>
              </w:rPr>
              <w:t>八、</w:t>
            </w:r>
            <w:r>
              <w:rPr>
                <w:rFonts w:hint="eastAsia" w:ascii="宋体" w:hAnsi="宋体" w:cs="宋体"/>
                <w:b/>
                <w:color w:val="auto"/>
                <w:szCs w:val="21"/>
                <w:highlight w:val="none"/>
              </w:rPr>
              <w:t>合理利润或管理费</w:t>
            </w:r>
          </w:p>
        </w:tc>
      </w:tr>
      <w:tr w14:paraId="73C8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94" w:type="dxa"/>
            <w:gridSpan w:val="3"/>
            <w:noWrap w:val="0"/>
            <w:vAlign w:val="center"/>
          </w:tcPr>
          <w:p w14:paraId="1B1D78AE">
            <w:pPr>
              <w:widowControl/>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序号</w:t>
            </w:r>
          </w:p>
        </w:tc>
        <w:tc>
          <w:tcPr>
            <w:tcW w:w="1531" w:type="dxa"/>
            <w:noWrap w:val="0"/>
            <w:vAlign w:val="center"/>
          </w:tcPr>
          <w:p w14:paraId="3A6967AE">
            <w:pPr>
              <w:widowControl/>
              <w:jc w:val="center"/>
              <w:rPr>
                <w:rFonts w:hint="eastAsia" w:ascii="宋体" w:hAnsi="宋体" w:cs="宋体"/>
                <w:b/>
                <w:bCs/>
                <w:color w:val="auto"/>
                <w:szCs w:val="21"/>
                <w:highlight w:val="none"/>
              </w:rPr>
            </w:pPr>
            <w:r>
              <w:rPr>
                <w:rFonts w:hint="eastAsia" w:ascii="宋体" w:hAnsi="宋体" w:cs="宋体"/>
                <w:b/>
                <w:color w:val="auto"/>
                <w:szCs w:val="21"/>
                <w:highlight w:val="none"/>
              </w:rPr>
              <w:t>科目类别</w:t>
            </w:r>
          </w:p>
        </w:tc>
        <w:tc>
          <w:tcPr>
            <w:tcW w:w="2122" w:type="dxa"/>
            <w:noWrap w:val="0"/>
            <w:vAlign w:val="center"/>
          </w:tcPr>
          <w:p w14:paraId="52F9FC59">
            <w:pPr>
              <w:widowControl/>
              <w:jc w:val="center"/>
              <w:rPr>
                <w:rFonts w:hint="eastAsia" w:ascii="宋体" w:hAnsi="宋体" w:cs="宋体"/>
                <w:b/>
                <w:bCs/>
                <w:color w:val="auto"/>
                <w:szCs w:val="21"/>
                <w:highlight w:val="none"/>
              </w:rPr>
            </w:pPr>
            <w:r>
              <w:rPr>
                <w:rFonts w:hint="eastAsia" w:ascii="宋体" w:hAnsi="宋体" w:cs="宋体"/>
                <w:b/>
                <w:color w:val="auto"/>
                <w:szCs w:val="21"/>
                <w:highlight w:val="none"/>
              </w:rPr>
              <w:t>测算依据</w:t>
            </w:r>
          </w:p>
        </w:tc>
        <w:tc>
          <w:tcPr>
            <w:tcW w:w="3556" w:type="dxa"/>
            <w:gridSpan w:val="4"/>
            <w:noWrap w:val="0"/>
            <w:vAlign w:val="center"/>
          </w:tcPr>
          <w:p w14:paraId="60CF1190">
            <w:pPr>
              <w:jc w:val="center"/>
              <w:rPr>
                <w:rFonts w:hint="eastAsia" w:ascii="宋体" w:hAnsi="宋体" w:cs="宋体"/>
                <w:color w:val="auto"/>
                <w:szCs w:val="21"/>
                <w:highlight w:val="none"/>
              </w:rPr>
            </w:pPr>
            <w:r>
              <w:rPr>
                <w:rFonts w:hint="eastAsia" w:ascii="宋体" w:hAnsi="宋体" w:cs="宋体"/>
                <w:b/>
                <w:color w:val="auto"/>
                <w:szCs w:val="21"/>
                <w:highlight w:val="none"/>
              </w:rPr>
              <w:t>费用合计（元）</w:t>
            </w:r>
          </w:p>
        </w:tc>
        <w:tc>
          <w:tcPr>
            <w:tcW w:w="1561" w:type="dxa"/>
            <w:gridSpan w:val="3"/>
            <w:noWrap w:val="0"/>
            <w:vAlign w:val="center"/>
          </w:tcPr>
          <w:p w14:paraId="0B21110E">
            <w:pPr>
              <w:widowControl/>
              <w:jc w:val="center"/>
              <w:rPr>
                <w:rFonts w:ascii="宋体" w:hAnsi="宋体" w:cs="宋体"/>
                <w:color w:val="auto"/>
                <w:szCs w:val="21"/>
                <w:highlight w:val="none"/>
                <w:u w:val="single"/>
              </w:rPr>
            </w:pPr>
            <w:r>
              <w:rPr>
                <w:rFonts w:hint="eastAsia" w:ascii="宋体" w:hAnsi="宋体" w:cs="宋体"/>
                <w:b/>
                <w:color w:val="auto"/>
                <w:szCs w:val="21"/>
                <w:highlight w:val="none"/>
              </w:rPr>
              <w:t>备注</w:t>
            </w:r>
          </w:p>
        </w:tc>
      </w:tr>
      <w:tr w14:paraId="706E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694" w:type="dxa"/>
            <w:gridSpan w:val="3"/>
            <w:noWrap w:val="0"/>
            <w:vAlign w:val="center"/>
          </w:tcPr>
          <w:p w14:paraId="0BB47071">
            <w:pPr>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1531" w:type="dxa"/>
            <w:noWrap w:val="0"/>
            <w:vAlign w:val="center"/>
          </w:tcPr>
          <w:p w14:paraId="40960B5F">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企业管理费及利润</w:t>
            </w:r>
          </w:p>
        </w:tc>
        <w:tc>
          <w:tcPr>
            <w:tcW w:w="2122" w:type="dxa"/>
            <w:noWrap w:val="0"/>
            <w:vAlign w:val="center"/>
          </w:tcPr>
          <w:p w14:paraId="7DEAFFFF">
            <w:pPr>
              <w:jc w:val="center"/>
              <w:rPr>
                <w:rFonts w:ascii="宋体" w:hAnsi="宋体" w:cs="宋体"/>
                <w:b/>
                <w:bCs/>
                <w:color w:val="auto"/>
                <w:szCs w:val="21"/>
                <w:highlight w:val="none"/>
              </w:rPr>
            </w:pPr>
            <w:r>
              <w:rPr>
                <w:rFonts w:hint="eastAsia" w:ascii="宋体" w:hAnsi="宋体" w:cs="宋体"/>
                <w:b/>
                <w:bCs/>
                <w:color w:val="auto"/>
                <w:szCs w:val="21"/>
                <w:highlight w:val="none"/>
              </w:rPr>
              <w:t>（一+二+三+四+五</w:t>
            </w:r>
            <w:r>
              <w:rPr>
                <w:rFonts w:hint="eastAsia" w:ascii="宋体" w:hAnsi="宋体" w:cs="宋体"/>
                <w:b/>
                <w:bCs/>
                <w:color w:val="auto"/>
                <w:szCs w:val="21"/>
                <w:highlight w:val="none"/>
                <w:lang w:val="en-US" w:eastAsia="zh-CN"/>
              </w:rPr>
              <w:t>+六</w:t>
            </w:r>
            <w:r>
              <w:rPr>
                <w:rFonts w:hint="eastAsia" w:ascii="宋体" w:hAnsi="宋体" w:cs="宋体"/>
                <w:b/>
                <w:bCs/>
                <w:color w:val="auto"/>
                <w:szCs w:val="21"/>
                <w:highlight w:val="none"/>
              </w:rPr>
              <w:t>项金额总和）*利润或管理费费率（ %）</w:t>
            </w:r>
          </w:p>
        </w:tc>
        <w:tc>
          <w:tcPr>
            <w:tcW w:w="3556" w:type="dxa"/>
            <w:gridSpan w:val="4"/>
            <w:noWrap w:val="0"/>
            <w:vAlign w:val="center"/>
          </w:tcPr>
          <w:p w14:paraId="14BFD1AF">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元</w:t>
            </w:r>
          </w:p>
        </w:tc>
        <w:tc>
          <w:tcPr>
            <w:tcW w:w="1561" w:type="dxa"/>
            <w:gridSpan w:val="3"/>
            <w:noWrap w:val="0"/>
            <w:vAlign w:val="center"/>
          </w:tcPr>
          <w:p w14:paraId="0E6AEA19">
            <w:pPr>
              <w:jc w:val="center"/>
              <w:rPr>
                <w:rFonts w:ascii="宋体" w:hAnsi="宋体" w:cs="宋体"/>
                <w:color w:val="auto"/>
                <w:szCs w:val="21"/>
                <w:highlight w:val="none"/>
                <w:u w:val="single"/>
              </w:rPr>
            </w:pPr>
          </w:p>
        </w:tc>
      </w:tr>
      <w:tr w14:paraId="59FA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464" w:type="dxa"/>
            <w:gridSpan w:val="12"/>
            <w:noWrap w:val="0"/>
            <w:vAlign w:val="center"/>
          </w:tcPr>
          <w:p w14:paraId="1F148E37">
            <w:pPr>
              <w:jc w:val="left"/>
              <w:rPr>
                <w:rFonts w:ascii="宋体" w:hAnsi="宋体" w:cs="宋体"/>
                <w:color w:val="auto"/>
                <w:szCs w:val="21"/>
                <w:highlight w:val="none"/>
                <w:u w:val="single"/>
              </w:rPr>
            </w:pPr>
            <w:r>
              <w:rPr>
                <w:rFonts w:hint="eastAsia" w:ascii="宋体" w:hAnsi="宋体" w:cs="宋体"/>
                <w:b/>
                <w:bCs/>
                <w:color w:val="auto"/>
                <w:szCs w:val="21"/>
                <w:highlight w:val="none"/>
                <w:lang w:val="en-US" w:eastAsia="zh-CN"/>
              </w:rPr>
              <w:t>九</w:t>
            </w:r>
            <w:r>
              <w:rPr>
                <w:rFonts w:hint="eastAsia" w:ascii="宋体" w:hAnsi="宋体" w:cs="宋体"/>
                <w:color w:val="auto"/>
                <w:szCs w:val="21"/>
                <w:highlight w:val="none"/>
              </w:rPr>
              <w:t>、</w:t>
            </w:r>
            <w:r>
              <w:rPr>
                <w:rFonts w:hint="eastAsia" w:ascii="宋体" w:hAnsi="宋体" w:cs="宋体"/>
                <w:b/>
                <w:color w:val="auto"/>
                <w:szCs w:val="21"/>
                <w:highlight w:val="none"/>
              </w:rPr>
              <w:t>法定税费</w:t>
            </w:r>
          </w:p>
        </w:tc>
      </w:tr>
      <w:tr w14:paraId="1834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4" w:type="dxa"/>
            <w:gridSpan w:val="3"/>
            <w:noWrap w:val="0"/>
            <w:vAlign w:val="center"/>
          </w:tcPr>
          <w:p w14:paraId="5F234C95">
            <w:pPr>
              <w:widowControl/>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531" w:type="dxa"/>
            <w:noWrap w:val="0"/>
            <w:vAlign w:val="center"/>
          </w:tcPr>
          <w:p w14:paraId="29BAF4A6">
            <w:pPr>
              <w:widowControl/>
              <w:jc w:val="center"/>
              <w:rPr>
                <w:rFonts w:ascii="宋体" w:hAnsi="宋体" w:cs="宋体"/>
                <w:b/>
                <w:color w:val="auto"/>
                <w:szCs w:val="21"/>
                <w:highlight w:val="none"/>
              </w:rPr>
            </w:pPr>
            <w:r>
              <w:rPr>
                <w:rFonts w:hint="eastAsia" w:ascii="宋体" w:hAnsi="宋体" w:cs="宋体"/>
                <w:b/>
                <w:color w:val="auto"/>
                <w:szCs w:val="21"/>
                <w:highlight w:val="none"/>
              </w:rPr>
              <w:t>科目类别</w:t>
            </w:r>
          </w:p>
        </w:tc>
        <w:tc>
          <w:tcPr>
            <w:tcW w:w="2122" w:type="dxa"/>
            <w:noWrap w:val="0"/>
            <w:vAlign w:val="center"/>
          </w:tcPr>
          <w:p w14:paraId="6CFDC80E">
            <w:pPr>
              <w:widowControl/>
              <w:jc w:val="center"/>
              <w:rPr>
                <w:rFonts w:ascii="宋体" w:hAnsi="宋体" w:cs="宋体"/>
                <w:b/>
                <w:color w:val="auto"/>
                <w:szCs w:val="21"/>
                <w:highlight w:val="none"/>
              </w:rPr>
            </w:pPr>
            <w:r>
              <w:rPr>
                <w:rFonts w:hint="eastAsia" w:ascii="宋体" w:hAnsi="宋体" w:cs="宋体"/>
                <w:b/>
                <w:color w:val="auto"/>
                <w:szCs w:val="21"/>
                <w:highlight w:val="none"/>
              </w:rPr>
              <w:t>测算依据</w:t>
            </w:r>
          </w:p>
        </w:tc>
        <w:tc>
          <w:tcPr>
            <w:tcW w:w="3556" w:type="dxa"/>
            <w:gridSpan w:val="4"/>
            <w:noWrap w:val="0"/>
            <w:vAlign w:val="center"/>
          </w:tcPr>
          <w:p w14:paraId="0EC998F4">
            <w:pPr>
              <w:jc w:val="center"/>
              <w:rPr>
                <w:rFonts w:ascii="宋体" w:hAnsi="宋体" w:cs="宋体"/>
                <w:color w:val="auto"/>
                <w:szCs w:val="21"/>
                <w:highlight w:val="none"/>
              </w:rPr>
            </w:pPr>
            <w:r>
              <w:rPr>
                <w:rFonts w:hint="eastAsia" w:ascii="宋体" w:hAnsi="宋体" w:cs="宋体"/>
                <w:b/>
                <w:color w:val="auto"/>
                <w:szCs w:val="21"/>
                <w:highlight w:val="none"/>
              </w:rPr>
              <w:t>费用（元）</w:t>
            </w:r>
          </w:p>
        </w:tc>
        <w:tc>
          <w:tcPr>
            <w:tcW w:w="1561" w:type="dxa"/>
            <w:gridSpan w:val="3"/>
            <w:noWrap w:val="0"/>
            <w:vAlign w:val="center"/>
          </w:tcPr>
          <w:p w14:paraId="17528C98">
            <w:pPr>
              <w:jc w:val="center"/>
              <w:rPr>
                <w:rFonts w:ascii="宋体" w:hAnsi="宋体" w:cs="宋体"/>
                <w:color w:val="auto"/>
                <w:szCs w:val="21"/>
                <w:highlight w:val="none"/>
                <w:u w:val="single"/>
              </w:rPr>
            </w:pPr>
            <w:r>
              <w:rPr>
                <w:rFonts w:hint="eastAsia" w:ascii="宋体" w:hAnsi="宋体" w:cs="宋体"/>
                <w:b/>
                <w:color w:val="auto"/>
                <w:szCs w:val="21"/>
                <w:highlight w:val="none"/>
              </w:rPr>
              <w:t>备注</w:t>
            </w:r>
          </w:p>
        </w:tc>
      </w:tr>
      <w:tr w14:paraId="0F8E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694" w:type="dxa"/>
            <w:gridSpan w:val="3"/>
            <w:noWrap w:val="0"/>
            <w:vAlign w:val="center"/>
          </w:tcPr>
          <w:p w14:paraId="41873526">
            <w:pPr>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1531" w:type="dxa"/>
            <w:noWrap w:val="0"/>
            <w:vAlign w:val="center"/>
          </w:tcPr>
          <w:p w14:paraId="7A3E84B6">
            <w:pPr>
              <w:widowControl/>
              <w:jc w:val="center"/>
              <w:rPr>
                <w:rFonts w:ascii="宋体" w:hAnsi="宋体" w:cs="宋体"/>
                <w:b/>
                <w:color w:val="auto"/>
                <w:szCs w:val="21"/>
                <w:highlight w:val="none"/>
              </w:rPr>
            </w:pPr>
            <w:r>
              <w:rPr>
                <w:rFonts w:hint="eastAsia" w:ascii="宋体" w:hAnsi="宋体" w:cs="宋体"/>
                <w:b/>
                <w:color w:val="auto"/>
                <w:szCs w:val="21"/>
                <w:highlight w:val="none"/>
              </w:rPr>
              <w:t>法定税费（增值税费及附加税）</w:t>
            </w:r>
          </w:p>
        </w:tc>
        <w:tc>
          <w:tcPr>
            <w:tcW w:w="2122" w:type="dxa"/>
            <w:noWrap w:val="0"/>
            <w:vAlign w:val="center"/>
          </w:tcPr>
          <w:p w14:paraId="593817D8">
            <w:pPr>
              <w:jc w:val="center"/>
              <w:rPr>
                <w:rFonts w:ascii="宋体" w:hAnsi="宋体" w:cs="宋体"/>
                <w:b/>
                <w:color w:val="auto"/>
                <w:szCs w:val="21"/>
                <w:highlight w:val="none"/>
              </w:rPr>
            </w:pPr>
            <w:r>
              <w:rPr>
                <w:rFonts w:hint="eastAsia" w:ascii="宋体" w:hAnsi="宋体" w:cs="宋体"/>
                <w:b/>
                <w:bCs/>
                <w:color w:val="auto"/>
                <w:szCs w:val="21"/>
                <w:highlight w:val="none"/>
              </w:rPr>
              <w:t>（一+二+三+四+五+六</w:t>
            </w:r>
            <w:r>
              <w:rPr>
                <w:rFonts w:hint="eastAsia" w:ascii="宋体" w:hAnsi="宋体" w:cs="宋体"/>
                <w:b/>
                <w:bCs/>
                <w:color w:val="auto"/>
                <w:szCs w:val="21"/>
                <w:highlight w:val="none"/>
                <w:lang w:val="en-US" w:eastAsia="zh-CN"/>
              </w:rPr>
              <w:t>+七</w:t>
            </w:r>
            <w:r>
              <w:rPr>
                <w:rFonts w:hint="eastAsia" w:ascii="宋体" w:hAnsi="宋体" w:cs="宋体"/>
                <w:b/>
                <w:bCs/>
                <w:color w:val="auto"/>
                <w:szCs w:val="21"/>
                <w:highlight w:val="none"/>
              </w:rPr>
              <w:t>项金额总和）*税费费率（%）</w:t>
            </w:r>
          </w:p>
        </w:tc>
        <w:tc>
          <w:tcPr>
            <w:tcW w:w="3556" w:type="dxa"/>
            <w:gridSpan w:val="4"/>
            <w:noWrap w:val="0"/>
            <w:vAlign w:val="center"/>
          </w:tcPr>
          <w:p w14:paraId="1990092E">
            <w:pPr>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561" w:type="dxa"/>
            <w:gridSpan w:val="3"/>
            <w:noWrap w:val="0"/>
            <w:vAlign w:val="center"/>
          </w:tcPr>
          <w:p w14:paraId="5628E5C6">
            <w:pPr>
              <w:jc w:val="center"/>
              <w:rPr>
                <w:rFonts w:ascii="宋体" w:hAnsi="宋体" w:cs="宋体"/>
                <w:color w:val="auto"/>
                <w:szCs w:val="21"/>
                <w:highlight w:val="none"/>
                <w:u w:val="single"/>
              </w:rPr>
            </w:pPr>
          </w:p>
        </w:tc>
      </w:tr>
      <w:tr w14:paraId="6103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464" w:type="dxa"/>
            <w:gridSpan w:val="12"/>
            <w:noWrap w:val="0"/>
            <w:vAlign w:val="center"/>
          </w:tcPr>
          <w:p w14:paraId="668AD7F5">
            <w:pPr>
              <w:rPr>
                <w:rFonts w:ascii="宋体" w:hAnsi="宋体" w:cs="宋体"/>
                <w:b/>
                <w:color w:val="auto"/>
                <w:szCs w:val="21"/>
                <w:highlight w:val="none"/>
              </w:rPr>
            </w:pPr>
            <w:r>
              <w:rPr>
                <w:rFonts w:hint="eastAsia" w:ascii="宋体" w:hAnsi="宋体" w:cs="宋体"/>
                <w:b/>
                <w:color w:val="auto"/>
                <w:szCs w:val="21"/>
                <w:highlight w:val="none"/>
                <w:lang w:val="en-US" w:eastAsia="zh-CN"/>
              </w:rPr>
              <w:t>十</w:t>
            </w:r>
            <w:r>
              <w:rPr>
                <w:rFonts w:hint="eastAsia" w:ascii="宋体" w:hAnsi="宋体" w:cs="宋体"/>
                <w:b/>
                <w:color w:val="auto"/>
                <w:szCs w:val="21"/>
                <w:highlight w:val="none"/>
              </w:rPr>
              <w:t>、</w:t>
            </w:r>
            <w:r>
              <w:rPr>
                <w:rFonts w:hint="eastAsia" w:ascii="宋体" w:hAnsi="宋体" w:cs="宋体"/>
                <w:b/>
                <w:color w:val="auto"/>
                <w:szCs w:val="21"/>
                <w:highlight w:val="none"/>
                <w:lang w:eastAsia="zh-CN"/>
              </w:rPr>
              <w:t>物业</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合计费用</w:t>
            </w:r>
          </w:p>
        </w:tc>
      </w:tr>
      <w:tr w14:paraId="33EF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225" w:type="dxa"/>
            <w:gridSpan w:val="4"/>
            <w:noWrap w:val="0"/>
            <w:vAlign w:val="center"/>
          </w:tcPr>
          <w:p w14:paraId="4B50467A">
            <w:pPr>
              <w:ind w:firstLine="422"/>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服务费</w:t>
            </w:r>
            <w:r>
              <w:rPr>
                <w:rFonts w:hint="eastAsia" w:ascii="宋体" w:hAnsi="宋体" w:cs="宋体"/>
                <w:b/>
                <w:color w:val="auto"/>
                <w:szCs w:val="21"/>
                <w:highlight w:val="none"/>
                <w:lang w:eastAsia="zh-CN"/>
              </w:rPr>
              <w:t>合计价</w:t>
            </w:r>
          </w:p>
          <w:p w14:paraId="4F17017E">
            <w:pPr>
              <w:ind w:firstLine="420"/>
              <w:rPr>
                <w:rFonts w:ascii="宋体" w:hAnsi="宋体" w:cs="宋体"/>
                <w:color w:val="auto"/>
                <w:szCs w:val="21"/>
                <w:highlight w:val="none"/>
              </w:rPr>
            </w:pPr>
          </w:p>
        </w:tc>
        <w:tc>
          <w:tcPr>
            <w:tcW w:w="7239" w:type="dxa"/>
            <w:gridSpan w:val="8"/>
            <w:noWrap w:val="0"/>
            <w:vAlign w:val="center"/>
          </w:tcPr>
          <w:p w14:paraId="570606A8">
            <w:pPr>
              <w:spacing w:line="420" w:lineRule="exact"/>
              <w:ind w:firstLine="422"/>
              <w:rPr>
                <w:rFonts w:ascii="宋体" w:hAnsi="宋体" w:cs="宋体"/>
                <w:b/>
                <w:color w:val="auto"/>
                <w:szCs w:val="21"/>
                <w:highlight w:val="none"/>
              </w:rPr>
            </w:pPr>
            <w:r>
              <w:rPr>
                <w:rFonts w:hint="eastAsia" w:ascii="宋体" w:hAnsi="宋体" w:cs="宋体"/>
                <w:b/>
                <w:color w:val="auto"/>
                <w:szCs w:val="21"/>
                <w:highlight w:val="none"/>
              </w:rPr>
              <w:t>以上一至</w:t>
            </w:r>
            <w:r>
              <w:rPr>
                <w:rFonts w:hint="eastAsia" w:ascii="宋体" w:hAnsi="宋体" w:cs="宋体"/>
                <w:b/>
                <w:color w:val="auto"/>
                <w:szCs w:val="21"/>
                <w:highlight w:val="none"/>
                <w:lang w:val="en-US" w:eastAsia="zh-CN"/>
              </w:rPr>
              <w:t>九</w:t>
            </w:r>
            <w:r>
              <w:rPr>
                <w:rFonts w:hint="eastAsia" w:ascii="宋体" w:hAnsi="宋体" w:cs="宋体"/>
                <w:b/>
                <w:color w:val="auto"/>
                <w:szCs w:val="21"/>
                <w:highlight w:val="none"/>
              </w:rPr>
              <w:t>项全部合计：</w:t>
            </w:r>
          </w:p>
          <w:p w14:paraId="13800007">
            <w:pPr>
              <w:spacing w:line="420" w:lineRule="exact"/>
              <w:ind w:firstLine="398"/>
              <w:rPr>
                <w:rFonts w:ascii="宋体" w:hAnsi="宋体" w:cs="宋体"/>
                <w:b/>
                <w:color w:val="auto"/>
                <w:szCs w:val="21"/>
                <w:highlight w:val="none"/>
              </w:rPr>
            </w:pPr>
            <w:r>
              <w:rPr>
                <w:rFonts w:hint="eastAsia" w:ascii="宋体" w:hAnsi="宋体" w:cs="宋体"/>
                <w:b/>
                <w:color w:val="auto"/>
                <w:spacing w:val="-6"/>
                <w:szCs w:val="21"/>
                <w:highlight w:val="none"/>
              </w:rPr>
              <w:t>（大写）：元人民币（￥ ）。</w:t>
            </w:r>
          </w:p>
        </w:tc>
      </w:tr>
    </w:tbl>
    <w:p w14:paraId="3DB4D9CD">
      <w:pPr>
        <w:pStyle w:val="207"/>
        <w:rPr>
          <w:rFonts w:hint="eastAsia" w:ascii="宋体" w:hAnsi="宋体" w:eastAsia="宋体" w:cs="宋体"/>
          <w:color w:val="000000"/>
          <w:sz w:val="21"/>
          <w:szCs w:val="21"/>
          <w:highlight w:val="none"/>
          <w:lang w:val="en-US" w:eastAsia="zh-CN" w:bidi="ar-SA"/>
        </w:rPr>
      </w:pPr>
    </w:p>
    <w:p w14:paraId="6B5BD6B4">
      <w:pPr>
        <w:pStyle w:val="207"/>
        <w:rPr>
          <w:rFonts w:hint="eastAsia" w:ascii="宋体" w:hAnsi="宋体" w:eastAsia="宋体" w:cs="宋体"/>
          <w:color w:val="000000"/>
          <w:sz w:val="21"/>
          <w:szCs w:val="21"/>
          <w:highlight w:val="none"/>
          <w:lang w:val="en-US" w:eastAsia="zh-CN" w:bidi="ar-SA"/>
        </w:rPr>
      </w:pPr>
    </w:p>
    <w:p w14:paraId="48C037B9">
      <w:pPr>
        <w:pStyle w:val="207"/>
        <w:rPr>
          <w:rFonts w:hint="eastAsia" w:ascii="宋体" w:hAnsi="宋体" w:eastAsia="宋体" w:cs="宋体"/>
          <w:color w:val="000000"/>
          <w:sz w:val="21"/>
          <w:szCs w:val="21"/>
          <w:highlight w:val="none"/>
          <w:lang w:val="en-US" w:eastAsia="zh-CN" w:bidi="ar-SA"/>
        </w:rPr>
      </w:pPr>
    </w:p>
    <w:p w14:paraId="4E7A68E3">
      <w:pPr>
        <w:pStyle w:val="207"/>
        <w:numPr>
          <w:ilvl w:val="0"/>
          <w:numId w:val="0"/>
        </w:numPr>
        <w:rPr>
          <w:rFonts w:hint="eastAsia" w:ascii="宋体" w:hAnsi="宋体" w:eastAsia="宋体" w:cs="宋体"/>
          <w:b/>
          <w:bCs/>
          <w:color w:val="000000"/>
          <w:sz w:val="21"/>
          <w:szCs w:val="21"/>
          <w:highlight w:val="none"/>
          <w:lang w:val="en-US" w:eastAsia="zh-CN" w:bidi="ar-SA"/>
        </w:rPr>
      </w:pPr>
      <w:r>
        <w:rPr>
          <w:rFonts w:hint="eastAsia" w:ascii="宋体" w:hAnsi="宋体" w:cs="宋体"/>
          <w:b/>
          <w:bCs/>
          <w:color w:val="000000"/>
          <w:sz w:val="21"/>
          <w:szCs w:val="21"/>
          <w:highlight w:val="none"/>
          <w:lang w:val="en-US" w:eastAsia="zh-CN" w:bidi="ar-SA"/>
        </w:rPr>
        <w:t>（二）物</w:t>
      </w:r>
      <w:r>
        <w:rPr>
          <w:rFonts w:hint="eastAsia" w:ascii="宋体" w:hAnsi="宋体" w:eastAsia="宋体" w:cs="宋体"/>
          <w:b/>
          <w:bCs/>
          <w:color w:val="000000"/>
          <w:sz w:val="21"/>
          <w:szCs w:val="21"/>
          <w:highlight w:val="none"/>
          <w:lang w:val="en-US" w:eastAsia="zh-CN" w:bidi="ar-SA"/>
        </w:rPr>
        <w:t>业2</w:t>
      </w:r>
      <w:r>
        <w:rPr>
          <w:rFonts w:hint="eastAsia" w:ascii="宋体" w:hAnsi="宋体" w:cs="宋体"/>
          <w:b/>
          <w:bCs/>
          <w:color w:val="000000"/>
          <w:sz w:val="21"/>
          <w:szCs w:val="21"/>
          <w:highlight w:val="none"/>
          <w:lang w:val="en-US" w:eastAsia="zh-CN" w:bidi="ar-SA"/>
        </w:rPr>
        <w:t>（桂林市交通枢纽指挥中心（鼎晟大厦））</w:t>
      </w:r>
      <w:r>
        <w:rPr>
          <w:rFonts w:hint="eastAsia" w:ascii="宋体" w:hAnsi="宋体" w:eastAsia="宋体" w:cs="宋体"/>
          <w:b/>
          <w:bCs/>
          <w:color w:val="000000"/>
          <w:sz w:val="21"/>
          <w:szCs w:val="21"/>
          <w:highlight w:val="none"/>
          <w:lang w:val="en-US" w:eastAsia="zh-CN" w:bidi="ar-SA"/>
        </w:rPr>
        <w:t>报价</w:t>
      </w:r>
    </w:p>
    <w:tbl>
      <w:tblPr>
        <w:tblStyle w:val="3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7"/>
        <w:gridCol w:w="7"/>
        <w:gridCol w:w="1531"/>
        <w:gridCol w:w="2122"/>
        <w:gridCol w:w="1963"/>
        <w:gridCol w:w="6"/>
        <w:gridCol w:w="14"/>
        <w:gridCol w:w="1573"/>
        <w:gridCol w:w="128"/>
        <w:gridCol w:w="15"/>
        <w:gridCol w:w="1418"/>
      </w:tblGrid>
      <w:tr w14:paraId="6BD7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64" w:type="dxa"/>
            <w:gridSpan w:val="12"/>
            <w:tcBorders>
              <w:top w:val="single" w:color="auto" w:sz="4" w:space="0"/>
              <w:left w:val="single" w:color="auto" w:sz="4" w:space="0"/>
              <w:bottom w:val="single" w:color="auto" w:sz="4" w:space="0"/>
              <w:right w:val="single" w:color="auto" w:sz="4" w:space="0"/>
            </w:tcBorders>
            <w:noWrap w:val="0"/>
            <w:vAlign w:val="center"/>
          </w:tcPr>
          <w:p w14:paraId="31678534">
            <w:pPr>
              <w:widowControl/>
              <w:rPr>
                <w:rFonts w:ascii="宋体" w:hAnsi="宋体" w:cs="宋体"/>
                <w:b/>
                <w:color w:val="auto"/>
                <w:szCs w:val="21"/>
                <w:highlight w:val="none"/>
              </w:rPr>
            </w:pPr>
            <w:r>
              <w:rPr>
                <w:rFonts w:hint="eastAsia" w:ascii="宋体" w:hAnsi="宋体" w:cs="宋体"/>
                <w:b/>
                <w:color w:val="auto"/>
                <w:szCs w:val="21"/>
                <w:highlight w:val="none"/>
              </w:rPr>
              <w:t>一、服务人员基本工资费用：</w:t>
            </w:r>
          </w:p>
        </w:tc>
      </w:tr>
      <w:tr w14:paraId="3312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32F018B2">
            <w:pPr>
              <w:widowControl/>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69F0032C">
            <w:pPr>
              <w:widowControl/>
              <w:jc w:val="center"/>
              <w:rPr>
                <w:rFonts w:ascii="宋体" w:hAnsi="宋体" w:cs="宋体"/>
                <w:b/>
                <w:color w:val="auto"/>
                <w:szCs w:val="21"/>
                <w:highlight w:val="none"/>
              </w:rPr>
            </w:pPr>
            <w:r>
              <w:rPr>
                <w:rFonts w:hint="eastAsia" w:ascii="宋体" w:hAnsi="宋体" w:cs="宋体"/>
                <w:b/>
                <w:color w:val="auto"/>
                <w:szCs w:val="21"/>
                <w:highlight w:val="none"/>
              </w:rPr>
              <w:t>科目类别</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20F9986F">
            <w:pPr>
              <w:widowControl/>
              <w:jc w:val="center"/>
              <w:rPr>
                <w:rFonts w:ascii="宋体" w:hAnsi="宋体" w:cs="宋体"/>
                <w:b/>
                <w:color w:val="auto"/>
                <w:szCs w:val="21"/>
                <w:highlight w:val="none"/>
              </w:rPr>
            </w:pPr>
            <w:r>
              <w:rPr>
                <w:rFonts w:hint="eastAsia" w:ascii="宋体" w:hAnsi="宋体" w:cs="宋体"/>
                <w:b/>
                <w:color w:val="auto"/>
                <w:szCs w:val="21"/>
                <w:highlight w:val="none"/>
              </w:rPr>
              <w:t>测算依据</w:t>
            </w:r>
          </w:p>
        </w:tc>
        <w:tc>
          <w:tcPr>
            <w:tcW w:w="1983" w:type="dxa"/>
            <w:gridSpan w:val="3"/>
            <w:tcBorders>
              <w:top w:val="single" w:color="auto" w:sz="4" w:space="0"/>
              <w:left w:val="single" w:color="auto" w:sz="4" w:space="0"/>
              <w:bottom w:val="single" w:color="auto" w:sz="4" w:space="0"/>
              <w:right w:val="single" w:color="auto" w:sz="4" w:space="0"/>
            </w:tcBorders>
            <w:noWrap w:val="0"/>
            <w:vAlign w:val="center"/>
          </w:tcPr>
          <w:p w14:paraId="6AF426B5">
            <w:pPr>
              <w:widowControl/>
              <w:jc w:val="center"/>
              <w:rPr>
                <w:rFonts w:ascii="宋体" w:hAnsi="宋体" w:cs="宋体"/>
                <w:b/>
                <w:color w:val="auto"/>
                <w:szCs w:val="21"/>
                <w:highlight w:val="none"/>
              </w:rPr>
            </w:pPr>
            <w:r>
              <w:rPr>
                <w:rFonts w:hint="eastAsia" w:ascii="宋体" w:hAnsi="宋体" w:cs="宋体"/>
                <w:b/>
                <w:color w:val="auto"/>
                <w:szCs w:val="21"/>
                <w:highlight w:val="none"/>
              </w:rPr>
              <w:t>单人单月费用</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2605C779">
            <w:pPr>
              <w:widowControl/>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rPr>
              <w:t>合计</w:t>
            </w:r>
            <w:r>
              <w:rPr>
                <w:rFonts w:hint="eastAsia"/>
                <w:color w:val="auto"/>
                <w:lang w:val="en-US" w:eastAsia="zh-CN"/>
              </w:rPr>
              <w:t>费用</w:t>
            </w:r>
          </w:p>
        </w:tc>
        <w:tc>
          <w:tcPr>
            <w:tcW w:w="1433" w:type="dxa"/>
            <w:gridSpan w:val="2"/>
            <w:tcBorders>
              <w:top w:val="single" w:color="auto" w:sz="4" w:space="0"/>
              <w:left w:val="single" w:color="auto" w:sz="4" w:space="0"/>
              <w:bottom w:val="single" w:color="auto" w:sz="4" w:space="0"/>
              <w:right w:val="single" w:color="auto" w:sz="4" w:space="0"/>
            </w:tcBorders>
            <w:noWrap w:val="0"/>
            <w:vAlign w:val="center"/>
          </w:tcPr>
          <w:p w14:paraId="4CFAC279">
            <w:pPr>
              <w:widowControl/>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5260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3F8D048A">
            <w:pPr>
              <w:widowControl/>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66BFF8B2">
            <w:pPr>
              <w:jc w:val="center"/>
              <w:rPr>
                <w:rFonts w:ascii="宋体" w:hAnsi="宋体" w:cs="宋体"/>
                <w:b/>
                <w:bCs/>
                <w:color w:val="auto"/>
                <w:szCs w:val="21"/>
                <w:highlight w:val="none"/>
              </w:rPr>
            </w:pPr>
            <w:r>
              <w:rPr>
                <w:rFonts w:hint="eastAsia" w:ascii="宋体" w:hAnsi="宋体" w:cs="宋体"/>
                <w:b/>
                <w:bCs/>
                <w:color w:val="auto"/>
                <w:szCs w:val="21"/>
                <w:highlight w:val="none"/>
              </w:rPr>
              <w:t>服务人员工资</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1F2D28C9">
            <w:pPr>
              <w:jc w:val="center"/>
              <w:rPr>
                <w:rFonts w:ascii="宋体" w:hAnsi="宋体" w:cs="宋体"/>
                <w:color w:val="auto"/>
                <w:szCs w:val="21"/>
                <w:highlight w:val="none"/>
                <w:u w:val="single"/>
              </w:rPr>
            </w:pPr>
            <w:r>
              <w:rPr>
                <w:rFonts w:hint="eastAsia" w:ascii="宋体" w:hAnsi="宋体" w:cs="宋体"/>
                <w:b/>
                <w:color w:val="auto"/>
                <w:szCs w:val="21"/>
                <w:highlight w:val="none"/>
              </w:rPr>
              <w:t>工资标准 （元/月）不得低于广西壮族自治区桂林市区最新最低工资标准</w:t>
            </w:r>
          </w:p>
        </w:tc>
        <w:tc>
          <w:tcPr>
            <w:tcW w:w="1983" w:type="dxa"/>
            <w:gridSpan w:val="3"/>
            <w:tcBorders>
              <w:top w:val="single" w:color="auto" w:sz="4" w:space="0"/>
              <w:left w:val="single" w:color="auto" w:sz="4" w:space="0"/>
              <w:bottom w:val="single" w:color="auto" w:sz="4" w:space="0"/>
              <w:right w:val="single" w:color="auto" w:sz="4" w:space="0"/>
            </w:tcBorders>
            <w:noWrap w:val="0"/>
            <w:vAlign w:val="center"/>
          </w:tcPr>
          <w:p w14:paraId="6D9F3F07">
            <w:pPr>
              <w:jc w:val="center"/>
              <w:rPr>
                <w:rFonts w:ascii="宋体" w:hAnsi="宋体" w:cs="宋体"/>
                <w:color w:val="auto"/>
                <w:szCs w:val="21"/>
                <w:highlight w:val="none"/>
                <w:u w:val="single"/>
              </w:rPr>
            </w:pPr>
            <w:r>
              <w:rPr>
                <w:rFonts w:hint="eastAsia" w:ascii="宋体" w:hAnsi="宋体" w:cs="宋体"/>
                <w:color w:val="auto"/>
                <w:szCs w:val="21"/>
                <w:highlight w:val="none"/>
              </w:rPr>
              <w:t>元/人/月</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410A92AD">
            <w:pPr>
              <w:ind w:firstLine="422"/>
              <w:rPr>
                <w:rFonts w:ascii="宋体" w:hAnsi="宋体" w:cs="宋体"/>
                <w:b/>
                <w:color w:val="auto"/>
                <w:szCs w:val="21"/>
                <w:highlight w:val="none"/>
                <w:u w:val="single"/>
              </w:rPr>
            </w:pPr>
            <w:r>
              <w:rPr>
                <w:rFonts w:hint="eastAsia" w:ascii="宋体" w:hAnsi="宋体" w:cs="宋体"/>
                <w:b/>
                <w:color w:val="auto"/>
                <w:szCs w:val="21"/>
                <w:highlight w:val="none"/>
                <w:u w:val="single"/>
              </w:rPr>
              <w:t>按投标人承诺拟投入的总人数乘以</w:t>
            </w:r>
            <w:r>
              <w:rPr>
                <w:rFonts w:hint="eastAsia" w:ascii="宋体" w:hAnsi="宋体" w:cs="宋体"/>
                <w:b/>
                <w:color w:val="auto"/>
                <w:szCs w:val="21"/>
                <w:highlight w:val="none"/>
                <w:u w:val="single"/>
                <w:lang w:val="en-US" w:eastAsia="zh-CN"/>
              </w:rPr>
              <w:t>12</w:t>
            </w:r>
            <w:r>
              <w:rPr>
                <w:rFonts w:hint="eastAsia" w:ascii="宋体" w:hAnsi="宋体" w:cs="宋体"/>
                <w:b/>
                <w:color w:val="auto"/>
                <w:szCs w:val="21"/>
                <w:highlight w:val="none"/>
                <w:u w:val="single"/>
              </w:rPr>
              <w:t>个月</w:t>
            </w:r>
          </w:p>
          <w:p w14:paraId="389DD0D3">
            <w:pPr>
              <w:ind w:firstLine="422"/>
              <w:rPr>
                <w:rFonts w:ascii="宋体" w:hAnsi="宋体" w:cs="宋体"/>
                <w:color w:val="auto"/>
                <w:szCs w:val="21"/>
                <w:highlight w:val="none"/>
              </w:rPr>
            </w:pPr>
            <w:r>
              <w:rPr>
                <w:rFonts w:hint="eastAsia" w:ascii="宋体" w:hAnsi="宋体" w:cs="宋体"/>
                <w:b/>
                <w:color w:val="auto"/>
                <w:szCs w:val="21"/>
                <w:highlight w:val="none"/>
                <w:u w:val="single"/>
              </w:rPr>
              <w:t>合计：       元</w:t>
            </w:r>
          </w:p>
        </w:tc>
        <w:tc>
          <w:tcPr>
            <w:tcW w:w="1433" w:type="dxa"/>
            <w:gridSpan w:val="2"/>
            <w:tcBorders>
              <w:top w:val="single" w:color="auto" w:sz="4" w:space="0"/>
              <w:left w:val="single" w:color="auto" w:sz="4" w:space="0"/>
              <w:bottom w:val="single" w:color="auto" w:sz="4" w:space="0"/>
              <w:right w:val="single" w:color="auto" w:sz="4" w:space="0"/>
            </w:tcBorders>
            <w:noWrap w:val="0"/>
            <w:vAlign w:val="center"/>
          </w:tcPr>
          <w:p w14:paraId="578464D0">
            <w:pPr>
              <w:rPr>
                <w:rFonts w:ascii="宋体" w:hAnsi="宋体" w:cs="宋体"/>
                <w:b/>
                <w:color w:val="auto"/>
                <w:szCs w:val="21"/>
                <w:highlight w:val="none"/>
                <w:u w:val="single"/>
              </w:rPr>
            </w:pPr>
            <w:r>
              <w:rPr>
                <w:rFonts w:hint="eastAsia" w:ascii="宋体" w:hAnsi="宋体" w:cs="宋体"/>
                <w:b/>
                <w:color w:val="auto"/>
                <w:szCs w:val="21"/>
                <w:highlight w:val="none"/>
              </w:rPr>
              <w:t>按投标人承诺拟投入的总人数乘以</w:t>
            </w:r>
            <w:r>
              <w:rPr>
                <w:rFonts w:hint="eastAsia" w:ascii="宋体" w:hAnsi="宋体" w:cs="宋体"/>
                <w:b/>
                <w:color w:val="auto"/>
                <w:szCs w:val="21"/>
                <w:highlight w:val="none"/>
                <w:lang w:val="en-US" w:eastAsia="zh-CN"/>
              </w:rPr>
              <w:t>12</w:t>
            </w:r>
            <w:r>
              <w:rPr>
                <w:rFonts w:hint="eastAsia" w:ascii="宋体" w:hAnsi="宋体" w:cs="宋体"/>
                <w:b/>
                <w:color w:val="auto"/>
                <w:szCs w:val="21"/>
                <w:highlight w:val="none"/>
              </w:rPr>
              <w:t>个月为计算标准</w:t>
            </w:r>
          </w:p>
        </w:tc>
      </w:tr>
      <w:tr w14:paraId="2BEF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464" w:type="dxa"/>
            <w:gridSpan w:val="12"/>
            <w:tcBorders>
              <w:top w:val="single" w:color="auto" w:sz="4" w:space="0"/>
              <w:left w:val="single" w:color="auto" w:sz="4" w:space="0"/>
              <w:bottom w:val="single" w:color="auto" w:sz="4" w:space="0"/>
              <w:right w:val="single" w:color="auto" w:sz="4" w:space="0"/>
            </w:tcBorders>
            <w:noWrap w:val="0"/>
            <w:vAlign w:val="center"/>
          </w:tcPr>
          <w:p w14:paraId="261BA479">
            <w:pPr>
              <w:jc w:val="left"/>
              <w:rPr>
                <w:rFonts w:ascii="宋体" w:hAnsi="宋体" w:cs="宋体"/>
                <w:color w:val="auto"/>
                <w:szCs w:val="21"/>
                <w:highlight w:val="none"/>
              </w:rPr>
            </w:pPr>
            <w:r>
              <w:rPr>
                <w:rFonts w:hint="eastAsia" w:ascii="宋体" w:hAnsi="宋体" w:cs="宋体"/>
                <w:b/>
                <w:color w:val="auto"/>
                <w:szCs w:val="21"/>
                <w:highlight w:val="none"/>
              </w:rPr>
              <w:t>二、服务人员社会保险及公积金费用：</w:t>
            </w:r>
          </w:p>
        </w:tc>
      </w:tr>
      <w:tr w14:paraId="0F2C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35A84E0A">
            <w:pPr>
              <w:widowControl/>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76DCF4D2">
            <w:pPr>
              <w:widowControl/>
              <w:jc w:val="center"/>
              <w:rPr>
                <w:rFonts w:ascii="宋体" w:hAnsi="宋体" w:cs="宋体"/>
                <w:b/>
                <w:color w:val="auto"/>
                <w:szCs w:val="21"/>
                <w:highlight w:val="none"/>
              </w:rPr>
            </w:pPr>
            <w:r>
              <w:rPr>
                <w:rFonts w:hint="eastAsia" w:ascii="宋体" w:hAnsi="宋体" w:cs="宋体"/>
                <w:b/>
                <w:color w:val="auto"/>
                <w:szCs w:val="21"/>
                <w:highlight w:val="none"/>
              </w:rPr>
              <w:t>科目类别</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58EC0F54">
            <w:pPr>
              <w:widowControl/>
              <w:jc w:val="center"/>
              <w:rPr>
                <w:rFonts w:ascii="宋体" w:hAnsi="宋体" w:cs="宋体"/>
                <w:b/>
                <w:color w:val="auto"/>
                <w:szCs w:val="21"/>
                <w:highlight w:val="none"/>
              </w:rPr>
            </w:pPr>
            <w:r>
              <w:rPr>
                <w:rFonts w:hint="eastAsia" w:ascii="宋体" w:hAnsi="宋体" w:cs="宋体"/>
                <w:b/>
                <w:color w:val="auto"/>
                <w:szCs w:val="21"/>
                <w:highlight w:val="none"/>
              </w:rPr>
              <w:t>测算依据</w:t>
            </w:r>
          </w:p>
        </w:tc>
        <w:tc>
          <w:tcPr>
            <w:tcW w:w="1969" w:type="dxa"/>
            <w:gridSpan w:val="2"/>
            <w:tcBorders>
              <w:top w:val="single" w:color="auto" w:sz="4" w:space="0"/>
              <w:left w:val="single" w:color="auto" w:sz="4" w:space="0"/>
              <w:bottom w:val="single" w:color="auto" w:sz="4" w:space="0"/>
              <w:right w:val="single" w:color="auto" w:sz="4" w:space="0"/>
            </w:tcBorders>
            <w:noWrap w:val="0"/>
            <w:vAlign w:val="center"/>
          </w:tcPr>
          <w:p w14:paraId="17D5AE70">
            <w:pPr>
              <w:widowControl/>
              <w:jc w:val="center"/>
              <w:rPr>
                <w:rFonts w:ascii="宋体" w:hAnsi="宋体" w:cs="宋体"/>
                <w:b/>
                <w:color w:val="auto"/>
                <w:szCs w:val="21"/>
                <w:highlight w:val="none"/>
              </w:rPr>
            </w:pPr>
            <w:r>
              <w:rPr>
                <w:rFonts w:hint="eastAsia" w:ascii="宋体" w:hAnsi="宋体" w:cs="宋体"/>
                <w:b/>
                <w:color w:val="auto"/>
                <w:szCs w:val="21"/>
                <w:highlight w:val="none"/>
              </w:rPr>
              <w:t>单人单月费用</w:t>
            </w:r>
          </w:p>
        </w:tc>
        <w:tc>
          <w:tcPr>
            <w:tcW w:w="1715" w:type="dxa"/>
            <w:gridSpan w:val="3"/>
            <w:tcBorders>
              <w:top w:val="single" w:color="auto" w:sz="4" w:space="0"/>
              <w:left w:val="single" w:color="auto" w:sz="4" w:space="0"/>
              <w:bottom w:val="single" w:color="auto" w:sz="4" w:space="0"/>
              <w:right w:val="single" w:color="auto" w:sz="4" w:space="0"/>
            </w:tcBorders>
            <w:noWrap w:val="0"/>
            <w:vAlign w:val="center"/>
          </w:tcPr>
          <w:p w14:paraId="79FFC95A">
            <w:pPr>
              <w:widowControl/>
              <w:jc w:val="center"/>
              <w:rPr>
                <w:rFonts w:ascii="宋体" w:hAnsi="宋体" w:cs="宋体"/>
                <w:b/>
                <w:color w:val="auto"/>
                <w:szCs w:val="21"/>
                <w:highlight w:val="none"/>
              </w:rPr>
            </w:pPr>
            <w:r>
              <w:rPr>
                <w:rFonts w:hint="eastAsia" w:ascii="宋体" w:hAnsi="宋体" w:cs="宋体"/>
                <w:b/>
                <w:color w:val="auto"/>
                <w:szCs w:val="21"/>
                <w:highlight w:val="none"/>
              </w:rPr>
              <w:t>合计费用</w:t>
            </w:r>
          </w:p>
        </w:tc>
        <w:tc>
          <w:tcPr>
            <w:tcW w:w="1433" w:type="dxa"/>
            <w:gridSpan w:val="2"/>
            <w:tcBorders>
              <w:top w:val="single" w:color="auto" w:sz="4" w:space="0"/>
              <w:left w:val="single" w:color="auto" w:sz="4" w:space="0"/>
              <w:bottom w:val="single" w:color="auto" w:sz="4" w:space="0"/>
              <w:right w:val="single" w:color="auto" w:sz="4" w:space="0"/>
            </w:tcBorders>
            <w:noWrap w:val="0"/>
            <w:vAlign w:val="center"/>
          </w:tcPr>
          <w:p w14:paraId="335640C6">
            <w:pPr>
              <w:widowControl/>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21F5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2DD2038B">
            <w:pPr>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60E64EC4">
            <w:pPr>
              <w:jc w:val="center"/>
              <w:rPr>
                <w:rFonts w:ascii="宋体" w:hAnsi="宋体" w:cs="宋体"/>
                <w:b/>
                <w:color w:val="auto"/>
                <w:szCs w:val="21"/>
                <w:highlight w:val="none"/>
              </w:rPr>
            </w:pPr>
            <w:r>
              <w:rPr>
                <w:rFonts w:hint="eastAsia" w:ascii="宋体" w:hAnsi="宋体" w:cs="宋体"/>
                <w:b/>
                <w:color w:val="auto"/>
                <w:szCs w:val="21"/>
                <w:highlight w:val="none"/>
              </w:rPr>
              <w:t>社会保险费（含养老保险，失业保险，工伤保险，医疗</w:t>
            </w:r>
            <w:r>
              <w:rPr>
                <w:rFonts w:hint="eastAsia" w:ascii="宋体" w:hAnsi="宋体" w:cs="宋体"/>
                <w:b/>
                <w:color w:val="auto"/>
                <w:szCs w:val="21"/>
                <w:highlight w:val="none"/>
                <w:lang w:eastAsia="zh-CN"/>
              </w:rPr>
              <w:t>（含</w:t>
            </w:r>
            <w:r>
              <w:rPr>
                <w:rFonts w:hint="eastAsia" w:ascii="宋体" w:hAnsi="宋体" w:cs="宋体"/>
                <w:b/>
                <w:color w:val="auto"/>
                <w:szCs w:val="21"/>
                <w:highlight w:val="none"/>
              </w:rPr>
              <w:t>生育</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保险</w:t>
            </w:r>
            <w:r>
              <w:rPr>
                <w:rFonts w:hint="eastAsia" w:ascii="宋体" w:hAnsi="宋体" w:cs="宋体"/>
                <w:b/>
                <w:color w:val="auto"/>
                <w:szCs w:val="21"/>
                <w:highlight w:val="none"/>
                <w:lang w:eastAsia="zh-CN"/>
              </w:rPr>
              <w:t>）</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44E6FD59">
            <w:pPr>
              <w:jc w:val="center"/>
              <w:rPr>
                <w:rFonts w:ascii="宋体" w:hAnsi="宋体" w:cs="宋体"/>
                <w:b/>
                <w:color w:val="auto"/>
                <w:szCs w:val="21"/>
                <w:highlight w:val="none"/>
              </w:rPr>
            </w:pPr>
            <w:r>
              <w:rPr>
                <w:rFonts w:hint="eastAsia" w:ascii="宋体" w:hAnsi="宋体" w:cs="宋体"/>
                <w:b/>
                <w:color w:val="auto"/>
                <w:szCs w:val="21"/>
                <w:highlight w:val="none"/>
              </w:rPr>
              <w:t>按当年国家现行规定及地区现行规定执行（如国家基数有调整则按其执行）</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2C16A2DC">
            <w:pPr>
              <w:jc w:val="center"/>
              <w:rPr>
                <w:rFonts w:ascii="宋体" w:hAnsi="宋体" w:cs="宋体"/>
                <w:color w:val="auto"/>
                <w:szCs w:val="21"/>
                <w:highlight w:val="none"/>
                <w:u w:val="single"/>
              </w:rPr>
            </w:pPr>
            <w:r>
              <w:rPr>
                <w:rFonts w:hint="eastAsia" w:ascii="宋体" w:hAnsi="宋体" w:cs="宋体"/>
                <w:color w:val="auto"/>
                <w:szCs w:val="21"/>
                <w:highlight w:val="none"/>
              </w:rPr>
              <w:t>元/人/月</w:t>
            </w:r>
          </w:p>
        </w:tc>
        <w:tc>
          <w:tcPr>
            <w:tcW w:w="1721" w:type="dxa"/>
            <w:gridSpan w:val="4"/>
            <w:tcBorders>
              <w:top w:val="single" w:color="auto" w:sz="4" w:space="0"/>
              <w:left w:val="single" w:color="auto" w:sz="4" w:space="0"/>
              <w:bottom w:val="single" w:color="auto" w:sz="4" w:space="0"/>
              <w:right w:val="single" w:color="auto" w:sz="4" w:space="0"/>
            </w:tcBorders>
            <w:noWrap w:val="0"/>
            <w:vAlign w:val="center"/>
          </w:tcPr>
          <w:p w14:paraId="5B14C118">
            <w:pPr>
              <w:jc w:val="center"/>
              <w:rPr>
                <w:rFonts w:ascii="宋体" w:hAnsi="宋体" w:cs="宋体"/>
                <w:b/>
                <w:color w:val="auto"/>
                <w:szCs w:val="21"/>
                <w:highlight w:val="none"/>
                <w:u w:val="single"/>
              </w:rPr>
            </w:pPr>
            <w:r>
              <w:rPr>
                <w:rFonts w:hint="eastAsia" w:ascii="宋体" w:hAnsi="宋体" w:cs="宋体"/>
                <w:b/>
                <w:color w:val="auto"/>
                <w:szCs w:val="21"/>
                <w:highlight w:val="none"/>
                <w:u w:val="single"/>
              </w:rPr>
              <w:t>按投标人承诺拟投入的总人数乘以</w:t>
            </w:r>
            <w:r>
              <w:rPr>
                <w:rFonts w:hint="eastAsia" w:ascii="宋体" w:hAnsi="宋体" w:cs="宋体"/>
                <w:b/>
                <w:color w:val="auto"/>
                <w:szCs w:val="21"/>
                <w:highlight w:val="none"/>
                <w:u w:val="single"/>
                <w:lang w:val="en-US" w:eastAsia="zh-CN"/>
              </w:rPr>
              <w:t>12</w:t>
            </w:r>
            <w:r>
              <w:rPr>
                <w:rFonts w:hint="eastAsia" w:ascii="宋体" w:hAnsi="宋体" w:cs="宋体"/>
                <w:b/>
                <w:color w:val="auto"/>
                <w:szCs w:val="21"/>
                <w:highlight w:val="none"/>
                <w:u w:val="single"/>
              </w:rPr>
              <w:t>个月</w:t>
            </w:r>
          </w:p>
          <w:p w14:paraId="09BD6F9D">
            <w:pPr>
              <w:ind w:firstLine="422"/>
              <w:jc w:val="center"/>
              <w:rPr>
                <w:rFonts w:ascii="宋体" w:hAnsi="宋体" w:cs="宋体"/>
                <w:color w:val="auto"/>
                <w:szCs w:val="21"/>
                <w:highlight w:val="none"/>
              </w:rPr>
            </w:pPr>
            <w:r>
              <w:rPr>
                <w:rFonts w:hint="eastAsia" w:ascii="宋体" w:hAnsi="宋体" w:cs="宋体"/>
                <w:b/>
                <w:color w:val="auto"/>
                <w:szCs w:val="21"/>
                <w:highlight w:val="none"/>
                <w:u w:val="single"/>
              </w:rPr>
              <w:t>合计：       元</w:t>
            </w:r>
          </w:p>
        </w:tc>
        <w:tc>
          <w:tcPr>
            <w:tcW w:w="1433" w:type="dxa"/>
            <w:gridSpan w:val="2"/>
            <w:tcBorders>
              <w:top w:val="single" w:color="auto" w:sz="4" w:space="0"/>
              <w:left w:val="single" w:color="auto" w:sz="4" w:space="0"/>
              <w:bottom w:val="single" w:color="auto" w:sz="4" w:space="0"/>
              <w:right w:val="single" w:color="auto" w:sz="4" w:space="0"/>
            </w:tcBorders>
            <w:noWrap w:val="0"/>
            <w:vAlign w:val="center"/>
          </w:tcPr>
          <w:p w14:paraId="5F8E71D9">
            <w:pPr>
              <w:jc w:val="center"/>
              <w:rPr>
                <w:rFonts w:ascii="宋体" w:hAnsi="宋体" w:cs="宋体"/>
                <w:b/>
                <w:color w:val="auto"/>
                <w:szCs w:val="21"/>
                <w:highlight w:val="none"/>
              </w:rPr>
            </w:pPr>
            <w:r>
              <w:rPr>
                <w:rFonts w:hint="eastAsia" w:ascii="宋体" w:hAnsi="宋体" w:cs="宋体"/>
                <w:b/>
                <w:color w:val="auto"/>
                <w:szCs w:val="21"/>
                <w:highlight w:val="none"/>
              </w:rPr>
              <w:t>按投标人承诺拟投入的总人数乘以</w:t>
            </w:r>
            <w:r>
              <w:rPr>
                <w:rFonts w:hint="eastAsia" w:ascii="宋体" w:hAnsi="宋体" w:cs="宋体"/>
                <w:b/>
                <w:color w:val="auto"/>
                <w:szCs w:val="21"/>
                <w:highlight w:val="none"/>
                <w:lang w:val="en-US" w:eastAsia="zh-CN"/>
              </w:rPr>
              <w:t>12</w:t>
            </w:r>
            <w:r>
              <w:rPr>
                <w:rFonts w:hint="eastAsia" w:ascii="宋体" w:hAnsi="宋体" w:cs="宋体"/>
                <w:b/>
                <w:color w:val="auto"/>
                <w:szCs w:val="21"/>
                <w:highlight w:val="none"/>
              </w:rPr>
              <w:t>个月为计算标准</w:t>
            </w:r>
          </w:p>
        </w:tc>
      </w:tr>
      <w:tr w14:paraId="4C84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44908240">
            <w:pPr>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11E3AED3">
            <w:pPr>
              <w:jc w:val="center"/>
              <w:rPr>
                <w:rFonts w:ascii="宋体" w:hAnsi="宋体" w:cs="宋体"/>
                <w:b/>
                <w:color w:val="auto"/>
                <w:szCs w:val="21"/>
                <w:highlight w:val="none"/>
              </w:rPr>
            </w:pPr>
            <w:r>
              <w:rPr>
                <w:rFonts w:hint="eastAsia" w:ascii="宋体" w:hAnsi="宋体" w:cs="宋体"/>
                <w:b/>
                <w:color w:val="auto"/>
                <w:szCs w:val="21"/>
                <w:highlight w:val="none"/>
              </w:rPr>
              <w:t>公积金</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7DC3EAC3">
            <w:pPr>
              <w:jc w:val="center"/>
              <w:rPr>
                <w:rFonts w:ascii="宋体" w:hAnsi="宋体" w:cs="宋体"/>
                <w:b/>
                <w:color w:val="auto"/>
                <w:szCs w:val="21"/>
                <w:highlight w:val="none"/>
              </w:rPr>
            </w:pPr>
            <w:r>
              <w:rPr>
                <w:rFonts w:hint="eastAsia" w:ascii="宋体" w:hAnsi="宋体" w:cs="宋体"/>
                <w:b/>
                <w:color w:val="auto"/>
                <w:szCs w:val="21"/>
                <w:highlight w:val="none"/>
              </w:rPr>
              <w:t>按当年国家现行规定及地区现行规定执行（如国家基数有调整则按其执行）</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06AB9776">
            <w:pPr>
              <w:jc w:val="center"/>
              <w:rPr>
                <w:rFonts w:ascii="宋体" w:hAnsi="宋体" w:cs="宋体"/>
                <w:color w:val="auto"/>
                <w:szCs w:val="21"/>
                <w:highlight w:val="none"/>
              </w:rPr>
            </w:pPr>
            <w:r>
              <w:rPr>
                <w:rFonts w:hint="eastAsia" w:ascii="宋体" w:hAnsi="宋体" w:cs="宋体"/>
                <w:color w:val="auto"/>
                <w:szCs w:val="21"/>
                <w:highlight w:val="none"/>
              </w:rPr>
              <w:t>元/人/月</w:t>
            </w:r>
          </w:p>
        </w:tc>
        <w:tc>
          <w:tcPr>
            <w:tcW w:w="1721" w:type="dxa"/>
            <w:gridSpan w:val="4"/>
            <w:tcBorders>
              <w:top w:val="single" w:color="auto" w:sz="4" w:space="0"/>
              <w:left w:val="single" w:color="auto" w:sz="4" w:space="0"/>
              <w:bottom w:val="single" w:color="auto" w:sz="4" w:space="0"/>
              <w:right w:val="single" w:color="auto" w:sz="4" w:space="0"/>
            </w:tcBorders>
            <w:noWrap w:val="0"/>
            <w:vAlign w:val="center"/>
          </w:tcPr>
          <w:p w14:paraId="7B60CCA5">
            <w:pPr>
              <w:jc w:val="center"/>
              <w:rPr>
                <w:rFonts w:ascii="宋体" w:hAnsi="宋体" w:cs="宋体"/>
                <w:b/>
                <w:color w:val="auto"/>
                <w:szCs w:val="21"/>
                <w:highlight w:val="none"/>
                <w:u w:val="single"/>
              </w:rPr>
            </w:pPr>
            <w:r>
              <w:rPr>
                <w:rFonts w:hint="eastAsia" w:ascii="宋体" w:hAnsi="宋体" w:cs="宋体"/>
                <w:b/>
                <w:color w:val="auto"/>
                <w:szCs w:val="21"/>
                <w:highlight w:val="none"/>
                <w:u w:val="single"/>
              </w:rPr>
              <w:t>按投标人承诺拟投入的总人数乘以</w:t>
            </w:r>
            <w:r>
              <w:rPr>
                <w:rFonts w:hint="eastAsia" w:ascii="宋体" w:hAnsi="宋体" w:cs="宋体"/>
                <w:b/>
                <w:color w:val="auto"/>
                <w:szCs w:val="21"/>
                <w:highlight w:val="none"/>
                <w:u w:val="single"/>
                <w:lang w:val="en-US" w:eastAsia="zh-CN"/>
              </w:rPr>
              <w:t>12</w:t>
            </w:r>
            <w:r>
              <w:rPr>
                <w:rFonts w:hint="eastAsia" w:ascii="宋体" w:hAnsi="宋体" w:cs="宋体"/>
                <w:b/>
                <w:color w:val="auto"/>
                <w:szCs w:val="21"/>
                <w:highlight w:val="none"/>
                <w:u w:val="single"/>
              </w:rPr>
              <w:t>个月</w:t>
            </w:r>
          </w:p>
          <w:p w14:paraId="2C28CE2A">
            <w:pPr>
              <w:ind w:firstLine="422"/>
              <w:jc w:val="center"/>
              <w:rPr>
                <w:rFonts w:ascii="宋体" w:hAnsi="宋体" w:cs="宋体"/>
                <w:b/>
                <w:color w:val="auto"/>
                <w:szCs w:val="21"/>
                <w:highlight w:val="none"/>
                <w:u w:val="single"/>
              </w:rPr>
            </w:pPr>
            <w:r>
              <w:rPr>
                <w:rFonts w:hint="eastAsia" w:ascii="宋体" w:hAnsi="宋体" w:cs="宋体"/>
                <w:b/>
                <w:color w:val="auto"/>
                <w:szCs w:val="21"/>
                <w:highlight w:val="none"/>
                <w:u w:val="single"/>
              </w:rPr>
              <w:t>合计：       元</w:t>
            </w:r>
          </w:p>
        </w:tc>
        <w:tc>
          <w:tcPr>
            <w:tcW w:w="1433" w:type="dxa"/>
            <w:gridSpan w:val="2"/>
            <w:tcBorders>
              <w:top w:val="single" w:color="auto" w:sz="4" w:space="0"/>
              <w:left w:val="single" w:color="auto" w:sz="4" w:space="0"/>
              <w:bottom w:val="single" w:color="auto" w:sz="4" w:space="0"/>
              <w:right w:val="single" w:color="auto" w:sz="4" w:space="0"/>
            </w:tcBorders>
            <w:noWrap w:val="0"/>
            <w:vAlign w:val="center"/>
          </w:tcPr>
          <w:p w14:paraId="59C77271">
            <w:pPr>
              <w:jc w:val="center"/>
              <w:rPr>
                <w:rFonts w:ascii="宋体" w:hAnsi="宋体" w:cs="宋体"/>
                <w:b/>
                <w:color w:val="auto"/>
                <w:szCs w:val="21"/>
                <w:highlight w:val="none"/>
              </w:rPr>
            </w:pPr>
            <w:r>
              <w:rPr>
                <w:rFonts w:hint="eastAsia" w:ascii="宋体" w:hAnsi="宋体" w:cs="宋体"/>
                <w:b/>
                <w:color w:val="auto"/>
                <w:szCs w:val="21"/>
                <w:highlight w:val="none"/>
              </w:rPr>
              <w:t>按投标人承诺拟投入的总人数乘以</w:t>
            </w:r>
            <w:r>
              <w:rPr>
                <w:rFonts w:hint="eastAsia" w:ascii="宋体" w:hAnsi="宋体" w:cs="宋体"/>
                <w:b/>
                <w:color w:val="auto"/>
                <w:szCs w:val="21"/>
                <w:highlight w:val="none"/>
                <w:lang w:val="en-US" w:eastAsia="zh-CN"/>
              </w:rPr>
              <w:t>12</w:t>
            </w:r>
            <w:r>
              <w:rPr>
                <w:rFonts w:hint="eastAsia" w:ascii="宋体" w:hAnsi="宋体" w:cs="宋体"/>
                <w:b/>
                <w:color w:val="auto"/>
                <w:szCs w:val="21"/>
                <w:highlight w:val="none"/>
              </w:rPr>
              <w:t>个月为计算标准</w:t>
            </w:r>
          </w:p>
        </w:tc>
      </w:tr>
      <w:tr w14:paraId="74BF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641F7BDC">
            <w:pPr>
              <w:jc w:val="center"/>
              <w:rPr>
                <w:rFonts w:hint="eastAsia" w:ascii="宋体" w:hAnsi="宋体" w:cs="宋体"/>
                <w:b/>
                <w:color w:val="auto"/>
                <w:szCs w:val="21"/>
                <w:highlight w:val="none"/>
              </w:rPr>
            </w:pPr>
            <w:r>
              <w:rPr>
                <w:rFonts w:hint="eastAsia" w:ascii="宋体" w:hAnsi="宋体" w:cs="宋体"/>
                <w:b/>
                <w:color w:val="auto"/>
                <w:szCs w:val="21"/>
                <w:highlight w:val="none"/>
              </w:rPr>
              <w:t>3</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6463E1B6">
            <w:pPr>
              <w:jc w:val="center"/>
              <w:rPr>
                <w:rFonts w:hint="eastAsia" w:ascii="宋体" w:hAnsi="宋体" w:cs="宋体"/>
                <w:b/>
                <w:color w:val="auto"/>
                <w:szCs w:val="21"/>
                <w:highlight w:val="none"/>
              </w:rPr>
            </w:pPr>
            <w:r>
              <w:rPr>
                <w:rFonts w:hint="eastAsia" w:ascii="宋体" w:hAnsi="宋体" w:cs="宋体"/>
                <w:b/>
                <w:color w:val="auto"/>
                <w:szCs w:val="21"/>
                <w:highlight w:val="none"/>
              </w:rPr>
              <w:t>残疾人保障金</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2EB21AC6">
            <w:pPr>
              <w:jc w:val="center"/>
              <w:rPr>
                <w:rFonts w:hint="eastAsia" w:ascii="宋体" w:hAnsi="宋体" w:cs="宋体"/>
                <w:b/>
                <w:color w:val="auto"/>
                <w:szCs w:val="21"/>
                <w:highlight w:val="none"/>
              </w:rPr>
            </w:pPr>
            <w:r>
              <w:rPr>
                <w:rFonts w:hint="eastAsia" w:ascii="宋体" w:hAnsi="宋体" w:cs="宋体"/>
                <w:b/>
                <w:color w:val="auto"/>
                <w:szCs w:val="21"/>
                <w:highlight w:val="none"/>
              </w:rPr>
              <w:t>按当年国家现行规定及地区现行规定执行（如国家基数有调整则按其执行）</w:t>
            </w:r>
          </w:p>
        </w:tc>
        <w:tc>
          <w:tcPr>
            <w:tcW w:w="1963" w:type="dxa"/>
            <w:tcBorders>
              <w:top w:val="single" w:color="auto" w:sz="4" w:space="0"/>
              <w:left w:val="single" w:color="auto" w:sz="4" w:space="0"/>
              <w:bottom w:val="single" w:color="auto" w:sz="4" w:space="0"/>
              <w:right w:val="single" w:color="auto" w:sz="4" w:space="0"/>
            </w:tcBorders>
            <w:noWrap w:val="0"/>
            <w:vAlign w:val="center"/>
          </w:tcPr>
          <w:p w14:paraId="5E41D73B">
            <w:pPr>
              <w:jc w:val="center"/>
              <w:rPr>
                <w:rFonts w:hint="eastAsia" w:ascii="宋体" w:hAnsi="宋体" w:cs="宋体"/>
                <w:color w:val="auto"/>
                <w:szCs w:val="21"/>
                <w:highlight w:val="none"/>
              </w:rPr>
            </w:pPr>
          </w:p>
        </w:tc>
        <w:tc>
          <w:tcPr>
            <w:tcW w:w="1721" w:type="dxa"/>
            <w:gridSpan w:val="4"/>
            <w:tcBorders>
              <w:top w:val="single" w:color="auto" w:sz="4" w:space="0"/>
              <w:left w:val="single" w:color="auto" w:sz="4" w:space="0"/>
              <w:bottom w:val="single" w:color="auto" w:sz="4" w:space="0"/>
              <w:right w:val="single" w:color="auto" w:sz="4" w:space="0"/>
            </w:tcBorders>
            <w:noWrap w:val="0"/>
            <w:vAlign w:val="center"/>
          </w:tcPr>
          <w:p w14:paraId="1F919F84">
            <w:pPr>
              <w:ind w:firstLine="422"/>
              <w:jc w:val="center"/>
              <w:rPr>
                <w:rFonts w:hint="eastAsia" w:ascii="宋体" w:hAnsi="宋体" w:cs="宋体"/>
                <w:b/>
                <w:color w:val="auto"/>
                <w:szCs w:val="21"/>
                <w:highlight w:val="none"/>
                <w:u w:val="single"/>
              </w:rPr>
            </w:pPr>
            <w:r>
              <w:rPr>
                <w:rFonts w:hint="eastAsia" w:ascii="宋体" w:hAnsi="宋体" w:cs="宋体"/>
                <w:b/>
                <w:color w:val="auto"/>
                <w:szCs w:val="21"/>
                <w:highlight w:val="none"/>
              </w:rPr>
              <w:t>元</w:t>
            </w:r>
          </w:p>
        </w:tc>
        <w:tc>
          <w:tcPr>
            <w:tcW w:w="1433" w:type="dxa"/>
            <w:gridSpan w:val="2"/>
            <w:tcBorders>
              <w:top w:val="single" w:color="auto" w:sz="4" w:space="0"/>
              <w:left w:val="single" w:color="auto" w:sz="4" w:space="0"/>
              <w:bottom w:val="single" w:color="auto" w:sz="4" w:space="0"/>
              <w:right w:val="single" w:color="auto" w:sz="4" w:space="0"/>
            </w:tcBorders>
            <w:noWrap w:val="0"/>
            <w:vAlign w:val="center"/>
          </w:tcPr>
          <w:p w14:paraId="4F781702">
            <w:pPr>
              <w:jc w:val="center"/>
              <w:rPr>
                <w:rFonts w:hint="eastAsia" w:ascii="宋体" w:hAnsi="宋体" w:cs="宋体"/>
                <w:b/>
                <w:color w:val="auto"/>
                <w:szCs w:val="21"/>
                <w:highlight w:val="none"/>
              </w:rPr>
            </w:pPr>
            <w:r>
              <w:rPr>
                <w:rFonts w:hint="eastAsia" w:ascii="宋体" w:hAnsi="宋体" w:cs="宋体"/>
                <w:b/>
                <w:color w:val="auto"/>
                <w:szCs w:val="21"/>
                <w:highlight w:val="none"/>
              </w:rPr>
              <w:t>按投标人承诺拟投入的总人数乘以</w:t>
            </w:r>
            <w:r>
              <w:rPr>
                <w:rFonts w:hint="eastAsia" w:ascii="宋体" w:hAnsi="宋体" w:cs="宋体"/>
                <w:b/>
                <w:color w:val="auto"/>
                <w:szCs w:val="21"/>
                <w:highlight w:val="none"/>
                <w:lang w:val="en-US" w:eastAsia="zh-CN"/>
              </w:rPr>
              <w:t>12</w:t>
            </w:r>
            <w:r>
              <w:rPr>
                <w:rFonts w:hint="eastAsia" w:ascii="宋体" w:hAnsi="宋体" w:cs="宋体"/>
                <w:b/>
                <w:color w:val="auto"/>
                <w:szCs w:val="21"/>
                <w:highlight w:val="none"/>
              </w:rPr>
              <w:t>个月为计算标准</w:t>
            </w:r>
          </w:p>
        </w:tc>
      </w:tr>
      <w:tr w14:paraId="3249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464" w:type="dxa"/>
            <w:gridSpan w:val="12"/>
            <w:tcBorders>
              <w:top w:val="single" w:color="auto" w:sz="4" w:space="0"/>
              <w:left w:val="single" w:color="auto" w:sz="4" w:space="0"/>
              <w:bottom w:val="single" w:color="auto" w:sz="4" w:space="0"/>
              <w:right w:val="single" w:color="auto" w:sz="4" w:space="0"/>
            </w:tcBorders>
            <w:noWrap w:val="0"/>
            <w:vAlign w:val="center"/>
          </w:tcPr>
          <w:p w14:paraId="42C93988">
            <w:pPr>
              <w:rPr>
                <w:rFonts w:ascii="宋体" w:hAnsi="宋体" w:cs="宋体"/>
                <w:color w:val="auto"/>
                <w:szCs w:val="21"/>
                <w:highlight w:val="none"/>
                <w:u w:val="single"/>
              </w:rPr>
            </w:pPr>
            <w:r>
              <w:rPr>
                <w:rFonts w:hint="eastAsia" w:ascii="宋体" w:hAnsi="宋体" w:cs="宋体"/>
                <w:b/>
                <w:color w:val="auto"/>
                <w:szCs w:val="21"/>
                <w:highlight w:val="none"/>
              </w:rPr>
              <w:t>三、员工福利及意外保险：</w:t>
            </w:r>
          </w:p>
        </w:tc>
      </w:tr>
      <w:tr w14:paraId="6FC0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87" w:type="dxa"/>
            <w:gridSpan w:val="2"/>
            <w:tcBorders>
              <w:top w:val="single" w:color="auto" w:sz="4" w:space="0"/>
              <w:left w:val="single" w:color="auto" w:sz="4" w:space="0"/>
              <w:bottom w:val="single" w:color="auto" w:sz="4" w:space="0"/>
              <w:right w:val="single" w:color="auto" w:sz="4" w:space="0"/>
            </w:tcBorders>
            <w:noWrap w:val="0"/>
            <w:vAlign w:val="center"/>
          </w:tcPr>
          <w:p w14:paraId="749937E4">
            <w:pPr>
              <w:widowControl/>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538" w:type="dxa"/>
            <w:gridSpan w:val="2"/>
            <w:tcBorders>
              <w:top w:val="single" w:color="auto" w:sz="4" w:space="0"/>
              <w:left w:val="single" w:color="auto" w:sz="4" w:space="0"/>
              <w:bottom w:val="single" w:color="auto" w:sz="4" w:space="0"/>
              <w:right w:val="single" w:color="auto" w:sz="4" w:space="0"/>
            </w:tcBorders>
            <w:noWrap w:val="0"/>
            <w:vAlign w:val="center"/>
          </w:tcPr>
          <w:p w14:paraId="4EA6323E">
            <w:pPr>
              <w:widowControl/>
              <w:jc w:val="center"/>
              <w:rPr>
                <w:rFonts w:ascii="宋体" w:hAnsi="宋体" w:cs="宋体"/>
                <w:b/>
                <w:color w:val="auto"/>
                <w:szCs w:val="21"/>
                <w:highlight w:val="none"/>
              </w:rPr>
            </w:pPr>
            <w:r>
              <w:rPr>
                <w:rFonts w:hint="eastAsia" w:ascii="宋体" w:hAnsi="宋体" w:cs="宋体"/>
                <w:b/>
                <w:color w:val="auto"/>
                <w:szCs w:val="21"/>
                <w:highlight w:val="none"/>
              </w:rPr>
              <w:t>科目类别</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14C56279">
            <w:pPr>
              <w:widowControl/>
              <w:jc w:val="center"/>
              <w:rPr>
                <w:rFonts w:ascii="宋体" w:hAnsi="宋体" w:cs="宋体"/>
                <w:b/>
                <w:color w:val="auto"/>
                <w:szCs w:val="21"/>
                <w:highlight w:val="none"/>
              </w:rPr>
            </w:pPr>
            <w:r>
              <w:rPr>
                <w:rFonts w:hint="eastAsia" w:ascii="宋体" w:hAnsi="宋体" w:cs="宋体"/>
                <w:b/>
                <w:color w:val="auto"/>
                <w:szCs w:val="21"/>
                <w:highlight w:val="none"/>
              </w:rPr>
              <w:t>测算依据</w:t>
            </w:r>
          </w:p>
        </w:tc>
        <w:tc>
          <w:tcPr>
            <w:tcW w:w="1983" w:type="dxa"/>
            <w:gridSpan w:val="3"/>
            <w:tcBorders>
              <w:top w:val="single" w:color="auto" w:sz="4" w:space="0"/>
              <w:left w:val="single" w:color="auto" w:sz="4" w:space="0"/>
              <w:bottom w:val="single" w:color="auto" w:sz="4" w:space="0"/>
              <w:right w:val="single" w:color="auto" w:sz="4" w:space="0"/>
            </w:tcBorders>
            <w:noWrap w:val="0"/>
            <w:vAlign w:val="center"/>
          </w:tcPr>
          <w:p w14:paraId="231E092C">
            <w:pPr>
              <w:widowControl/>
              <w:jc w:val="center"/>
              <w:rPr>
                <w:rFonts w:ascii="宋体" w:hAnsi="宋体" w:cs="宋体"/>
                <w:b/>
                <w:color w:val="auto"/>
                <w:szCs w:val="21"/>
                <w:highlight w:val="none"/>
              </w:rPr>
            </w:pPr>
            <w:r>
              <w:rPr>
                <w:rFonts w:hint="eastAsia" w:ascii="宋体" w:hAnsi="宋体" w:cs="宋体"/>
                <w:b/>
                <w:color w:val="auto"/>
                <w:szCs w:val="21"/>
                <w:highlight w:val="none"/>
              </w:rPr>
              <w:t>单人单月费用</w:t>
            </w: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14:paraId="22833745">
            <w:pPr>
              <w:widowControl/>
              <w:jc w:val="center"/>
              <w:rPr>
                <w:rFonts w:ascii="宋体" w:hAnsi="宋体" w:cs="宋体"/>
                <w:b/>
                <w:color w:val="auto"/>
                <w:szCs w:val="21"/>
                <w:highlight w:val="none"/>
              </w:rPr>
            </w:pPr>
            <w:r>
              <w:rPr>
                <w:rFonts w:hint="eastAsia" w:ascii="宋体" w:hAnsi="宋体" w:cs="宋体"/>
                <w:b/>
                <w:color w:val="auto"/>
                <w:szCs w:val="21"/>
                <w:highlight w:val="none"/>
              </w:rPr>
              <w:t>合计费用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FF465B2">
            <w:pPr>
              <w:widowControl/>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04FB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14:paraId="20ABB230">
            <w:pPr>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1545" w:type="dxa"/>
            <w:gridSpan w:val="3"/>
            <w:tcBorders>
              <w:top w:val="single" w:color="auto" w:sz="4" w:space="0"/>
              <w:left w:val="single" w:color="auto" w:sz="4" w:space="0"/>
              <w:bottom w:val="single" w:color="auto" w:sz="4" w:space="0"/>
              <w:right w:val="single" w:color="auto" w:sz="4" w:space="0"/>
            </w:tcBorders>
            <w:noWrap w:val="0"/>
            <w:vAlign w:val="center"/>
          </w:tcPr>
          <w:p w14:paraId="7FFB1895">
            <w:pPr>
              <w:jc w:val="center"/>
              <w:rPr>
                <w:rFonts w:ascii="宋体" w:hAnsi="宋体" w:cs="宋体"/>
                <w:b/>
                <w:color w:val="auto"/>
                <w:szCs w:val="21"/>
                <w:highlight w:val="none"/>
              </w:rPr>
            </w:pPr>
            <w:r>
              <w:rPr>
                <w:rFonts w:hint="eastAsia" w:ascii="宋体" w:hAnsi="宋体" w:cs="宋体"/>
                <w:b/>
                <w:color w:val="auto"/>
                <w:szCs w:val="21"/>
                <w:highlight w:val="none"/>
              </w:rPr>
              <w:t>高温补贴</w:t>
            </w:r>
          </w:p>
        </w:tc>
        <w:tc>
          <w:tcPr>
            <w:tcW w:w="2122" w:type="dxa"/>
            <w:vMerge w:val="restart"/>
            <w:tcBorders>
              <w:top w:val="single" w:color="auto" w:sz="4" w:space="0"/>
              <w:left w:val="single" w:color="auto" w:sz="4" w:space="0"/>
              <w:bottom w:val="single" w:color="auto" w:sz="4" w:space="0"/>
              <w:right w:val="single" w:color="auto" w:sz="4" w:space="0"/>
            </w:tcBorders>
            <w:noWrap w:val="0"/>
            <w:vAlign w:val="center"/>
          </w:tcPr>
          <w:p w14:paraId="59C129EE">
            <w:pPr>
              <w:jc w:val="center"/>
              <w:rPr>
                <w:rFonts w:ascii="宋体" w:hAnsi="宋体" w:cs="宋体"/>
                <w:color w:val="auto"/>
                <w:szCs w:val="21"/>
                <w:highlight w:val="none"/>
              </w:rPr>
            </w:pPr>
            <w:r>
              <w:rPr>
                <w:rFonts w:hint="eastAsia" w:ascii="宋体" w:hAnsi="宋体" w:cs="宋体"/>
                <w:b/>
                <w:color w:val="auto"/>
                <w:szCs w:val="21"/>
                <w:highlight w:val="none"/>
              </w:rPr>
              <w:t>投标人自身运营实际情况填写</w:t>
            </w:r>
          </w:p>
        </w:tc>
        <w:tc>
          <w:tcPr>
            <w:tcW w:w="1983" w:type="dxa"/>
            <w:gridSpan w:val="3"/>
            <w:tcBorders>
              <w:top w:val="single" w:color="auto" w:sz="4" w:space="0"/>
              <w:left w:val="single" w:color="auto" w:sz="4" w:space="0"/>
              <w:bottom w:val="single" w:color="auto" w:sz="4" w:space="0"/>
              <w:right w:val="single" w:color="auto" w:sz="4" w:space="0"/>
            </w:tcBorders>
            <w:noWrap w:val="0"/>
            <w:vAlign w:val="center"/>
          </w:tcPr>
          <w:p w14:paraId="102BFFC0">
            <w:pPr>
              <w:jc w:val="center"/>
              <w:rPr>
                <w:rFonts w:ascii="宋体" w:hAnsi="宋体" w:cs="宋体"/>
                <w:color w:val="auto"/>
                <w:szCs w:val="21"/>
                <w:highlight w:val="none"/>
                <w:u w:val="single"/>
              </w:rPr>
            </w:pPr>
            <w:r>
              <w:rPr>
                <w:rFonts w:hint="eastAsia" w:ascii="宋体" w:hAnsi="宋体" w:cs="宋体"/>
                <w:color w:val="auto"/>
                <w:szCs w:val="21"/>
                <w:highlight w:val="none"/>
              </w:rPr>
              <w:t>元/人/月</w:t>
            </w: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14:paraId="293FAADC">
            <w:pPr>
              <w:ind w:firstLine="422"/>
              <w:jc w:val="center"/>
              <w:rPr>
                <w:rFonts w:ascii="宋体" w:hAnsi="宋体" w:cs="宋体"/>
                <w:b/>
                <w:color w:val="auto"/>
                <w:szCs w:val="21"/>
                <w:highlight w:val="none"/>
                <w:u w:val="single"/>
              </w:rPr>
            </w:pPr>
            <w:r>
              <w:rPr>
                <w:rFonts w:hint="eastAsia" w:ascii="宋体" w:hAnsi="宋体" w:cs="宋体"/>
                <w:b/>
                <w:color w:val="auto"/>
                <w:szCs w:val="21"/>
                <w:highlight w:val="none"/>
                <w:u w:val="single"/>
              </w:rPr>
              <w:t>按投标人承诺拟投入的总人数乘以</w:t>
            </w:r>
            <w:r>
              <w:rPr>
                <w:rFonts w:hint="eastAsia" w:ascii="宋体" w:hAnsi="宋体" w:cs="宋体"/>
                <w:b/>
                <w:color w:val="auto"/>
                <w:szCs w:val="21"/>
                <w:highlight w:val="none"/>
                <w:u w:val="single"/>
                <w:lang w:val="en-US" w:eastAsia="zh-CN"/>
              </w:rPr>
              <w:t>12</w:t>
            </w:r>
            <w:r>
              <w:rPr>
                <w:rFonts w:hint="eastAsia" w:ascii="宋体" w:hAnsi="宋体" w:cs="宋体"/>
                <w:b/>
                <w:color w:val="auto"/>
                <w:szCs w:val="21"/>
                <w:highlight w:val="none"/>
                <w:u w:val="single"/>
              </w:rPr>
              <w:t>个月</w:t>
            </w:r>
          </w:p>
          <w:p w14:paraId="03322051">
            <w:pPr>
              <w:ind w:firstLine="422"/>
              <w:jc w:val="center"/>
              <w:rPr>
                <w:rFonts w:ascii="宋体" w:hAnsi="宋体" w:cs="宋体"/>
                <w:color w:val="auto"/>
                <w:szCs w:val="21"/>
                <w:highlight w:val="none"/>
              </w:rPr>
            </w:pPr>
            <w:r>
              <w:rPr>
                <w:rFonts w:hint="eastAsia" w:ascii="宋体" w:hAnsi="宋体" w:cs="宋体"/>
                <w:b/>
                <w:color w:val="auto"/>
                <w:szCs w:val="21"/>
                <w:highlight w:val="none"/>
                <w:u w:val="single"/>
              </w:rPr>
              <w:t>合计：       元</w:t>
            </w: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14:paraId="588C8A68">
            <w:pPr>
              <w:jc w:val="center"/>
              <w:rPr>
                <w:rFonts w:ascii="宋体" w:hAnsi="宋体" w:cs="宋体"/>
                <w:color w:val="auto"/>
                <w:szCs w:val="21"/>
                <w:highlight w:val="none"/>
                <w:u w:val="single"/>
              </w:rPr>
            </w:pPr>
            <w:r>
              <w:rPr>
                <w:rFonts w:hint="eastAsia" w:ascii="宋体" w:hAnsi="宋体" w:cs="宋体"/>
                <w:b/>
                <w:color w:val="auto"/>
                <w:szCs w:val="21"/>
                <w:highlight w:val="none"/>
              </w:rPr>
              <w:t>按投标人承诺拟投入的总人数乘以</w:t>
            </w:r>
            <w:r>
              <w:rPr>
                <w:rFonts w:hint="eastAsia" w:ascii="宋体" w:hAnsi="宋体" w:cs="宋体"/>
                <w:b/>
                <w:color w:val="auto"/>
                <w:szCs w:val="21"/>
                <w:highlight w:val="none"/>
                <w:lang w:val="en-US" w:eastAsia="zh-CN"/>
              </w:rPr>
              <w:t>12</w:t>
            </w:r>
            <w:r>
              <w:rPr>
                <w:rFonts w:hint="eastAsia" w:ascii="宋体" w:hAnsi="宋体" w:cs="宋体"/>
                <w:b/>
                <w:color w:val="auto"/>
                <w:szCs w:val="21"/>
                <w:highlight w:val="none"/>
              </w:rPr>
              <w:t>个月为计算标准</w:t>
            </w:r>
          </w:p>
        </w:tc>
      </w:tr>
      <w:tr w14:paraId="63CA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14:paraId="3E1E820C">
            <w:pPr>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1545" w:type="dxa"/>
            <w:gridSpan w:val="3"/>
            <w:tcBorders>
              <w:top w:val="single" w:color="auto" w:sz="4" w:space="0"/>
              <w:left w:val="single" w:color="auto" w:sz="4" w:space="0"/>
              <w:bottom w:val="single" w:color="auto" w:sz="4" w:space="0"/>
              <w:right w:val="single" w:color="auto" w:sz="4" w:space="0"/>
            </w:tcBorders>
            <w:noWrap w:val="0"/>
            <w:vAlign w:val="center"/>
          </w:tcPr>
          <w:p w14:paraId="5B2E8BB6">
            <w:pPr>
              <w:jc w:val="center"/>
              <w:rPr>
                <w:rFonts w:ascii="宋体" w:hAnsi="宋体" w:cs="宋体"/>
                <w:b/>
                <w:color w:val="auto"/>
                <w:szCs w:val="21"/>
                <w:highlight w:val="none"/>
              </w:rPr>
            </w:pPr>
            <w:r>
              <w:rPr>
                <w:rFonts w:hint="eastAsia" w:ascii="宋体" w:hAnsi="宋体" w:cs="宋体"/>
                <w:b/>
                <w:color w:val="auto"/>
                <w:szCs w:val="21"/>
                <w:highlight w:val="none"/>
              </w:rPr>
              <w:t>重大节日慰问福利</w:t>
            </w:r>
          </w:p>
        </w:tc>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14:paraId="635346E9">
            <w:pPr>
              <w:jc w:val="center"/>
              <w:rPr>
                <w:rFonts w:ascii="宋体" w:hAnsi="宋体" w:cs="宋体"/>
                <w:color w:val="auto"/>
                <w:szCs w:val="21"/>
                <w:highlight w:val="none"/>
              </w:rPr>
            </w:pPr>
          </w:p>
        </w:tc>
        <w:tc>
          <w:tcPr>
            <w:tcW w:w="1983" w:type="dxa"/>
            <w:gridSpan w:val="3"/>
            <w:tcBorders>
              <w:top w:val="single" w:color="auto" w:sz="4" w:space="0"/>
              <w:left w:val="single" w:color="auto" w:sz="4" w:space="0"/>
              <w:bottom w:val="single" w:color="auto" w:sz="4" w:space="0"/>
              <w:right w:val="single" w:color="auto" w:sz="4" w:space="0"/>
            </w:tcBorders>
            <w:noWrap w:val="0"/>
            <w:vAlign w:val="center"/>
          </w:tcPr>
          <w:p w14:paraId="6BD663D5">
            <w:pPr>
              <w:jc w:val="center"/>
              <w:rPr>
                <w:rFonts w:ascii="宋体" w:hAnsi="宋体" w:cs="宋体"/>
                <w:color w:val="auto"/>
                <w:szCs w:val="21"/>
                <w:highlight w:val="none"/>
                <w:u w:val="single"/>
              </w:rPr>
            </w:pPr>
            <w:r>
              <w:rPr>
                <w:rFonts w:hint="eastAsia" w:ascii="宋体" w:hAnsi="宋体" w:cs="宋体"/>
                <w:color w:val="auto"/>
                <w:szCs w:val="21"/>
                <w:highlight w:val="none"/>
              </w:rPr>
              <w:t>元/人/月</w:t>
            </w: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14:paraId="15E54AC3">
            <w:pPr>
              <w:ind w:firstLine="422"/>
              <w:jc w:val="center"/>
              <w:rPr>
                <w:rFonts w:ascii="宋体" w:hAnsi="宋体" w:cs="宋体"/>
                <w:b/>
                <w:color w:val="auto"/>
                <w:szCs w:val="21"/>
                <w:highlight w:val="none"/>
                <w:u w:val="single"/>
              </w:rPr>
            </w:pPr>
            <w:r>
              <w:rPr>
                <w:rFonts w:hint="eastAsia" w:ascii="宋体" w:hAnsi="宋体" w:cs="宋体"/>
                <w:b/>
                <w:color w:val="auto"/>
                <w:szCs w:val="21"/>
                <w:highlight w:val="none"/>
                <w:u w:val="single"/>
              </w:rPr>
              <w:t>按投标人承诺拟投入的总人数乘以</w:t>
            </w:r>
            <w:r>
              <w:rPr>
                <w:rFonts w:hint="eastAsia" w:ascii="宋体" w:hAnsi="宋体" w:cs="宋体"/>
                <w:b/>
                <w:color w:val="auto"/>
                <w:szCs w:val="21"/>
                <w:highlight w:val="none"/>
                <w:u w:val="single"/>
                <w:lang w:val="en-US" w:eastAsia="zh-CN"/>
              </w:rPr>
              <w:t>12</w:t>
            </w:r>
            <w:r>
              <w:rPr>
                <w:rFonts w:hint="eastAsia" w:ascii="宋体" w:hAnsi="宋体" w:cs="宋体"/>
                <w:b/>
                <w:color w:val="auto"/>
                <w:szCs w:val="21"/>
                <w:highlight w:val="none"/>
                <w:u w:val="single"/>
              </w:rPr>
              <w:t>个月</w:t>
            </w:r>
          </w:p>
          <w:p w14:paraId="68783264">
            <w:pPr>
              <w:ind w:firstLine="422"/>
              <w:jc w:val="center"/>
              <w:rPr>
                <w:rFonts w:ascii="宋体" w:hAnsi="宋体" w:cs="宋体"/>
                <w:color w:val="auto"/>
                <w:szCs w:val="21"/>
                <w:highlight w:val="none"/>
              </w:rPr>
            </w:pPr>
            <w:r>
              <w:rPr>
                <w:rFonts w:hint="eastAsia" w:ascii="宋体" w:hAnsi="宋体" w:cs="宋体"/>
                <w:b/>
                <w:color w:val="auto"/>
                <w:szCs w:val="21"/>
                <w:highlight w:val="none"/>
                <w:u w:val="single"/>
              </w:rPr>
              <w:t>合计：       元</w:t>
            </w: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394EB333">
            <w:pPr>
              <w:jc w:val="center"/>
              <w:rPr>
                <w:rFonts w:ascii="宋体" w:hAnsi="宋体" w:cs="宋体"/>
                <w:color w:val="auto"/>
                <w:szCs w:val="21"/>
                <w:highlight w:val="none"/>
                <w:u w:val="single"/>
              </w:rPr>
            </w:pPr>
          </w:p>
        </w:tc>
      </w:tr>
      <w:tr w14:paraId="746E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14:paraId="71C1C4EA">
            <w:pPr>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545" w:type="dxa"/>
            <w:gridSpan w:val="3"/>
            <w:tcBorders>
              <w:top w:val="single" w:color="auto" w:sz="4" w:space="0"/>
              <w:left w:val="single" w:color="auto" w:sz="4" w:space="0"/>
              <w:bottom w:val="single" w:color="auto" w:sz="4" w:space="0"/>
              <w:right w:val="single" w:color="auto" w:sz="4" w:space="0"/>
            </w:tcBorders>
            <w:noWrap w:val="0"/>
            <w:vAlign w:val="center"/>
          </w:tcPr>
          <w:p w14:paraId="08E4F6B2">
            <w:pPr>
              <w:jc w:val="center"/>
              <w:rPr>
                <w:rFonts w:ascii="宋体" w:hAnsi="宋体" w:cs="宋体"/>
                <w:b/>
                <w:color w:val="auto"/>
                <w:szCs w:val="21"/>
                <w:highlight w:val="none"/>
              </w:rPr>
            </w:pPr>
            <w:r>
              <w:rPr>
                <w:rFonts w:hint="eastAsia" w:ascii="宋体" w:hAnsi="宋体" w:cs="宋体"/>
                <w:b/>
                <w:color w:val="auto"/>
                <w:szCs w:val="21"/>
                <w:highlight w:val="none"/>
              </w:rPr>
              <w:t>餐费补助</w:t>
            </w:r>
          </w:p>
        </w:tc>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14:paraId="06A38029">
            <w:pPr>
              <w:jc w:val="center"/>
              <w:rPr>
                <w:rFonts w:ascii="宋体" w:hAnsi="宋体" w:cs="宋体"/>
                <w:color w:val="auto"/>
                <w:szCs w:val="21"/>
                <w:highlight w:val="none"/>
              </w:rPr>
            </w:pPr>
          </w:p>
        </w:tc>
        <w:tc>
          <w:tcPr>
            <w:tcW w:w="1983" w:type="dxa"/>
            <w:gridSpan w:val="3"/>
            <w:tcBorders>
              <w:top w:val="single" w:color="auto" w:sz="4" w:space="0"/>
              <w:left w:val="single" w:color="auto" w:sz="4" w:space="0"/>
              <w:bottom w:val="single" w:color="auto" w:sz="4" w:space="0"/>
              <w:right w:val="single" w:color="auto" w:sz="4" w:space="0"/>
            </w:tcBorders>
            <w:noWrap w:val="0"/>
            <w:vAlign w:val="center"/>
          </w:tcPr>
          <w:p w14:paraId="34D3D04D">
            <w:pPr>
              <w:jc w:val="center"/>
              <w:rPr>
                <w:rFonts w:ascii="宋体" w:hAnsi="宋体" w:cs="宋体"/>
                <w:color w:val="auto"/>
                <w:szCs w:val="21"/>
                <w:highlight w:val="none"/>
                <w:u w:val="single"/>
              </w:rPr>
            </w:pPr>
            <w:r>
              <w:rPr>
                <w:rFonts w:hint="eastAsia" w:ascii="宋体" w:hAnsi="宋体" w:cs="宋体"/>
                <w:color w:val="auto"/>
                <w:szCs w:val="21"/>
                <w:highlight w:val="none"/>
              </w:rPr>
              <w:t>元/人/月</w:t>
            </w: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14:paraId="63DAF0DA">
            <w:pPr>
              <w:ind w:firstLine="422"/>
              <w:jc w:val="center"/>
              <w:rPr>
                <w:rFonts w:ascii="宋体" w:hAnsi="宋体" w:cs="宋体"/>
                <w:b/>
                <w:color w:val="auto"/>
                <w:szCs w:val="21"/>
                <w:highlight w:val="none"/>
                <w:u w:val="single"/>
              </w:rPr>
            </w:pPr>
            <w:r>
              <w:rPr>
                <w:rFonts w:hint="eastAsia" w:ascii="宋体" w:hAnsi="宋体" w:cs="宋体"/>
                <w:b/>
                <w:color w:val="auto"/>
                <w:szCs w:val="21"/>
                <w:highlight w:val="none"/>
                <w:u w:val="single"/>
              </w:rPr>
              <w:t>按投标人承诺拟投入的总人数乘以</w:t>
            </w:r>
            <w:r>
              <w:rPr>
                <w:rFonts w:hint="eastAsia" w:ascii="宋体" w:hAnsi="宋体" w:cs="宋体"/>
                <w:b/>
                <w:color w:val="auto"/>
                <w:szCs w:val="21"/>
                <w:highlight w:val="none"/>
                <w:u w:val="single"/>
                <w:lang w:val="en-US" w:eastAsia="zh-CN"/>
              </w:rPr>
              <w:t>12</w:t>
            </w:r>
            <w:r>
              <w:rPr>
                <w:rFonts w:hint="eastAsia" w:ascii="宋体" w:hAnsi="宋体" w:cs="宋体"/>
                <w:b/>
                <w:color w:val="auto"/>
                <w:szCs w:val="21"/>
                <w:highlight w:val="none"/>
                <w:u w:val="single"/>
              </w:rPr>
              <w:t>个月</w:t>
            </w:r>
          </w:p>
          <w:p w14:paraId="7240C328">
            <w:pPr>
              <w:ind w:firstLine="422"/>
              <w:jc w:val="center"/>
              <w:rPr>
                <w:rFonts w:ascii="宋体" w:hAnsi="宋体" w:cs="宋体"/>
                <w:color w:val="auto"/>
                <w:szCs w:val="21"/>
                <w:highlight w:val="none"/>
              </w:rPr>
            </w:pPr>
            <w:r>
              <w:rPr>
                <w:rFonts w:hint="eastAsia" w:ascii="宋体" w:hAnsi="宋体" w:cs="宋体"/>
                <w:b/>
                <w:color w:val="auto"/>
                <w:szCs w:val="21"/>
                <w:highlight w:val="none"/>
                <w:u w:val="single"/>
              </w:rPr>
              <w:t>合计：       元</w:t>
            </w: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5B9C26CF">
            <w:pPr>
              <w:jc w:val="center"/>
              <w:rPr>
                <w:rFonts w:ascii="宋体" w:hAnsi="宋体" w:cs="宋体"/>
                <w:color w:val="auto"/>
                <w:szCs w:val="21"/>
                <w:highlight w:val="none"/>
                <w:u w:val="single"/>
              </w:rPr>
            </w:pPr>
          </w:p>
        </w:tc>
      </w:tr>
      <w:tr w14:paraId="5A94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14:paraId="3B22B5EE">
            <w:pPr>
              <w:jc w:val="center"/>
              <w:rPr>
                <w:rFonts w:ascii="宋体" w:hAnsi="宋体" w:cs="宋体"/>
                <w:b/>
                <w:color w:val="auto"/>
                <w:szCs w:val="21"/>
                <w:highlight w:val="none"/>
              </w:rPr>
            </w:pPr>
            <w:r>
              <w:rPr>
                <w:rFonts w:hint="eastAsia" w:ascii="宋体" w:hAnsi="宋体" w:cs="宋体"/>
                <w:b/>
                <w:color w:val="auto"/>
                <w:szCs w:val="21"/>
                <w:highlight w:val="none"/>
              </w:rPr>
              <w:t>4</w:t>
            </w:r>
          </w:p>
        </w:tc>
        <w:tc>
          <w:tcPr>
            <w:tcW w:w="1545" w:type="dxa"/>
            <w:gridSpan w:val="3"/>
            <w:tcBorders>
              <w:top w:val="single" w:color="auto" w:sz="4" w:space="0"/>
              <w:left w:val="single" w:color="auto" w:sz="4" w:space="0"/>
              <w:bottom w:val="single" w:color="auto" w:sz="4" w:space="0"/>
              <w:right w:val="single" w:color="auto" w:sz="4" w:space="0"/>
            </w:tcBorders>
            <w:noWrap w:val="0"/>
            <w:vAlign w:val="center"/>
          </w:tcPr>
          <w:p w14:paraId="1120F622">
            <w:pPr>
              <w:jc w:val="center"/>
              <w:rPr>
                <w:rFonts w:ascii="宋体" w:hAnsi="宋体" w:cs="宋体"/>
                <w:b/>
                <w:color w:val="auto"/>
                <w:szCs w:val="21"/>
                <w:highlight w:val="none"/>
              </w:rPr>
            </w:pPr>
            <w:r>
              <w:rPr>
                <w:rFonts w:hint="eastAsia" w:ascii="宋体" w:hAnsi="宋体" w:cs="宋体"/>
                <w:b/>
                <w:color w:val="auto"/>
                <w:szCs w:val="21"/>
                <w:highlight w:val="none"/>
              </w:rPr>
              <w:t>意外保险</w:t>
            </w:r>
          </w:p>
        </w:tc>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14:paraId="0428BAF0">
            <w:pPr>
              <w:jc w:val="center"/>
              <w:rPr>
                <w:rFonts w:ascii="宋体" w:hAnsi="宋体" w:cs="宋体"/>
                <w:color w:val="auto"/>
                <w:szCs w:val="21"/>
                <w:highlight w:val="none"/>
              </w:rPr>
            </w:pPr>
          </w:p>
        </w:tc>
        <w:tc>
          <w:tcPr>
            <w:tcW w:w="1983" w:type="dxa"/>
            <w:gridSpan w:val="3"/>
            <w:tcBorders>
              <w:top w:val="single" w:color="auto" w:sz="4" w:space="0"/>
              <w:left w:val="single" w:color="auto" w:sz="4" w:space="0"/>
              <w:bottom w:val="single" w:color="auto" w:sz="4" w:space="0"/>
              <w:right w:val="single" w:color="auto" w:sz="4" w:space="0"/>
            </w:tcBorders>
            <w:noWrap w:val="0"/>
            <w:vAlign w:val="center"/>
          </w:tcPr>
          <w:p w14:paraId="5FDA76BB">
            <w:pPr>
              <w:jc w:val="center"/>
              <w:rPr>
                <w:rFonts w:ascii="宋体" w:hAnsi="宋体" w:cs="宋体"/>
                <w:color w:val="auto"/>
                <w:szCs w:val="21"/>
                <w:highlight w:val="none"/>
              </w:rPr>
            </w:pPr>
            <w:r>
              <w:rPr>
                <w:rFonts w:hint="eastAsia" w:ascii="宋体" w:hAnsi="宋体" w:cs="宋体"/>
                <w:color w:val="auto"/>
                <w:szCs w:val="21"/>
                <w:highlight w:val="none"/>
              </w:rPr>
              <w:t>元/人/月</w:t>
            </w: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14:paraId="7AFB2287">
            <w:pPr>
              <w:ind w:firstLine="422"/>
              <w:jc w:val="center"/>
              <w:rPr>
                <w:rFonts w:ascii="宋体" w:hAnsi="宋体" w:cs="宋体"/>
                <w:b/>
                <w:color w:val="auto"/>
                <w:szCs w:val="21"/>
                <w:highlight w:val="none"/>
                <w:u w:val="single"/>
              </w:rPr>
            </w:pPr>
            <w:r>
              <w:rPr>
                <w:rFonts w:hint="eastAsia" w:ascii="宋体" w:hAnsi="宋体" w:cs="宋体"/>
                <w:b/>
                <w:color w:val="auto"/>
                <w:szCs w:val="21"/>
                <w:highlight w:val="none"/>
                <w:u w:val="single"/>
              </w:rPr>
              <w:t>按投标人承诺拟投入的总人数乘以</w:t>
            </w:r>
            <w:r>
              <w:rPr>
                <w:rFonts w:hint="eastAsia" w:ascii="宋体" w:hAnsi="宋体" w:cs="宋体"/>
                <w:b/>
                <w:color w:val="auto"/>
                <w:szCs w:val="21"/>
                <w:highlight w:val="none"/>
                <w:u w:val="single"/>
                <w:lang w:val="en-US" w:eastAsia="zh-CN"/>
              </w:rPr>
              <w:t>12</w:t>
            </w:r>
            <w:r>
              <w:rPr>
                <w:rFonts w:hint="eastAsia" w:ascii="宋体" w:hAnsi="宋体" w:cs="宋体"/>
                <w:b/>
                <w:color w:val="auto"/>
                <w:szCs w:val="21"/>
                <w:highlight w:val="none"/>
                <w:u w:val="single"/>
              </w:rPr>
              <w:t>个月</w:t>
            </w:r>
          </w:p>
          <w:p w14:paraId="1190DCBB">
            <w:pPr>
              <w:ind w:firstLine="422"/>
              <w:jc w:val="center"/>
              <w:rPr>
                <w:rFonts w:ascii="宋体" w:hAnsi="宋体" w:cs="宋体"/>
                <w:b/>
                <w:color w:val="auto"/>
                <w:szCs w:val="21"/>
                <w:highlight w:val="none"/>
                <w:u w:val="single"/>
              </w:rPr>
            </w:pPr>
            <w:r>
              <w:rPr>
                <w:rFonts w:hint="eastAsia" w:ascii="宋体" w:hAnsi="宋体" w:cs="宋体"/>
                <w:b/>
                <w:color w:val="auto"/>
                <w:szCs w:val="21"/>
                <w:highlight w:val="none"/>
                <w:u w:val="single"/>
              </w:rPr>
              <w:t>合计：       元</w:t>
            </w: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162F7BA8">
            <w:pPr>
              <w:jc w:val="center"/>
              <w:rPr>
                <w:rFonts w:ascii="宋体" w:hAnsi="宋体" w:cs="宋体"/>
                <w:color w:val="auto"/>
                <w:szCs w:val="21"/>
                <w:highlight w:val="none"/>
                <w:u w:val="single"/>
              </w:rPr>
            </w:pPr>
          </w:p>
        </w:tc>
      </w:tr>
      <w:tr w14:paraId="6E71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464" w:type="dxa"/>
            <w:gridSpan w:val="12"/>
            <w:tcBorders>
              <w:top w:val="single" w:color="auto" w:sz="4" w:space="0"/>
              <w:left w:val="single" w:color="auto" w:sz="4" w:space="0"/>
              <w:bottom w:val="single" w:color="auto" w:sz="4" w:space="0"/>
              <w:right w:val="single" w:color="auto" w:sz="4" w:space="0"/>
            </w:tcBorders>
            <w:noWrap w:val="0"/>
            <w:vAlign w:val="center"/>
          </w:tcPr>
          <w:p w14:paraId="78C0AFD2">
            <w:pPr>
              <w:rPr>
                <w:rFonts w:ascii="宋体" w:hAnsi="宋体" w:cs="宋体"/>
                <w:color w:val="auto"/>
                <w:szCs w:val="21"/>
                <w:highlight w:val="none"/>
                <w:u w:val="single"/>
              </w:rPr>
            </w:pPr>
            <w:r>
              <w:rPr>
                <w:rFonts w:hint="eastAsia" w:ascii="宋体" w:hAnsi="宋体" w:cs="宋体"/>
                <w:b/>
                <w:color w:val="auto"/>
                <w:szCs w:val="21"/>
                <w:highlight w:val="none"/>
              </w:rPr>
              <w:t>四、法定节假日加班费用：</w:t>
            </w:r>
          </w:p>
        </w:tc>
      </w:tr>
      <w:tr w14:paraId="4046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49F7F303">
            <w:pPr>
              <w:widowControl/>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1F18A2BE">
            <w:pPr>
              <w:widowControl/>
              <w:jc w:val="center"/>
              <w:rPr>
                <w:rFonts w:ascii="宋体" w:hAnsi="宋体" w:cs="宋体"/>
                <w:b/>
                <w:color w:val="auto"/>
                <w:szCs w:val="21"/>
                <w:highlight w:val="none"/>
              </w:rPr>
            </w:pPr>
            <w:r>
              <w:rPr>
                <w:rFonts w:hint="eastAsia" w:ascii="宋体" w:hAnsi="宋体" w:cs="宋体"/>
                <w:b/>
                <w:color w:val="auto"/>
                <w:szCs w:val="21"/>
                <w:highlight w:val="none"/>
              </w:rPr>
              <w:t>科目类别</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4ACE58BF">
            <w:pPr>
              <w:widowControl/>
              <w:jc w:val="center"/>
              <w:rPr>
                <w:rFonts w:ascii="宋体" w:hAnsi="宋体" w:cs="宋体"/>
                <w:b/>
                <w:color w:val="auto"/>
                <w:szCs w:val="21"/>
                <w:highlight w:val="none"/>
              </w:rPr>
            </w:pPr>
            <w:r>
              <w:rPr>
                <w:rFonts w:hint="eastAsia" w:ascii="宋体" w:hAnsi="宋体" w:cs="宋体"/>
                <w:b/>
                <w:color w:val="auto"/>
                <w:szCs w:val="21"/>
                <w:highlight w:val="none"/>
              </w:rPr>
              <w:t>测算依据</w:t>
            </w:r>
          </w:p>
        </w:tc>
        <w:tc>
          <w:tcPr>
            <w:tcW w:w="1983" w:type="dxa"/>
            <w:gridSpan w:val="3"/>
            <w:tcBorders>
              <w:top w:val="single" w:color="auto" w:sz="4" w:space="0"/>
              <w:left w:val="single" w:color="auto" w:sz="4" w:space="0"/>
              <w:bottom w:val="single" w:color="auto" w:sz="4" w:space="0"/>
              <w:right w:val="single" w:color="auto" w:sz="4" w:space="0"/>
            </w:tcBorders>
            <w:noWrap w:val="0"/>
            <w:vAlign w:val="center"/>
          </w:tcPr>
          <w:p w14:paraId="3F0F826F">
            <w:pPr>
              <w:widowControl/>
              <w:jc w:val="center"/>
              <w:rPr>
                <w:rFonts w:ascii="宋体" w:hAnsi="宋体" w:cs="宋体"/>
                <w:b/>
                <w:color w:val="auto"/>
                <w:szCs w:val="21"/>
                <w:highlight w:val="none"/>
              </w:rPr>
            </w:pPr>
            <w:r>
              <w:rPr>
                <w:rFonts w:hint="eastAsia" w:ascii="宋体" w:hAnsi="宋体" w:cs="宋体"/>
                <w:b/>
                <w:color w:val="auto"/>
                <w:szCs w:val="21"/>
                <w:highlight w:val="none"/>
              </w:rPr>
              <w:t>单人单天费用</w:t>
            </w: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14:paraId="5E10270E">
            <w:pPr>
              <w:widowControl/>
              <w:jc w:val="center"/>
              <w:rPr>
                <w:rFonts w:ascii="宋体" w:hAnsi="宋体" w:cs="宋体"/>
                <w:b/>
                <w:color w:val="auto"/>
                <w:szCs w:val="21"/>
                <w:highlight w:val="none"/>
              </w:rPr>
            </w:pPr>
            <w:r>
              <w:rPr>
                <w:rFonts w:hint="eastAsia" w:ascii="宋体" w:hAnsi="宋体" w:cs="宋体"/>
                <w:b/>
                <w:color w:val="auto"/>
                <w:szCs w:val="21"/>
                <w:highlight w:val="none"/>
              </w:rPr>
              <w:t>合计费用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0AC284E">
            <w:pPr>
              <w:widowControl/>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5FF5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2EAFD757">
            <w:pPr>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2F212CF7">
            <w:pPr>
              <w:jc w:val="center"/>
              <w:rPr>
                <w:rFonts w:ascii="宋体" w:hAnsi="宋体" w:cs="宋体"/>
                <w:b/>
                <w:color w:val="auto"/>
                <w:szCs w:val="21"/>
                <w:highlight w:val="none"/>
              </w:rPr>
            </w:pPr>
            <w:r>
              <w:rPr>
                <w:rFonts w:hint="eastAsia" w:ascii="宋体" w:hAnsi="宋体" w:cs="宋体"/>
                <w:b/>
                <w:color w:val="auto"/>
                <w:szCs w:val="21"/>
                <w:highlight w:val="none"/>
              </w:rPr>
              <w:t>法定节假日加班费</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555C2AC0">
            <w:pPr>
              <w:jc w:val="center"/>
              <w:rPr>
                <w:rFonts w:ascii="宋体" w:hAnsi="宋体" w:cs="宋体"/>
                <w:b/>
                <w:color w:val="auto"/>
                <w:szCs w:val="21"/>
                <w:highlight w:val="none"/>
              </w:rPr>
            </w:pPr>
            <w:r>
              <w:rPr>
                <w:rFonts w:hint="eastAsia" w:ascii="宋体" w:hAnsi="宋体" w:cs="宋体"/>
                <w:b/>
                <w:color w:val="auto"/>
                <w:szCs w:val="21"/>
                <w:highlight w:val="none"/>
              </w:rPr>
              <w:t>根据《</w:t>
            </w:r>
            <w:r>
              <w:rPr>
                <w:rFonts w:hint="eastAsia" w:ascii="宋体" w:hAnsi="宋体" w:cs="宋体"/>
                <w:b/>
                <w:color w:val="auto"/>
                <w:szCs w:val="21"/>
              </w:rPr>
              <w:t>劳动法</w:t>
            </w:r>
            <w:r>
              <w:rPr>
                <w:rFonts w:hint="eastAsia" w:ascii="宋体" w:hAnsi="宋体" w:cs="宋体"/>
                <w:b/>
                <w:color w:val="auto"/>
                <w:szCs w:val="21"/>
                <w:highlight w:val="none"/>
              </w:rPr>
              <w:t>》规定不低于劳动者本人日工资的300%支付法定节假日加班工资</w:t>
            </w:r>
          </w:p>
        </w:tc>
        <w:tc>
          <w:tcPr>
            <w:tcW w:w="1983" w:type="dxa"/>
            <w:gridSpan w:val="3"/>
            <w:tcBorders>
              <w:top w:val="single" w:color="auto" w:sz="4" w:space="0"/>
              <w:left w:val="single" w:color="auto" w:sz="4" w:space="0"/>
              <w:bottom w:val="single" w:color="auto" w:sz="4" w:space="0"/>
              <w:right w:val="single" w:color="auto" w:sz="4" w:space="0"/>
            </w:tcBorders>
            <w:noWrap w:val="0"/>
            <w:vAlign w:val="center"/>
          </w:tcPr>
          <w:p w14:paraId="17B9000C">
            <w:pPr>
              <w:jc w:val="center"/>
              <w:rPr>
                <w:rFonts w:ascii="宋体" w:hAnsi="宋体" w:cs="宋体"/>
                <w:color w:val="auto"/>
                <w:szCs w:val="21"/>
                <w:highlight w:val="none"/>
                <w:u w:val="single"/>
              </w:rPr>
            </w:pPr>
            <w:r>
              <w:rPr>
                <w:rFonts w:hint="eastAsia" w:ascii="宋体" w:hAnsi="宋体" w:cs="宋体"/>
                <w:color w:val="auto"/>
                <w:szCs w:val="21"/>
                <w:highlight w:val="none"/>
              </w:rPr>
              <w:t>元/天/人</w:t>
            </w: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14:paraId="0747ED61">
            <w:pPr>
              <w:ind w:firstLine="422"/>
              <w:jc w:val="center"/>
              <w:rPr>
                <w:rFonts w:ascii="宋体" w:hAnsi="宋体" w:cs="宋体"/>
                <w:b/>
                <w:color w:val="auto"/>
                <w:szCs w:val="21"/>
                <w:highlight w:val="none"/>
                <w:u w:val="single"/>
              </w:rPr>
            </w:pPr>
            <w:r>
              <w:rPr>
                <w:rFonts w:hint="eastAsia" w:ascii="宋体" w:hAnsi="宋体" w:cs="宋体"/>
                <w:b/>
                <w:color w:val="auto"/>
                <w:szCs w:val="21"/>
                <w:highlight w:val="none"/>
                <w:u w:val="single"/>
              </w:rPr>
              <w:t>按人 天</w:t>
            </w:r>
          </w:p>
          <w:p w14:paraId="4FCC6584">
            <w:pPr>
              <w:ind w:firstLine="422"/>
              <w:jc w:val="center"/>
              <w:rPr>
                <w:rFonts w:ascii="宋体" w:hAnsi="宋体" w:cs="宋体"/>
                <w:color w:val="auto"/>
                <w:szCs w:val="21"/>
                <w:highlight w:val="none"/>
              </w:rPr>
            </w:pPr>
            <w:r>
              <w:rPr>
                <w:rFonts w:hint="eastAsia" w:ascii="宋体" w:hAnsi="宋体" w:cs="宋体"/>
                <w:b/>
                <w:color w:val="auto"/>
                <w:szCs w:val="21"/>
                <w:highlight w:val="none"/>
                <w:u w:val="single"/>
              </w:rPr>
              <w:t>合计：      元</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0703F87">
            <w:pPr>
              <w:spacing w:line="300" w:lineRule="exact"/>
              <w:jc w:val="center"/>
              <w:rPr>
                <w:rFonts w:ascii="宋体" w:hAnsi="宋体" w:cs="宋体"/>
                <w:color w:val="auto"/>
                <w:szCs w:val="21"/>
                <w:highlight w:val="none"/>
                <w:u w:val="single"/>
              </w:rPr>
            </w:pPr>
            <w:r>
              <w:rPr>
                <w:rFonts w:hint="eastAsia" w:ascii="宋体" w:hAnsi="宋体" w:cs="宋体"/>
                <w:b/>
                <w:bCs/>
                <w:color w:val="auto"/>
                <w:szCs w:val="21"/>
                <w:highlight w:val="none"/>
              </w:rPr>
              <w:t>每年（元旦1天、春节</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天、端午节1天、清明节1天、劳动节</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天、中秋节1天、国庆3天，共计1</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天）</w:t>
            </w:r>
            <w:r>
              <w:rPr>
                <w:rFonts w:hint="eastAsia" w:ascii="宋体" w:hAnsi="宋体" w:cs="宋体"/>
                <w:b/>
                <w:color w:val="auto"/>
                <w:szCs w:val="21"/>
                <w:highlight w:val="none"/>
                <w:u w:val="none"/>
              </w:rPr>
              <w:t>为</w:t>
            </w:r>
            <w:r>
              <w:rPr>
                <w:rFonts w:hint="eastAsia" w:ascii="宋体" w:hAnsi="宋体" w:cs="宋体"/>
                <w:b/>
                <w:color w:val="auto"/>
                <w:szCs w:val="21"/>
                <w:highlight w:val="none"/>
              </w:rPr>
              <w:t>计算标准</w:t>
            </w:r>
            <w:r>
              <w:rPr>
                <w:rFonts w:hint="eastAsia" w:ascii="宋体" w:hAnsi="宋体" w:cs="宋体"/>
                <w:b/>
                <w:bCs/>
                <w:color w:val="auto"/>
                <w:szCs w:val="21"/>
                <w:highlight w:val="none"/>
              </w:rPr>
              <w:t>。</w:t>
            </w:r>
          </w:p>
        </w:tc>
      </w:tr>
      <w:tr w14:paraId="4CBC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464" w:type="dxa"/>
            <w:gridSpan w:val="12"/>
            <w:tcBorders>
              <w:top w:val="single" w:color="auto" w:sz="4" w:space="0"/>
              <w:left w:val="single" w:color="auto" w:sz="4" w:space="0"/>
              <w:bottom w:val="single" w:color="auto" w:sz="4" w:space="0"/>
              <w:right w:val="single" w:color="auto" w:sz="4" w:space="0"/>
            </w:tcBorders>
            <w:noWrap w:val="0"/>
            <w:vAlign w:val="center"/>
          </w:tcPr>
          <w:p w14:paraId="7F1F9DCE">
            <w:pPr>
              <w:rPr>
                <w:rFonts w:ascii="宋体" w:hAnsi="宋体" w:cs="宋体"/>
                <w:color w:val="auto"/>
                <w:szCs w:val="21"/>
                <w:highlight w:val="none"/>
                <w:u w:val="single"/>
              </w:rPr>
            </w:pPr>
            <w:r>
              <w:rPr>
                <w:rFonts w:hint="eastAsia" w:ascii="宋体" w:hAnsi="宋体" w:cs="宋体"/>
                <w:b/>
                <w:color w:val="auto"/>
                <w:szCs w:val="21"/>
                <w:highlight w:val="none"/>
              </w:rPr>
              <w:t>五、装备、工具及</w:t>
            </w:r>
            <w:r>
              <w:rPr>
                <w:rFonts w:hint="eastAsia" w:ascii="宋体" w:hAnsi="宋体" w:cs="宋体"/>
                <w:b/>
                <w:color w:val="auto"/>
                <w:szCs w:val="21"/>
                <w:highlight w:val="none"/>
                <w:lang w:val="en-US" w:eastAsia="zh-CN"/>
              </w:rPr>
              <w:t>设施设备维护维修</w:t>
            </w:r>
            <w:r>
              <w:rPr>
                <w:rFonts w:hint="eastAsia" w:ascii="宋体" w:hAnsi="宋体" w:cs="宋体"/>
                <w:b/>
                <w:color w:val="auto"/>
                <w:szCs w:val="21"/>
                <w:highlight w:val="none"/>
              </w:rPr>
              <w:t>费用</w:t>
            </w:r>
          </w:p>
        </w:tc>
      </w:tr>
      <w:tr w14:paraId="222A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2A1D634D">
            <w:pPr>
              <w:widowControl/>
              <w:jc w:val="center"/>
              <w:rPr>
                <w:rFonts w:ascii="宋体" w:hAnsi="宋体" w:cs="宋体"/>
                <w:color w:val="auto"/>
                <w:szCs w:val="21"/>
                <w:highlight w:val="none"/>
              </w:rPr>
            </w:pPr>
            <w:r>
              <w:rPr>
                <w:rFonts w:hint="eastAsia" w:ascii="宋体" w:hAnsi="宋体" w:cs="宋体"/>
                <w:b/>
                <w:color w:val="auto"/>
                <w:szCs w:val="21"/>
                <w:highlight w:val="none"/>
              </w:rPr>
              <w:t>序号</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149DDAA0">
            <w:pPr>
              <w:widowControl/>
              <w:jc w:val="center"/>
              <w:rPr>
                <w:rFonts w:ascii="宋体" w:hAnsi="宋体" w:cs="宋体"/>
                <w:color w:val="auto"/>
                <w:szCs w:val="21"/>
                <w:highlight w:val="none"/>
              </w:rPr>
            </w:pPr>
            <w:r>
              <w:rPr>
                <w:rFonts w:hint="eastAsia" w:ascii="宋体" w:hAnsi="宋体" w:cs="宋体"/>
                <w:b/>
                <w:color w:val="auto"/>
                <w:szCs w:val="21"/>
                <w:highlight w:val="none"/>
              </w:rPr>
              <w:t>科目类别</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0DB9B29A">
            <w:pPr>
              <w:widowControl/>
              <w:jc w:val="center"/>
              <w:rPr>
                <w:rFonts w:ascii="宋体" w:hAnsi="宋体" w:cs="宋体"/>
                <w:color w:val="auto"/>
                <w:szCs w:val="21"/>
                <w:highlight w:val="none"/>
              </w:rPr>
            </w:pPr>
            <w:r>
              <w:rPr>
                <w:rFonts w:hint="eastAsia" w:ascii="宋体" w:hAnsi="宋体" w:cs="宋体"/>
                <w:b/>
                <w:color w:val="auto"/>
                <w:szCs w:val="21"/>
                <w:highlight w:val="none"/>
              </w:rPr>
              <w:t>测算依据</w:t>
            </w: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61DC14BA">
            <w:pPr>
              <w:jc w:val="center"/>
              <w:rPr>
                <w:rFonts w:ascii="宋体" w:hAnsi="宋体" w:cs="宋体"/>
                <w:color w:val="auto"/>
                <w:szCs w:val="21"/>
                <w:highlight w:val="none"/>
                <w:u w:val="single"/>
              </w:rPr>
            </w:pPr>
            <w:r>
              <w:rPr>
                <w:rFonts w:hint="eastAsia" w:ascii="宋体" w:hAnsi="宋体" w:cs="宋体"/>
                <w:b/>
                <w:color w:val="auto"/>
                <w:szCs w:val="21"/>
                <w:highlight w:val="none"/>
              </w:rPr>
              <w:t>费用（元）</w:t>
            </w:r>
          </w:p>
        </w:tc>
        <w:tc>
          <w:tcPr>
            <w:tcW w:w="1561" w:type="dxa"/>
            <w:gridSpan w:val="3"/>
            <w:tcBorders>
              <w:top w:val="single" w:color="auto" w:sz="4" w:space="0"/>
              <w:left w:val="single" w:color="auto" w:sz="4" w:space="0"/>
              <w:bottom w:val="single" w:color="auto" w:sz="4" w:space="0"/>
              <w:right w:val="single" w:color="auto" w:sz="4" w:space="0"/>
            </w:tcBorders>
            <w:noWrap w:val="0"/>
            <w:vAlign w:val="center"/>
          </w:tcPr>
          <w:p w14:paraId="70EF3E04">
            <w:pPr>
              <w:widowControl/>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7BAA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364894D6">
            <w:pPr>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8770" w:type="dxa"/>
            <w:gridSpan w:val="9"/>
            <w:tcBorders>
              <w:top w:val="single" w:color="auto" w:sz="4" w:space="0"/>
              <w:left w:val="single" w:color="auto" w:sz="4" w:space="0"/>
              <w:bottom w:val="single" w:color="auto" w:sz="4" w:space="0"/>
              <w:right w:val="single" w:color="auto" w:sz="4" w:space="0"/>
            </w:tcBorders>
            <w:noWrap w:val="0"/>
            <w:vAlign w:val="center"/>
          </w:tcPr>
          <w:p w14:paraId="24C040AE">
            <w:pPr>
              <w:rPr>
                <w:rFonts w:ascii="宋体" w:hAnsi="宋体" w:cs="宋体"/>
                <w:color w:val="auto"/>
                <w:szCs w:val="21"/>
                <w:highlight w:val="none"/>
                <w:u w:val="single"/>
              </w:rPr>
            </w:pPr>
            <w:r>
              <w:rPr>
                <w:rFonts w:hint="eastAsia" w:ascii="宋体" w:hAnsi="宋体" w:cs="宋体"/>
                <w:b/>
                <w:color w:val="auto"/>
                <w:szCs w:val="21"/>
                <w:highlight w:val="none"/>
              </w:rPr>
              <w:t>装备、工具</w:t>
            </w:r>
            <w:r>
              <w:rPr>
                <w:rFonts w:hint="eastAsia" w:ascii="宋体" w:hAnsi="宋体" w:cs="宋体"/>
                <w:b/>
                <w:bCs/>
                <w:color w:val="auto"/>
                <w:szCs w:val="21"/>
                <w:highlight w:val="none"/>
              </w:rPr>
              <w:t>费用</w:t>
            </w:r>
          </w:p>
        </w:tc>
      </w:tr>
      <w:tr w14:paraId="27F8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1BC55D97">
            <w:pPr>
              <w:jc w:val="center"/>
              <w:rPr>
                <w:rFonts w:ascii="宋体" w:hAnsi="宋体" w:cs="宋体"/>
                <w:b/>
                <w:color w:val="auto"/>
                <w:szCs w:val="21"/>
                <w:highlight w:val="none"/>
              </w:rPr>
            </w:pPr>
            <w:r>
              <w:rPr>
                <w:rFonts w:hint="eastAsia" w:ascii="宋体" w:hAnsi="宋体" w:cs="宋体"/>
                <w:b/>
                <w:color w:val="auto"/>
                <w:szCs w:val="21"/>
                <w:highlight w:val="none"/>
              </w:rPr>
              <w:t>1.1</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79B03592">
            <w:pPr>
              <w:jc w:val="center"/>
              <w:rPr>
                <w:rFonts w:ascii="宋体" w:hAnsi="宋体" w:cs="宋体"/>
                <w:b/>
                <w:bCs/>
                <w:color w:val="auto"/>
                <w:szCs w:val="21"/>
                <w:highlight w:val="none"/>
              </w:rPr>
            </w:pPr>
            <w:r>
              <w:rPr>
                <w:rFonts w:hint="eastAsia" w:ascii="宋体" w:hAnsi="宋体" w:cs="宋体"/>
                <w:b/>
                <w:bCs/>
                <w:color w:val="auto"/>
                <w:szCs w:val="21"/>
                <w:highlight w:val="none"/>
                <w:lang w:eastAsia="zh-CN"/>
              </w:rPr>
              <w:t>保安</w:t>
            </w:r>
            <w:r>
              <w:rPr>
                <w:rFonts w:hint="eastAsia" w:ascii="宋体" w:hAnsi="宋体" w:cs="宋体"/>
                <w:b/>
                <w:bCs/>
                <w:color w:val="auto"/>
                <w:szCs w:val="21"/>
                <w:highlight w:val="none"/>
              </w:rPr>
              <w:t>装备费用</w:t>
            </w:r>
          </w:p>
        </w:tc>
        <w:tc>
          <w:tcPr>
            <w:tcW w:w="2122" w:type="dxa"/>
            <w:vMerge w:val="restart"/>
            <w:tcBorders>
              <w:top w:val="single" w:color="auto" w:sz="4" w:space="0"/>
              <w:left w:val="single" w:color="auto" w:sz="4" w:space="0"/>
              <w:bottom w:val="single" w:color="auto" w:sz="4" w:space="0"/>
              <w:right w:val="single" w:color="auto" w:sz="4" w:space="0"/>
            </w:tcBorders>
            <w:noWrap w:val="0"/>
            <w:vAlign w:val="center"/>
          </w:tcPr>
          <w:p w14:paraId="437F45F4">
            <w:pPr>
              <w:ind w:firstLine="422"/>
              <w:jc w:val="center"/>
              <w:rPr>
                <w:rFonts w:ascii="宋体" w:hAnsi="宋体" w:cs="宋体"/>
                <w:b/>
                <w:color w:val="auto"/>
                <w:szCs w:val="21"/>
                <w:highlight w:val="none"/>
              </w:rPr>
            </w:pPr>
            <w:r>
              <w:rPr>
                <w:rFonts w:hint="eastAsia" w:ascii="宋体" w:hAnsi="宋体" w:cs="宋体"/>
                <w:b/>
                <w:color w:val="auto"/>
                <w:szCs w:val="21"/>
                <w:highlight w:val="none"/>
              </w:rPr>
              <w:t>按投标人承诺拟投入的总人数服务</w:t>
            </w:r>
            <w:r>
              <w:rPr>
                <w:rFonts w:hint="eastAsia" w:ascii="宋体" w:hAnsi="宋体" w:cs="宋体"/>
                <w:b/>
                <w:color w:val="auto"/>
                <w:szCs w:val="21"/>
                <w:highlight w:val="none"/>
                <w:lang w:val="en-US" w:eastAsia="zh-CN"/>
              </w:rPr>
              <w:t>12</w:t>
            </w:r>
            <w:r>
              <w:rPr>
                <w:rFonts w:hint="eastAsia" w:ascii="宋体" w:hAnsi="宋体" w:cs="宋体"/>
                <w:b/>
                <w:color w:val="auto"/>
                <w:szCs w:val="21"/>
                <w:highlight w:val="none"/>
              </w:rPr>
              <w:t>个月的用量</w:t>
            </w:r>
          </w:p>
          <w:p w14:paraId="7DB061A1">
            <w:pPr>
              <w:jc w:val="center"/>
              <w:rPr>
                <w:rFonts w:ascii="宋体" w:hAnsi="宋体" w:cs="宋体"/>
                <w:color w:val="auto"/>
                <w:szCs w:val="21"/>
                <w:highlight w:val="none"/>
              </w:rPr>
            </w:pP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6DD281A6">
            <w:pPr>
              <w:jc w:val="center"/>
              <w:rPr>
                <w:rFonts w:ascii="宋体" w:hAnsi="宋体" w:cs="宋体"/>
                <w:color w:val="auto"/>
                <w:szCs w:val="21"/>
                <w:highlight w:val="none"/>
                <w:u w:val="single"/>
              </w:rPr>
            </w:pPr>
            <w:r>
              <w:rPr>
                <w:rFonts w:hint="eastAsia" w:ascii="宋体" w:hAnsi="宋体" w:cs="宋体"/>
                <w:color w:val="auto"/>
                <w:szCs w:val="21"/>
                <w:highlight w:val="none"/>
              </w:rPr>
              <w:t>元</w:t>
            </w:r>
          </w:p>
        </w:tc>
        <w:tc>
          <w:tcPr>
            <w:tcW w:w="1561"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4EE04E70">
            <w:pPr>
              <w:jc w:val="both"/>
              <w:rPr>
                <w:rFonts w:ascii="宋体" w:hAnsi="宋体" w:cs="宋体"/>
                <w:color w:val="auto"/>
                <w:szCs w:val="21"/>
                <w:highlight w:val="none"/>
              </w:rPr>
            </w:pPr>
            <w:r>
              <w:rPr>
                <w:rFonts w:hint="eastAsia" w:ascii="宋体" w:hAnsi="宋体" w:cs="宋体"/>
                <w:b/>
                <w:color w:val="auto"/>
                <w:szCs w:val="21"/>
                <w:highlight w:val="none"/>
              </w:rPr>
              <w:t>按</w:t>
            </w:r>
            <w:r>
              <w:rPr>
                <w:rFonts w:hint="eastAsia" w:ascii="宋体" w:hAnsi="宋体" w:cs="宋体"/>
                <w:b/>
                <w:color w:val="auto"/>
                <w:szCs w:val="21"/>
                <w:highlight w:val="none"/>
                <w:lang w:val="en-US" w:eastAsia="zh-CN"/>
              </w:rPr>
              <w:t>12</w:t>
            </w:r>
            <w:r>
              <w:rPr>
                <w:rFonts w:hint="eastAsia" w:ascii="宋体" w:hAnsi="宋体" w:cs="宋体"/>
                <w:b/>
                <w:color w:val="auto"/>
                <w:szCs w:val="21"/>
                <w:highlight w:val="none"/>
              </w:rPr>
              <w:t>个月用量为计算标准</w:t>
            </w:r>
          </w:p>
        </w:tc>
      </w:tr>
      <w:tr w14:paraId="1164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2C411E8C">
            <w:pPr>
              <w:jc w:val="center"/>
              <w:rPr>
                <w:rFonts w:ascii="宋体" w:hAnsi="宋体" w:cs="宋体"/>
                <w:b/>
                <w:color w:val="auto"/>
                <w:szCs w:val="21"/>
                <w:highlight w:val="none"/>
              </w:rPr>
            </w:pPr>
            <w:r>
              <w:rPr>
                <w:rFonts w:hint="eastAsia" w:ascii="宋体" w:hAnsi="宋体" w:cs="宋体"/>
                <w:b/>
                <w:color w:val="auto"/>
                <w:szCs w:val="21"/>
                <w:highlight w:val="none"/>
              </w:rPr>
              <w:t>1.2</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00F777B9">
            <w:pPr>
              <w:jc w:val="center"/>
              <w:rPr>
                <w:rFonts w:ascii="宋体" w:hAnsi="宋体" w:cs="宋体"/>
                <w:b/>
                <w:bCs/>
                <w:color w:val="auto"/>
                <w:szCs w:val="21"/>
                <w:highlight w:val="none"/>
              </w:rPr>
            </w:pPr>
            <w:r>
              <w:rPr>
                <w:rFonts w:hint="eastAsia" w:ascii="宋体" w:hAnsi="宋体" w:cs="宋体"/>
                <w:b/>
                <w:bCs/>
                <w:color w:val="auto"/>
                <w:szCs w:val="21"/>
                <w:highlight w:val="none"/>
              </w:rPr>
              <w:t>保洁、绿化相关工具、耗材、农药品费用</w:t>
            </w:r>
          </w:p>
        </w:tc>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14:paraId="7F95C877">
            <w:pPr>
              <w:jc w:val="center"/>
              <w:rPr>
                <w:rFonts w:ascii="宋体" w:hAnsi="宋体" w:cs="宋体"/>
                <w:color w:val="auto"/>
                <w:szCs w:val="21"/>
                <w:highlight w:val="none"/>
              </w:rPr>
            </w:pP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73342C4C">
            <w:pPr>
              <w:jc w:val="center"/>
              <w:rPr>
                <w:rFonts w:ascii="宋体" w:hAnsi="宋体" w:cs="宋体"/>
                <w:color w:val="auto"/>
                <w:szCs w:val="21"/>
                <w:highlight w:val="none"/>
                <w:u w:val="single"/>
              </w:rPr>
            </w:pPr>
            <w:r>
              <w:rPr>
                <w:rFonts w:hint="eastAsia" w:ascii="宋体" w:hAnsi="宋体" w:cs="宋体"/>
                <w:color w:val="auto"/>
                <w:szCs w:val="21"/>
                <w:highlight w:val="none"/>
              </w:rPr>
              <w:t>元</w:t>
            </w:r>
          </w:p>
        </w:tc>
        <w:tc>
          <w:tcPr>
            <w:tcW w:w="15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493750B">
            <w:pPr>
              <w:jc w:val="center"/>
              <w:rPr>
                <w:rFonts w:ascii="宋体" w:hAnsi="宋体" w:cs="宋体"/>
                <w:color w:val="auto"/>
                <w:szCs w:val="21"/>
                <w:highlight w:val="none"/>
              </w:rPr>
            </w:pPr>
          </w:p>
        </w:tc>
      </w:tr>
      <w:tr w14:paraId="1532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044417C3">
            <w:pPr>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1546CBF2">
            <w:pPr>
              <w:jc w:val="center"/>
              <w:rPr>
                <w:rFonts w:ascii="宋体" w:hAnsi="宋体" w:cs="宋体"/>
                <w:b/>
                <w:bCs/>
                <w:color w:val="auto"/>
                <w:szCs w:val="21"/>
                <w:highlight w:val="none"/>
              </w:rPr>
            </w:pPr>
            <w:r>
              <w:rPr>
                <w:rFonts w:hint="eastAsia" w:ascii="宋体" w:hAnsi="宋体" w:cs="宋体"/>
                <w:b/>
                <w:bCs/>
                <w:color w:val="auto"/>
                <w:szCs w:val="21"/>
                <w:highlight w:val="none"/>
              </w:rPr>
              <w:t>工作服装及劳保用品费用</w:t>
            </w:r>
          </w:p>
        </w:tc>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14:paraId="52031E91">
            <w:pPr>
              <w:jc w:val="center"/>
              <w:rPr>
                <w:rFonts w:ascii="宋体" w:hAnsi="宋体" w:cs="宋体"/>
                <w:b/>
                <w:color w:val="auto"/>
                <w:szCs w:val="21"/>
                <w:highlight w:val="none"/>
                <w:u w:val="single"/>
              </w:rPr>
            </w:pP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1C77E3B2">
            <w:pPr>
              <w:jc w:val="center"/>
              <w:rPr>
                <w:rFonts w:ascii="宋体" w:hAnsi="宋体" w:cs="宋体"/>
                <w:color w:val="auto"/>
                <w:szCs w:val="21"/>
                <w:highlight w:val="none"/>
                <w:u w:val="single"/>
              </w:rPr>
            </w:pPr>
            <w:r>
              <w:rPr>
                <w:rFonts w:hint="eastAsia" w:ascii="宋体" w:hAnsi="宋体" w:cs="宋体"/>
                <w:color w:val="auto"/>
                <w:szCs w:val="21"/>
                <w:highlight w:val="none"/>
              </w:rPr>
              <w:t>元</w:t>
            </w:r>
          </w:p>
        </w:tc>
        <w:tc>
          <w:tcPr>
            <w:tcW w:w="15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5D24C43">
            <w:pPr>
              <w:jc w:val="center"/>
              <w:rPr>
                <w:rFonts w:ascii="宋体" w:hAnsi="宋体" w:cs="宋体"/>
                <w:color w:val="auto"/>
                <w:szCs w:val="21"/>
                <w:highlight w:val="none"/>
              </w:rPr>
            </w:pPr>
          </w:p>
        </w:tc>
      </w:tr>
      <w:tr w14:paraId="223F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6226F5E1">
            <w:pPr>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174D4446">
            <w:pPr>
              <w:jc w:val="center"/>
              <w:rPr>
                <w:rFonts w:ascii="宋体" w:hAnsi="宋体" w:cs="宋体"/>
                <w:b/>
                <w:bCs/>
                <w:color w:val="auto"/>
                <w:szCs w:val="21"/>
                <w:highlight w:val="none"/>
              </w:rPr>
            </w:pPr>
            <w:r>
              <w:rPr>
                <w:rFonts w:hint="eastAsia" w:ascii="宋体" w:hAnsi="宋体" w:cs="宋体"/>
                <w:b/>
                <w:bCs/>
                <w:color w:val="auto"/>
                <w:szCs w:val="21"/>
                <w:highlight w:val="none"/>
              </w:rPr>
              <w:t>空调</w:t>
            </w:r>
            <w:r>
              <w:rPr>
                <w:rFonts w:hint="eastAsia" w:ascii="宋体" w:hAnsi="宋体" w:cs="宋体"/>
                <w:b/>
                <w:bCs/>
                <w:color w:val="auto"/>
                <w:szCs w:val="21"/>
                <w:highlight w:val="none"/>
                <w:lang w:val="en-US" w:eastAsia="zh-CN"/>
              </w:rPr>
              <w:t>维护</w:t>
            </w:r>
            <w:r>
              <w:rPr>
                <w:rFonts w:hint="eastAsia" w:ascii="宋体" w:hAnsi="宋体" w:cs="宋体"/>
                <w:b/>
                <w:bCs/>
                <w:color w:val="auto"/>
                <w:szCs w:val="21"/>
                <w:highlight w:val="none"/>
              </w:rPr>
              <w:t>维</w:t>
            </w:r>
            <w:r>
              <w:rPr>
                <w:rFonts w:hint="eastAsia" w:ascii="宋体" w:hAnsi="宋体" w:cs="宋体"/>
                <w:b/>
                <w:bCs/>
                <w:color w:val="auto"/>
                <w:szCs w:val="21"/>
                <w:highlight w:val="none"/>
                <w:lang w:eastAsia="zh-CN"/>
              </w:rPr>
              <w:t>修</w:t>
            </w:r>
            <w:r>
              <w:rPr>
                <w:rFonts w:hint="eastAsia" w:ascii="宋体" w:hAnsi="宋体" w:cs="宋体"/>
                <w:b/>
                <w:bCs/>
                <w:color w:val="auto"/>
                <w:szCs w:val="21"/>
                <w:highlight w:val="none"/>
              </w:rPr>
              <w:t>费用</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3183B03E">
            <w:pPr>
              <w:jc w:val="center"/>
              <w:rPr>
                <w:rFonts w:ascii="宋体" w:hAnsi="宋体" w:cs="宋体"/>
                <w:b/>
                <w:color w:val="auto"/>
                <w:szCs w:val="21"/>
                <w:highlight w:val="none"/>
                <w:u w:val="single"/>
              </w:rPr>
            </w:pP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7356961E">
            <w:pPr>
              <w:jc w:val="center"/>
              <w:rPr>
                <w:rFonts w:ascii="宋体" w:hAnsi="宋体" w:cs="宋体"/>
                <w:color w:val="auto"/>
                <w:szCs w:val="21"/>
                <w:highlight w:val="none"/>
                <w:u w:val="single"/>
              </w:rPr>
            </w:pPr>
            <w:r>
              <w:rPr>
                <w:rFonts w:hint="eastAsia" w:ascii="宋体" w:hAnsi="宋体" w:cs="宋体"/>
                <w:color w:val="auto"/>
                <w:szCs w:val="21"/>
                <w:highlight w:val="none"/>
              </w:rPr>
              <w:t>元</w:t>
            </w:r>
          </w:p>
        </w:tc>
        <w:tc>
          <w:tcPr>
            <w:tcW w:w="1561"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344BE470">
            <w:pPr>
              <w:jc w:val="both"/>
              <w:rPr>
                <w:rFonts w:ascii="宋体" w:hAnsi="宋体" w:cs="宋体"/>
                <w:color w:val="auto"/>
                <w:szCs w:val="21"/>
                <w:highlight w:val="none"/>
              </w:rPr>
            </w:pPr>
            <w:r>
              <w:rPr>
                <w:rFonts w:hint="eastAsia" w:ascii="宋体" w:hAnsi="宋体" w:cs="宋体"/>
                <w:b/>
                <w:color w:val="auto"/>
                <w:szCs w:val="21"/>
                <w:highlight w:val="none"/>
              </w:rPr>
              <w:t>按</w:t>
            </w:r>
            <w:r>
              <w:rPr>
                <w:rFonts w:hint="eastAsia" w:ascii="宋体" w:hAnsi="宋体" w:cs="宋体"/>
                <w:b/>
                <w:color w:val="auto"/>
                <w:szCs w:val="21"/>
                <w:highlight w:val="none"/>
                <w:lang w:val="en-US" w:eastAsia="zh-CN"/>
              </w:rPr>
              <w:t>12</w:t>
            </w:r>
            <w:r>
              <w:rPr>
                <w:rFonts w:hint="eastAsia" w:ascii="宋体" w:hAnsi="宋体" w:cs="宋体"/>
                <w:b/>
                <w:color w:val="auto"/>
                <w:szCs w:val="21"/>
                <w:highlight w:val="none"/>
              </w:rPr>
              <w:t>个月服务期为计算标准</w:t>
            </w:r>
          </w:p>
        </w:tc>
      </w:tr>
      <w:tr w14:paraId="23DA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4A8089D6">
            <w:pPr>
              <w:jc w:val="center"/>
              <w:rPr>
                <w:rFonts w:ascii="宋体" w:hAnsi="宋体" w:cs="宋体"/>
                <w:b/>
                <w:color w:val="auto"/>
                <w:szCs w:val="21"/>
                <w:highlight w:val="none"/>
              </w:rPr>
            </w:pPr>
            <w:r>
              <w:rPr>
                <w:rFonts w:hint="eastAsia" w:ascii="宋体" w:hAnsi="宋体" w:cs="宋体"/>
                <w:b/>
                <w:color w:val="auto"/>
                <w:szCs w:val="21"/>
                <w:highlight w:val="none"/>
              </w:rPr>
              <w:t>4</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686C88E3">
            <w:pPr>
              <w:jc w:val="center"/>
              <w:rPr>
                <w:rFonts w:ascii="宋体" w:hAnsi="宋体" w:cs="宋体"/>
                <w:b/>
                <w:bCs/>
                <w:color w:val="auto"/>
                <w:szCs w:val="21"/>
                <w:highlight w:val="none"/>
              </w:rPr>
            </w:pPr>
            <w:r>
              <w:rPr>
                <w:rFonts w:hint="eastAsia" w:ascii="宋体" w:hAnsi="宋体" w:cs="宋体"/>
                <w:b/>
                <w:bCs/>
                <w:color w:val="auto"/>
                <w:szCs w:val="21"/>
                <w:highlight w:val="none"/>
              </w:rPr>
              <w:t>消防设施</w:t>
            </w:r>
            <w:r>
              <w:rPr>
                <w:rFonts w:hint="eastAsia" w:ascii="宋体" w:hAnsi="宋体" w:cs="宋体"/>
                <w:b/>
                <w:bCs/>
                <w:color w:val="auto"/>
                <w:szCs w:val="21"/>
                <w:highlight w:val="none"/>
                <w:lang w:val="en-US" w:eastAsia="zh-CN"/>
              </w:rPr>
              <w:t>维护</w:t>
            </w:r>
            <w:r>
              <w:rPr>
                <w:rFonts w:hint="eastAsia" w:ascii="宋体" w:hAnsi="宋体" w:cs="宋体"/>
                <w:b/>
                <w:bCs/>
                <w:color w:val="auto"/>
                <w:szCs w:val="21"/>
                <w:highlight w:val="none"/>
              </w:rPr>
              <w:t>维</w:t>
            </w:r>
            <w:r>
              <w:rPr>
                <w:rFonts w:hint="eastAsia" w:ascii="宋体" w:hAnsi="宋体" w:cs="宋体"/>
                <w:b/>
                <w:bCs/>
                <w:color w:val="auto"/>
                <w:szCs w:val="21"/>
                <w:highlight w:val="none"/>
                <w:lang w:eastAsia="zh-CN"/>
              </w:rPr>
              <w:t>修</w:t>
            </w:r>
            <w:r>
              <w:rPr>
                <w:rFonts w:hint="eastAsia" w:ascii="宋体" w:hAnsi="宋体" w:cs="宋体"/>
                <w:b/>
                <w:bCs/>
                <w:color w:val="auto"/>
                <w:szCs w:val="21"/>
                <w:highlight w:val="none"/>
              </w:rPr>
              <w:t>费用</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55E5C5B4">
            <w:pPr>
              <w:jc w:val="center"/>
              <w:rPr>
                <w:rFonts w:ascii="宋体" w:hAnsi="宋体" w:cs="宋体"/>
                <w:b/>
                <w:color w:val="auto"/>
                <w:szCs w:val="21"/>
                <w:highlight w:val="none"/>
                <w:u w:val="single"/>
              </w:rPr>
            </w:pP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6BCF2024">
            <w:pPr>
              <w:jc w:val="center"/>
              <w:rPr>
                <w:rFonts w:ascii="宋体" w:hAnsi="宋体" w:cs="宋体"/>
                <w:color w:val="auto"/>
                <w:szCs w:val="21"/>
                <w:highlight w:val="none"/>
                <w:u w:val="single"/>
              </w:rPr>
            </w:pPr>
            <w:r>
              <w:rPr>
                <w:rFonts w:hint="eastAsia" w:ascii="宋体" w:hAnsi="宋体" w:cs="宋体"/>
                <w:color w:val="auto"/>
                <w:szCs w:val="21"/>
                <w:highlight w:val="none"/>
              </w:rPr>
              <w:t>元</w:t>
            </w:r>
          </w:p>
        </w:tc>
        <w:tc>
          <w:tcPr>
            <w:tcW w:w="15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3701DD1">
            <w:pPr>
              <w:jc w:val="center"/>
              <w:rPr>
                <w:rFonts w:ascii="宋体" w:hAnsi="宋体" w:cs="宋体"/>
                <w:color w:val="auto"/>
                <w:szCs w:val="21"/>
                <w:highlight w:val="none"/>
              </w:rPr>
            </w:pPr>
          </w:p>
        </w:tc>
      </w:tr>
      <w:tr w14:paraId="4F74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0A414E68">
            <w:pPr>
              <w:jc w:val="center"/>
              <w:rPr>
                <w:rFonts w:hint="eastAsia" w:ascii="宋体" w:hAnsi="宋体" w:cs="宋体"/>
                <w:b/>
                <w:color w:val="auto"/>
                <w:szCs w:val="21"/>
                <w:highlight w:val="none"/>
              </w:rPr>
            </w:pPr>
            <w:r>
              <w:rPr>
                <w:rFonts w:hint="eastAsia" w:ascii="宋体" w:hAnsi="宋体" w:cs="宋体"/>
                <w:b/>
                <w:color w:val="auto"/>
                <w:szCs w:val="21"/>
                <w:highlight w:val="none"/>
              </w:rPr>
              <w:t>5</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4B8C5D7B">
            <w:pPr>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电梯维护维修费用</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0CC97DC3">
            <w:pPr>
              <w:jc w:val="center"/>
              <w:rPr>
                <w:rFonts w:ascii="宋体" w:hAnsi="宋体" w:cs="宋体"/>
                <w:b/>
                <w:color w:val="auto"/>
                <w:szCs w:val="21"/>
                <w:highlight w:val="none"/>
                <w:u w:val="single"/>
              </w:rPr>
            </w:pP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2D098335">
            <w:pPr>
              <w:jc w:val="center"/>
              <w:rPr>
                <w:rFonts w:hint="eastAsia" w:ascii="宋体" w:hAnsi="宋体" w:cs="宋体"/>
                <w:color w:val="auto"/>
                <w:szCs w:val="21"/>
                <w:highlight w:val="none"/>
              </w:rPr>
            </w:pPr>
            <w:r>
              <w:rPr>
                <w:rFonts w:hint="eastAsia" w:ascii="宋体" w:hAnsi="宋体" w:cs="宋体"/>
                <w:color w:val="auto"/>
                <w:szCs w:val="21"/>
                <w:highlight w:val="none"/>
              </w:rPr>
              <w:t>元</w:t>
            </w:r>
          </w:p>
        </w:tc>
        <w:tc>
          <w:tcPr>
            <w:tcW w:w="15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875ED14">
            <w:pPr>
              <w:jc w:val="center"/>
              <w:rPr>
                <w:rFonts w:ascii="宋体" w:hAnsi="宋体" w:cs="宋体"/>
                <w:color w:val="auto"/>
                <w:szCs w:val="21"/>
                <w:highlight w:val="none"/>
              </w:rPr>
            </w:pPr>
          </w:p>
        </w:tc>
      </w:tr>
      <w:tr w14:paraId="67B6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63528D6C">
            <w:pPr>
              <w:jc w:val="center"/>
              <w:rPr>
                <w:rFonts w:ascii="宋体" w:hAnsi="宋体" w:cs="宋体"/>
                <w:b/>
                <w:color w:val="auto"/>
                <w:szCs w:val="21"/>
                <w:highlight w:val="none"/>
              </w:rPr>
            </w:pPr>
            <w:r>
              <w:rPr>
                <w:rFonts w:hint="eastAsia" w:ascii="宋体" w:hAnsi="宋体" w:cs="宋体"/>
                <w:b/>
                <w:color w:val="auto"/>
                <w:szCs w:val="21"/>
                <w:highlight w:val="none"/>
                <w:lang w:val="en-US" w:eastAsia="zh-CN"/>
              </w:rPr>
              <w:t>6</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2D2D20B3">
            <w:pPr>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供</w:t>
            </w:r>
            <w:r>
              <w:rPr>
                <w:rFonts w:hint="eastAsia" w:ascii="宋体" w:hAnsi="宋体" w:cs="宋体"/>
                <w:b/>
                <w:bCs/>
                <w:color w:val="auto"/>
                <w:szCs w:val="21"/>
                <w:highlight w:val="none"/>
              </w:rPr>
              <w:t>配电</w:t>
            </w:r>
            <w:r>
              <w:rPr>
                <w:rFonts w:hint="eastAsia" w:ascii="宋体" w:hAnsi="宋体" w:cs="宋体"/>
                <w:b/>
                <w:bCs/>
                <w:color w:val="auto"/>
                <w:szCs w:val="21"/>
                <w:highlight w:val="none"/>
                <w:lang w:val="en-US" w:eastAsia="zh-CN"/>
              </w:rPr>
              <w:t>维护</w:t>
            </w:r>
            <w:r>
              <w:rPr>
                <w:rFonts w:hint="eastAsia" w:ascii="宋体" w:hAnsi="宋体" w:cs="宋体"/>
                <w:b/>
                <w:bCs/>
                <w:color w:val="auto"/>
                <w:szCs w:val="21"/>
                <w:highlight w:val="none"/>
              </w:rPr>
              <w:t>维</w:t>
            </w:r>
            <w:r>
              <w:rPr>
                <w:rFonts w:hint="eastAsia" w:ascii="宋体" w:hAnsi="宋体" w:cs="宋体"/>
                <w:b/>
                <w:bCs/>
                <w:color w:val="auto"/>
                <w:szCs w:val="21"/>
                <w:highlight w:val="none"/>
                <w:lang w:eastAsia="zh-CN"/>
              </w:rPr>
              <w:t>修</w:t>
            </w:r>
            <w:r>
              <w:rPr>
                <w:rFonts w:hint="eastAsia" w:ascii="宋体" w:hAnsi="宋体" w:cs="宋体"/>
                <w:b/>
                <w:bCs/>
                <w:color w:val="auto"/>
                <w:szCs w:val="21"/>
                <w:highlight w:val="none"/>
              </w:rPr>
              <w:t>费用</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02EB2980">
            <w:pPr>
              <w:jc w:val="center"/>
              <w:rPr>
                <w:rFonts w:ascii="宋体" w:hAnsi="宋体" w:cs="宋体"/>
                <w:b/>
                <w:bCs/>
                <w:color w:val="auto"/>
                <w:szCs w:val="21"/>
                <w:highlight w:val="none"/>
              </w:rPr>
            </w:pP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71E949C7">
            <w:pPr>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5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91A323E">
            <w:pPr>
              <w:jc w:val="center"/>
              <w:rPr>
                <w:rFonts w:ascii="宋体" w:hAnsi="宋体" w:cs="宋体"/>
                <w:color w:val="auto"/>
                <w:szCs w:val="21"/>
                <w:highlight w:val="none"/>
              </w:rPr>
            </w:pPr>
          </w:p>
        </w:tc>
      </w:tr>
      <w:tr w14:paraId="2FEE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4F920FEA">
            <w:pPr>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7</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4389F35A">
            <w:pPr>
              <w:jc w:val="center"/>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给排</w:t>
            </w:r>
            <w:r>
              <w:rPr>
                <w:rFonts w:hint="eastAsia" w:ascii="宋体" w:hAnsi="宋体" w:cs="宋体"/>
                <w:b/>
                <w:bCs/>
                <w:color w:val="auto"/>
                <w:szCs w:val="21"/>
                <w:highlight w:val="none"/>
                <w:lang w:eastAsia="zh-CN"/>
              </w:rPr>
              <w:t>水维修费用</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5DE81BA2">
            <w:pPr>
              <w:jc w:val="center"/>
              <w:rPr>
                <w:rFonts w:ascii="宋体" w:hAnsi="宋体" w:cs="宋体"/>
                <w:b/>
                <w:bCs/>
                <w:color w:val="auto"/>
                <w:szCs w:val="21"/>
                <w:highlight w:val="none"/>
              </w:rPr>
            </w:pP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2D23B97C">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元</w:t>
            </w:r>
          </w:p>
        </w:tc>
        <w:tc>
          <w:tcPr>
            <w:tcW w:w="15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9BDF91F">
            <w:pPr>
              <w:jc w:val="center"/>
              <w:rPr>
                <w:rFonts w:ascii="宋体" w:hAnsi="宋体" w:cs="宋体"/>
                <w:color w:val="auto"/>
                <w:szCs w:val="21"/>
                <w:highlight w:val="none"/>
              </w:rPr>
            </w:pPr>
          </w:p>
        </w:tc>
      </w:tr>
      <w:tr w14:paraId="121F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3994D673">
            <w:pPr>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8</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71AC9532">
            <w:pPr>
              <w:jc w:val="center"/>
              <w:rPr>
                <w:rFonts w:ascii="宋体" w:hAnsi="宋体" w:cs="宋体"/>
                <w:b/>
                <w:bCs/>
                <w:color w:val="auto"/>
                <w:szCs w:val="21"/>
                <w:highlight w:val="none"/>
              </w:rPr>
            </w:pPr>
            <w:r>
              <w:rPr>
                <w:rFonts w:hint="eastAsia" w:ascii="宋体" w:hAnsi="宋体" w:cs="宋体"/>
                <w:b/>
                <w:bCs/>
                <w:color w:val="auto"/>
                <w:szCs w:val="21"/>
                <w:highlight w:val="none"/>
              </w:rPr>
              <w:t>门禁、道闸、监控系统维修费用</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015D4C7F">
            <w:pPr>
              <w:jc w:val="center"/>
              <w:rPr>
                <w:rFonts w:ascii="宋体" w:hAnsi="宋体" w:cs="宋体"/>
                <w:b/>
                <w:bCs/>
                <w:color w:val="auto"/>
                <w:szCs w:val="21"/>
                <w:highlight w:val="none"/>
              </w:rPr>
            </w:pP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504EBDE9">
            <w:pPr>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5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AF5A98F">
            <w:pPr>
              <w:jc w:val="center"/>
              <w:rPr>
                <w:rFonts w:ascii="宋体" w:hAnsi="宋体" w:cs="宋体"/>
                <w:color w:val="auto"/>
                <w:szCs w:val="21"/>
                <w:highlight w:val="none"/>
              </w:rPr>
            </w:pPr>
          </w:p>
        </w:tc>
      </w:tr>
      <w:tr w14:paraId="6884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66B0994A">
            <w:pPr>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9</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2346E100">
            <w:pPr>
              <w:jc w:val="center"/>
              <w:rPr>
                <w:rFonts w:hint="eastAsia" w:ascii="宋体" w:hAnsi="宋体" w:cs="宋体"/>
                <w:b/>
                <w:bCs/>
                <w:color w:val="auto"/>
                <w:szCs w:val="21"/>
                <w:highlight w:val="none"/>
              </w:rPr>
            </w:pPr>
            <w:r>
              <w:rPr>
                <w:rFonts w:hint="eastAsia" w:ascii="宋体" w:hAnsi="宋体"/>
                <w:b/>
                <w:bCs/>
                <w:color w:val="auto"/>
                <w:highlight w:val="none"/>
                <w:lang w:eastAsia="zh-CN"/>
              </w:rPr>
              <w:t>房屋维修费用</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10DBD613">
            <w:pPr>
              <w:jc w:val="center"/>
              <w:rPr>
                <w:rFonts w:ascii="宋体" w:hAnsi="宋体" w:cs="宋体"/>
                <w:b/>
                <w:bCs/>
                <w:color w:val="auto"/>
                <w:szCs w:val="21"/>
                <w:highlight w:val="none"/>
              </w:rPr>
            </w:pP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46C60972">
            <w:pPr>
              <w:jc w:val="center"/>
              <w:rPr>
                <w:rFonts w:hint="eastAsia" w:ascii="宋体" w:hAnsi="宋体" w:cs="宋体"/>
                <w:color w:val="auto"/>
                <w:szCs w:val="21"/>
                <w:highlight w:val="none"/>
              </w:rPr>
            </w:pPr>
            <w:r>
              <w:rPr>
                <w:rFonts w:hint="eastAsia" w:ascii="宋体" w:hAnsi="宋体" w:cs="宋体"/>
                <w:color w:val="auto"/>
                <w:szCs w:val="21"/>
                <w:highlight w:val="none"/>
              </w:rPr>
              <w:t>元</w:t>
            </w:r>
          </w:p>
        </w:tc>
        <w:tc>
          <w:tcPr>
            <w:tcW w:w="15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F36CDC3">
            <w:pPr>
              <w:jc w:val="center"/>
              <w:rPr>
                <w:rFonts w:ascii="宋体" w:hAnsi="宋体" w:cs="宋体"/>
                <w:color w:val="auto"/>
                <w:szCs w:val="21"/>
                <w:highlight w:val="none"/>
              </w:rPr>
            </w:pPr>
          </w:p>
        </w:tc>
      </w:tr>
      <w:tr w14:paraId="5C04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4F6E14A8">
            <w:pPr>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10</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17DABE7E">
            <w:pPr>
              <w:jc w:val="center"/>
              <w:rPr>
                <w:rFonts w:ascii="宋体" w:hAnsi="宋体" w:cs="宋体"/>
                <w:b/>
                <w:bCs/>
                <w:color w:val="auto"/>
                <w:szCs w:val="21"/>
                <w:highlight w:val="none"/>
              </w:rPr>
            </w:pPr>
            <w:r>
              <w:rPr>
                <w:rFonts w:hint="eastAsia" w:ascii="宋体" w:hAnsi="宋体" w:cs="宋体"/>
                <w:b/>
                <w:bCs/>
                <w:color w:val="auto"/>
                <w:szCs w:val="21"/>
                <w:highlight w:val="none"/>
              </w:rPr>
              <w:t>其它</w:t>
            </w:r>
            <w:r>
              <w:rPr>
                <w:rFonts w:hint="eastAsia" w:ascii="宋体" w:hAnsi="宋体" w:cs="宋体"/>
                <w:b/>
                <w:bCs/>
                <w:color w:val="auto"/>
                <w:szCs w:val="21"/>
                <w:highlight w:val="none"/>
                <w:lang w:val="en-US" w:eastAsia="zh-CN"/>
              </w:rPr>
              <w:t>项目维修</w:t>
            </w:r>
            <w:r>
              <w:rPr>
                <w:rFonts w:hint="eastAsia" w:ascii="宋体" w:hAnsi="宋体" w:cs="宋体"/>
                <w:b/>
                <w:bCs/>
                <w:color w:val="auto"/>
                <w:szCs w:val="21"/>
                <w:highlight w:val="none"/>
              </w:rPr>
              <w:t>费用</w:t>
            </w:r>
            <w:r>
              <w:rPr>
                <w:rFonts w:hint="eastAsia" w:ascii="宋体" w:hAnsi="宋体" w:cs="宋体"/>
                <w:b/>
                <w:bCs/>
                <w:color w:val="auto"/>
                <w:szCs w:val="21"/>
                <w:highlight w:val="none"/>
                <w:lang w:eastAsia="zh-CN"/>
              </w:rPr>
              <w:t>（照明、弱电等）</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43C9DAE6">
            <w:pPr>
              <w:jc w:val="center"/>
              <w:rPr>
                <w:rFonts w:ascii="宋体" w:hAnsi="宋体" w:cs="宋体"/>
                <w:b/>
                <w:color w:val="auto"/>
                <w:szCs w:val="21"/>
                <w:highlight w:val="none"/>
                <w:u w:val="single"/>
              </w:rPr>
            </w:pP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380E8307">
            <w:pPr>
              <w:jc w:val="center"/>
              <w:rPr>
                <w:rFonts w:ascii="宋体" w:hAnsi="宋体" w:cs="宋体"/>
                <w:color w:val="auto"/>
                <w:szCs w:val="21"/>
                <w:highlight w:val="none"/>
                <w:u w:val="single"/>
              </w:rPr>
            </w:pPr>
            <w:r>
              <w:rPr>
                <w:rFonts w:hint="eastAsia" w:ascii="宋体" w:hAnsi="宋体" w:cs="宋体"/>
                <w:color w:val="auto"/>
                <w:szCs w:val="21"/>
                <w:highlight w:val="none"/>
              </w:rPr>
              <w:t>元</w:t>
            </w:r>
          </w:p>
        </w:tc>
        <w:tc>
          <w:tcPr>
            <w:tcW w:w="15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4575629">
            <w:pPr>
              <w:jc w:val="center"/>
              <w:rPr>
                <w:rFonts w:ascii="宋体" w:hAnsi="宋体" w:cs="宋体"/>
                <w:color w:val="auto"/>
                <w:szCs w:val="21"/>
                <w:highlight w:val="none"/>
              </w:rPr>
            </w:pPr>
          </w:p>
        </w:tc>
      </w:tr>
      <w:tr w14:paraId="464A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464" w:type="dxa"/>
            <w:gridSpan w:val="12"/>
            <w:tcBorders>
              <w:top w:val="single" w:color="auto" w:sz="4" w:space="0"/>
              <w:left w:val="single" w:color="auto" w:sz="4" w:space="0"/>
              <w:bottom w:val="single" w:color="auto" w:sz="4" w:space="0"/>
              <w:right w:val="single" w:color="auto" w:sz="4" w:space="0"/>
            </w:tcBorders>
            <w:noWrap w:val="0"/>
            <w:vAlign w:val="center"/>
          </w:tcPr>
          <w:p w14:paraId="6CBE1850">
            <w:pPr>
              <w:jc w:val="left"/>
              <w:rPr>
                <w:rFonts w:ascii="宋体" w:hAnsi="宋体" w:cs="宋体"/>
                <w:color w:val="auto"/>
                <w:szCs w:val="21"/>
                <w:highlight w:val="none"/>
              </w:rPr>
            </w:pPr>
            <w:r>
              <w:rPr>
                <w:rFonts w:hint="eastAsia" w:ascii="宋体" w:hAnsi="宋体" w:cs="宋体"/>
                <w:b/>
                <w:color w:val="auto"/>
                <w:szCs w:val="21"/>
                <w:highlight w:val="none"/>
              </w:rPr>
              <w:t>六、</w:t>
            </w:r>
            <w:r>
              <w:rPr>
                <w:rFonts w:hint="eastAsia" w:ascii="宋体" w:hAnsi="宋体" w:cs="宋体"/>
                <w:b/>
                <w:color w:val="auto"/>
                <w:szCs w:val="21"/>
                <w:highlight w:val="none"/>
                <w:lang w:val="en-US" w:eastAsia="zh-CN"/>
              </w:rPr>
              <w:t>前期</w:t>
            </w:r>
            <w:r>
              <w:rPr>
                <w:rFonts w:hint="eastAsia" w:ascii="宋体" w:hAnsi="宋体" w:cs="宋体"/>
                <w:b/>
                <w:color w:val="auto"/>
                <w:szCs w:val="21"/>
                <w:highlight w:val="none"/>
              </w:rPr>
              <w:t>费</w:t>
            </w:r>
            <w:r>
              <w:rPr>
                <w:rFonts w:hint="eastAsia" w:ascii="宋体" w:hAnsi="宋体" w:cs="宋体"/>
                <w:b/>
                <w:color w:val="auto"/>
                <w:szCs w:val="21"/>
                <w:highlight w:val="none"/>
                <w:lang w:val="en-US" w:eastAsia="zh-CN"/>
              </w:rPr>
              <w:t>用</w:t>
            </w:r>
          </w:p>
        </w:tc>
      </w:tr>
      <w:tr w14:paraId="2220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0796A59A">
            <w:pPr>
              <w:widowControl/>
              <w:jc w:val="center"/>
              <w:rPr>
                <w:rFonts w:ascii="宋体" w:hAnsi="宋体" w:cs="宋体"/>
                <w:color w:val="auto"/>
                <w:szCs w:val="21"/>
                <w:highlight w:val="none"/>
              </w:rPr>
            </w:pPr>
            <w:r>
              <w:rPr>
                <w:rFonts w:hint="eastAsia" w:ascii="宋体" w:hAnsi="宋体" w:cs="宋体"/>
                <w:b/>
                <w:color w:val="auto"/>
                <w:szCs w:val="21"/>
                <w:highlight w:val="none"/>
              </w:rPr>
              <w:t>序号</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3D597B62">
            <w:pPr>
              <w:widowControl/>
              <w:jc w:val="center"/>
              <w:rPr>
                <w:color w:val="auto"/>
              </w:rPr>
            </w:pPr>
            <w:r>
              <w:rPr>
                <w:rFonts w:hint="eastAsia" w:ascii="宋体" w:hAnsi="宋体" w:cs="宋体"/>
                <w:b/>
                <w:color w:val="auto"/>
                <w:szCs w:val="21"/>
                <w:highlight w:val="none"/>
              </w:rPr>
              <w:t>科目类别</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5B74AEF2">
            <w:pPr>
              <w:widowControl/>
              <w:jc w:val="center"/>
              <w:rPr>
                <w:color w:val="auto"/>
              </w:rPr>
            </w:pPr>
            <w:r>
              <w:rPr>
                <w:rFonts w:hint="eastAsia" w:ascii="宋体" w:hAnsi="宋体" w:cs="宋体"/>
                <w:b/>
                <w:color w:val="auto"/>
                <w:szCs w:val="21"/>
                <w:highlight w:val="none"/>
              </w:rPr>
              <w:t>测算依据</w:t>
            </w: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7D613B5E">
            <w:pPr>
              <w:jc w:val="center"/>
              <w:rPr>
                <w:color w:val="auto"/>
              </w:rPr>
            </w:pPr>
            <w:r>
              <w:rPr>
                <w:rFonts w:hint="eastAsia" w:ascii="宋体" w:hAnsi="宋体" w:cs="宋体"/>
                <w:b/>
                <w:color w:val="auto"/>
                <w:szCs w:val="21"/>
                <w:highlight w:val="none"/>
              </w:rPr>
              <w:t>费用合计（元）</w:t>
            </w:r>
          </w:p>
        </w:tc>
        <w:tc>
          <w:tcPr>
            <w:tcW w:w="1561" w:type="dxa"/>
            <w:gridSpan w:val="3"/>
            <w:tcBorders>
              <w:top w:val="single" w:color="auto" w:sz="4" w:space="0"/>
              <w:left w:val="single" w:color="auto" w:sz="4" w:space="0"/>
              <w:bottom w:val="single" w:color="auto" w:sz="4" w:space="0"/>
              <w:right w:val="single" w:color="auto" w:sz="4" w:space="0"/>
            </w:tcBorders>
            <w:noWrap w:val="0"/>
            <w:vAlign w:val="center"/>
          </w:tcPr>
          <w:p w14:paraId="4BF483A0">
            <w:pPr>
              <w:widowControl/>
              <w:jc w:val="center"/>
              <w:rPr>
                <w:color w:val="auto"/>
              </w:rPr>
            </w:pPr>
            <w:r>
              <w:rPr>
                <w:rFonts w:hint="eastAsia" w:ascii="宋体" w:hAnsi="宋体" w:cs="宋体"/>
                <w:b/>
                <w:color w:val="auto"/>
                <w:szCs w:val="21"/>
                <w:highlight w:val="none"/>
              </w:rPr>
              <w:t>备注</w:t>
            </w:r>
          </w:p>
        </w:tc>
      </w:tr>
      <w:tr w14:paraId="4261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94" w:type="dxa"/>
            <w:gridSpan w:val="3"/>
            <w:tcBorders>
              <w:top w:val="single" w:color="auto" w:sz="4" w:space="0"/>
              <w:left w:val="single" w:color="auto" w:sz="4" w:space="0"/>
              <w:bottom w:val="single" w:color="auto" w:sz="4" w:space="0"/>
              <w:right w:val="single" w:color="auto" w:sz="4" w:space="0"/>
            </w:tcBorders>
            <w:noWrap w:val="0"/>
            <w:vAlign w:val="center"/>
          </w:tcPr>
          <w:p w14:paraId="5CD72BC1">
            <w:pPr>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1</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442339A1">
            <w:pPr>
              <w:jc w:val="center"/>
              <w:rPr>
                <w:color w:val="auto"/>
              </w:rPr>
            </w:pPr>
            <w:r>
              <w:rPr>
                <w:rFonts w:hint="eastAsia" w:ascii="宋体" w:hAnsi="宋体" w:cs="宋体"/>
                <w:b/>
                <w:bCs/>
                <w:color w:val="auto"/>
                <w:szCs w:val="21"/>
                <w:highlight w:val="none"/>
                <w:lang w:val="en-US" w:eastAsia="zh-CN"/>
              </w:rPr>
              <w:t>项目前期服务费用</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1B6B6D77">
            <w:pPr>
              <w:jc w:val="left"/>
              <w:rPr>
                <w:color w:val="auto"/>
              </w:rPr>
            </w:pPr>
            <w:r>
              <w:rPr>
                <w:rFonts w:hint="eastAsia" w:ascii="宋体" w:hAnsi="宋体" w:cs="宋体"/>
                <w:b/>
                <w:bCs/>
                <w:color w:val="auto"/>
                <w:szCs w:val="21"/>
                <w:highlight w:val="none"/>
                <w:lang w:val="en-US" w:eastAsia="zh-CN"/>
              </w:rPr>
              <w:t>1.人员费用。按报表中一、二项人员经费总额除以365天进行核算； 2.物料费用约5万元，以实际支出为准。</w:t>
            </w:r>
          </w:p>
        </w:tc>
        <w:tc>
          <w:tcPr>
            <w:tcW w:w="3556" w:type="dxa"/>
            <w:gridSpan w:val="4"/>
            <w:tcBorders>
              <w:top w:val="single" w:color="auto" w:sz="4" w:space="0"/>
              <w:left w:val="single" w:color="auto" w:sz="4" w:space="0"/>
              <w:bottom w:val="single" w:color="auto" w:sz="4" w:space="0"/>
              <w:right w:val="single" w:color="auto" w:sz="4" w:space="0"/>
            </w:tcBorders>
            <w:noWrap w:val="0"/>
            <w:vAlign w:val="center"/>
          </w:tcPr>
          <w:p w14:paraId="1944DACC">
            <w:pPr>
              <w:jc w:val="center"/>
              <w:rPr>
                <w:color w:val="auto"/>
              </w:rPr>
            </w:pPr>
          </w:p>
        </w:tc>
        <w:tc>
          <w:tcPr>
            <w:tcW w:w="1561" w:type="dxa"/>
            <w:gridSpan w:val="3"/>
            <w:tcBorders>
              <w:top w:val="single" w:color="auto" w:sz="4" w:space="0"/>
              <w:left w:val="single" w:color="auto" w:sz="4" w:space="0"/>
              <w:bottom w:val="single" w:color="auto" w:sz="4" w:space="0"/>
              <w:right w:val="single" w:color="auto" w:sz="4" w:space="0"/>
            </w:tcBorders>
            <w:noWrap w:val="0"/>
            <w:vAlign w:val="center"/>
          </w:tcPr>
          <w:p w14:paraId="77015448">
            <w:pPr>
              <w:jc w:val="center"/>
              <w:rPr>
                <w:color w:val="auto"/>
              </w:rPr>
            </w:pPr>
            <w:r>
              <w:rPr>
                <w:rFonts w:hint="eastAsia" w:ascii="宋体" w:hAnsi="宋体" w:cs="宋体"/>
                <w:b/>
                <w:bCs/>
                <w:color w:val="auto"/>
                <w:szCs w:val="21"/>
                <w:highlight w:val="none"/>
                <w:lang w:val="en-US" w:eastAsia="zh-CN"/>
              </w:rPr>
              <w:t>自2026年5月29日起至新中标供应商正式进场日止，按实际天数结算。</w:t>
            </w:r>
          </w:p>
        </w:tc>
      </w:tr>
      <w:tr w14:paraId="70FD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464" w:type="dxa"/>
            <w:gridSpan w:val="12"/>
            <w:noWrap w:val="0"/>
            <w:vAlign w:val="center"/>
          </w:tcPr>
          <w:p w14:paraId="4CE71460">
            <w:pPr>
              <w:rPr>
                <w:rFonts w:ascii="宋体" w:hAnsi="宋体" w:cs="宋体"/>
                <w:color w:val="auto"/>
                <w:szCs w:val="21"/>
                <w:highlight w:val="none"/>
              </w:rPr>
            </w:pPr>
            <w:r>
              <w:rPr>
                <w:rFonts w:hint="eastAsia" w:ascii="宋体" w:hAnsi="宋体" w:cs="宋体"/>
                <w:b/>
                <w:color w:val="auto"/>
                <w:szCs w:val="21"/>
                <w:highlight w:val="none"/>
                <w:lang w:val="en-US" w:eastAsia="zh-CN"/>
              </w:rPr>
              <w:t>七</w:t>
            </w:r>
            <w:r>
              <w:rPr>
                <w:rFonts w:hint="eastAsia" w:ascii="宋体" w:hAnsi="宋体" w:cs="宋体"/>
                <w:b/>
                <w:color w:val="auto"/>
                <w:szCs w:val="21"/>
                <w:highlight w:val="none"/>
              </w:rPr>
              <w:t>、</w:t>
            </w:r>
            <w:r>
              <w:rPr>
                <w:rFonts w:hint="eastAsia" w:ascii="宋体" w:hAnsi="宋体" w:cs="宋体"/>
                <w:b/>
                <w:color w:val="auto"/>
                <w:szCs w:val="21"/>
                <w:highlight w:val="none"/>
                <w:lang w:eastAsia="zh-CN"/>
              </w:rPr>
              <w:t>其他</w:t>
            </w:r>
            <w:r>
              <w:rPr>
                <w:rFonts w:hint="eastAsia" w:ascii="宋体" w:hAnsi="宋体" w:cs="宋体"/>
                <w:b/>
                <w:color w:val="auto"/>
                <w:szCs w:val="21"/>
                <w:highlight w:val="none"/>
              </w:rPr>
              <w:t>费</w:t>
            </w:r>
            <w:r>
              <w:rPr>
                <w:rFonts w:hint="eastAsia" w:ascii="宋体" w:hAnsi="宋体" w:cs="宋体"/>
                <w:b/>
                <w:color w:val="auto"/>
                <w:szCs w:val="21"/>
                <w:highlight w:val="none"/>
                <w:lang w:eastAsia="zh-CN"/>
              </w:rPr>
              <w:t>用</w:t>
            </w:r>
          </w:p>
        </w:tc>
      </w:tr>
      <w:tr w14:paraId="4B16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94" w:type="dxa"/>
            <w:gridSpan w:val="3"/>
            <w:noWrap w:val="0"/>
            <w:vAlign w:val="center"/>
          </w:tcPr>
          <w:p w14:paraId="022A12AD">
            <w:pPr>
              <w:widowControl/>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531" w:type="dxa"/>
            <w:noWrap w:val="0"/>
            <w:vAlign w:val="center"/>
          </w:tcPr>
          <w:p w14:paraId="51DC34B8">
            <w:pPr>
              <w:widowControl/>
              <w:jc w:val="center"/>
              <w:rPr>
                <w:color w:val="auto"/>
              </w:rPr>
            </w:pPr>
            <w:r>
              <w:rPr>
                <w:rFonts w:hint="eastAsia" w:ascii="宋体" w:hAnsi="宋体" w:cs="宋体"/>
                <w:b/>
                <w:color w:val="auto"/>
                <w:szCs w:val="21"/>
                <w:highlight w:val="none"/>
              </w:rPr>
              <w:t>科目类别</w:t>
            </w:r>
          </w:p>
        </w:tc>
        <w:tc>
          <w:tcPr>
            <w:tcW w:w="2122" w:type="dxa"/>
            <w:noWrap w:val="0"/>
            <w:vAlign w:val="center"/>
          </w:tcPr>
          <w:p w14:paraId="5684F7CF">
            <w:pPr>
              <w:widowControl/>
              <w:jc w:val="center"/>
              <w:rPr>
                <w:color w:val="auto"/>
              </w:rPr>
            </w:pPr>
            <w:r>
              <w:rPr>
                <w:rFonts w:hint="eastAsia" w:ascii="宋体" w:hAnsi="宋体" w:cs="宋体"/>
                <w:b/>
                <w:color w:val="auto"/>
                <w:szCs w:val="21"/>
                <w:highlight w:val="none"/>
              </w:rPr>
              <w:t>测算依据</w:t>
            </w:r>
          </w:p>
        </w:tc>
        <w:tc>
          <w:tcPr>
            <w:tcW w:w="3556" w:type="dxa"/>
            <w:gridSpan w:val="4"/>
            <w:noWrap w:val="0"/>
            <w:vAlign w:val="center"/>
          </w:tcPr>
          <w:p w14:paraId="0A6FC80E">
            <w:pPr>
              <w:jc w:val="center"/>
              <w:rPr>
                <w:color w:val="auto"/>
              </w:rPr>
            </w:pPr>
            <w:r>
              <w:rPr>
                <w:rFonts w:hint="eastAsia" w:ascii="宋体" w:hAnsi="宋体" w:cs="宋体"/>
                <w:b/>
                <w:color w:val="auto"/>
                <w:szCs w:val="21"/>
                <w:highlight w:val="none"/>
              </w:rPr>
              <w:t>费用合计（元）</w:t>
            </w:r>
          </w:p>
        </w:tc>
        <w:tc>
          <w:tcPr>
            <w:tcW w:w="1561" w:type="dxa"/>
            <w:gridSpan w:val="3"/>
            <w:noWrap w:val="0"/>
            <w:vAlign w:val="center"/>
          </w:tcPr>
          <w:p w14:paraId="01BF1113">
            <w:pPr>
              <w:widowControl/>
              <w:jc w:val="center"/>
              <w:rPr>
                <w:color w:val="auto"/>
              </w:rPr>
            </w:pPr>
            <w:r>
              <w:rPr>
                <w:rFonts w:hint="eastAsia" w:ascii="宋体" w:hAnsi="宋体" w:cs="宋体"/>
                <w:b/>
                <w:color w:val="auto"/>
                <w:szCs w:val="21"/>
                <w:highlight w:val="none"/>
              </w:rPr>
              <w:t>备注</w:t>
            </w:r>
          </w:p>
        </w:tc>
      </w:tr>
      <w:tr w14:paraId="4500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4" w:type="dxa"/>
            <w:gridSpan w:val="3"/>
            <w:noWrap w:val="0"/>
            <w:vAlign w:val="center"/>
          </w:tcPr>
          <w:p w14:paraId="2CE7DE38">
            <w:pPr>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1531" w:type="dxa"/>
            <w:noWrap w:val="0"/>
            <w:vAlign w:val="center"/>
          </w:tcPr>
          <w:p w14:paraId="2FE95A6F">
            <w:pPr>
              <w:widowControl/>
              <w:jc w:val="center"/>
              <w:rPr>
                <w:rFonts w:hint="eastAsia" w:ascii="宋体" w:hAnsi="宋体" w:eastAsia="宋体" w:cs="宋体"/>
                <w:b/>
                <w:color w:val="auto"/>
                <w:szCs w:val="21"/>
                <w:highlight w:val="none"/>
                <w:lang w:eastAsia="zh-CN"/>
              </w:rPr>
            </w:pPr>
            <w:r>
              <w:rPr>
                <w:rFonts w:hint="eastAsia" w:ascii="宋体" w:hAnsi="宋体" w:cs="宋体"/>
                <w:b/>
                <w:bCs/>
                <w:color w:val="auto"/>
                <w:szCs w:val="21"/>
                <w:highlight w:val="none"/>
                <w:lang w:eastAsia="zh-CN"/>
              </w:rPr>
              <w:t>其他费用（供应商根据需求自行列举）</w:t>
            </w:r>
          </w:p>
        </w:tc>
        <w:tc>
          <w:tcPr>
            <w:tcW w:w="2122" w:type="dxa"/>
            <w:noWrap w:val="0"/>
            <w:vAlign w:val="center"/>
          </w:tcPr>
          <w:p w14:paraId="6F05E318">
            <w:pPr>
              <w:jc w:val="center"/>
              <w:rPr>
                <w:rFonts w:ascii="宋体" w:hAnsi="宋体" w:cs="宋体"/>
                <w:b/>
                <w:color w:val="auto"/>
                <w:szCs w:val="21"/>
                <w:highlight w:val="none"/>
              </w:rPr>
            </w:pPr>
          </w:p>
        </w:tc>
        <w:tc>
          <w:tcPr>
            <w:tcW w:w="3556" w:type="dxa"/>
            <w:gridSpan w:val="4"/>
            <w:noWrap w:val="0"/>
            <w:vAlign w:val="center"/>
          </w:tcPr>
          <w:p w14:paraId="2A18C8CE">
            <w:pPr>
              <w:jc w:val="center"/>
              <w:rPr>
                <w:rFonts w:ascii="宋体" w:hAnsi="宋体" w:cs="宋体"/>
                <w:color w:val="auto"/>
                <w:szCs w:val="21"/>
                <w:highlight w:val="none"/>
              </w:rPr>
            </w:pPr>
            <w:r>
              <w:rPr>
                <w:rFonts w:hint="eastAsia" w:ascii="宋体" w:hAnsi="宋体" w:cs="宋体"/>
                <w:color w:val="auto"/>
                <w:szCs w:val="21"/>
                <w:highlight w:val="none"/>
                <w:lang w:eastAsia="zh-CN"/>
              </w:rPr>
              <w:t>元</w:t>
            </w:r>
          </w:p>
        </w:tc>
        <w:tc>
          <w:tcPr>
            <w:tcW w:w="1561" w:type="dxa"/>
            <w:gridSpan w:val="3"/>
            <w:noWrap w:val="0"/>
            <w:vAlign w:val="center"/>
          </w:tcPr>
          <w:p w14:paraId="628273A4">
            <w:pPr>
              <w:jc w:val="center"/>
              <w:rPr>
                <w:rFonts w:ascii="宋体" w:hAnsi="宋体" w:cs="宋体"/>
                <w:b/>
                <w:color w:val="auto"/>
                <w:szCs w:val="21"/>
                <w:highlight w:val="none"/>
              </w:rPr>
            </w:pPr>
          </w:p>
        </w:tc>
      </w:tr>
      <w:tr w14:paraId="2B80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4" w:type="dxa"/>
            <w:gridSpan w:val="12"/>
            <w:noWrap w:val="0"/>
            <w:vAlign w:val="center"/>
          </w:tcPr>
          <w:p w14:paraId="617057C1">
            <w:pPr>
              <w:jc w:val="left"/>
              <w:rPr>
                <w:rFonts w:ascii="宋体" w:hAnsi="宋体" w:cs="宋体"/>
                <w:b/>
                <w:color w:val="auto"/>
                <w:szCs w:val="21"/>
                <w:highlight w:val="none"/>
              </w:rPr>
            </w:pPr>
            <w:r>
              <w:rPr>
                <w:rFonts w:hint="eastAsia" w:ascii="宋体" w:hAnsi="宋体" w:cs="宋体"/>
                <w:b/>
                <w:color w:val="auto"/>
                <w:szCs w:val="21"/>
                <w:highlight w:val="none"/>
                <w:lang w:eastAsia="zh-CN"/>
              </w:rPr>
              <w:t>八、</w:t>
            </w:r>
            <w:r>
              <w:rPr>
                <w:rFonts w:hint="eastAsia" w:ascii="宋体" w:hAnsi="宋体" w:cs="宋体"/>
                <w:b/>
                <w:color w:val="auto"/>
                <w:szCs w:val="21"/>
                <w:highlight w:val="none"/>
              </w:rPr>
              <w:t>合理利润或管理费</w:t>
            </w:r>
          </w:p>
        </w:tc>
      </w:tr>
      <w:tr w14:paraId="45E6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94" w:type="dxa"/>
            <w:gridSpan w:val="3"/>
            <w:noWrap w:val="0"/>
            <w:vAlign w:val="center"/>
          </w:tcPr>
          <w:p w14:paraId="0EDC3113">
            <w:pPr>
              <w:widowControl/>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序号</w:t>
            </w:r>
          </w:p>
        </w:tc>
        <w:tc>
          <w:tcPr>
            <w:tcW w:w="1531" w:type="dxa"/>
            <w:noWrap w:val="0"/>
            <w:vAlign w:val="center"/>
          </w:tcPr>
          <w:p w14:paraId="52AAD57E">
            <w:pPr>
              <w:widowControl/>
              <w:jc w:val="center"/>
              <w:rPr>
                <w:rFonts w:hint="eastAsia" w:ascii="宋体" w:hAnsi="宋体" w:cs="宋体"/>
                <w:b/>
                <w:bCs/>
                <w:color w:val="auto"/>
                <w:szCs w:val="21"/>
                <w:highlight w:val="none"/>
              </w:rPr>
            </w:pPr>
            <w:r>
              <w:rPr>
                <w:rFonts w:hint="eastAsia" w:ascii="宋体" w:hAnsi="宋体" w:cs="宋体"/>
                <w:b/>
                <w:color w:val="auto"/>
                <w:szCs w:val="21"/>
                <w:highlight w:val="none"/>
              </w:rPr>
              <w:t>科目类别</w:t>
            </w:r>
          </w:p>
        </w:tc>
        <w:tc>
          <w:tcPr>
            <w:tcW w:w="2122" w:type="dxa"/>
            <w:noWrap w:val="0"/>
            <w:vAlign w:val="center"/>
          </w:tcPr>
          <w:p w14:paraId="7C373183">
            <w:pPr>
              <w:widowControl/>
              <w:jc w:val="center"/>
              <w:rPr>
                <w:rFonts w:hint="eastAsia" w:ascii="宋体" w:hAnsi="宋体" w:cs="宋体"/>
                <w:b/>
                <w:bCs/>
                <w:color w:val="auto"/>
                <w:szCs w:val="21"/>
                <w:highlight w:val="none"/>
              </w:rPr>
            </w:pPr>
            <w:r>
              <w:rPr>
                <w:rFonts w:hint="eastAsia" w:ascii="宋体" w:hAnsi="宋体" w:cs="宋体"/>
                <w:b/>
                <w:color w:val="auto"/>
                <w:szCs w:val="21"/>
                <w:highlight w:val="none"/>
              </w:rPr>
              <w:t>测算依据</w:t>
            </w:r>
          </w:p>
        </w:tc>
        <w:tc>
          <w:tcPr>
            <w:tcW w:w="3556" w:type="dxa"/>
            <w:gridSpan w:val="4"/>
            <w:noWrap w:val="0"/>
            <w:vAlign w:val="center"/>
          </w:tcPr>
          <w:p w14:paraId="7D40C170">
            <w:pPr>
              <w:jc w:val="center"/>
              <w:rPr>
                <w:rFonts w:hint="eastAsia" w:ascii="宋体" w:hAnsi="宋体" w:cs="宋体"/>
                <w:color w:val="auto"/>
                <w:szCs w:val="21"/>
                <w:highlight w:val="none"/>
              </w:rPr>
            </w:pPr>
            <w:r>
              <w:rPr>
                <w:rFonts w:hint="eastAsia" w:ascii="宋体" w:hAnsi="宋体" w:cs="宋体"/>
                <w:b/>
                <w:color w:val="auto"/>
                <w:szCs w:val="21"/>
                <w:highlight w:val="none"/>
              </w:rPr>
              <w:t>费用合计（元）</w:t>
            </w:r>
          </w:p>
        </w:tc>
        <w:tc>
          <w:tcPr>
            <w:tcW w:w="1561" w:type="dxa"/>
            <w:gridSpan w:val="3"/>
            <w:noWrap w:val="0"/>
            <w:vAlign w:val="center"/>
          </w:tcPr>
          <w:p w14:paraId="13AD5271">
            <w:pPr>
              <w:widowControl/>
              <w:jc w:val="center"/>
              <w:rPr>
                <w:rFonts w:ascii="宋体" w:hAnsi="宋体" w:cs="宋体"/>
                <w:color w:val="auto"/>
                <w:szCs w:val="21"/>
                <w:highlight w:val="none"/>
                <w:u w:val="single"/>
              </w:rPr>
            </w:pPr>
            <w:r>
              <w:rPr>
                <w:rFonts w:hint="eastAsia" w:ascii="宋体" w:hAnsi="宋体" w:cs="宋体"/>
                <w:b/>
                <w:color w:val="auto"/>
                <w:szCs w:val="21"/>
                <w:highlight w:val="none"/>
              </w:rPr>
              <w:t>备注</w:t>
            </w:r>
          </w:p>
        </w:tc>
      </w:tr>
      <w:tr w14:paraId="307C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694" w:type="dxa"/>
            <w:gridSpan w:val="3"/>
            <w:noWrap w:val="0"/>
            <w:vAlign w:val="center"/>
          </w:tcPr>
          <w:p w14:paraId="37A27713">
            <w:pPr>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1531" w:type="dxa"/>
            <w:noWrap w:val="0"/>
            <w:vAlign w:val="center"/>
          </w:tcPr>
          <w:p w14:paraId="4C24D47B">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企业管理费及利润</w:t>
            </w:r>
          </w:p>
        </w:tc>
        <w:tc>
          <w:tcPr>
            <w:tcW w:w="2122" w:type="dxa"/>
            <w:noWrap w:val="0"/>
            <w:vAlign w:val="center"/>
          </w:tcPr>
          <w:p w14:paraId="1FAF9590">
            <w:pPr>
              <w:jc w:val="center"/>
              <w:rPr>
                <w:rFonts w:ascii="宋体" w:hAnsi="宋体" w:cs="宋体"/>
                <w:b/>
                <w:bCs/>
                <w:color w:val="auto"/>
                <w:szCs w:val="21"/>
                <w:highlight w:val="none"/>
              </w:rPr>
            </w:pPr>
            <w:r>
              <w:rPr>
                <w:rFonts w:hint="eastAsia" w:ascii="宋体" w:hAnsi="宋体" w:cs="宋体"/>
                <w:b/>
                <w:bCs/>
                <w:color w:val="auto"/>
                <w:szCs w:val="21"/>
                <w:highlight w:val="none"/>
              </w:rPr>
              <w:t>（一+二+三+四+五</w:t>
            </w:r>
            <w:r>
              <w:rPr>
                <w:rFonts w:hint="eastAsia" w:ascii="宋体" w:hAnsi="宋体" w:cs="宋体"/>
                <w:b/>
                <w:bCs/>
                <w:color w:val="auto"/>
                <w:szCs w:val="21"/>
                <w:highlight w:val="none"/>
                <w:lang w:val="en-US" w:eastAsia="zh-CN"/>
              </w:rPr>
              <w:t>+六</w:t>
            </w:r>
            <w:r>
              <w:rPr>
                <w:rFonts w:hint="eastAsia" w:ascii="宋体" w:hAnsi="宋体" w:cs="宋体"/>
                <w:b/>
                <w:bCs/>
                <w:color w:val="auto"/>
                <w:szCs w:val="21"/>
                <w:highlight w:val="none"/>
              </w:rPr>
              <w:t>项金额总和）*利润或管理费费率（ %）</w:t>
            </w:r>
          </w:p>
        </w:tc>
        <w:tc>
          <w:tcPr>
            <w:tcW w:w="3556" w:type="dxa"/>
            <w:gridSpan w:val="4"/>
            <w:noWrap w:val="0"/>
            <w:vAlign w:val="center"/>
          </w:tcPr>
          <w:p w14:paraId="5D6DF0CD">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元</w:t>
            </w:r>
          </w:p>
        </w:tc>
        <w:tc>
          <w:tcPr>
            <w:tcW w:w="1561" w:type="dxa"/>
            <w:gridSpan w:val="3"/>
            <w:noWrap w:val="0"/>
            <w:vAlign w:val="center"/>
          </w:tcPr>
          <w:p w14:paraId="7CBDD55D">
            <w:pPr>
              <w:jc w:val="center"/>
              <w:rPr>
                <w:rFonts w:ascii="宋体" w:hAnsi="宋体" w:cs="宋体"/>
                <w:color w:val="auto"/>
                <w:szCs w:val="21"/>
                <w:highlight w:val="none"/>
                <w:u w:val="single"/>
              </w:rPr>
            </w:pPr>
          </w:p>
        </w:tc>
      </w:tr>
      <w:tr w14:paraId="29D1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464" w:type="dxa"/>
            <w:gridSpan w:val="12"/>
            <w:noWrap w:val="0"/>
            <w:vAlign w:val="center"/>
          </w:tcPr>
          <w:p w14:paraId="1177A79B">
            <w:pPr>
              <w:jc w:val="left"/>
              <w:rPr>
                <w:rFonts w:ascii="宋体" w:hAnsi="宋体" w:cs="宋体"/>
                <w:color w:val="auto"/>
                <w:szCs w:val="21"/>
                <w:highlight w:val="none"/>
                <w:u w:val="single"/>
              </w:rPr>
            </w:pPr>
            <w:r>
              <w:rPr>
                <w:rFonts w:hint="eastAsia" w:ascii="宋体" w:hAnsi="宋体" w:cs="宋体"/>
                <w:b/>
                <w:bCs/>
                <w:color w:val="auto"/>
                <w:szCs w:val="21"/>
                <w:highlight w:val="none"/>
                <w:lang w:val="en-US" w:eastAsia="zh-CN"/>
              </w:rPr>
              <w:t>九</w:t>
            </w:r>
            <w:r>
              <w:rPr>
                <w:rFonts w:hint="eastAsia" w:ascii="宋体" w:hAnsi="宋体" w:cs="宋体"/>
                <w:color w:val="auto"/>
                <w:szCs w:val="21"/>
                <w:highlight w:val="none"/>
              </w:rPr>
              <w:t>、</w:t>
            </w:r>
            <w:r>
              <w:rPr>
                <w:rFonts w:hint="eastAsia" w:ascii="宋体" w:hAnsi="宋体" w:cs="宋体"/>
                <w:b/>
                <w:color w:val="auto"/>
                <w:szCs w:val="21"/>
                <w:highlight w:val="none"/>
              </w:rPr>
              <w:t>法定税费</w:t>
            </w:r>
          </w:p>
        </w:tc>
      </w:tr>
      <w:tr w14:paraId="45D7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4" w:type="dxa"/>
            <w:gridSpan w:val="3"/>
            <w:noWrap w:val="0"/>
            <w:vAlign w:val="center"/>
          </w:tcPr>
          <w:p w14:paraId="12ED4BE8">
            <w:pPr>
              <w:widowControl/>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531" w:type="dxa"/>
            <w:noWrap w:val="0"/>
            <w:vAlign w:val="center"/>
          </w:tcPr>
          <w:p w14:paraId="7A0ACA4F">
            <w:pPr>
              <w:widowControl/>
              <w:jc w:val="center"/>
              <w:rPr>
                <w:rFonts w:ascii="宋体" w:hAnsi="宋体" w:cs="宋体"/>
                <w:b/>
                <w:color w:val="auto"/>
                <w:szCs w:val="21"/>
                <w:highlight w:val="none"/>
              </w:rPr>
            </w:pPr>
            <w:r>
              <w:rPr>
                <w:rFonts w:hint="eastAsia" w:ascii="宋体" w:hAnsi="宋体" w:cs="宋体"/>
                <w:b/>
                <w:color w:val="auto"/>
                <w:szCs w:val="21"/>
                <w:highlight w:val="none"/>
              </w:rPr>
              <w:t>科目类别</w:t>
            </w:r>
          </w:p>
        </w:tc>
        <w:tc>
          <w:tcPr>
            <w:tcW w:w="2122" w:type="dxa"/>
            <w:noWrap w:val="0"/>
            <w:vAlign w:val="center"/>
          </w:tcPr>
          <w:p w14:paraId="20EAC74D">
            <w:pPr>
              <w:widowControl/>
              <w:jc w:val="center"/>
              <w:rPr>
                <w:rFonts w:ascii="宋体" w:hAnsi="宋体" w:cs="宋体"/>
                <w:b/>
                <w:color w:val="auto"/>
                <w:szCs w:val="21"/>
                <w:highlight w:val="none"/>
              </w:rPr>
            </w:pPr>
            <w:r>
              <w:rPr>
                <w:rFonts w:hint="eastAsia" w:ascii="宋体" w:hAnsi="宋体" w:cs="宋体"/>
                <w:b/>
                <w:color w:val="auto"/>
                <w:szCs w:val="21"/>
                <w:highlight w:val="none"/>
              </w:rPr>
              <w:t>测算依据</w:t>
            </w:r>
          </w:p>
        </w:tc>
        <w:tc>
          <w:tcPr>
            <w:tcW w:w="3556" w:type="dxa"/>
            <w:gridSpan w:val="4"/>
            <w:noWrap w:val="0"/>
            <w:vAlign w:val="center"/>
          </w:tcPr>
          <w:p w14:paraId="51F4B619">
            <w:pPr>
              <w:jc w:val="center"/>
              <w:rPr>
                <w:rFonts w:ascii="宋体" w:hAnsi="宋体" w:cs="宋体"/>
                <w:color w:val="auto"/>
                <w:szCs w:val="21"/>
                <w:highlight w:val="none"/>
              </w:rPr>
            </w:pPr>
            <w:r>
              <w:rPr>
                <w:rFonts w:hint="eastAsia" w:ascii="宋体" w:hAnsi="宋体" w:cs="宋体"/>
                <w:b/>
                <w:color w:val="auto"/>
                <w:szCs w:val="21"/>
                <w:highlight w:val="none"/>
              </w:rPr>
              <w:t>费用（元）</w:t>
            </w:r>
          </w:p>
        </w:tc>
        <w:tc>
          <w:tcPr>
            <w:tcW w:w="1561" w:type="dxa"/>
            <w:gridSpan w:val="3"/>
            <w:noWrap w:val="0"/>
            <w:vAlign w:val="center"/>
          </w:tcPr>
          <w:p w14:paraId="35CCF041">
            <w:pPr>
              <w:jc w:val="center"/>
              <w:rPr>
                <w:rFonts w:ascii="宋体" w:hAnsi="宋体" w:cs="宋体"/>
                <w:color w:val="auto"/>
                <w:szCs w:val="21"/>
                <w:highlight w:val="none"/>
                <w:u w:val="single"/>
              </w:rPr>
            </w:pPr>
            <w:r>
              <w:rPr>
                <w:rFonts w:hint="eastAsia" w:ascii="宋体" w:hAnsi="宋体" w:cs="宋体"/>
                <w:b/>
                <w:color w:val="auto"/>
                <w:szCs w:val="21"/>
                <w:highlight w:val="none"/>
              </w:rPr>
              <w:t>备注</w:t>
            </w:r>
          </w:p>
        </w:tc>
      </w:tr>
      <w:tr w14:paraId="5767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694" w:type="dxa"/>
            <w:gridSpan w:val="3"/>
            <w:noWrap w:val="0"/>
            <w:vAlign w:val="center"/>
          </w:tcPr>
          <w:p w14:paraId="535DFEF1">
            <w:pPr>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1531" w:type="dxa"/>
            <w:noWrap w:val="0"/>
            <w:vAlign w:val="center"/>
          </w:tcPr>
          <w:p w14:paraId="2F3C03BE">
            <w:pPr>
              <w:widowControl/>
              <w:jc w:val="center"/>
              <w:rPr>
                <w:rFonts w:ascii="宋体" w:hAnsi="宋体" w:cs="宋体"/>
                <w:b/>
                <w:color w:val="auto"/>
                <w:szCs w:val="21"/>
                <w:highlight w:val="none"/>
              </w:rPr>
            </w:pPr>
            <w:r>
              <w:rPr>
                <w:rFonts w:hint="eastAsia" w:ascii="宋体" w:hAnsi="宋体" w:cs="宋体"/>
                <w:b/>
                <w:color w:val="auto"/>
                <w:szCs w:val="21"/>
                <w:highlight w:val="none"/>
              </w:rPr>
              <w:t>法定税费（增值税费及附加税）</w:t>
            </w:r>
          </w:p>
        </w:tc>
        <w:tc>
          <w:tcPr>
            <w:tcW w:w="2122" w:type="dxa"/>
            <w:noWrap w:val="0"/>
            <w:vAlign w:val="center"/>
          </w:tcPr>
          <w:p w14:paraId="121D15F6">
            <w:pPr>
              <w:jc w:val="center"/>
              <w:rPr>
                <w:rFonts w:ascii="宋体" w:hAnsi="宋体" w:cs="宋体"/>
                <w:b/>
                <w:color w:val="auto"/>
                <w:szCs w:val="21"/>
                <w:highlight w:val="none"/>
              </w:rPr>
            </w:pPr>
            <w:r>
              <w:rPr>
                <w:rFonts w:hint="eastAsia" w:ascii="宋体" w:hAnsi="宋体" w:cs="宋体"/>
                <w:b/>
                <w:bCs/>
                <w:color w:val="auto"/>
                <w:szCs w:val="21"/>
                <w:highlight w:val="none"/>
              </w:rPr>
              <w:t>（一+二+三+四+五+六</w:t>
            </w:r>
            <w:r>
              <w:rPr>
                <w:rFonts w:hint="eastAsia" w:ascii="宋体" w:hAnsi="宋体" w:cs="宋体"/>
                <w:b/>
                <w:bCs/>
                <w:color w:val="auto"/>
                <w:szCs w:val="21"/>
                <w:highlight w:val="none"/>
                <w:lang w:val="en-US" w:eastAsia="zh-CN"/>
              </w:rPr>
              <w:t>+七</w:t>
            </w:r>
            <w:r>
              <w:rPr>
                <w:rFonts w:hint="eastAsia" w:ascii="宋体" w:hAnsi="宋体" w:cs="宋体"/>
                <w:b/>
                <w:bCs/>
                <w:color w:val="auto"/>
                <w:szCs w:val="21"/>
                <w:highlight w:val="none"/>
              </w:rPr>
              <w:t>项金额总和）*税费费率（%）</w:t>
            </w:r>
          </w:p>
        </w:tc>
        <w:tc>
          <w:tcPr>
            <w:tcW w:w="3556" w:type="dxa"/>
            <w:gridSpan w:val="4"/>
            <w:noWrap w:val="0"/>
            <w:vAlign w:val="center"/>
          </w:tcPr>
          <w:p w14:paraId="1D8CEB87">
            <w:pPr>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561" w:type="dxa"/>
            <w:gridSpan w:val="3"/>
            <w:noWrap w:val="0"/>
            <w:vAlign w:val="center"/>
          </w:tcPr>
          <w:p w14:paraId="52C35893">
            <w:pPr>
              <w:jc w:val="center"/>
              <w:rPr>
                <w:rFonts w:ascii="宋体" w:hAnsi="宋体" w:cs="宋体"/>
                <w:color w:val="auto"/>
                <w:szCs w:val="21"/>
                <w:highlight w:val="none"/>
                <w:u w:val="single"/>
              </w:rPr>
            </w:pPr>
          </w:p>
        </w:tc>
      </w:tr>
      <w:tr w14:paraId="21EC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464" w:type="dxa"/>
            <w:gridSpan w:val="12"/>
            <w:noWrap w:val="0"/>
            <w:vAlign w:val="center"/>
          </w:tcPr>
          <w:p w14:paraId="37E79C11">
            <w:pPr>
              <w:rPr>
                <w:rFonts w:ascii="宋体" w:hAnsi="宋体" w:cs="宋体"/>
                <w:b/>
                <w:color w:val="auto"/>
                <w:szCs w:val="21"/>
                <w:highlight w:val="none"/>
              </w:rPr>
            </w:pPr>
            <w:r>
              <w:rPr>
                <w:rFonts w:hint="eastAsia" w:ascii="宋体" w:hAnsi="宋体" w:cs="宋体"/>
                <w:b/>
                <w:color w:val="auto"/>
                <w:szCs w:val="21"/>
                <w:highlight w:val="none"/>
                <w:lang w:val="en-US" w:eastAsia="zh-CN"/>
              </w:rPr>
              <w:t>十</w:t>
            </w:r>
            <w:r>
              <w:rPr>
                <w:rFonts w:hint="eastAsia" w:ascii="宋体" w:hAnsi="宋体" w:cs="宋体"/>
                <w:b/>
                <w:color w:val="auto"/>
                <w:szCs w:val="21"/>
                <w:highlight w:val="none"/>
              </w:rPr>
              <w:t>、</w:t>
            </w:r>
            <w:r>
              <w:rPr>
                <w:rFonts w:hint="eastAsia" w:ascii="宋体" w:hAnsi="宋体" w:cs="宋体"/>
                <w:b/>
                <w:color w:val="auto"/>
                <w:szCs w:val="21"/>
                <w:highlight w:val="none"/>
                <w:lang w:eastAsia="zh-CN"/>
              </w:rPr>
              <w:t>物业</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合计费用</w:t>
            </w:r>
          </w:p>
        </w:tc>
      </w:tr>
      <w:tr w14:paraId="7385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225" w:type="dxa"/>
            <w:gridSpan w:val="4"/>
            <w:noWrap w:val="0"/>
            <w:vAlign w:val="center"/>
          </w:tcPr>
          <w:p w14:paraId="73338C4A">
            <w:pPr>
              <w:ind w:firstLine="422"/>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服务费</w:t>
            </w:r>
            <w:r>
              <w:rPr>
                <w:rFonts w:hint="eastAsia" w:ascii="宋体" w:hAnsi="宋体" w:cs="宋体"/>
                <w:b/>
                <w:color w:val="auto"/>
                <w:szCs w:val="21"/>
                <w:highlight w:val="none"/>
                <w:lang w:eastAsia="zh-CN"/>
              </w:rPr>
              <w:t>合计价</w:t>
            </w:r>
          </w:p>
          <w:p w14:paraId="2A4EE8DD">
            <w:pPr>
              <w:ind w:firstLine="420"/>
              <w:rPr>
                <w:rFonts w:ascii="宋体" w:hAnsi="宋体" w:cs="宋体"/>
                <w:color w:val="auto"/>
                <w:szCs w:val="21"/>
                <w:highlight w:val="none"/>
              </w:rPr>
            </w:pPr>
          </w:p>
        </w:tc>
        <w:tc>
          <w:tcPr>
            <w:tcW w:w="7239" w:type="dxa"/>
            <w:gridSpan w:val="8"/>
            <w:noWrap w:val="0"/>
            <w:vAlign w:val="center"/>
          </w:tcPr>
          <w:p w14:paraId="03092DB3">
            <w:pPr>
              <w:spacing w:line="420" w:lineRule="exact"/>
              <w:ind w:firstLine="422"/>
              <w:rPr>
                <w:rFonts w:ascii="宋体" w:hAnsi="宋体" w:cs="宋体"/>
                <w:b/>
                <w:color w:val="auto"/>
                <w:szCs w:val="21"/>
                <w:highlight w:val="none"/>
              </w:rPr>
            </w:pPr>
            <w:r>
              <w:rPr>
                <w:rFonts w:hint="eastAsia" w:ascii="宋体" w:hAnsi="宋体" w:cs="宋体"/>
                <w:b/>
                <w:color w:val="auto"/>
                <w:szCs w:val="21"/>
                <w:highlight w:val="none"/>
              </w:rPr>
              <w:t>以上一至</w:t>
            </w:r>
            <w:r>
              <w:rPr>
                <w:rFonts w:hint="eastAsia" w:ascii="宋体" w:hAnsi="宋体" w:cs="宋体"/>
                <w:b/>
                <w:color w:val="auto"/>
                <w:szCs w:val="21"/>
                <w:highlight w:val="none"/>
                <w:lang w:val="en-US" w:eastAsia="zh-CN"/>
              </w:rPr>
              <w:t>九</w:t>
            </w:r>
            <w:r>
              <w:rPr>
                <w:rFonts w:hint="eastAsia" w:ascii="宋体" w:hAnsi="宋体" w:cs="宋体"/>
                <w:b/>
                <w:color w:val="auto"/>
                <w:szCs w:val="21"/>
                <w:highlight w:val="none"/>
              </w:rPr>
              <w:t>项全部合计：</w:t>
            </w:r>
          </w:p>
          <w:p w14:paraId="65C10611">
            <w:pPr>
              <w:spacing w:line="420" w:lineRule="exact"/>
              <w:ind w:firstLine="398"/>
              <w:rPr>
                <w:rFonts w:ascii="宋体" w:hAnsi="宋体" w:cs="宋体"/>
                <w:b/>
                <w:color w:val="auto"/>
                <w:szCs w:val="21"/>
                <w:highlight w:val="none"/>
              </w:rPr>
            </w:pPr>
            <w:r>
              <w:rPr>
                <w:rFonts w:hint="eastAsia" w:ascii="宋体" w:hAnsi="宋体" w:cs="宋体"/>
                <w:b/>
                <w:color w:val="auto"/>
                <w:spacing w:val="-6"/>
                <w:szCs w:val="21"/>
                <w:highlight w:val="none"/>
              </w:rPr>
              <w:t>（大写）：元人民币（￥ ）。</w:t>
            </w:r>
          </w:p>
        </w:tc>
      </w:tr>
      <w:tr w14:paraId="761A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9464" w:type="dxa"/>
            <w:gridSpan w:val="12"/>
            <w:noWrap w:val="0"/>
            <w:vAlign w:val="center"/>
          </w:tcPr>
          <w:p w14:paraId="50C466A5">
            <w:pPr>
              <w:spacing w:line="420" w:lineRule="exact"/>
              <w:rPr>
                <w:rFonts w:hint="eastAsia" w:ascii="宋体" w:hAnsi="宋体" w:cs="宋体"/>
                <w:b/>
                <w:color w:val="auto"/>
                <w:spacing w:val="-6"/>
                <w:szCs w:val="21"/>
                <w:highlight w:val="none"/>
              </w:rPr>
            </w:pPr>
            <w:r>
              <w:rPr>
                <w:rFonts w:hint="eastAsia" w:ascii="宋体" w:hAnsi="宋体" w:cs="宋体"/>
                <w:b/>
                <w:color w:val="auto"/>
                <w:szCs w:val="21"/>
                <w:highlight w:val="none"/>
                <w:lang w:val="en-US" w:eastAsia="zh-CN"/>
              </w:rPr>
              <w:t>十一、物业1、物业2</w:t>
            </w:r>
            <w:r>
              <w:rPr>
                <w:rFonts w:hint="eastAsia" w:ascii="宋体" w:hAnsi="宋体" w:cs="宋体"/>
                <w:b/>
                <w:color w:val="auto"/>
                <w:szCs w:val="21"/>
                <w:highlight w:val="none"/>
              </w:rPr>
              <w:t>总合计费用</w:t>
            </w:r>
          </w:p>
        </w:tc>
      </w:tr>
      <w:tr w14:paraId="3E0C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225" w:type="dxa"/>
            <w:gridSpan w:val="4"/>
            <w:noWrap w:val="0"/>
            <w:vAlign w:val="center"/>
          </w:tcPr>
          <w:p w14:paraId="293F139F">
            <w:pPr>
              <w:ind w:firstLine="422"/>
              <w:rPr>
                <w:rFonts w:ascii="宋体" w:hAnsi="宋体" w:cs="宋体"/>
                <w:b/>
                <w:color w:val="auto"/>
                <w:szCs w:val="21"/>
                <w:highlight w:val="none"/>
              </w:rPr>
            </w:pPr>
            <w:r>
              <w:rPr>
                <w:rFonts w:hint="eastAsia" w:ascii="宋体" w:hAnsi="宋体" w:cs="宋体"/>
                <w:b/>
                <w:color w:val="auto"/>
                <w:szCs w:val="21"/>
                <w:highlight w:val="none"/>
              </w:rPr>
              <w:t>服务费用总价</w:t>
            </w:r>
          </w:p>
          <w:p w14:paraId="02DFAC4E">
            <w:pPr>
              <w:ind w:firstLine="422"/>
              <w:rPr>
                <w:rFonts w:hint="eastAsia" w:ascii="宋体" w:hAnsi="宋体" w:cs="宋体"/>
                <w:color w:val="auto"/>
                <w:szCs w:val="21"/>
                <w:highlight w:val="none"/>
                <w:lang w:eastAsia="zh-CN"/>
              </w:rPr>
            </w:pPr>
            <w:r>
              <w:rPr>
                <w:rFonts w:hint="eastAsia" w:ascii="宋体" w:hAnsi="宋体" w:cs="宋体"/>
                <w:b/>
                <w:color w:val="auto"/>
                <w:szCs w:val="21"/>
                <w:highlight w:val="none"/>
              </w:rPr>
              <w:t>（投标总报价）</w:t>
            </w:r>
          </w:p>
        </w:tc>
        <w:tc>
          <w:tcPr>
            <w:tcW w:w="7239" w:type="dxa"/>
            <w:gridSpan w:val="8"/>
            <w:noWrap w:val="0"/>
            <w:vAlign w:val="center"/>
          </w:tcPr>
          <w:p w14:paraId="5FA8E960">
            <w:pPr>
              <w:spacing w:line="420" w:lineRule="exact"/>
              <w:ind w:firstLine="422"/>
              <w:rPr>
                <w:rFonts w:ascii="宋体" w:hAnsi="宋体" w:cs="宋体"/>
                <w:b/>
                <w:color w:val="auto"/>
                <w:szCs w:val="21"/>
                <w:highlight w:val="none"/>
              </w:rPr>
            </w:pPr>
            <w:r>
              <w:rPr>
                <w:rFonts w:hint="eastAsia" w:ascii="宋体" w:hAnsi="宋体" w:cs="宋体"/>
                <w:b/>
                <w:color w:val="auto"/>
                <w:szCs w:val="21"/>
                <w:highlight w:val="none"/>
                <w:lang w:val="en-US" w:eastAsia="zh-CN"/>
              </w:rPr>
              <w:t>物业服务</w:t>
            </w:r>
            <w:r>
              <w:rPr>
                <w:rFonts w:hint="eastAsia" w:ascii="宋体" w:hAnsi="宋体" w:cs="宋体"/>
                <w:b/>
                <w:color w:val="auto"/>
                <w:szCs w:val="21"/>
                <w:highlight w:val="none"/>
              </w:rPr>
              <w:t>全部</w:t>
            </w:r>
            <w:r>
              <w:rPr>
                <w:rFonts w:hint="eastAsia" w:ascii="宋体" w:hAnsi="宋体" w:cs="宋体"/>
                <w:b/>
                <w:color w:val="auto"/>
                <w:szCs w:val="21"/>
                <w:highlight w:val="none"/>
                <w:lang w:eastAsia="zh-CN"/>
              </w:rPr>
              <w:t>总合</w:t>
            </w:r>
            <w:r>
              <w:rPr>
                <w:rFonts w:hint="eastAsia" w:ascii="宋体" w:hAnsi="宋体" w:cs="宋体"/>
                <w:b/>
                <w:color w:val="auto"/>
                <w:szCs w:val="21"/>
                <w:highlight w:val="none"/>
              </w:rPr>
              <w:t>计：</w:t>
            </w:r>
          </w:p>
          <w:p w14:paraId="000F6CC4">
            <w:pPr>
              <w:spacing w:line="420" w:lineRule="exact"/>
              <w:ind w:firstLine="398"/>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（大写）：元人民币（￥ ）。</w:t>
            </w:r>
          </w:p>
        </w:tc>
      </w:tr>
    </w:tbl>
    <w:p w14:paraId="15649671">
      <w:pPr>
        <w:pStyle w:val="207"/>
        <w:ind w:firstLine="211"/>
        <w:rPr>
          <w:rFonts w:hint="eastAsia" w:ascii="宋体" w:hAnsi="宋体" w:cs="宋体"/>
          <w:b/>
          <w:bCs/>
          <w:color w:val="000000"/>
          <w:szCs w:val="21"/>
          <w:highlight w:val="none"/>
        </w:rPr>
      </w:pPr>
      <w:r>
        <w:rPr>
          <w:rFonts w:hint="eastAsia"/>
          <w:b/>
          <w:bCs/>
          <w:color w:val="000000"/>
          <w:highlight w:val="none"/>
          <w:lang w:eastAsia="zh-CN"/>
        </w:rPr>
        <w:t>备注：供应商须按上表提供报价明细，否则投标无效。（可根据项目需求情况增加其他报价明细项，但不能删减上表原定的内容）</w:t>
      </w:r>
    </w:p>
    <w:p w14:paraId="006BF70B">
      <w:pPr>
        <w:rPr>
          <w:rFonts w:hint="eastAsia" w:ascii="宋体" w:hAnsi="宋体"/>
          <w:color w:val="000000"/>
          <w:sz w:val="21"/>
          <w:szCs w:val="20"/>
          <w:highlight w:val="none"/>
        </w:rPr>
      </w:pPr>
    </w:p>
    <w:p w14:paraId="072B8747">
      <w:pPr>
        <w:pStyle w:val="2"/>
        <w:rPr>
          <w:rFonts w:hint="eastAsia"/>
          <w:color w:val="000000"/>
          <w:highlight w:val="none"/>
        </w:rPr>
      </w:pPr>
    </w:p>
    <w:p w14:paraId="1594DEB6">
      <w:pPr>
        <w:rPr>
          <w:rFonts w:hint="eastAsia"/>
        </w:rPr>
      </w:pPr>
    </w:p>
    <w:p w14:paraId="307D192E">
      <w:pPr>
        <w:rPr>
          <w:rFonts w:hint="eastAsia" w:ascii="宋体" w:hAnsi="宋体" w:eastAsia="宋体" w:cs="宋体"/>
          <w:b/>
          <w:bCs/>
          <w:color w:val="000000"/>
          <w:sz w:val="32"/>
          <w:szCs w:val="32"/>
          <w:highlight w:val="none"/>
          <w:lang w:eastAsia="zh-CN"/>
        </w:rPr>
      </w:pPr>
      <w:r>
        <w:rPr>
          <w:rFonts w:hint="eastAsia" w:ascii="宋体" w:hAnsi="宋体" w:cs="宋体"/>
          <w:b/>
          <w:bCs/>
          <w:color w:val="000000"/>
          <w:sz w:val="32"/>
          <w:szCs w:val="32"/>
          <w:highlight w:val="none"/>
        </w:rPr>
        <w:t>2.</w:t>
      </w:r>
      <w:r>
        <w:rPr>
          <w:rFonts w:hint="eastAsia" w:ascii="宋体" w:hAnsi="宋体" w:cs="宋体"/>
          <w:b/>
          <w:bCs/>
          <w:color w:val="000000"/>
          <w:sz w:val="32"/>
          <w:szCs w:val="32"/>
          <w:highlight w:val="none"/>
          <w:lang w:eastAsia="zh-CN"/>
        </w:rPr>
        <w:t>服务响应表</w:t>
      </w:r>
      <w:r>
        <w:rPr>
          <w:rFonts w:hint="eastAsia" w:ascii="宋体" w:hAnsi="宋体" w:cs="宋体"/>
          <w:b/>
          <w:bCs/>
          <w:color w:val="000000"/>
          <w:sz w:val="32"/>
          <w:szCs w:val="32"/>
          <w:highlight w:val="none"/>
        </w:rPr>
        <w:t>（格式见附件）（必须提供）</w:t>
      </w:r>
      <w:r>
        <w:rPr>
          <w:rFonts w:hint="eastAsia" w:ascii="宋体" w:hAnsi="宋体" w:cs="宋体"/>
          <w:b/>
          <w:bCs/>
          <w:color w:val="000000"/>
          <w:sz w:val="32"/>
          <w:szCs w:val="32"/>
          <w:highlight w:val="none"/>
          <w:lang w:eastAsia="zh-CN"/>
        </w:rPr>
        <w:t>；</w:t>
      </w:r>
    </w:p>
    <w:p w14:paraId="06E4D59E">
      <w:pPr>
        <w:rPr>
          <w:rFonts w:ascii="宋体" w:hAnsi="宋体" w:cs="宋体"/>
          <w:b/>
          <w:bCs/>
          <w:color w:val="000000"/>
          <w:sz w:val="32"/>
          <w:szCs w:val="32"/>
          <w:highlight w:val="none"/>
        </w:rPr>
      </w:pPr>
      <w:r>
        <w:rPr>
          <w:rFonts w:hint="eastAsia" w:ascii="宋体" w:hAnsi="宋体" w:cs="宋体"/>
          <w:b/>
          <w:bCs/>
          <w:color w:val="000000"/>
          <w:sz w:val="32"/>
          <w:szCs w:val="32"/>
          <w:highlight w:val="none"/>
        </w:rPr>
        <w:t>附件：</w:t>
      </w:r>
    </w:p>
    <w:p w14:paraId="0629E3BB">
      <w:pPr>
        <w:jc w:val="center"/>
        <w:rPr>
          <w:rFonts w:hint="eastAsia" w:ascii="宋体" w:hAnsi="宋体" w:cs="宋体"/>
          <w:b/>
          <w:bCs/>
          <w:color w:val="000000"/>
          <w:sz w:val="32"/>
          <w:highlight w:val="none"/>
        </w:rPr>
      </w:pPr>
      <w:r>
        <w:rPr>
          <w:rFonts w:hint="eastAsia" w:ascii="宋体" w:hAnsi="宋体" w:cs="宋体"/>
          <w:b/>
          <w:color w:val="000000"/>
          <w:sz w:val="32"/>
          <w:szCs w:val="32"/>
          <w:highlight w:val="none"/>
          <w:lang w:eastAsia="zh-CN"/>
        </w:rPr>
        <w:t>服务响应表</w:t>
      </w:r>
      <w:r>
        <w:rPr>
          <w:rFonts w:hint="eastAsia" w:ascii="宋体" w:hAnsi="宋体" w:cs="宋体"/>
          <w:b/>
          <w:bCs/>
          <w:color w:val="000000"/>
          <w:sz w:val="32"/>
          <w:highlight w:val="none"/>
        </w:rPr>
        <w:t>（格式）</w:t>
      </w:r>
    </w:p>
    <w:p w14:paraId="1E726CCE">
      <w:pPr>
        <w:pStyle w:val="2"/>
        <w:rPr>
          <w:rFonts w:hint="eastAsia" w:ascii="宋体" w:hAnsi="宋体" w:cs="宋体"/>
          <w:b/>
          <w:bCs/>
          <w:color w:val="000000"/>
          <w:sz w:val="24"/>
          <w:szCs w:val="21"/>
          <w:highlight w:val="none"/>
          <w:lang w:eastAsia="zh-CN"/>
        </w:rPr>
      </w:pPr>
      <w:r>
        <w:rPr>
          <w:rFonts w:hint="eastAsia" w:ascii="宋体" w:hAnsi="宋体" w:cs="宋体"/>
          <w:b/>
          <w:bCs/>
          <w:color w:val="000000"/>
          <w:sz w:val="24"/>
          <w:szCs w:val="21"/>
          <w:highlight w:val="none"/>
          <w:lang w:eastAsia="zh-CN"/>
        </w:rPr>
        <w:t>项目编号：</w:t>
      </w:r>
    </w:p>
    <w:p w14:paraId="4FB276B5">
      <w:pPr>
        <w:pStyle w:val="2"/>
        <w:rPr>
          <w:rFonts w:hint="eastAsia" w:ascii="宋体" w:hAnsi="宋体" w:cs="宋体"/>
          <w:b/>
          <w:bCs/>
          <w:color w:val="000000"/>
          <w:sz w:val="32"/>
          <w:highlight w:val="none"/>
        </w:rPr>
      </w:pPr>
      <w:r>
        <w:rPr>
          <w:rFonts w:hint="eastAsia" w:ascii="宋体" w:hAnsi="宋体" w:cs="宋体"/>
          <w:b/>
          <w:bCs/>
          <w:color w:val="000000"/>
          <w:sz w:val="24"/>
          <w:szCs w:val="21"/>
          <w:highlight w:val="none"/>
          <w:lang w:eastAsia="zh-CN"/>
        </w:rPr>
        <w:t>项目名称：</w:t>
      </w:r>
    </w:p>
    <w:p w14:paraId="603E7AA7">
      <w:pPr>
        <w:pStyle w:val="251"/>
        <w:rPr>
          <w:color w:val="000000"/>
          <w:highlight w:val="none"/>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64"/>
        <w:gridCol w:w="3108"/>
        <w:gridCol w:w="2796"/>
      </w:tblGrid>
      <w:tr w14:paraId="7F38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9"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8CE4DB3">
            <w:pPr>
              <w:spacing w:line="400" w:lineRule="exact"/>
              <w:jc w:val="center"/>
              <w:rPr>
                <w:rFonts w:ascii="宋体" w:hAnsi="宋体" w:cs="宋体"/>
                <w:b/>
                <w:color w:val="000000"/>
                <w:highlight w:val="none"/>
              </w:rPr>
            </w:pPr>
            <w:r>
              <w:rPr>
                <w:rFonts w:hint="eastAsia" w:ascii="宋体" w:hAnsi="宋体" w:cs="宋体"/>
                <w:b/>
                <w:color w:val="000000"/>
                <w:highlight w:val="none"/>
              </w:rPr>
              <w:t>序号</w:t>
            </w:r>
          </w:p>
        </w:tc>
        <w:tc>
          <w:tcPr>
            <w:tcW w:w="3064"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8690781">
            <w:pPr>
              <w:spacing w:line="400" w:lineRule="exact"/>
              <w:jc w:val="center"/>
              <w:rPr>
                <w:rFonts w:ascii="宋体" w:hAnsi="宋体" w:cs="宋体"/>
                <w:b/>
                <w:color w:val="000000"/>
                <w:highlight w:val="none"/>
              </w:rPr>
            </w:pPr>
            <w:r>
              <w:rPr>
                <w:rFonts w:hint="eastAsia" w:ascii="宋体" w:hAnsi="宋体" w:cs="宋体"/>
                <w:b/>
                <w:color w:val="000000"/>
                <w:szCs w:val="21"/>
                <w:highlight w:val="none"/>
                <w:lang w:eastAsia="zh-CN"/>
              </w:rPr>
              <w:t>招标文件的</w:t>
            </w:r>
            <w:r>
              <w:rPr>
                <w:rFonts w:hint="eastAsia" w:ascii="宋体" w:hAnsi="宋体" w:eastAsia="宋体" w:cs="宋体"/>
                <w:b/>
                <w:color w:val="000000"/>
                <w:sz w:val="21"/>
                <w:szCs w:val="21"/>
                <w:highlight w:val="none"/>
              </w:rPr>
              <w:t>采购需求</w:t>
            </w:r>
          </w:p>
        </w:tc>
        <w:tc>
          <w:tcPr>
            <w:tcW w:w="310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44841FD">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投标文件的响应情况</w:t>
            </w:r>
          </w:p>
        </w:tc>
        <w:tc>
          <w:tcPr>
            <w:tcW w:w="2796"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66EDCCB">
            <w:pPr>
              <w:spacing w:line="400" w:lineRule="exact"/>
              <w:jc w:val="center"/>
              <w:rPr>
                <w:rFonts w:ascii="宋体" w:hAnsi="宋体" w:cs="宋体"/>
                <w:b/>
                <w:color w:val="000000"/>
                <w:highlight w:val="none"/>
              </w:rPr>
            </w:pPr>
            <w:r>
              <w:rPr>
                <w:rFonts w:hint="eastAsia" w:ascii="宋体" w:hAnsi="宋体" w:cs="宋体"/>
                <w:b/>
                <w:color w:val="000000"/>
                <w:highlight w:val="none"/>
              </w:rPr>
              <w:t>偏离情况说明</w:t>
            </w:r>
          </w:p>
        </w:tc>
      </w:tr>
      <w:tr w14:paraId="70B2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03297AE8">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3064" w:type="dxa"/>
            <w:tcBorders>
              <w:top w:val="single" w:color="auto" w:sz="4" w:space="0"/>
              <w:left w:val="single" w:color="auto" w:sz="4" w:space="0"/>
              <w:bottom w:val="single" w:color="auto" w:sz="4" w:space="0"/>
              <w:right w:val="single" w:color="auto" w:sz="4" w:space="0"/>
            </w:tcBorders>
            <w:noWrap w:val="0"/>
            <w:vAlign w:val="center"/>
          </w:tcPr>
          <w:p w14:paraId="024F68B5">
            <w:pPr>
              <w:spacing w:line="400" w:lineRule="exact"/>
              <w:jc w:val="left"/>
              <w:rPr>
                <w:rFonts w:ascii="宋体" w:hAnsi="宋体" w:cs="宋体"/>
                <w:color w:val="000000"/>
                <w:highlight w:val="none"/>
              </w:rPr>
            </w:pPr>
          </w:p>
        </w:tc>
        <w:tc>
          <w:tcPr>
            <w:tcW w:w="3108" w:type="dxa"/>
            <w:tcBorders>
              <w:top w:val="single" w:color="auto" w:sz="4" w:space="0"/>
              <w:left w:val="single" w:color="auto" w:sz="4" w:space="0"/>
              <w:bottom w:val="single" w:color="auto" w:sz="4" w:space="0"/>
              <w:right w:val="single" w:color="auto" w:sz="4" w:space="0"/>
            </w:tcBorders>
            <w:noWrap w:val="0"/>
            <w:vAlign w:val="top"/>
          </w:tcPr>
          <w:p w14:paraId="192733C7">
            <w:pPr>
              <w:spacing w:line="400" w:lineRule="exact"/>
              <w:jc w:val="left"/>
              <w:rPr>
                <w:rFonts w:ascii="宋体" w:hAnsi="宋体" w:cs="宋体"/>
                <w:color w:val="000000"/>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14:paraId="073E4BA8">
            <w:pPr>
              <w:spacing w:line="400" w:lineRule="exact"/>
              <w:jc w:val="left"/>
              <w:rPr>
                <w:rFonts w:ascii="宋体" w:hAnsi="宋体" w:cs="宋体"/>
                <w:color w:val="000000"/>
                <w:highlight w:val="none"/>
              </w:rPr>
            </w:pPr>
          </w:p>
        </w:tc>
      </w:tr>
      <w:tr w14:paraId="655F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4970968C">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2</w:t>
            </w:r>
          </w:p>
        </w:tc>
        <w:tc>
          <w:tcPr>
            <w:tcW w:w="3064" w:type="dxa"/>
            <w:tcBorders>
              <w:top w:val="single" w:color="auto" w:sz="4" w:space="0"/>
              <w:left w:val="single" w:color="auto" w:sz="4" w:space="0"/>
              <w:bottom w:val="single" w:color="auto" w:sz="4" w:space="0"/>
              <w:right w:val="single" w:color="auto" w:sz="4" w:space="0"/>
            </w:tcBorders>
            <w:noWrap w:val="0"/>
            <w:vAlign w:val="center"/>
          </w:tcPr>
          <w:p w14:paraId="0596CA6C">
            <w:pPr>
              <w:spacing w:line="400" w:lineRule="exact"/>
              <w:jc w:val="left"/>
              <w:rPr>
                <w:rFonts w:ascii="宋体" w:hAnsi="宋体" w:cs="宋体"/>
                <w:color w:val="000000"/>
                <w:highlight w:val="none"/>
              </w:rPr>
            </w:pPr>
          </w:p>
        </w:tc>
        <w:tc>
          <w:tcPr>
            <w:tcW w:w="3108" w:type="dxa"/>
            <w:tcBorders>
              <w:top w:val="single" w:color="auto" w:sz="4" w:space="0"/>
              <w:left w:val="single" w:color="auto" w:sz="4" w:space="0"/>
              <w:bottom w:val="single" w:color="auto" w:sz="4" w:space="0"/>
              <w:right w:val="single" w:color="auto" w:sz="4" w:space="0"/>
            </w:tcBorders>
            <w:noWrap w:val="0"/>
            <w:vAlign w:val="top"/>
          </w:tcPr>
          <w:p w14:paraId="50C8488B">
            <w:pPr>
              <w:spacing w:line="400" w:lineRule="exact"/>
              <w:jc w:val="left"/>
              <w:rPr>
                <w:rFonts w:ascii="宋体" w:hAnsi="宋体" w:cs="宋体"/>
                <w:color w:val="000000"/>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14:paraId="6231D614">
            <w:pPr>
              <w:spacing w:line="400" w:lineRule="exact"/>
              <w:jc w:val="left"/>
              <w:rPr>
                <w:rFonts w:ascii="宋体" w:hAnsi="宋体" w:cs="宋体"/>
                <w:color w:val="000000"/>
                <w:highlight w:val="none"/>
              </w:rPr>
            </w:pPr>
          </w:p>
        </w:tc>
      </w:tr>
      <w:tr w14:paraId="75E6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767C2BAF">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3</w:t>
            </w:r>
          </w:p>
        </w:tc>
        <w:tc>
          <w:tcPr>
            <w:tcW w:w="3064" w:type="dxa"/>
            <w:tcBorders>
              <w:top w:val="single" w:color="auto" w:sz="4" w:space="0"/>
              <w:left w:val="single" w:color="auto" w:sz="4" w:space="0"/>
              <w:bottom w:val="single" w:color="auto" w:sz="4" w:space="0"/>
              <w:right w:val="single" w:color="auto" w:sz="4" w:space="0"/>
            </w:tcBorders>
            <w:noWrap w:val="0"/>
            <w:vAlign w:val="top"/>
          </w:tcPr>
          <w:p w14:paraId="46C7BA99">
            <w:pPr>
              <w:spacing w:line="400" w:lineRule="exact"/>
              <w:jc w:val="left"/>
              <w:rPr>
                <w:rFonts w:ascii="宋体" w:hAnsi="宋体" w:cs="宋体"/>
                <w:color w:val="000000"/>
                <w:highlight w:val="none"/>
              </w:rPr>
            </w:pPr>
          </w:p>
        </w:tc>
        <w:tc>
          <w:tcPr>
            <w:tcW w:w="3108" w:type="dxa"/>
            <w:tcBorders>
              <w:top w:val="single" w:color="auto" w:sz="4" w:space="0"/>
              <w:left w:val="single" w:color="auto" w:sz="4" w:space="0"/>
              <w:bottom w:val="single" w:color="auto" w:sz="4" w:space="0"/>
              <w:right w:val="single" w:color="auto" w:sz="4" w:space="0"/>
            </w:tcBorders>
            <w:noWrap w:val="0"/>
            <w:vAlign w:val="top"/>
          </w:tcPr>
          <w:p w14:paraId="026C5ACA">
            <w:pPr>
              <w:spacing w:line="400" w:lineRule="exact"/>
              <w:jc w:val="left"/>
              <w:rPr>
                <w:rFonts w:ascii="宋体" w:hAnsi="宋体" w:cs="宋体"/>
                <w:color w:val="000000"/>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top"/>
          </w:tcPr>
          <w:p w14:paraId="66F7E7E8">
            <w:pPr>
              <w:spacing w:line="400" w:lineRule="exact"/>
              <w:jc w:val="left"/>
              <w:rPr>
                <w:rFonts w:ascii="宋体" w:hAnsi="宋体" w:cs="宋体"/>
                <w:color w:val="000000"/>
                <w:highlight w:val="none"/>
              </w:rPr>
            </w:pPr>
          </w:p>
        </w:tc>
      </w:tr>
      <w:tr w14:paraId="251D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5AC53694">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3064" w:type="dxa"/>
            <w:tcBorders>
              <w:top w:val="single" w:color="auto" w:sz="4" w:space="0"/>
              <w:left w:val="single" w:color="auto" w:sz="4" w:space="0"/>
              <w:bottom w:val="single" w:color="auto" w:sz="4" w:space="0"/>
              <w:right w:val="single" w:color="auto" w:sz="4" w:space="0"/>
            </w:tcBorders>
            <w:noWrap w:val="0"/>
            <w:vAlign w:val="top"/>
          </w:tcPr>
          <w:p w14:paraId="5B8D191D">
            <w:pPr>
              <w:spacing w:line="400" w:lineRule="exact"/>
              <w:jc w:val="left"/>
              <w:rPr>
                <w:rFonts w:ascii="宋体" w:hAnsi="宋体" w:cs="宋体"/>
                <w:color w:val="000000"/>
                <w:highlight w:val="none"/>
              </w:rPr>
            </w:pPr>
          </w:p>
        </w:tc>
        <w:tc>
          <w:tcPr>
            <w:tcW w:w="3108" w:type="dxa"/>
            <w:tcBorders>
              <w:top w:val="single" w:color="auto" w:sz="4" w:space="0"/>
              <w:left w:val="single" w:color="auto" w:sz="4" w:space="0"/>
              <w:bottom w:val="single" w:color="auto" w:sz="4" w:space="0"/>
              <w:right w:val="single" w:color="auto" w:sz="4" w:space="0"/>
            </w:tcBorders>
            <w:noWrap w:val="0"/>
            <w:vAlign w:val="top"/>
          </w:tcPr>
          <w:p w14:paraId="01EB2BF0">
            <w:pPr>
              <w:spacing w:line="400" w:lineRule="exact"/>
              <w:jc w:val="left"/>
              <w:rPr>
                <w:rFonts w:ascii="宋体" w:hAnsi="宋体" w:cs="宋体"/>
                <w:color w:val="000000"/>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top"/>
          </w:tcPr>
          <w:p w14:paraId="0415199F">
            <w:pPr>
              <w:spacing w:line="400" w:lineRule="exact"/>
              <w:jc w:val="left"/>
              <w:rPr>
                <w:rFonts w:ascii="宋体" w:hAnsi="宋体" w:cs="宋体"/>
                <w:color w:val="000000"/>
                <w:highlight w:val="none"/>
              </w:rPr>
            </w:pPr>
          </w:p>
        </w:tc>
      </w:tr>
      <w:tr w14:paraId="4CE8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75A62CE1">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w:t>
            </w:r>
          </w:p>
        </w:tc>
        <w:tc>
          <w:tcPr>
            <w:tcW w:w="3064" w:type="dxa"/>
            <w:tcBorders>
              <w:top w:val="single" w:color="auto" w:sz="4" w:space="0"/>
              <w:left w:val="single" w:color="auto" w:sz="4" w:space="0"/>
              <w:bottom w:val="single" w:color="auto" w:sz="4" w:space="0"/>
              <w:right w:val="single" w:color="auto" w:sz="4" w:space="0"/>
            </w:tcBorders>
            <w:noWrap w:val="0"/>
            <w:vAlign w:val="top"/>
          </w:tcPr>
          <w:p w14:paraId="5F40E406">
            <w:pPr>
              <w:spacing w:line="400" w:lineRule="exact"/>
              <w:jc w:val="left"/>
              <w:rPr>
                <w:rFonts w:ascii="宋体" w:hAnsi="宋体" w:cs="宋体"/>
                <w:color w:val="000000"/>
                <w:highlight w:val="none"/>
              </w:rPr>
            </w:pPr>
          </w:p>
        </w:tc>
        <w:tc>
          <w:tcPr>
            <w:tcW w:w="3108" w:type="dxa"/>
            <w:tcBorders>
              <w:top w:val="single" w:color="auto" w:sz="4" w:space="0"/>
              <w:left w:val="single" w:color="auto" w:sz="4" w:space="0"/>
              <w:bottom w:val="single" w:color="auto" w:sz="4" w:space="0"/>
              <w:right w:val="single" w:color="auto" w:sz="4" w:space="0"/>
            </w:tcBorders>
            <w:noWrap w:val="0"/>
            <w:vAlign w:val="top"/>
          </w:tcPr>
          <w:p w14:paraId="5372EC22">
            <w:pPr>
              <w:spacing w:line="400" w:lineRule="exact"/>
              <w:jc w:val="left"/>
              <w:rPr>
                <w:rFonts w:ascii="宋体" w:hAnsi="宋体" w:cs="宋体"/>
                <w:color w:val="000000"/>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top"/>
          </w:tcPr>
          <w:p w14:paraId="2A057112">
            <w:pPr>
              <w:spacing w:line="400" w:lineRule="exact"/>
              <w:jc w:val="left"/>
              <w:rPr>
                <w:rFonts w:ascii="宋体" w:hAnsi="宋体" w:cs="宋体"/>
                <w:color w:val="000000"/>
                <w:highlight w:val="none"/>
              </w:rPr>
            </w:pPr>
          </w:p>
        </w:tc>
      </w:tr>
      <w:tr w14:paraId="4E04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13996302">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N</w:t>
            </w:r>
          </w:p>
        </w:tc>
        <w:tc>
          <w:tcPr>
            <w:tcW w:w="3064" w:type="dxa"/>
            <w:tcBorders>
              <w:top w:val="single" w:color="auto" w:sz="4" w:space="0"/>
              <w:left w:val="single" w:color="auto" w:sz="4" w:space="0"/>
              <w:bottom w:val="single" w:color="auto" w:sz="4" w:space="0"/>
              <w:right w:val="single" w:color="auto" w:sz="4" w:space="0"/>
            </w:tcBorders>
            <w:noWrap w:val="0"/>
            <w:vAlign w:val="top"/>
          </w:tcPr>
          <w:p w14:paraId="0AE2519F">
            <w:pPr>
              <w:spacing w:line="400" w:lineRule="exact"/>
              <w:jc w:val="left"/>
              <w:rPr>
                <w:rFonts w:ascii="宋体" w:hAnsi="宋体" w:cs="宋体"/>
                <w:color w:val="000000"/>
                <w:highlight w:val="none"/>
              </w:rPr>
            </w:pPr>
          </w:p>
        </w:tc>
        <w:tc>
          <w:tcPr>
            <w:tcW w:w="3108" w:type="dxa"/>
            <w:tcBorders>
              <w:top w:val="single" w:color="auto" w:sz="4" w:space="0"/>
              <w:left w:val="single" w:color="auto" w:sz="4" w:space="0"/>
              <w:bottom w:val="single" w:color="auto" w:sz="4" w:space="0"/>
              <w:right w:val="single" w:color="auto" w:sz="4" w:space="0"/>
            </w:tcBorders>
            <w:noWrap w:val="0"/>
            <w:vAlign w:val="top"/>
          </w:tcPr>
          <w:p w14:paraId="03F1EA3B">
            <w:pPr>
              <w:spacing w:line="400" w:lineRule="exact"/>
              <w:jc w:val="left"/>
              <w:rPr>
                <w:rFonts w:ascii="宋体" w:hAnsi="宋体" w:cs="宋体"/>
                <w:color w:val="000000"/>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top"/>
          </w:tcPr>
          <w:p w14:paraId="5A2F7D7A">
            <w:pPr>
              <w:spacing w:line="400" w:lineRule="exact"/>
              <w:jc w:val="left"/>
              <w:rPr>
                <w:rFonts w:ascii="宋体" w:hAnsi="宋体" w:cs="宋体"/>
                <w:color w:val="000000"/>
                <w:highlight w:val="none"/>
              </w:rPr>
            </w:pPr>
          </w:p>
        </w:tc>
      </w:tr>
    </w:tbl>
    <w:p w14:paraId="68D43EE4">
      <w:pPr>
        <w:spacing w:line="400" w:lineRule="exact"/>
        <w:rPr>
          <w:rFonts w:hint="eastAsia" w:ascii="宋体" w:hAnsi="宋体" w:cs="宋体"/>
          <w:color w:val="000000"/>
          <w:highlight w:val="none"/>
        </w:rPr>
      </w:pPr>
    </w:p>
    <w:p w14:paraId="02356434">
      <w:pPr>
        <w:spacing w:line="400" w:lineRule="exact"/>
        <w:rPr>
          <w:rFonts w:hint="eastAsia" w:ascii="宋体" w:hAnsi="宋体" w:cs="宋体"/>
          <w:color w:val="000000"/>
          <w:highlight w:val="none"/>
        </w:rPr>
      </w:pPr>
    </w:p>
    <w:p w14:paraId="7FC718B4">
      <w:pPr>
        <w:spacing w:line="400" w:lineRule="exact"/>
        <w:ind w:firstLine="3780"/>
        <w:rPr>
          <w:rFonts w:ascii="宋体" w:hAnsi="宋体" w:cs="宋体"/>
          <w:color w:val="000000"/>
          <w:szCs w:val="20"/>
          <w:highlight w:val="none"/>
          <w:u w:val="single"/>
        </w:rPr>
      </w:pPr>
    </w:p>
    <w:p w14:paraId="33DE4592">
      <w:pPr>
        <w:spacing w:line="400" w:lineRule="exact"/>
        <w:ind w:firstLine="1890"/>
        <w:rPr>
          <w:rFonts w:ascii="宋体" w:hAnsi="宋体" w:cs="宋体"/>
          <w:color w:val="000000"/>
          <w:szCs w:val="21"/>
          <w:highlight w:val="none"/>
          <w:u w:val="single"/>
        </w:rPr>
      </w:pPr>
      <w:r>
        <w:rPr>
          <w:rFonts w:hint="eastAsia" w:ascii="宋体" w:hAnsi="宋体" w:cs="宋体"/>
          <w:color w:val="000000"/>
          <w:szCs w:val="21"/>
          <w:highlight w:val="none"/>
        </w:rPr>
        <w:t>投标人[公章(CA签章)，自然人签字或个人CA签章]：</w:t>
      </w:r>
      <w:r>
        <w:rPr>
          <w:rFonts w:hint="eastAsia" w:ascii="宋体" w:hAnsi="宋体" w:cs="宋体"/>
          <w:color w:val="000000"/>
          <w:szCs w:val="21"/>
          <w:highlight w:val="none"/>
          <w:u w:val="single"/>
        </w:rPr>
        <w:t xml:space="preserve">                                         </w:t>
      </w:r>
    </w:p>
    <w:p w14:paraId="3B73B5D6">
      <w:pPr>
        <w:spacing w:line="340" w:lineRule="exact"/>
        <w:rPr>
          <w:rFonts w:ascii="宋体" w:hAnsi="宋体" w:cs="宋体"/>
          <w:color w:val="000000"/>
          <w:szCs w:val="21"/>
          <w:highlight w:val="none"/>
          <w:u w:val="single"/>
        </w:rPr>
      </w:pPr>
    </w:p>
    <w:p w14:paraId="04E07994">
      <w:pPr>
        <w:ind w:firstLine="1890"/>
        <w:rPr>
          <w:rFonts w:ascii="宋体" w:hAnsi="宋体" w:cs="宋体"/>
          <w:color w:val="000000"/>
          <w:highlight w:val="none"/>
          <w:u w:val="single"/>
        </w:rPr>
      </w:pPr>
      <w:r>
        <w:rPr>
          <w:rFonts w:hint="eastAsia" w:ascii="宋体" w:hAnsi="宋体" w:cs="宋体"/>
          <w:color w:val="000000"/>
          <w:highlight w:val="none"/>
        </w:rPr>
        <w:t xml:space="preserve"> 日          期：</w:t>
      </w:r>
      <w:r>
        <w:rPr>
          <w:rFonts w:hint="eastAsia" w:ascii="宋体" w:hAnsi="宋体" w:cs="宋体"/>
          <w:color w:val="000000"/>
          <w:highlight w:val="none"/>
          <w:u w:val="single"/>
        </w:rPr>
        <w:t xml:space="preserve">                                                   </w:t>
      </w:r>
    </w:p>
    <w:p w14:paraId="193C34B8">
      <w:pPr>
        <w:spacing w:line="360" w:lineRule="exact"/>
        <w:rPr>
          <w:rFonts w:ascii="宋体" w:hAnsi="宋体" w:cs="宋体"/>
          <w:color w:val="000000"/>
          <w:highlight w:val="none"/>
        </w:rPr>
      </w:pPr>
    </w:p>
    <w:p w14:paraId="54EE6CF5">
      <w:pPr>
        <w:spacing w:line="360" w:lineRule="exact"/>
        <w:rPr>
          <w:rFonts w:ascii="宋体" w:hAnsi="宋体" w:cs="宋体"/>
          <w:color w:val="000000"/>
          <w:highlight w:val="none"/>
        </w:rPr>
      </w:pPr>
    </w:p>
    <w:p w14:paraId="786149A0">
      <w:pPr>
        <w:spacing w:line="400" w:lineRule="exact"/>
        <w:ind w:left="902" w:hanging="482"/>
        <w:rPr>
          <w:rFonts w:ascii="宋体" w:hAnsi="宋体" w:cs="宋体"/>
          <w:b/>
          <w:color w:val="000000"/>
          <w:sz w:val="24"/>
          <w:highlight w:val="none"/>
        </w:rPr>
      </w:pPr>
      <w:r>
        <w:rPr>
          <w:rFonts w:hint="eastAsia" w:ascii="宋体" w:hAnsi="宋体" w:cs="宋体"/>
          <w:b/>
          <w:bCs/>
          <w:color w:val="000000"/>
          <w:sz w:val="24"/>
          <w:szCs w:val="24"/>
          <w:highlight w:val="none"/>
        </w:rPr>
        <w:t>注：</w:t>
      </w:r>
      <w:r>
        <w:rPr>
          <w:rFonts w:hint="eastAsia" w:ascii="宋体" w:hAnsi="宋体" w:cs="宋体"/>
          <w:b/>
          <w:color w:val="000000"/>
          <w:sz w:val="24"/>
          <w:highlight w:val="none"/>
        </w:rPr>
        <w:t>1.“</w:t>
      </w:r>
      <w:r>
        <w:rPr>
          <w:rFonts w:hint="eastAsia" w:ascii="宋体" w:hAnsi="宋体" w:cs="宋体"/>
          <w:b/>
          <w:color w:val="000000"/>
          <w:sz w:val="24"/>
          <w:highlight w:val="none"/>
          <w:lang w:eastAsia="zh-CN"/>
        </w:rPr>
        <w:t>服务响应表</w:t>
      </w:r>
      <w:r>
        <w:rPr>
          <w:rFonts w:hint="eastAsia" w:ascii="宋体" w:hAnsi="宋体" w:cs="宋体"/>
          <w:b/>
          <w:color w:val="000000"/>
          <w:sz w:val="24"/>
          <w:highlight w:val="none"/>
        </w:rPr>
        <w:t>”各项内容必须如实填写。</w:t>
      </w:r>
    </w:p>
    <w:p w14:paraId="49C1B17D">
      <w:pPr>
        <w:spacing w:line="400" w:lineRule="exact"/>
        <w:ind w:left="0" w:firstLine="964"/>
        <w:rPr>
          <w:rFonts w:ascii="宋体" w:hAnsi="宋体" w:cs="宋体"/>
          <w:b/>
          <w:color w:val="000000"/>
          <w:sz w:val="24"/>
          <w:highlight w:val="none"/>
        </w:rPr>
      </w:pPr>
      <w:r>
        <w:rPr>
          <w:rFonts w:hint="eastAsia" w:ascii="宋体" w:hAnsi="宋体" w:cs="宋体"/>
          <w:b/>
          <w:color w:val="000000"/>
          <w:sz w:val="24"/>
          <w:highlight w:val="none"/>
        </w:rPr>
        <w:t>2.当本表由多页构成时，需逐页加盖投标人公章（CA签章）（属自然人的须逐页签字或个人CA签章）。</w:t>
      </w:r>
    </w:p>
    <w:p w14:paraId="77878964">
      <w:pPr>
        <w:pStyle w:val="213"/>
        <w:jc w:val="both"/>
        <w:rPr>
          <w:rFonts w:hint="eastAsia" w:ascii="宋体" w:hAnsi="宋体" w:eastAsia="宋体" w:cs="宋体"/>
          <w:b/>
          <w:color w:val="000000"/>
          <w:sz w:val="24"/>
          <w:szCs w:val="24"/>
          <w:highlight w:val="none"/>
          <w:lang w:val="en-US" w:eastAsia="zh-CN"/>
        </w:rPr>
      </w:pPr>
      <w:r>
        <w:rPr>
          <w:rFonts w:hint="eastAsia" w:hAnsi="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lang w:val="en-US" w:eastAsia="zh-CN"/>
        </w:rPr>
        <w:t>3.</w:t>
      </w:r>
      <w:r>
        <w:rPr>
          <w:rFonts w:hint="eastAsia" w:ascii="宋体" w:hAnsi="宋体" w:eastAsia="宋体" w:cs="宋体"/>
          <w:b/>
          <w:color w:val="000000"/>
          <w:sz w:val="24"/>
          <w:szCs w:val="24"/>
          <w:highlight w:val="none"/>
        </w:rPr>
        <w:t>投标人应对照招标文件中</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第三章</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采购需求</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的</w:t>
      </w:r>
      <w:r>
        <w:rPr>
          <w:rFonts w:hint="eastAsia" w:ascii="宋体" w:hAnsi="宋体" w:eastAsia="宋体" w:cs="宋体"/>
          <w:b/>
          <w:color w:val="000000"/>
          <w:sz w:val="24"/>
          <w:szCs w:val="24"/>
          <w:highlight w:val="none"/>
          <w:lang w:eastAsia="zh-CN"/>
        </w:rPr>
        <w:t>全部</w:t>
      </w:r>
      <w:r>
        <w:rPr>
          <w:rFonts w:hint="eastAsia" w:ascii="宋体" w:hAnsi="宋体" w:eastAsia="宋体" w:cs="宋体"/>
          <w:b/>
          <w:color w:val="000000"/>
          <w:sz w:val="24"/>
          <w:szCs w:val="24"/>
          <w:highlight w:val="none"/>
        </w:rPr>
        <w:t>内容</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商务要求</w:t>
      </w:r>
      <w:r>
        <w:rPr>
          <w:rFonts w:hint="eastAsia" w:ascii="宋体" w:hAnsi="宋体" w:eastAsia="宋体" w:cs="宋体"/>
          <w:b/>
          <w:color w:val="000000"/>
          <w:sz w:val="24"/>
          <w:szCs w:val="24"/>
          <w:highlight w:val="none"/>
          <w:lang w:eastAsia="zh-CN"/>
        </w:rPr>
        <w:t>除外）</w:t>
      </w:r>
      <w:r>
        <w:rPr>
          <w:rFonts w:hint="eastAsia" w:ascii="宋体" w:hAnsi="宋体" w:eastAsia="宋体" w:cs="宋体"/>
          <w:b/>
          <w:color w:val="000000"/>
          <w:sz w:val="24"/>
          <w:szCs w:val="24"/>
          <w:highlight w:val="none"/>
        </w:rPr>
        <w:t>逐条响应，并在“偏离情况说明”栏注明“正偏离”、“负偏离”或“无偏离”。</w:t>
      </w:r>
      <w:r>
        <w:rPr>
          <w:rFonts w:hint="eastAsia" w:ascii="宋体" w:hAnsi="宋体" w:eastAsia="宋体" w:cs="宋体"/>
          <w:b/>
          <w:color w:val="000000"/>
          <w:sz w:val="24"/>
          <w:szCs w:val="24"/>
          <w:highlight w:val="none"/>
          <w:lang w:eastAsia="zh-CN"/>
        </w:rPr>
        <w:t>否则，投标无效。</w:t>
      </w:r>
    </w:p>
    <w:p w14:paraId="21B5C904">
      <w:pPr>
        <w:pStyle w:val="213"/>
        <w:jc w:val="center"/>
        <w:rPr>
          <w:rFonts w:hAnsi="宋体" w:cs="宋体"/>
          <w:b/>
          <w:color w:val="000000"/>
          <w:sz w:val="32"/>
          <w:highlight w:val="none"/>
        </w:rPr>
      </w:pPr>
    </w:p>
    <w:p w14:paraId="74135CB8">
      <w:pPr>
        <w:pStyle w:val="213"/>
        <w:jc w:val="center"/>
        <w:rPr>
          <w:rFonts w:hAnsi="宋体" w:cs="宋体"/>
          <w:b/>
          <w:color w:val="000000"/>
          <w:sz w:val="32"/>
          <w:highlight w:val="none"/>
        </w:rPr>
      </w:pPr>
    </w:p>
    <w:p w14:paraId="4F8C8339">
      <w:pPr>
        <w:pStyle w:val="213"/>
        <w:jc w:val="center"/>
        <w:rPr>
          <w:rFonts w:hAnsi="宋体" w:cs="宋体"/>
          <w:b/>
          <w:color w:val="000000"/>
          <w:sz w:val="32"/>
          <w:highlight w:val="none"/>
        </w:rPr>
      </w:pPr>
    </w:p>
    <w:p w14:paraId="120EDBB0">
      <w:pPr>
        <w:pStyle w:val="213"/>
        <w:jc w:val="center"/>
        <w:rPr>
          <w:rFonts w:hAnsi="宋体" w:cs="宋体"/>
          <w:b/>
          <w:color w:val="000000"/>
          <w:sz w:val="32"/>
          <w:highlight w:val="none"/>
        </w:rPr>
      </w:pPr>
    </w:p>
    <w:p w14:paraId="0CD538FF">
      <w:pPr>
        <w:pStyle w:val="213"/>
        <w:jc w:val="center"/>
        <w:rPr>
          <w:rFonts w:hAnsi="宋体" w:cs="宋体"/>
          <w:b/>
          <w:color w:val="000000"/>
          <w:sz w:val="32"/>
          <w:highlight w:val="none"/>
        </w:rPr>
      </w:pPr>
    </w:p>
    <w:p w14:paraId="1EFBAD10">
      <w:pPr>
        <w:rPr>
          <w:rFonts w:hint="eastAsia" w:ascii="宋体" w:hAnsi="宋体" w:eastAsia="宋体" w:cs="宋体"/>
          <w:b/>
          <w:bCs/>
          <w:color w:val="000000"/>
          <w:sz w:val="32"/>
          <w:szCs w:val="32"/>
          <w:highlight w:val="none"/>
          <w:lang w:eastAsia="zh-CN"/>
        </w:rPr>
      </w:pPr>
      <w:r>
        <w:rPr>
          <w:rFonts w:hint="eastAsia" w:ascii="宋体" w:hAnsi="宋体" w:cs="宋体"/>
          <w:b/>
          <w:bCs/>
          <w:color w:val="000000"/>
          <w:sz w:val="32"/>
          <w:szCs w:val="32"/>
          <w:highlight w:val="none"/>
        </w:rPr>
        <w:t>3.商务响应表（格式见附件）（必须提供）</w:t>
      </w:r>
      <w:r>
        <w:rPr>
          <w:rFonts w:hint="eastAsia" w:ascii="宋体" w:hAnsi="宋体" w:cs="宋体"/>
          <w:b/>
          <w:bCs/>
          <w:color w:val="000000"/>
          <w:sz w:val="32"/>
          <w:szCs w:val="32"/>
          <w:highlight w:val="none"/>
          <w:lang w:eastAsia="zh-CN"/>
        </w:rPr>
        <w:t>；</w:t>
      </w:r>
    </w:p>
    <w:p w14:paraId="380946D2">
      <w:pPr>
        <w:rPr>
          <w:rFonts w:ascii="宋体" w:hAnsi="宋体" w:cs="宋体"/>
          <w:b/>
          <w:bCs/>
          <w:color w:val="000000"/>
          <w:sz w:val="32"/>
          <w:szCs w:val="32"/>
          <w:highlight w:val="none"/>
        </w:rPr>
      </w:pPr>
      <w:r>
        <w:rPr>
          <w:rFonts w:hint="eastAsia" w:ascii="宋体" w:hAnsi="宋体" w:cs="宋体"/>
          <w:b/>
          <w:bCs/>
          <w:color w:val="000000"/>
          <w:sz w:val="32"/>
          <w:szCs w:val="32"/>
          <w:highlight w:val="none"/>
        </w:rPr>
        <w:t>附件：</w:t>
      </w:r>
    </w:p>
    <w:p w14:paraId="633374F0">
      <w:pPr>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商务响应表（格式）</w:t>
      </w:r>
    </w:p>
    <w:p w14:paraId="4D964DE2">
      <w:pPr>
        <w:pStyle w:val="2"/>
        <w:rPr>
          <w:rFonts w:hint="eastAsia" w:ascii="宋体" w:hAnsi="宋体" w:cs="宋体"/>
          <w:b/>
          <w:bCs/>
          <w:color w:val="000000"/>
          <w:sz w:val="24"/>
          <w:szCs w:val="21"/>
          <w:highlight w:val="none"/>
          <w:lang w:eastAsia="zh-CN"/>
        </w:rPr>
      </w:pPr>
      <w:r>
        <w:rPr>
          <w:rFonts w:hint="eastAsia" w:ascii="宋体" w:hAnsi="宋体" w:cs="宋体"/>
          <w:b/>
          <w:bCs/>
          <w:color w:val="000000"/>
          <w:sz w:val="24"/>
          <w:szCs w:val="21"/>
          <w:highlight w:val="none"/>
          <w:lang w:eastAsia="zh-CN"/>
        </w:rPr>
        <w:t>项目编号：</w:t>
      </w:r>
    </w:p>
    <w:p w14:paraId="1AB8169C">
      <w:pPr>
        <w:pStyle w:val="2"/>
        <w:rPr>
          <w:rFonts w:hint="eastAsia"/>
          <w:sz w:val="18"/>
          <w:szCs w:val="21"/>
          <w:lang w:eastAsia="zh-CN"/>
        </w:rPr>
      </w:pPr>
      <w:r>
        <w:rPr>
          <w:rFonts w:hint="eastAsia" w:ascii="宋体" w:hAnsi="宋体" w:cs="宋体"/>
          <w:b/>
          <w:bCs/>
          <w:color w:val="000000"/>
          <w:sz w:val="24"/>
          <w:szCs w:val="21"/>
          <w:highlight w:val="none"/>
          <w:lang w:eastAsia="zh-CN"/>
        </w:rPr>
        <w:t>项目名称：</w:t>
      </w:r>
    </w:p>
    <w:p w14:paraId="0906FA46">
      <w:pPr>
        <w:pStyle w:val="251"/>
        <w:rPr>
          <w:color w:val="000000"/>
          <w:highlight w:val="none"/>
        </w:rPr>
      </w:pPr>
    </w:p>
    <w:tbl>
      <w:tblPr>
        <w:tblStyle w:val="3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3"/>
        <w:gridCol w:w="3373"/>
        <w:gridCol w:w="2835"/>
        <w:gridCol w:w="2410"/>
      </w:tblGrid>
      <w:tr w14:paraId="6F6A8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1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9C36AD2">
            <w:pPr>
              <w:spacing w:line="360" w:lineRule="exact"/>
              <w:jc w:val="center"/>
              <w:rPr>
                <w:rFonts w:ascii="宋体" w:hAnsi="宋体" w:cs="宋体"/>
                <w:b/>
                <w:bCs/>
                <w:color w:val="000000"/>
                <w:szCs w:val="21"/>
                <w:highlight w:val="none"/>
              </w:rPr>
            </w:pPr>
            <w:r>
              <w:rPr>
                <w:rFonts w:hint="eastAsia" w:ascii="宋体" w:hAnsi="宋体" w:cs="宋体"/>
                <w:b/>
                <w:bCs/>
                <w:color w:val="000000"/>
                <w:szCs w:val="21"/>
                <w:highlight w:val="none"/>
              </w:rPr>
              <w:t>项号</w:t>
            </w:r>
          </w:p>
        </w:tc>
        <w:tc>
          <w:tcPr>
            <w:tcW w:w="337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D3A28AC">
            <w:pPr>
              <w:pStyle w:val="213"/>
              <w:spacing w:line="360" w:lineRule="exact"/>
              <w:jc w:val="center"/>
              <w:rPr>
                <w:rFonts w:hAnsi="宋体" w:cs="宋体"/>
                <w:b/>
                <w:bCs/>
                <w:color w:val="000000"/>
                <w:highlight w:val="none"/>
              </w:rPr>
            </w:pPr>
            <w:r>
              <w:rPr>
                <w:rFonts w:hint="eastAsia" w:hAnsi="宋体" w:cs="宋体"/>
                <w:b/>
                <w:bCs/>
                <w:color w:val="000000"/>
                <w:szCs w:val="24"/>
                <w:highlight w:val="none"/>
              </w:rPr>
              <w:t>招标文件的商务</w:t>
            </w:r>
            <w:r>
              <w:rPr>
                <w:rFonts w:hint="eastAsia" w:hAnsi="宋体" w:cs="宋体"/>
                <w:b/>
                <w:bCs/>
                <w:color w:val="000000"/>
                <w:szCs w:val="24"/>
                <w:highlight w:val="none"/>
                <w:lang w:eastAsia="zh-CN"/>
              </w:rPr>
              <w:t>要求</w:t>
            </w:r>
          </w:p>
        </w:tc>
        <w:tc>
          <w:tcPr>
            <w:tcW w:w="283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6B1E5CE">
            <w:pPr>
              <w:pStyle w:val="213"/>
              <w:spacing w:line="360" w:lineRule="exact"/>
              <w:jc w:val="center"/>
              <w:rPr>
                <w:rFonts w:hAnsi="宋体" w:cs="宋体"/>
                <w:b/>
                <w:bCs/>
                <w:color w:val="000000"/>
                <w:highlight w:val="none"/>
              </w:rPr>
            </w:pPr>
            <w:r>
              <w:rPr>
                <w:rFonts w:hint="eastAsia" w:hAnsi="宋体" w:cs="宋体"/>
                <w:b/>
                <w:bCs/>
                <w:color w:val="000000"/>
                <w:szCs w:val="24"/>
                <w:highlight w:val="none"/>
              </w:rPr>
              <w:t>投标文件承诺的商务</w:t>
            </w:r>
            <w:r>
              <w:rPr>
                <w:rFonts w:hint="eastAsia" w:hAnsi="宋体" w:cs="宋体"/>
                <w:b/>
                <w:bCs/>
                <w:color w:val="000000"/>
                <w:szCs w:val="24"/>
                <w:highlight w:val="none"/>
                <w:lang w:eastAsia="zh-CN"/>
              </w:rPr>
              <w:t>要求</w:t>
            </w:r>
          </w:p>
        </w:tc>
        <w:tc>
          <w:tcPr>
            <w:tcW w:w="2410"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0B7C8DB">
            <w:pPr>
              <w:pStyle w:val="213"/>
              <w:spacing w:line="360" w:lineRule="exact"/>
              <w:jc w:val="center"/>
              <w:rPr>
                <w:rFonts w:hAnsi="宋体" w:cs="宋体"/>
                <w:b/>
                <w:bCs/>
                <w:color w:val="000000"/>
                <w:highlight w:val="none"/>
              </w:rPr>
            </w:pPr>
            <w:r>
              <w:rPr>
                <w:rFonts w:hint="eastAsia" w:hAnsi="宋体" w:cs="宋体"/>
                <w:b/>
                <w:bCs/>
                <w:color w:val="000000"/>
                <w:szCs w:val="24"/>
                <w:highlight w:val="none"/>
              </w:rPr>
              <w:t>偏离情况说明</w:t>
            </w:r>
          </w:p>
        </w:tc>
      </w:tr>
      <w:tr w14:paraId="460B5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638F5B91">
            <w:pPr>
              <w:spacing w:before="156"/>
              <w:jc w:val="center"/>
              <w:rPr>
                <w:rFonts w:ascii="宋体" w:hAnsi="宋体" w:cs="宋体"/>
                <w:color w:val="000000"/>
                <w:szCs w:val="21"/>
                <w:highlight w:val="none"/>
              </w:rPr>
            </w:pPr>
          </w:p>
        </w:tc>
        <w:tc>
          <w:tcPr>
            <w:tcW w:w="3373" w:type="dxa"/>
            <w:tcBorders>
              <w:top w:val="single" w:color="auto" w:sz="4" w:space="0"/>
              <w:left w:val="single" w:color="auto" w:sz="4" w:space="0"/>
              <w:bottom w:val="single" w:color="auto" w:sz="4" w:space="0"/>
              <w:right w:val="single" w:color="auto" w:sz="4" w:space="0"/>
            </w:tcBorders>
            <w:noWrap w:val="0"/>
            <w:vAlign w:val="top"/>
          </w:tcPr>
          <w:p w14:paraId="3CD29AE6">
            <w:pPr>
              <w:spacing w:before="156"/>
              <w:jc w:val="left"/>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CD1E0A9">
            <w:pPr>
              <w:spacing w:before="156"/>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94AAC85">
            <w:pPr>
              <w:spacing w:before="156"/>
              <w:jc w:val="center"/>
              <w:rPr>
                <w:rFonts w:ascii="宋体" w:hAnsi="宋体" w:cs="宋体"/>
                <w:color w:val="000000"/>
                <w:szCs w:val="21"/>
                <w:highlight w:val="none"/>
              </w:rPr>
            </w:pPr>
          </w:p>
        </w:tc>
      </w:tr>
      <w:tr w14:paraId="4525E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578216DB">
            <w:pPr>
              <w:spacing w:before="156"/>
              <w:jc w:val="center"/>
              <w:rPr>
                <w:rFonts w:ascii="宋体" w:hAnsi="宋体" w:cs="宋体"/>
                <w:color w:val="000000"/>
                <w:szCs w:val="21"/>
                <w:highlight w:val="none"/>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67F5EE4A">
            <w:pPr>
              <w:spacing w:before="156"/>
              <w:jc w:val="center"/>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884E08A">
            <w:pPr>
              <w:spacing w:before="156"/>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60BFC4D">
            <w:pPr>
              <w:spacing w:before="156"/>
              <w:jc w:val="center"/>
              <w:rPr>
                <w:rFonts w:ascii="宋体" w:hAnsi="宋体" w:cs="宋体"/>
                <w:color w:val="000000"/>
                <w:szCs w:val="21"/>
                <w:highlight w:val="none"/>
              </w:rPr>
            </w:pPr>
          </w:p>
        </w:tc>
      </w:tr>
      <w:tr w14:paraId="482B0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641EBDCA">
            <w:pPr>
              <w:spacing w:before="156"/>
              <w:jc w:val="center"/>
              <w:rPr>
                <w:rFonts w:ascii="宋体" w:hAnsi="宋体" w:cs="宋体"/>
                <w:color w:val="000000"/>
                <w:szCs w:val="21"/>
                <w:highlight w:val="none"/>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1ADCAA11">
            <w:pPr>
              <w:spacing w:before="156"/>
              <w:jc w:val="center"/>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5C17A3F">
            <w:pPr>
              <w:spacing w:before="156"/>
              <w:ind w:left="43"/>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326365A">
            <w:pPr>
              <w:spacing w:before="156"/>
              <w:ind w:left="43"/>
              <w:jc w:val="center"/>
              <w:rPr>
                <w:rFonts w:ascii="宋体" w:hAnsi="宋体" w:cs="宋体"/>
                <w:color w:val="000000"/>
                <w:szCs w:val="21"/>
                <w:highlight w:val="none"/>
              </w:rPr>
            </w:pPr>
          </w:p>
        </w:tc>
      </w:tr>
      <w:tr w14:paraId="4B5A7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78DB786B">
            <w:pPr>
              <w:spacing w:before="156"/>
              <w:jc w:val="center"/>
              <w:rPr>
                <w:rFonts w:ascii="宋体" w:hAnsi="宋体" w:cs="宋体"/>
                <w:color w:val="000000"/>
                <w:szCs w:val="21"/>
                <w:highlight w:val="none"/>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0B19D4AB">
            <w:pPr>
              <w:spacing w:before="156"/>
              <w:jc w:val="center"/>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CB6017B">
            <w:pPr>
              <w:spacing w:before="156"/>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2E230F0">
            <w:pPr>
              <w:spacing w:before="156"/>
              <w:jc w:val="center"/>
              <w:rPr>
                <w:rFonts w:ascii="宋体" w:hAnsi="宋体" w:cs="宋体"/>
                <w:color w:val="000000"/>
                <w:szCs w:val="21"/>
                <w:highlight w:val="none"/>
              </w:rPr>
            </w:pPr>
          </w:p>
        </w:tc>
      </w:tr>
      <w:tr w14:paraId="2A650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0"/>
            <w:vAlign w:val="center"/>
          </w:tcPr>
          <w:p w14:paraId="3A19E29B">
            <w:pPr>
              <w:spacing w:before="156"/>
              <w:jc w:val="center"/>
              <w:rPr>
                <w:rFonts w:ascii="宋体" w:hAnsi="宋体" w:cs="宋体"/>
                <w:color w:val="000000"/>
                <w:szCs w:val="21"/>
                <w:highlight w:val="none"/>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2BC8BEFC">
            <w:pPr>
              <w:spacing w:before="156"/>
              <w:jc w:val="center"/>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441CA65">
            <w:pPr>
              <w:spacing w:before="156"/>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D75223D">
            <w:pPr>
              <w:spacing w:before="156"/>
              <w:jc w:val="center"/>
              <w:rPr>
                <w:rFonts w:ascii="宋体" w:hAnsi="宋体" w:cs="宋体"/>
                <w:color w:val="000000"/>
                <w:szCs w:val="21"/>
                <w:highlight w:val="none"/>
              </w:rPr>
            </w:pPr>
          </w:p>
        </w:tc>
      </w:tr>
      <w:tr w14:paraId="5AD3E8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0"/>
            <w:vAlign w:val="center"/>
          </w:tcPr>
          <w:p w14:paraId="5574732D">
            <w:pPr>
              <w:spacing w:before="156"/>
              <w:jc w:val="center"/>
              <w:rPr>
                <w:rFonts w:ascii="宋体" w:hAnsi="宋体" w:cs="宋体"/>
                <w:color w:val="000000"/>
                <w:szCs w:val="21"/>
                <w:highlight w:val="none"/>
              </w:rPr>
            </w:pPr>
            <w:r>
              <w:rPr>
                <w:rFonts w:hint="eastAsia" w:ascii="宋体" w:hAnsi="宋体" w:cs="宋体"/>
                <w:color w:val="000000"/>
                <w:szCs w:val="21"/>
                <w:highlight w:val="none"/>
              </w:rPr>
              <w:t>……</w:t>
            </w:r>
          </w:p>
        </w:tc>
        <w:tc>
          <w:tcPr>
            <w:tcW w:w="3373" w:type="dxa"/>
            <w:tcBorders>
              <w:top w:val="single" w:color="auto" w:sz="4" w:space="0"/>
              <w:left w:val="single" w:color="auto" w:sz="4" w:space="0"/>
              <w:bottom w:val="single" w:color="auto" w:sz="4" w:space="0"/>
              <w:right w:val="single" w:color="auto" w:sz="4" w:space="0"/>
            </w:tcBorders>
            <w:noWrap w:val="0"/>
            <w:vAlign w:val="center"/>
          </w:tcPr>
          <w:p w14:paraId="21BD5966">
            <w:pPr>
              <w:spacing w:before="156"/>
              <w:jc w:val="center"/>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6B1C883">
            <w:pPr>
              <w:spacing w:before="156"/>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F5A0E61">
            <w:pPr>
              <w:spacing w:before="156"/>
              <w:jc w:val="center"/>
              <w:rPr>
                <w:rFonts w:ascii="宋体" w:hAnsi="宋体" w:cs="宋体"/>
                <w:color w:val="000000"/>
                <w:szCs w:val="21"/>
                <w:highlight w:val="none"/>
              </w:rPr>
            </w:pPr>
          </w:p>
        </w:tc>
      </w:tr>
    </w:tbl>
    <w:p w14:paraId="0BC586ED">
      <w:pPr>
        <w:spacing w:before="50" w:after="50"/>
        <w:rPr>
          <w:rFonts w:hint="eastAsia" w:ascii="宋体" w:hAnsi="宋体" w:cs="宋体"/>
          <w:color w:val="000000"/>
          <w:highlight w:val="none"/>
        </w:rPr>
      </w:pPr>
    </w:p>
    <w:p w14:paraId="146900E5">
      <w:pPr>
        <w:spacing w:before="50" w:after="50"/>
        <w:rPr>
          <w:rFonts w:hint="eastAsia" w:ascii="宋体" w:hAnsi="宋体" w:cs="宋体"/>
          <w:color w:val="000000"/>
          <w:highlight w:val="none"/>
        </w:rPr>
      </w:pPr>
    </w:p>
    <w:p w14:paraId="168B9659">
      <w:pPr>
        <w:spacing w:before="50" w:after="50"/>
        <w:rPr>
          <w:rFonts w:ascii="宋体" w:hAnsi="宋体" w:cs="宋体"/>
          <w:color w:val="000000"/>
          <w:spacing w:val="20"/>
          <w:sz w:val="24"/>
          <w:highlight w:val="none"/>
        </w:rPr>
      </w:pPr>
    </w:p>
    <w:p w14:paraId="5F5D7683">
      <w:pPr>
        <w:spacing w:line="400" w:lineRule="exact"/>
        <w:ind w:firstLine="1890"/>
        <w:rPr>
          <w:rFonts w:hint="eastAsia" w:ascii="宋体" w:hAnsi="宋体" w:cs="宋体"/>
          <w:color w:val="000000"/>
          <w:szCs w:val="21"/>
          <w:highlight w:val="none"/>
          <w:u w:val="single"/>
        </w:rPr>
      </w:pPr>
      <w:r>
        <w:rPr>
          <w:rFonts w:hint="eastAsia" w:ascii="宋体" w:hAnsi="宋体" w:cs="宋体"/>
          <w:color w:val="000000"/>
          <w:szCs w:val="21"/>
          <w:highlight w:val="none"/>
        </w:rPr>
        <w:t>投标人[公章(CA签章)，自然人签字或个人CA签章]：</w:t>
      </w:r>
      <w:r>
        <w:rPr>
          <w:rFonts w:hint="eastAsia" w:ascii="宋体" w:hAnsi="宋体" w:cs="宋体"/>
          <w:color w:val="000000"/>
          <w:szCs w:val="21"/>
          <w:highlight w:val="none"/>
          <w:u w:val="single"/>
        </w:rPr>
        <w:t xml:space="preserve">                                </w:t>
      </w:r>
    </w:p>
    <w:p w14:paraId="2870AA7A">
      <w:pPr>
        <w:spacing w:line="340" w:lineRule="exact"/>
        <w:rPr>
          <w:color w:val="000000"/>
          <w:highlight w:val="none"/>
        </w:rPr>
      </w:pPr>
    </w:p>
    <w:p w14:paraId="5F275305">
      <w:pPr>
        <w:spacing w:line="400" w:lineRule="exact"/>
        <w:ind w:firstLine="1680"/>
        <w:rPr>
          <w:rFonts w:hint="eastAsia" w:ascii="宋体" w:hAnsi="宋体" w:cs="宋体"/>
          <w:color w:val="000000"/>
          <w:highlight w:val="none"/>
        </w:rPr>
      </w:pPr>
    </w:p>
    <w:p w14:paraId="60E3023A">
      <w:pPr>
        <w:spacing w:line="400" w:lineRule="exact"/>
        <w:ind w:firstLine="1680"/>
        <w:rPr>
          <w:rFonts w:ascii="宋体" w:hAnsi="宋体" w:cs="宋体"/>
          <w:color w:val="000000"/>
          <w:highlight w:val="none"/>
        </w:rPr>
      </w:pPr>
      <w:r>
        <w:rPr>
          <w:rFonts w:hint="eastAsia" w:ascii="宋体" w:hAnsi="宋体" w:cs="宋体"/>
          <w:color w:val="000000"/>
          <w:highlight w:val="none"/>
        </w:rPr>
        <w:t xml:space="preserve"> 日          期：</w:t>
      </w:r>
      <w:r>
        <w:rPr>
          <w:rFonts w:hint="eastAsia" w:ascii="宋体" w:hAnsi="宋体" w:cs="宋体"/>
          <w:color w:val="000000"/>
          <w:highlight w:val="none"/>
          <w:u w:val="single"/>
        </w:rPr>
        <w:t xml:space="preserve">                                                   </w:t>
      </w:r>
    </w:p>
    <w:p w14:paraId="2B656E5B">
      <w:pPr>
        <w:ind w:firstLine="1890"/>
        <w:rPr>
          <w:rFonts w:ascii="宋体" w:hAnsi="宋体" w:cs="宋体"/>
          <w:color w:val="000000"/>
          <w:highlight w:val="none"/>
          <w:u w:val="single"/>
        </w:rPr>
      </w:pPr>
    </w:p>
    <w:p w14:paraId="7BE2651C">
      <w:pPr>
        <w:ind w:firstLine="1890"/>
        <w:rPr>
          <w:rFonts w:ascii="宋体" w:hAnsi="宋体" w:cs="宋体"/>
          <w:color w:val="000000"/>
          <w:highlight w:val="none"/>
          <w:u w:val="single"/>
        </w:rPr>
      </w:pPr>
    </w:p>
    <w:p w14:paraId="306DFB73">
      <w:pPr>
        <w:spacing w:line="400" w:lineRule="exact"/>
        <w:ind w:left="902" w:hanging="482"/>
        <w:rPr>
          <w:rFonts w:ascii="宋体" w:hAnsi="宋体" w:cs="宋体"/>
          <w:b/>
          <w:bCs/>
          <w:color w:val="000000"/>
          <w:sz w:val="28"/>
          <w:szCs w:val="28"/>
          <w:highlight w:val="none"/>
        </w:rPr>
      </w:pPr>
      <w:r>
        <w:rPr>
          <w:rFonts w:hint="eastAsia" w:ascii="宋体" w:hAnsi="宋体" w:cs="宋体"/>
          <w:b/>
          <w:bCs/>
          <w:color w:val="000000"/>
          <w:sz w:val="24"/>
          <w:szCs w:val="24"/>
          <w:highlight w:val="none"/>
        </w:rPr>
        <w:t>注：</w:t>
      </w:r>
      <w:r>
        <w:rPr>
          <w:rFonts w:hint="eastAsia" w:ascii="宋体" w:hAnsi="宋体" w:cs="宋体"/>
          <w:b/>
          <w:color w:val="000000"/>
          <w:sz w:val="24"/>
          <w:highlight w:val="none"/>
        </w:rPr>
        <w:t>1.“商务响应表”各项内容必须如实填写。</w:t>
      </w:r>
    </w:p>
    <w:p w14:paraId="5CA20C50">
      <w:pPr>
        <w:numPr>
          <w:ilvl w:val="0"/>
          <w:numId w:val="0"/>
        </w:numPr>
        <w:spacing w:line="400" w:lineRule="exact"/>
        <w:ind w:firstLine="964"/>
        <w:rPr>
          <w:rFonts w:hint="eastAsia" w:ascii="宋体" w:hAnsi="宋体" w:cs="宋体"/>
          <w:b/>
          <w:color w:val="000000"/>
          <w:sz w:val="24"/>
          <w:highlight w:val="none"/>
        </w:rPr>
      </w:pPr>
      <w:r>
        <w:rPr>
          <w:rFonts w:hint="eastAsia" w:ascii="宋体" w:hAnsi="宋体" w:cs="宋体"/>
          <w:b/>
          <w:color w:val="000000"/>
          <w:sz w:val="24"/>
          <w:szCs w:val="24"/>
          <w:lang w:val="en-US" w:eastAsia="zh-CN" w:bidi="ar-SA"/>
        </w:rPr>
        <w:t>2.</w:t>
      </w:r>
      <w:r>
        <w:rPr>
          <w:rFonts w:hint="eastAsia" w:ascii="宋体" w:hAnsi="宋体" w:cs="宋体"/>
          <w:b/>
          <w:color w:val="000000"/>
          <w:sz w:val="24"/>
          <w:highlight w:val="none"/>
        </w:rPr>
        <w:t>当本表由多页构成时，需逐页加盖投标人公章（CA签章）（属自然人的须逐页签字或个人CA签章）。</w:t>
      </w:r>
    </w:p>
    <w:p w14:paraId="6296B37E">
      <w:pPr>
        <w:numPr>
          <w:ilvl w:val="0"/>
          <w:numId w:val="0"/>
        </w:numPr>
        <w:spacing w:line="400" w:lineRule="exact"/>
        <w:ind w:firstLine="964"/>
        <w:rPr>
          <w:rFonts w:hint="eastAsia" w:ascii="宋体" w:hAnsi="宋体" w:cs="宋体"/>
          <w:b/>
          <w:color w:val="000000"/>
          <w:sz w:val="24"/>
          <w:highlight w:val="none"/>
        </w:rPr>
      </w:pPr>
      <w:r>
        <w:rPr>
          <w:rFonts w:hint="eastAsia" w:ascii="宋体" w:hAnsi="宋体" w:cs="宋体"/>
          <w:b/>
          <w:color w:val="000000"/>
          <w:sz w:val="24"/>
          <w:szCs w:val="24"/>
          <w:lang w:val="en-US" w:eastAsia="zh-CN" w:bidi="ar-SA"/>
        </w:rPr>
        <w:t>3.</w:t>
      </w:r>
      <w:r>
        <w:rPr>
          <w:rFonts w:hint="eastAsia" w:ascii="宋体" w:hAnsi="宋体" w:eastAsia="宋体" w:cs="宋体"/>
          <w:b/>
          <w:color w:val="000000"/>
          <w:sz w:val="24"/>
          <w:highlight w:val="none"/>
        </w:rPr>
        <w:t>投标人应对照招标文件中</w:t>
      </w:r>
      <w:r>
        <w:rPr>
          <w:rFonts w:hint="eastAsia" w:ascii="宋体" w:hAnsi="宋体" w:eastAsia="宋体" w:cs="宋体"/>
          <w:b/>
          <w:color w:val="000000"/>
          <w:sz w:val="24"/>
          <w:highlight w:val="none"/>
          <w:lang w:eastAsia="zh-CN"/>
        </w:rPr>
        <w:t>“</w:t>
      </w:r>
      <w:r>
        <w:rPr>
          <w:rFonts w:hint="eastAsia" w:ascii="宋体" w:hAnsi="宋体" w:eastAsia="宋体" w:cs="宋体"/>
          <w:b/>
          <w:color w:val="000000"/>
          <w:sz w:val="24"/>
          <w:highlight w:val="none"/>
        </w:rPr>
        <w:t>第三章</w:t>
      </w:r>
      <w:r>
        <w:rPr>
          <w:rFonts w:hint="eastAsia" w:ascii="宋体" w:hAnsi="宋体" w:eastAsia="宋体" w:cs="宋体"/>
          <w:b/>
          <w:color w:val="000000"/>
          <w:sz w:val="24"/>
          <w:highlight w:val="none"/>
          <w:lang w:val="en-US" w:eastAsia="zh-CN"/>
        </w:rPr>
        <w:t xml:space="preserve"> </w:t>
      </w:r>
      <w:r>
        <w:rPr>
          <w:rFonts w:hint="eastAsia" w:ascii="宋体" w:hAnsi="宋体" w:eastAsia="宋体" w:cs="宋体"/>
          <w:b/>
          <w:color w:val="000000"/>
          <w:sz w:val="24"/>
          <w:highlight w:val="none"/>
        </w:rPr>
        <w:t>采购需求</w:t>
      </w:r>
      <w:r>
        <w:rPr>
          <w:rFonts w:hint="eastAsia" w:ascii="宋体" w:hAnsi="宋体" w:eastAsia="宋体" w:cs="宋体"/>
          <w:b/>
          <w:color w:val="000000"/>
          <w:sz w:val="24"/>
          <w:highlight w:val="none"/>
          <w:lang w:eastAsia="zh-CN"/>
        </w:rPr>
        <w:t>”中的“</w:t>
      </w:r>
      <w:r>
        <w:rPr>
          <w:rFonts w:hint="eastAsia" w:ascii="宋体" w:hAnsi="宋体" w:eastAsia="宋体" w:cs="宋体"/>
          <w:b/>
          <w:color w:val="000000"/>
          <w:sz w:val="24"/>
          <w:highlight w:val="none"/>
        </w:rPr>
        <w:t>商务要求</w:t>
      </w:r>
      <w:r>
        <w:rPr>
          <w:rFonts w:hint="eastAsia" w:ascii="宋体" w:hAnsi="宋体" w:eastAsia="宋体" w:cs="宋体"/>
          <w:b/>
          <w:color w:val="000000"/>
          <w:sz w:val="24"/>
          <w:highlight w:val="none"/>
          <w:lang w:eastAsia="zh-CN"/>
        </w:rPr>
        <w:t>”</w:t>
      </w:r>
      <w:r>
        <w:rPr>
          <w:rFonts w:hint="eastAsia" w:ascii="宋体" w:hAnsi="宋体" w:eastAsia="宋体" w:cs="宋体"/>
          <w:b/>
          <w:color w:val="000000"/>
          <w:sz w:val="24"/>
          <w:highlight w:val="none"/>
        </w:rPr>
        <w:t>的内容逐条响应，并在“偏离情况说明”栏注明“正偏离”、“负偏离”或“无偏离”。</w:t>
      </w:r>
      <w:r>
        <w:rPr>
          <w:rFonts w:hint="eastAsia" w:ascii="宋体" w:hAnsi="宋体" w:eastAsia="宋体" w:cs="宋体"/>
          <w:b/>
          <w:color w:val="000000"/>
          <w:sz w:val="24"/>
          <w:highlight w:val="none"/>
          <w:lang w:eastAsia="zh-CN"/>
        </w:rPr>
        <w:t>否则，投标无效。</w:t>
      </w:r>
    </w:p>
    <w:p w14:paraId="1640DD97">
      <w:pPr>
        <w:pStyle w:val="2"/>
        <w:rPr>
          <w:color w:val="000000"/>
          <w:highlight w:val="none"/>
        </w:rPr>
      </w:pPr>
    </w:p>
    <w:p w14:paraId="5306C5C0">
      <w:pPr>
        <w:pStyle w:val="2"/>
        <w:rPr>
          <w:color w:val="000000"/>
          <w:highlight w:val="none"/>
        </w:rPr>
      </w:pPr>
    </w:p>
    <w:p w14:paraId="301CDAE5">
      <w:pPr>
        <w:rPr>
          <w:color w:val="000000"/>
          <w:highlight w:val="none"/>
        </w:rPr>
      </w:pPr>
    </w:p>
    <w:p w14:paraId="0B9BF3F4">
      <w:pPr>
        <w:pStyle w:val="194"/>
        <w:rPr>
          <w:color w:val="000000"/>
          <w:highlight w:val="none"/>
        </w:rPr>
      </w:pPr>
    </w:p>
    <w:p w14:paraId="0ABA097F">
      <w:pPr>
        <w:rPr>
          <w:color w:val="000000"/>
          <w:highlight w:val="none"/>
        </w:rPr>
      </w:pPr>
    </w:p>
    <w:p w14:paraId="4A7E0BB2">
      <w:pPr>
        <w:pStyle w:val="2"/>
      </w:pPr>
    </w:p>
    <w:p w14:paraId="42A5C0B7">
      <w:pPr>
        <w:rPr>
          <w:color w:val="000000"/>
          <w:highlight w:val="none"/>
        </w:rPr>
      </w:pPr>
    </w:p>
    <w:p w14:paraId="392CEAA5">
      <w:pPr>
        <w:pStyle w:val="2"/>
        <w:rPr>
          <w:color w:val="000000"/>
          <w:highlight w:val="none"/>
        </w:rPr>
      </w:pPr>
    </w:p>
    <w:p w14:paraId="6C5E319B">
      <w:pPr>
        <w:rPr>
          <w:rFonts w:hint="eastAsia" w:ascii="宋体" w:hAnsi="宋体" w:eastAsia="宋体" w:cs="宋体"/>
          <w:b/>
          <w:bCs/>
          <w:color w:val="000000"/>
          <w:sz w:val="32"/>
          <w:szCs w:val="32"/>
          <w:highlight w:val="none"/>
          <w:lang w:eastAsia="zh-CN"/>
        </w:rPr>
      </w:pPr>
      <w:r>
        <w:rPr>
          <w:rFonts w:hint="eastAsia" w:ascii="宋体" w:hAnsi="宋体" w:eastAsia="宋体" w:cs="宋体"/>
          <w:b/>
          <w:bCs/>
          <w:color w:val="000000"/>
          <w:sz w:val="32"/>
          <w:szCs w:val="32"/>
          <w:highlight w:val="none"/>
          <w:lang w:val="en-US" w:eastAsia="zh-CN"/>
        </w:rPr>
        <w:t>4</w:t>
      </w:r>
      <w:r>
        <w:rPr>
          <w:rFonts w:hint="eastAsia" w:ascii="宋体" w:hAnsi="宋体" w:eastAsia="宋体" w:cs="宋体"/>
          <w:b/>
          <w:bCs/>
          <w:color w:val="000000"/>
          <w:sz w:val="32"/>
          <w:szCs w:val="32"/>
          <w:highlight w:val="none"/>
        </w:rPr>
        <w:t>.“采购需求”需提供的有效证明文件（按其要求提供）</w:t>
      </w:r>
      <w:r>
        <w:rPr>
          <w:rFonts w:hint="eastAsia" w:ascii="宋体" w:hAnsi="宋体" w:eastAsia="宋体" w:cs="宋体"/>
          <w:b/>
          <w:bCs/>
          <w:color w:val="000000"/>
          <w:sz w:val="32"/>
          <w:szCs w:val="32"/>
          <w:highlight w:val="none"/>
          <w:lang w:eastAsia="zh-CN"/>
        </w:rPr>
        <w:t>；</w:t>
      </w:r>
    </w:p>
    <w:p w14:paraId="52E24693">
      <w:pPr>
        <w:rPr>
          <w:rFonts w:hint="eastAsia" w:ascii="宋体" w:hAnsi="宋体" w:eastAsia="宋体" w:cs="宋体"/>
          <w:b/>
          <w:bCs/>
          <w:color w:val="000000"/>
          <w:sz w:val="32"/>
          <w:szCs w:val="32"/>
          <w:highlight w:val="none"/>
        </w:rPr>
      </w:pPr>
    </w:p>
    <w:p w14:paraId="0A7E7C56">
      <w:pPr>
        <w:rPr>
          <w:rFonts w:hint="eastAsia" w:ascii="宋体" w:hAnsi="宋体" w:eastAsia="宋体" w:cs="宋体"/>
          <w:b/>
          <w:bCs/>
          <w:color w:val="000000"/>
          <w:sz w:val="32"/>
          <w:szCs w:val="32"/>
          <w:highlight w:val="none"/>
        </w:rPr>
      </w:pPr>
    </w:p>
    <w:p w14:paraId="7A5F4CDC">
      <w:pPr>
        <w:pStyle w:val="251"/>
        <w:rPr>
          <w:rFonts w:hint="eastAsia" w:ascii="宋体" w:hAnsi="宋体" w:eastAsia="宋体" w:cs="宋体"/>
          <w:color w:val="000000"/>
          <w:highlight w:val="none"/>
        </w:rPr>
      </w:pPr>
    </w:p>
    <w:p w14:paraId="40518494">
      <w:pPr>
        <w:rPr>
          <w:rFonts w:hint="eastAsia" w:ascii="宋体" w:hAnsi="宋体" w:eastAsia="宋体" w:cs="宋体"/>
          <w:b/>
          <w:bCs/>
          <w:color w:val="000000"/>
          <w:sz w:val="32"/>
          <w:szCs w:val="32"/>
          <w:highlight w:val="none"/>
          <w:lang w:eastAsia="zh-CN"/>
        </w:rPr>
      </w:pPr>
      <w:r>
        <w:rPr>
          <w:rFonts w:hint="eastAsia" w:ascii="宋体" w:hAnsi="宋体" w:eastAsia="宋体" w:cs="宋体"/>
          <w:b/>
          <w:bCs/>
          <w:color w:val="000000"/>
          <w:sz w:val="32"/>
          <w:szCs w:val="32"/>
          <w:highlight w:val="none"/>
          <w:lang w:val="en-US" w:eastAsia="zh-CN"/>
        </w:rPr>
        <w:t>5</w:t>
      </w:r>
      <w:r>
        <w:rPr>
          <w:rFonts w:hint="eastAsia" w:ascii="宋体" w:hAnsi="宋体" w:eastAsia="宋体" w:cs="宋体"/>
          <w:b/>
          <w:bCs/>
          <w:color w:val="000000"/>
          <w:sz w:val="32"/>
          <w:szCs w:val="32"/>
          <w:highlight w:val="none"/>
        </w:rPr>
        <w:t>.</w:t>
      </w:r>
      <w:r>
        <w:rPr>
          <w:rFonts w:hint="eastAsia" w:ascii="宋体" w:hAnsi="宋体" w:eastAsia="宋体" w:cs="宋体"/>
          <w:b/>
          <w:bCs/>
          <w:color w:val="000000"/>
          <w:sz w:val="32"/>
          <w:szCs w:val="32"/>
          <w:highlight w:val="none"/>
          <w:lang w:eastAsia="zh-CN"/>
        </w:rPr>
        <w:t>服务承诺书（由供应商根据本项目采购需求、特点及供应商自身的处理能力自行编写）</w:t>
      </w:r>
      <w:r>
        <w:rPr>
          <w:rFonts w:hint="eastAsia" w:ascii="宋体" w:hAnsi="宋体" w:eastAsia="宋体" w:cs="宋体"/>
          <w:b/>
          <w:bCs/>
          <w:color w:val="000000"/>
          <w:sz w:val="32"/>
          <w:szCs w:val="32"/>
          <w:highlight w:val="none"/>
        </w:rPr>
        <w:t>（格式见附件）（必须提供）</w:t>
      </w:r>
      <w:r>
        <w:rPr>
          <w:rFonts w:hint="eastAsia" w:ascii="宋体" w:hAnsi="宋体" w:eastAsia="宋体" w:cs="宋体"/>
          <w:b/>
          <w:bCs/>
          <w:color w:val="000000"/>
          <w:sz w:val="32"/>
          <w:szCs w:val="32"/>
          <w:highlight w:val="none"/>
          <w:lang w:eastAsia="zh-CN"/>
        </w:rPr>
        <w:t>；</w:t>
      </w:r>
    </w:p>
    <w:p w14:paraId="6A4B8B37">
      <w:pP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附件：</w:t>
      </w:r>
    </w:p>
    <w:p w14:paraId="6665052A">
      <w:pPr>
        <w:ind w:firstLine="472"/>
        <w:jc w:val="center"/>
        <w:rPr>
          <w:rFonts w:hint="eastAsia" w:ascii="宋体" w:hAnsi="宋体" w:eastAsia="宋体" w:cs="宋体"/>
          <w:b/>
          <w:bCs/>
          <w:color w:val="000000"/>
          <w:sz w:val="32"/>
          <w:szCs w:val="32"/>
          <w:highlight w:val="none"/>
        </w:rPr>
      </w:pPr>
    </w:p>
    <w:p w14:paraId="6DC833EA">
      <w:pPr>
        <w:pStyle w:val="2"/>
        <w:rPr>
          <w:rFonts w:hint="eastAsia" w:ascii="宋体" w:hAnsi="宋体" w:eastAsia="宋体" w:cs="宋体"/>
          <w:b/>
          <w:bCs/>
          <w:color w:val="000000"/>
          <w:sz w:val="32"/>
          <w:szCs w:val="32"/>
          <w:highlight w:val="none"/>
        </w:rPr>
      </w:pPr>
    </w:p>
    <w:p w14:paraId="5017B6DC">
      <w:pPr>
        <w:ind w:firstLine="472"/>
        <w:jc w:val="center"/>
        <w:rPr>
          <w:rFonts w:hint="eastAsia" w:ascii="宋体" w:hAnsi="宋体" w:eastAsia="宋体" w:cs="宋体"/>
          <w:b/>
          <w:bCs/>
          <w:color w:val="000000"/>
          <w:sz w:val="32"/>
          <w:highlight w:val="none"/>
        </w:rPr>
      </w:pPr>
      <w:r>
        <w:rPr>
          <w:rFonts w:hint="eastAsia" w:ascii="宋体" w:hAnsi="宋体" w:eastAsia="宋体" w:cs="宋体"/>
          <w:b/>
          <w:bCs/>
          <w:color w:val="000000"/>
          <w:sz w:val="32"/>
          <w:szCs w:val="32"/>
          <w:highlight w:val="none"/>
        </w:rPr>
        <w:t>服务承诺书</w:t>
      </w:r>
      <w:r>
        <w:rPr>
          <w:rFonts w:hint="eastAsia" w:ascii="宋体" w:hAnsi="宋体" w:eastAsia="宋体" w:cs="宋体"/>
          <w:b/>
          <w:bCs/>
          <w:color w:val="000000"/>
          <w:sz w:val="32"/>
          <w:highlight w:val="none"/>
        </w:rPr>
        <w:t>（格式）</w:t>
      </w:r>
    </w:p>
    <w:p w14:paraId="48A0C837">
      <w:pPr>
        <w:spacing w:line="400" w:lineRule="exact"/>
        <w:rPr>
          <w:rFonts w:hint="eastAsia" w:ascii="宋体" w:hAnsi="宋体" w:eastAsia="宋体" w:cs="宋体"/>
          <w:color w:val="000000"/>
          <w:sz w:val="32"/>
          <w:szCs w:val="32"/>
          <w:highlight w:val="none"/>
        </w:rPr>
      </w:pPr>
    </w:p>
    <w:p w14:paraId="0A0EC791">
      <w:pPr>
        <w:pStyle w:val="251"/>
        <w:rPr>
          <w:rFonts w:hint="eastAsia" w:ascii="宋体" w:hAnsi="宋体" w:eastAsia="宋体" w:cs="宋体"/>
          <w:color w:val="000000"/>
          <w:highlight w:val="none"/>
        </w:rPr>
      </w:pPr>
    </w:p>
    <w:p w14:paraId="08216F98">
      <w:pPr>
        <w:spacing w:line="400" w:lineRule="exact"/>
        <w:rPr>
          <w:rFonts w:hint="eastAsia" w:ascii="宋体" w:hAnsi="宋体" w:eastAsia="宋体" w:cs="宋体"/>
          <w:color w:val="000000"/>
          <w:sz w:val="32"/>
          <w:szCs w:val="32"/>
          <w:highlight w:val="none"/>
        </w:rPr>
      </w:pPr>
    </w:p>
    <w:p w14:paraId="0D5EDF3A">
      <w:pPr>
        <w:spacing w:line="400" w:lineRule="exact"/>
        <w:rPr>
          <w:rFonts w:hint="eastAsia" w:ascii="宋体" w:hAnsi="宋体" w:eastAsia="宋体" w:cs="宋体"/>
          <w:color w:val="000000"/>
          <w:sz w:val="32"/>
          <w:szCs w:val="32"/>
          <w:highlight w:val="none"/>
        </w:rPr>
      </w:pPr>
    </w:p>
    <w:p w14:paraId="75E28796">
      <w:pPr>
        <w:spacing w:line="400" w:lineRule="exact"/>
        <w:rPr>
          <w:rFonts w:hint="eastAsia" w:ascii="宋体" w:hAnsi="宋体" w:eastAsia="宋体" w:cs="宋体"/>
          <w:color w:val="000000"/>
          <w:sz w:val="32"/>
          <w:szCs w:val="32"/>
          <w:highlight w:val="none"/>
        </w:rPr>
      </w:pPr>
    </w:p>
    <w:p w14:paraId="5AA9915E">
      <w:pPr>
        <w:spacing w:line="400" w:lineRule="exact"/>
        <w:ind w:firstLine="189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公章</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，自然人</w:t>
      </w:r>
      <w:r>
        <w:rPr>
          <w:rFonts w:hint="eastAsia" w:ascii="宋体" w:hAnsi="宋体" w:eastAsia="宋体" w:cs="宋体"/>
          <w:color w:val="000000"/>
          <w:szCs w:val="21"/>
          <w:highlight w:val="none"/>
          <w:lang w:eastAsia="zh-CN"/>
        </w:rPr>
        <w:t>签字或个人</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rPr>
        <w:t xml:space="preserve">                           </w:t>
      </w:r>
    </w:p>
    <w:p w14:paraId="6D01910B">
      <w:pPr>
        <w:spacing w:line="400" w:lineRule="exact"/>
        <w:rPr>
          <w:rFonts w:hint="eastAsia" w:ascii="宋体" w:hAnsi="宋体" w:eastAsia="宋体" w:cs="宋体"/>
          <w:color w:val="000000"/>
          <w:szCs w:val="21"/>
          <w:highlight w:val="none"/>
          <w:u w:val="single"/>
        </w:rPr>
      </w:pPr>
    </w:p>
    <w:p w14:paraId="779A8AA5">
      <w:pPr>
        <w:spacing w:line="340" w:lineRule="exact"/>
        <w:ind w:left="1890" w:firstLine="0"/>
        <w:rPr>
          <w:rFonts w:hint="eastAsia" w:ascii="宋体" w:hAnsi="宋体" w:eastAsia="宋体" w:cs="宋体"/>
          <w:color w:val="000000"/>
          <w:highlight w:val="none"/>
        </w:rPr>
      </w:pPr>
    </w:p>
    <w:p w14:paraId="52F67F2E">
      <w:pPr>
        <w:spacing w:line="400" w:lineRule="exact"/>
        <w:ind w:firstLine="1680"/>
        <w:rPr>
          <w:rFonts w:hint="eastAsia" w:ascii="宋体" w:hAnsi="宋体" w:eastAsia="宋体" w:cs="宋体"/>
          <w:color w:val="000000"/>
          <w:highlight w:val="none"/>
        </w:rPr>
      </w:pPr>
      <w:r>
        <w:rPr>
          <w:rFonts w:hint="eastAsia" w:ascii="宋体" w:hAnsi="宋体" w:eastAsia="宋体" w:cs="宋体"/>
          <w:color w:val="000000"/>
          <w:highlight w:val="none"/>
        </w:rPr>
        <w:t xml:space="preserve"> 日          期：</w:t>
      </w:r>
      <w:r>
        <w:rPr>
          <w:rFonts w:hint="eastAsia" w:ascii="宋体" w:hAnsi="宋体" w:eastAsia="宋体" w:cs="宋体"/>
          <w:color w:val="000000"/>
          <w:highlight w:val="none"/>
          <w:u w:val="single"/>
        </w:rPr>
        <w:t xml:space="preserve">                                                   </w:t>
      </w:r>
    </w:p>
    <w:p w14:paraId="59DD4173">
      <w:pPr>
        <w:spacing w:line="400" w:lineRule="exact"/>
        <w:ind w:firstLine="1680"/>
        <w:rPr>
          <w:rFonts w:hint="eastAsia" w:ascii="宋体" w:hAnsi="宋体" w:eastAsia="宋体" w:cs="宋体"/>
          <w:color w:val="000000"/>
          <w:highlight w:val="none"/>
        </w:rPr>
      </w:pPr>
    </w:p>
    <w:p w14:paraId="43FF0CC2">
      <w:pPr>
        <w:pStyle w:val="2"/>
        <w:rPr>
          <w:rFonts w:hint="eastAsia" w:ascii="宋体" w:hAnsi="宋体" w:eastAsia="宋体" w:cs="宋体"/>
          <w:color w:val="000000"/>
          <w:highlight w:val="none"/>
        </w:rPr>
      </w:pPr>
    </w:p>
    <w:p w14:paraId="344274E7">
      <w:pPr>
        <w:pStyle w:val="2"/>
        <w:rPr>
          <w:rFonts w:hint="eastAsia" w:ascii="宋体" w:hAnsi="宋体" w:eastAsia="宋体" w:cs="宋体"/>
          <w:color w:val="000000"/>
          <w:highlight w:val="none"/>
        </w:rPr>
      </w:pPr>
    </w:p>
    <w:p w14:paraId="6B17AB50">
      <w:pPr>
        <w:rPr>
          <w:rFonts w:hint="eastAsia" w:ascii="宋体" w:hAnsi="宋体" w:eastAsia="宋体" w:cs="宋体"/>
          <w:color w:val="000000"/>
          <w:highlight w:val="none"/>
        </w:rPr>
      </w:pPr>
    </w:p>
    <w:p w14:paraId="777C4929">
      <w:pPr>
        <w:pStyle w:val="2"/>
        <w:rPr>
          <w:rFonts w:hint="eastAsia"/>
          <w:color w:val="000000"/>
          <w:highlight w:val="none"/>
        </w:rPr>
      </w:pPr>
    </w:p>
    <w:p w14:paraId="6717558F">
      <w:pPr>
        <w:rPr>
          <w:rFonts w:hint="eastAsia"/>
          <w:color w:val="000000"/>
          <w:highlight w:val="none"/>
        </w:rPr>
      </w:pPr>
    </w:p>
    <w:p w14:paraId="6878C6EF">
      <w:pPr>
        <w:pStyle w:val="194"/>
        <w:rPr>
          <w:rFonts w:hint="eastAsia"/>
          <w:color w:val="000000"/>
          <w:highlight w:val="none"/>
        </w:rPr>
      </w:pPr>
    </w:p>
    <w:p w14:paraId="3273B70A">
      <w:pPr>
        <w:rPr>
          <w:rFonts w:hint="eastAsia"/>
          <w:color w:val="000000"/>
          <w:highlight w:val="none"/>
        </w:rPr>
      </w:pPr>
    </w:p>
    <w:p w14:paraId="6B60A23B">
      <w:pPr>
        <w:rPr>
          <w:rFonts w:hint="eastAsia"/>
          <w:color w:val="000000"/>
          <w:highlight w:val="none"/>
        </w:rPr>
      </w:pPr>
    </w:p>
    <w:p w14:paraId="1D6997AF">
      <w:pPr>
        <w:rPr>
          <w:rFonts w:hint="eastAsia"/>
          <w:color w:val="000000"/>
          <w:highlight w:val="none"/>
        </w:rPr>
      </w:pPr>
    </w:p>
    <w:p w14:paraId="4A6BB2C8">
      <w:pPr>
        <w:rPr>
          <w:rFonts w:hint="eastAsia" w:ascii="宋体" w:hAnsi="宋体" w:eastAsia="宋体" w:cs="宋体"/>
          <w:color w:val="000000"/>
          <w:highlight w:val="none"/>
        </w:rPr>
      </w:pPr>
    </w:p>
    <w:p w14:paraId="4ACBF8C2">
      <w:pPr>
        <w:numPr>
          <w:ilvl w:val="0"/>
          <w:numId w:val="0"/>
        </w:numPr>
        <w:tabs>
          <w:tab w:val="left" w:pos="1305"/>
        </w:tabs>
        <w:spacing w:line="400" w:lineRule="exact"/>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lang w:val="en-US" w:eastAsia="zh-CN"/>
        </w:rPr>
        <w:t>6</w:t>
      </w:r>
      <w:r>
        <w:rPr>
          <w:rFonts w:hint="eastAsia" w:ascii="宋体" w:hAnsi="宋体" w:eastAsia="宋体" w:cs="宋体"/>
          <w:b/>
          <w:bCs/>
          <w:color w:val="000000"/>
          <w:sz w:val="32"/>
          <w:szCs w:val="32"/>
          <w:highlight w:val="none"/>
        </w:rPr>
        <w:t>.</w:t>
      </w:r>
      <w:r>
        <w:rPr>
          <w:rFonts w:hint="eastAsia" w:ascii="宋体" w:hAnsi="宋体" w:eastAsia="宋体" w:cs="宋体"/>
          <w:b/>
          <w:bCs/>
          <w:color w:val="000000"/>
          <w:sz w:val="32"/>
          <w:szCs w:val="32"/>
          <w:highlight w:val="none"/>
          <w:lang w:eastAsia="zh-CN"/>
        </w:rPr>
        <w:t>针对本项目的服务方案</w:t>
      </w:r>
      <w:r>
        <w:rPr>
          <w:rFonts w:hint="eastAsia" w:ascii="宋体" w:hAnsi="宋体" w:eastAsia="宋体" w:cs="宋体"/>
          <w:b/>
          <w:bCs/>
          <w:color w:val="000000"/>
          <w:sz w:val="32"/>
          <w:szCs w:val="32"/>
          <w:highlight w:val="none"/>
        </w:rPr>
        <w:t>（必须提供）；</w:t>
      </w:r>
    </w:p>
    <w:p w14:paraId="110D70EF">
      <w:pPr>
        <w:rPr>
          <w:rFonts w:hint="eastAsia" w:ascii="宋体" w:hAnsi="宋体" w:eastAsia="宋体" w:cs="宋体"/>
          <w:b/>
          <w:bCs/>
          <w:color w:val="000000"/>
          <w:sz w:val="32"/>
          <w:szCs w:val="32"/>
          <w:highlight w:val="none"/>
        </w:rPr>
      </w:pPr>
    </w:p>
    <w:p w14:paraId="119C4042">
      <w:pPr>
        <w:pStyle w:val="2"/>
        <w:rPr>
          <w:rFonts w:hint="eastAsia"/>
        </w:rPr>
      </w:pPr>
    </w:p>
    <w:p w14:paraId="06C9E170">
      <w:pPr>
        <w:rPr>
          <w:rFonts w:hint="eastAsia"/>
        </w:rPr>
      </w:pPr>
    </w:p>
    <w:p w14:paraId="1C37F2E6">
      <w:pPr>
        <w:pStyle w:val="2"/>
        <w:numPr>
          <w:ilvl w:val="0"/>
          <w:numId w:val="0"/>
        </w:numPr>
        <w:rPr>
          <w:rFonts w:hint="eastAsia" w:ascii="宋体" w:hAnsi="宋体" w:eastAsia="宋体" w:cs="宋体"/>
          <w:b/>
          <w:bCs/>
          <w:color w:val="000000"/>
          <w:sz w:val="32"/>
          <w:szCs w:val="32"/>
          <w:highlight w:val="none"/>
          <w:lang w:val="en-US" w:eastAsia="zh-CN" w:bidi="ar-SA"/>
        </w:rPr>
      </w:pPr>
      <w:r>
        <w:rPr>
          <w:rFonts w:hint="eastAsia" w:ascii="宋体" w:hAnsi="宋体" w:eastAsia="宋体" w:cs="宋体"/>
          <w:b/>
          <w:bCs/>
          <w:color w:val="000000"/>
          <w:sz w:val="32"/>
          <w:szCs w:val="32"/>
          <w:highlight w:val="none"/>
          <w:lang w:val="en-US" w:eastAsia="zh-CN" w:bidi="ar-SA"/>
        </w:rPr>
        <w:t>7.投标人自2024年1月1日以来同类业绩的相关证明材料（以中标、成交通知书或签订的采购合同扫描件为准，并能清晰反映所提供的服务类型、种类、金额）（如有，请提供）；</w:t>
      </w:r>
    </w:p>
    <w:p w14:paraId="4A4046E7">
      <w:pPr>
        <w:pStyle w:val="251"/>
        <w:rPr>
          <w:rFonts w:hint="eastAsia" w:ascii="宋体" w:hAnsi="宋体" w:eastAsia="宋体" w:cs="宋体"/>
          <w:color w:val="000000"/>
          <w:highlight w:val="none"/>
          <w:lang w:val="en-US" w:eastAsia="zh-CN"/>
        </w:rPr>
      </w:pPr>
    </w:p>
    <w:p w14:paraId="5B88027A">
      <w:pPr>
        <w:pStyle w:val="251"/>
        <w:rPr>
          <w:rFonts w:hint="eastAsia" w:ascii="宋体" w:hAnsi="宋体" w:eastAsia="宋体" w:cs="宋体"/>
          <w:color w:val="000000"/>
          <w:highlight w:val="none"/>
          <w:lang w:val="en-US" w:eastAsia="zh-CN"/>
        </w:rPr>
      </w:pPr>
    </w:p>
    <w:p w14:paraId="3040A4FF">
      <w:pPr>
        <w:numPr>
          <w:ilvl w:val="0"/>
          <w:numId w:val="0"/>
        </w:numPr>
        <w:rPr>
          <w:rFonts w:hint="eastAsia" w:ascii="宋体" w:hAnsi="宋体" w:eastAsia="宋体" w:cs="宋体"/>
          <w:color w:val="000000"/>
          <w:highlight w:val="none"/>
          <w:lang w:eastAsia="zh-CN"/>
        </w:rPr>
      </w:pPr>
      <w:r>
        <w:rPr>
          <w:rFonts w:hint="eastAsia" w:ascii="宋体" w:hAnsi="宋体" w:eastAsia="宋体" w:cs="宋体"/>
          <w:b/>
          <w:bCs/>
          <w:color w:val="000000"/>
          <w:sz w:val="32"/>
          <w:szCs w:val="32"/>
          <w:highlight w:val="none"/>
          <w:lang w:val="en-US" w:eastAsia="zh-CN"/>
        </w:rPr>
        <w:t>8.</w:t>
      </w:r>
      <w:r>
        <w:rPr>
          <w:rFonts w:hint="eastAsia" w:ascii="宋体" w:hAnsi="宋体" w:eastAsia="宋体" w:cs="宋体"/>
          <w:b/>
          <w:bCs/>
          <w:color w:val="000000"/>
          <w:sz w:val="32"/>
          <w:szCs w:val="32"/>
          <w:highlight w:val="none"/>
        </w:rPr>
        <w:t>项目实施人员一览表（如有，请提供）</w:t>
      </w:r>
      <w:r>
        <w:rPr>
          <w:rFonts w:hint="eastAsia" w:ascii="宋体" w:hAnsi="宋体" w:eastAsia="宋体" w:cs="宋体"/>
          <w:b/>
          <w:bCs/>
          <w:color w:val="000000"/>
          <w:sz w:val="32"/>
          <w:szCs w:val="32"/>
          <w:highlight w:val="none"/>
          <w:lang w:eastAsia="zh-CN"/>
        </w:rPr>
        <w:t>；</w:t>
      </w:r>
    </w:p>
    <w:p w14:paraId="7FCE5C5C">
      <w:pPr>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 xml:space="preserve">项目实施人员一览表（格式）    </w:t>
      </w:r>
    </w:p>
    <w:tbl>
      <w:tblPr>
        <w:tblStyle w:val="30"/>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93"/>
        <w:gridCol w:w="1888"/>
        <w:gridCol w:w="1559"/>
        <w:gridCol w:w="2163"/>
        <w:gridCol w:w="1477"/>
      </w:tblGrid>
      <w:tr w14:paraId="4E82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EE709B4">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姓 名</w:t>
            </w:r>
          </w:p>
        </w:tc>
        <w:tc>
          <w:tcPr>
            <w:tcW w:w="99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D6A8356">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职务</w:t>
            </w:r>
          </w:p>
        </w:tc>
        <w:tc>
          <w:tcPr>
            <w:tcW w:w="188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E12B5B2">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专业技术资格</w:t>
            </w:r>
          </w:p>
        </w:tc>
        <w:tc>
          <w:tcPr>
            <w:tcW w:w="1559"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F11862F">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证书编号</w:t>
            </w:r>
          </w:p>
        </w:tc>
        <w:tc>
          <w:tcPr>
            <w:tcW w:w="21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696D79F">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参加工作时间</w:t>
            </w:r>
          </w:p>
        </w:tc>
        <w:tc>
          <w:tcPr>
            <w:tcW w:w="147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D3F92A4">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备注</w:t>
            </w:r>
          </w:p>
        </w:tc>
      </w:tr>
      <w:tr w14:paraId="3ED2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4D72E81B">
            <w:pPr>
              <w:spacing w:line="400" w:lineRule="exact"/>
              <w:rPr>
                <w:rFonts w:hint="eastAsia" w:ascii="宋体" w:hAnsi="宋体" w:eastAsia="宋体" w:cs="宋体"/>
                <w:color w:val="000000"/>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D2C28AD">
            <w:pPr>
              <w:spacing w:line="400" w:lineRule="exact"/>
              <w:rPr>
                <w:rFonts w:hint="eastAsia" w:ascii="宋体" w:hAnsi="宋体" w:eastAsia="宋体" w:cs="宋体"/>
                <w:color w:val="000000"/>
                <w:szCs w:val="21"/>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20866AFB">
            <w:pPr>
              <w:spacing w:line="400" w:lineRule="exact"/>
              <w:rPr>
                <w:rFonts w:hint="eastAsia" w:ascii="宋体" w:hAnsi="宋体" w:eastAsia="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7FF1D7B">
            <w:pPr>
              <w:spacing w:line="400" w:lineRule="exact"/>
              <w:rPr>
                <w:rFonts w:hint="eastAsia" w:ascii="宋体" w:hAnsi="宋体" w:eastAsia="宋体" w:cs="宋体"/>
                <w:color w:val="000000"/>
                <w:szCs w:val="21"/>
                <w:highlight w:val="none"/>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648F3B36">
            <w:pPr>
              <w:spacing w:line="400" w:lineRule="exact"/>
              <w:rPr>
                <w:rFonts w:hint="eastAsia" w:ascii="宋体" w:hAnsi="宋体" w:eastAsia="宋体" w:cs="宋体"/>
                <w:color w:val="000000"/>
                <w:szCs w:val="21"/>
                <w:highlight w:val="none"/>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62BF52E2">
            <w:pPr>
              <w:spacing w:line="400" w:lineRule="exact"/>
              <w:rPr>
                <w:rFonts w:hint="eastAsia" w:ascii="宋体" w:hAnsi="宋体" w:eastAsia="宋体" w:cs="宋体"/>
                <w:color w:val="000000"/>
                <w:szCs w:val="21"/>
                <w:highlight w:val="none"/>
              </w:rPr>
            </w:pPr>
          </w:p>
        </w:tc>
      </w:tr>
      <w:tr w14:paraId="1E12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6EB01DF0">
            <w:pPr>
              <w:spacing w:line="400" w:lineRule="exact"/>
              <w:rPr>
                <w:rFonts w:hint="eastAsia" w:ascii="宋体" w:hAnsi="宋体" w:eastAsia="宋体" w:cs="宋体"/>
                <w:color w:val="000000"/>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45FDA29">
            <w:pPr>
              <w:spacing w:line="400" w:lineRule="exact"/>
              <w:rPr>
                <w:rFonts w:hint="eastAsia" w:ascii="宋体" w:hAnsi="宋体" w:eastAsia="宋体" w:cs="宋体"/>
                <w:color w:val="000000"/>
                <w:szCs w:val="21"/>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59A5C90A">
            <w:pPr>
              <w:spacing w:line="400" w:lineRule="exact"/>
              <w:rPr>
                <w:rFonts w:hint="eastAsia" w:ascii="宋体" w:hAnsi="宋体" w:eastAsia="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C96BB96">
            <w:pPr>
              <w:spacing w:line="400" w:lineRule="exact"/>
              <w:rPr>
                <w:rFonts w:hint="eastAsia" w:ascii="宋体" w:hAnsi="宋体" w:eastAsia="宋体" w:cs="宋体"/>
                <w:color w:val="000000"/>
                <w:szCs w:val="21"/>
                <w:highlight w:val="none"/>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7FF20E53">
            <w:pPr>
              <w:spacing w:line="400" w:lineRule="exact"/>
              <w:rPr>
                <w:rFonts w:hint="eastAsia" w:ascii="宋体" w:hAnsi="宋体" w:eastAsia="宋体" w:cs="宋体"/>
                <w:color w:val="000000"/>
                <w:szCs w:val="21"/>
                <w:highlight w:val="none"/>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480AC3C9">
            <w:pPr>
              <w:spacing w:line="400" w:lineRule="exact"/>
              <w:rPr>
                <w:rFonts w:hint="eastAsia" w:ascii="宋体" w:hAnsi="宋体" w:eastAsia="宋体" w:cs="宋体"/>
                <w:color w:val="000000"/>
                <w:szCs w:val="21"/>
                <w:highlight w:val="none"/>
              </w:rPr>
            </w:pPr>
          </w:p>
        </w:tc>
      </w:tr>
      <w:tr w14:paraId="2FE4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67A88AF2">
            <w:pPr>
              <w:spacing w:line="400" w:lineRule="exact"/>
              <w:rPr>
                <w:rFonts w:hint="eastAsia" w:ascii="宋体" w:hAnsi="宋体" w:eastAsia="宋体" w:cs="宋体"/>
                <w:color w:val="000000"/>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12EEEC4E">
            <w:pPr>
              <w:spacing w:line="400" w:lineRule="exact"/>
              <w:rPr>
                <w:rFonts w:hint="eastAsia" w:ascii="宋体" w:hAnsi="宋体" w:eastAsia="宋体" w:cs="宋体"/>
                <w:color w:val="000000"/>
                <w:szCs w:val="21"/>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7A0BA7D4">
            <w:pPr>
              <w:spacing w:line="400" w:lineRule="exact"/>
              <w:rPr>
                <w:rFonts w:hint="eastAsia" w:ascii="宋体" w:hAnsi="宋体" w:eastAsia="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461DB99">
            <w:pPr>
              <w:spacing w:line="400" w:lineRule="exact"/>
              <w:rPr>
                <w:rFonts w:hint="eastAsia" w:ascii="宋体" w:hAnsi="宋体" w:eastAsia="宋体" w:cs="宋体"/>
                <w:color w:val="000000"/>
                <w:szCs w:val="21"/>
                <w:highlight w:val="none"/>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270A60F2">
            <w:pPr>
              <w:spacing w:line="400" w:lineRule="exact"/>
              <w:rPr>
                <w:rFonts w:hint="eastAsia" w:ascii="宋体" w:hAnsi="宋体" w:eastAsia="宋体" w:cs="宋体"/>
                <w:color w:val="000000"/>
                <w:szCs w:val="21"/>
                <w:highlight w:val="none"/>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5C4BD506">
            <w:pPr>
              <w:spacing w:line="400" w:lineRule="exact"/>
              <w:rPr>
                <w:rFonts w:hint="eastAsia" w:ascii="宋体" w:hAnsi="宋体" w:eastAsia="宋体" w:cs="宋体"/>
                <w:color w:val="000000"/>
                <w:szCs w:val="21"/>
                <w:highlight w:val="none"/>
              </w:rPr>
            </w:pPr>
          </w:p>
        </w:tc>
      </w:tr>
    </w:tbl>
    <w:p w14:paraId="17474BF3">
      <w:pPr>
        <w:spacing w:line="400" w:lineRule="exact"/>
        <w:rPr>
          <w:rFonts w:hint="eastAsia" w:ascii="宋体" w:hAnsi="宋体" w:eastAsia="宋体" w:cs="宋体"/>
          <w:color w:val="000000"/>
          <w:szCs w:val="21"/>
          <w:highlight w:val="none"/>
        </w:rPr>
      </w:pPr>
    </w:p>
    <w:p w14:paraId="15AF1D81">
      <w:pPr>
        <w:spacing w:line="400" w:lineRule="exact"/>
        <w:ind w:firstLine="422"/>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注：1.在填写时，如本表格不适合投标单位的实际情况，可根据本表格式自行制表填写。</w:t>
      </w:r>
    </w:p>
    <w:p w14:paraId="744CA8D9">
      <w:pPr>
        <w:spacing w:line="400" w:lineRule="exact"/>
        <w:ind w:firstLine="3255"/>
        <w:rPr>
          <w:rFonts w:hint="eastAsia" w:ascii="宋体" w:hAnsi="宋体" w:eastAsia="宋体" w:cs="宋体"/>
          <w:color w:val="000000"/>
          <w:highlight w:val="none"/>
        </w:rPr>
      </w:pPr>
    </w:p>
    <w:p w14:paraId="3A47403D">
      <w:pPr>
        <w:spacing w:line="400" w:lineRule="exact"/>
        <w:ind w:firstLine="3255"/>
        <w:rPr>
          <w:rFonts w:hint="eastAsia" w:ascii="宋体" w:hAnsi="宋体" w:eastAsia="宋体" w:cs="宋体"/>
          <w:color w:val="000000"/>
          <w:highlight w:val="none"/>
        </w:rPr>
      </w:pPr>
    </w:p>
    <w:p w14:paraId="1AEFD087">
      <w:pPr>
        <w:spacing w:line="400" w:lineRule="exact"/>
        <w:ind w:firstLine="189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公章</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，自然人</w:t>
      </w:r>
      <w:r>
        <w:rPr>
          <w:rFonts w:hint="eastAsia" w:ascii="宋体" w:hAnsi="宋体" w:eastAsia="宋体" w:cs="宋体"/>
          <w:color w:val="000000"/>
          <w:szCs w:val="21"/>
          <w:highlight w:val="none"/>
          <w:lang w:eastAsia="zh-CN"/>
        </w:rPr>
        <w:t>签字或个人</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rPr>
        <w:t xml:space="preserve">                           </w:t>
      </w:r>
    </w:p>
    <w:p w14:paraId="33A83E3B">
      <w:pPr>
        <w:spacing w:line="340" w:lineRule="exact"/>
        <w:ind w:firstLine="1680"/>
        <w:rPr>
          <w:rFonts w:hint="eastAsia" w:ascii="宋体" w:hAnsi="宋体" w:eastAsia="宋体" w:cs="宋体"/>
          <w:color w:val="000000"/>
          <w:szCs w:val="21"/>
          <w:highlight w:val="none"/>
          <w:u w:val="single"/>
        </w:rPr>
      </w:pPr>
    </w:p>
    <w:p w14:paraId="32BCB259">
      <w:pPr>
        <w:spacing w:line="340" w:lineRule="exact"/>
        <w:ind w:firstLine="1890"/>
        <w:rPr>
          <w:rFonts w:hint="eastAsia" w:ascii="宋体" w:hAnsi="宋体" w:eastAsia="宋体" w:cs="宋体"/>
          <w:b/>
          <w:color w:val="000000"/>
          <w:sz w:val="32"/>
          <w:szCs w:val="32"/>
          <w:highlight w:val="none"/>
        </w:rPr>
      </w:pPr>
      <w:r>
        <w:rPr>
          <w:rFonts w:hint="eastAsia" w:ascii="宋体" w:hAnsi="宋体" w:eastAsia="宋体" w:cs="宋体"/>
          <w:color w:val="000000"/>
          <w:highlight w:val="none"/>
        </w:rPr>
        <w:t>日          期：</w:t>
      </w:r>
    </w:p>
    <w:p w14:paraId="0A904DD6">
      <w:pPr>
        <w:spacing w:line="400" w:lineRule="exact"/>
        <w:ind w:left="840" w:firstLine="181"/>
        <w:rPr>
          <w:rFonts w:hint="eastAsia"/>
          <w:color w:val="000000"/>
          <w:highlight w:val="none"/>
        </w:rPr>
      </w:pPr>
      <w:r>
        <w:rPr>
          <w:rFonts w:hint="eastAsia" w:ascii="宋体" w:hAnsi="宋体" w:eastAsia="宋体" w:cs="宋体"/>
          <w:b/>
          <w:color w:val="000000"/>
          <w:sz w:val="24"/>
          <w:highlight w:val="none"/>
          <w:lang w:val="en-US" w:eastAsia="zh-CN"/>
        </w:rPr>
        <w:t>注：1</w:t>
      </w:r>
      <w:r>
        <w:rPr>
          <w:rFonts w:hint="eastAsia" w:ascii="宋体" w:hAnsi="宋体" w:eastAsia="宋体" w:cs="宋体"/>
          <w:b/>
          <w:color w:val="000000"/>
          <w:sz w:val="24"/>
          <w:highlight w:val="none"/>
        </w:rPr>
        <w:t>.当本表由多页构成时，需逐页加盖投标人公章</w:t>
      </w:r>
      <w:r>
        <w:rPr>
          <w:rFonts w:hint="eastAsia" w:ascii="宋体" w:hAnsi="宋体" w:eastAsia="宋体" w:cs="宋体"/>
          <w:b/>
          <w:color w:val="000000"/>
          <w:sz w:val="24"/>
          <w:highlight w:val="none"/>
          <w:lang w:eastAsia="zh-CN"/>
        </w:rPr>
        <w:t>（</w:t>
      </w:r>
      <w:r>
        <w:rPr>
          <w:rFonts w:hint="eastAsia" w:ascii="宋体" w:hAnsi="宋体" w:eastAsia="宋体" w:cs="宋体"/>
          <w:b/>
          <w:color w:val="000000"/>
          <w:sz w:val="24"/>
          <w:highlight w:val="none"/>
          <w:lang w:val="en-US" w:eastAsia="zh-CN"/>
        </w:rPr>
        <w:t>CA签章</w:t>
      </w:r>
      <w:r>
        <w:rPr>
          <w:rFonts w:hint="eastAsia" w:ascii="宋体" w:hAnsi="宋体" w:eastAsia="宋体" w:cs="宋体"/>
          <w:b/>
          <w:color w:val="000000"/>
          <w:sz w:val="24"/>
          <w:highlight w:val="none"/>
          <w:lang w:eastAsia="zh-CN"/>
        </w:rPr>
        <w:t>）</w:t>
      </w:r>
      <w:r>
        <w:rPr>
          <w:rFonts w:hint="eastAsia" w:ascii="宋体" w:hAnsi="宋体" w:eastAsia="宋体" w:cs="宋体"/>
          <w:b/>
          <w:color w:val="000000"/>
          <w:sz w:val="24"/>
          <w:highlight w:val="none"/>
        </w:rPr>
        <w:t>（属自然人的须逐页签字</w:t>
      </w:r>
      <w:r>
        <w:rPr>
          <w:rFonts w:hint="eastAsia" w:ascii="宋体" w:hAnsi="宋体" w:eastAsia="宋体" w:cs="宋体"/>
          <w:b/>
          <w:color w:val="000000"/>
          <w:sz w:val="24"/>
          <w:highlight w:val="none"/>
          <w:lang w:eastAsia="zh-CN"/>
        </w:rPr>
        <w:t>或个人</w:t>
      </w:r>
      <w:r>
        <w:rPr>
          <w:rFonts w:hint="eastAsia" w:ascii="宋体" w:hAnsi="宋体" w:eastAsia="宋体" w:cs="宋体"/>
          <w:b/>
          <w:color w:val="000000"/>
          <w:sz w:val="24"/>
          <w:highlight w:val="none"/>
          <w:lang w:val="en-US" w:eastAsia="zh-CN"/>
        </w:rPr>
        <w:t>CA签章</w:t>
      </w:r>
      <w:r>
        <w:rPr>
          <w:rFonts w:hint="eastAsia" w:ascii="宋体" w:hAnsi="宋体" w:eastAsia="宋体" w:cs="宋体"/>
          <w:b/>
          <w:color w:val="000000"/>
          <w:sz w:val="24"/>
          <w:highlight w:val="none"/>
        </w:rPr>
        <w:t>）。</w:t>
      </w:r>
    </w:p>
    <w:p w14:paraId="4AF303F7">
      <w:pPr>
        <w:pStyle w:val="251"/>
        <w:rPr>
          <w:rFonts w:hint="eastAsia" w:ascii="宋体" w:hAnsi="宋体" w:eastAsia="宋体" w:cs="宋体"/>
          <w:color w:val="000000"/>
          <w:highlight w:val="none"/>
        </w:rPr>
      </w:pPr>
    </w:p>
    <w:p w14:paraId="4AA8E6BB">
      <w:pPr>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9</w:t>
      </w:r>
      <w:r>
        <w:rPr>
          <w:rFonts w:hint="eastAsia" w:ascii="宋体" w:hAnsi="宋体" w:eastAsia="宋体" w:cs="宋体"/>
          <w:b/>
          <w:bCs/>
          <w:color w:val="000000"/>
          <w:sz w:val="32"/>
          <w:szCs w:val="32"/>
          <w:highlight w:val="none"/>
        </w:rPr>
        <w:t>.投标人相关获奖证书、认证证书等</w:t>
      </w:r>
      <w:r>
        <w:rPr>
          <w:rFonts w:hint="eastAsia" w:ascii="宋体" w:hAnsi="宋体" w:eastAsia="宋体" w:cs="宋体"/>
          <w:b/>
          <w:bCs/>
          <w:color w:val="000000"/>
          <w:sz w:val="32"/>
          <w:szCs w:val="32"/>
          <w:highlight w:val="none"/>
          <w:lang w:eastAsia="zh-CN"/>
        </w:rPr>
        <w:t>扫描件</w:t>
      </w:r>
      <w:r>
        <w:rPr>
          <w:rFonts w:hint="eastAsia" w:ascii="宋体" w:hAnsi="宋体" w:eastAsia="宋体" w:cs="宋体"/>
          <w:b/>
          <w:bCs/>
          <w:color w:val="000000"/>
          <w:sz w:val="32"/>
          <w:szCs w:val="32"/>
          <w:highlight w:val="none"/>
        </w:rPr>
        <w:t>（如有，请提供）</w:t>
      </w:r>
      <w:r>
        <w:rPr>
          <w:rFonts w:hint="eastAsia" w:ascii="宋体" w:hAnsi="宋体" w:eastAsia="宋体" w:cs="宋体"/>
          <w:b/>
          <w:bCs/>
          <w:color w:val="000000"/>
          <w:sz w:val="32"/>
          <w:szCs w:val="32"/>
          <w:highlight w:val="none"/>
          <w:lang w:val="en-US" w:eastAsia="zh-CN"/>
        </w:rPr>
        <w:t>；</w:t>
      </w:r>
    </w:p>
    <w:p w14:paraId="5A5EB6D1">
      <w:pPr>
        <w:rPr>
          <w:rFonts w:hint="eastAsia" w:ascii="宋体" w:hAnsi="宋体" w:eastAsia="宋体" w:cs="宋体"/>
          <w:b/>
          <w:bCs/>
          <w:color w:val="000000"/>
          <w:sz w:val="32"/>
          <w:szCs w:val="32"/>
          <w:highlight w:val="none"/>
          <w:lang w:val="en-US" w:eastAsia="zh-CN"/>
        </w:rPr>
      </w:pPr>
    </w:p>
    <w:p w14:paraId="64657920">
      <w:pPr>
        <w:pStyle w:val="251"/>
        <w:rPr>
          <w:rFonts w:hint="eastAsia" w:ascii="宋体" w:hAnsi="宋体" w:eastAsia="宋体" w:cs="宋体"/>
          <w:color w:val="000000"/>
          <w:sz w:val="24"/>
          <w:szCs w:val="24"/>
          <w:highlight w:val="none"/>
          <w:lang w:eastAsia="zh-CN"/>
        </w:rPr>
      </w:pPr>
      <w:r>
        <w:rPr>
          <w:rFonts w:hint="eastAsia" w:ascii="宋体" w:hAnsi="宋体" w:eastAsia="宋体" w:cs="宋体"/>
          <w:b/>
          <w:bCs/>
          <w:color w:val="000000"/>
          <w:sz w:val="32"/>
          <w:szCs w:val="32"/>
          <w:highlight w:val="none"/>
          <w:lang w:val="en-US" w:eastAsia="zh-CN"/>
        </w:rPr>
        <w:t>10</w:t>
      </w:r>
      <w:r>
        <w:rPr>
          <w:rFonts w:hint="eastAsia" w:ascii="宋体" w:hAnsi="宋体" w:eastAsia="宋体" w:cs="宋体"/>
          <w:b/>
          <w:bCs/>
          <w:color w:val="000000"/>
          <w:sz w:val="32"/>
          <w:szCs w:val="32"/>
          <w:highlight w:val="none"/>
        </w:rPr>
        <w:t>.投标人可结合本项目的评标办法视自身情况自行提交相关证明材料（如有，请提供）</w:t>
      </w:r>
      <w:r>
        <w:rPr>
          <w:rFonts w:hint="eastAsia" w:ascii="宋体" w:hAnsi="宋体" w:eastAsia="宋体" w:cs="宋体"/>
          <w:b/>
          <w:bCs/>
          <w:color w:val="000000"/>
          <w:sz w:val="32"/>
          <w:szCs w:val="32"/>
          <w:highlight w:val="none"/>
          <w:lang w:eastAsia="zh-CN"/>
        </w:rPr>
        <w:t>。</w:t>
      </w:r>
    </w:p>
    <w:sectPr>
      <w:footerReference r:id="rId5" w:type="default"/>
      <w:pgSz w:w="11906" w:h="16838"/>
      <w:pgMar w:top="1440" w:right="1080" w:bottom="1440" w:left="1080" w:header="851" w:footer="992" w:gutter="0"/>
      <w:pgNumType w:start="1"/>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20B0603030804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Ђˎ̥">
    <w:altName w:val="Segoe Print"/>
    <w:panose1 w:val="020B0603030804020204"/>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Calibri Light">
    <w:panose1 w:val="020F0302020204030204"/>
    <w:charset w:val="00"/>
    <w:family w:val="auto"/>
    <w:pitch w:val="default"/>
    <w:sig w:usb0="E4002EFF" w:usb1="C000247B" w:usb2="00000009" w:usb3="00000000" w:csb0="200001FF" w:csb1="00000000"/>
  </w:font>
  <w:font w:name="Sim Sun">
    <w:altName w:val="Verdana"/>
    <w:panose1 w:val="02010600030101010101"/>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70855">
    <w:pPr>
      <w:pStyle w:val="218"/>
      <w:pBdr>
        <w:bottom w:val="single" w:color="000000" w:sz="4" w:space="0"/>
      </w:pBdr>
    </w:pPr>
  </w:p>
  <w:p w14:paraId="7905BC49">
    <w:pPr>
      <w:pStyle w:val="218"/>
    </w:pPr>
    <w:r>
      <w:rPr>
        <w:rFonts w:hint="eastAsia"/>
      </w:rPr>
      <w:t>桂林市政府集中采购中心                                                                              公开招标</w:t>
    </w:r>
  </w:p>
  <w:p w14:paraId="19FBFA73">
    <w:pPr>
      <w:pStyle w:val="2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3A96A">
    <w:pPr>
      <w:pStyle w:val="218"/>
      <w:pBdr>
        <w:bottom w:val="single" w:color="000000" w:sz="4"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102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E718AD6">
                          <w:pPr>
                            <w:pStyle w:val="218"/>
                          </w:pPr>
                          <w:r>
                            <w:rPr>
                              <w:rFonts w:hint="eastAsia"/>
                            </w:rPr>
                            <w:fldChar w:fldCharType="begin"/>
                          </w:r>
                          <w:r>
                            <w:rPr>
                              <w:rFonts w:hint="eastAsia"/>
                            </w:rPr>
                            <w:instrText xml:space="preserve"> PAGE  \* MERGEFORMAT </w:instrText>
                          </w:r>
                          <w:r>
                            <w:rPr>
                              <w:rFonts w:hint="eastAsia"/>
                            </w:rPr>
                            <w:fldChar w:fldCharType="separate"/>
                          </w:r>
                          <w:r>
                            <w:t>- 80 -</w:t>
                          </w:r>
                          <w:r>
                            <w:rPr>
                              <w:rFonts w:hint="eastAsia"/>
                            </w:rPr>
                            <w:fldChar w:fldCharType="end"/>
                          </w:r>
                        </w:p>
                      </w:txbxContent>
                    </wps:txbx>
                    <wps:bodyPr wrap="none" lIns="0" tIns="0" rIns="0" bIns="0" upright="1">
                      <a:spAutoFit/>
                    </wps:bodyPr>
                  </wps:wsp>
                </a:graphicData>
              </a:graphic>
            </wp:anchor>
          </w:drawing>
        </mc:Choice>
        <mc:Fallback>
          <w:pict>
            <v:shape id="_x0000_s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YDDxgEAAKgDAAAOAAAAAAAAAAEAIAAAAB4BAABkcnMvZTJvRG9jLnht&#10;bFBLBQYAAAAABgAGAFkBAABWBQAAAAA=&#10;">
              <v:fill on="f" focussize="0,0"/>
              <v:stroke on="f"/>
              <v:imagedata o:title=""/>
              <o:lock v:ext="edit" aspectratio="f"/>
              <v:textbox inset="0mm,0mm,0mm,0mm" style="mso-fit-shape-to-text:t;">
                <w:txbxContent>
                  <w:p w14:paraId="5E718AD6">
                    <w:pPr>
                      <w:pStyle w:val="218"/>
                    </w:pPr>
                    <w:r>
                      <w:rPr>
                        <w:rFonts w:hint="eastAsia"/>
                      </w:rPr>
                      <w:fldChar w:fldCharType="begin"/>
                    </w:r>
                    <w:r>
                      <w:rPr>
                        <w:rFonts w:hint="eastAsia"/>
                      </w:rPr>
                      <w:instrText xml:space="preserve"> PAGE  \* MERGEFORMAT </w:instrText>
                    </w:r>
                    <w:r>
                      <w:rPr>
                        <w:rFonts w:hint="eastAsia"/>
                      </w:rPr>
                      <w:fldChar w:fldCharType="separate"/>
                    </w:r>
                    <w:r>
                      <w:t>- 80 -</w:t>
                    </w:r>
                    <w:r>
                      <w:rPr>
                        <w:rFonts w:hint="eastAsia"/>
                      </w:rPr>
                      <w:fldChar w:fldCharType="end"/>
                    </w:r>
                  </w:p>
                </w:txbxContent>
              </v:textbox>
            </v:shape>
          </w:pict>
        </mc:Fallback>
      </mc:AlternateContent>
    </w:r>
  </w:p>
  <w:p w14:paraId="1BB53630">
    <w:pPr>
      <w:pStyle w:val="218"/>
    </w:pPr>
    <w:r>
      <w:rPr>
        <w:rFonts w:hint="eastAsia"/>
      </w:rPr>
      <w:t>桂林市政府集中采购中心                                                                              公开招标</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A1E4C">
    <w:pPr>
      <w:pStyle w:val="221"/>
      <w:jc w:val="left"/>
      <w:rPr>
        <w:rFonts w:hint="eastAsia" w:eastAsia="宋体"/>
        <w:lang w:val="en-US" w:eastAsia="zh-CN"/>
      </w:rPr>
    </w:pPr>
    <w:r>
      <w:rPr>
        <w:rFonts w:hint="eastAsia" w:ascii="宋体" w:hAnsi="宋体" w:cs="宋体"/>
        <w:color w:val="000000"/>
        <w:highlight w:val="none"/>
        <w:lang w:val="en-US" w:eastAsia="zh-CN"/>
      </w:rPr>
      <w:t>桂林市市直机关办公区物业管理服务项目                                             GLZC2026-G3-990149-GLSZ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EBBE8"/>
    <w:multiLevelType w:val="multilevel"/>
    <w:tmpl w:val="AE8EBBE8"/>
    <w:lvl w:ilvl="0" w:tentative="0">
      <w:start w:val="15"/>
      <w:numFmt w:val="decimal"/>
      <w:suff w:val="space"/>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BF1CE294"/>
    <w:multiLevelType w:val="multilevel"/>
    <w:tmpl w:val="BF1CE294"/>
    <w:lvl w:ilvl="0" w:tentative="0">
      <w:start w:val="8"/>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262694A4"/>
    <w:multiLevelType w:val="multilevel"/>
    <w:tmpl w:val="262694A4"/>
    <w:lvl w:ilvl="0" w:tentative="0">
      <w:start w:val="1"/>
      <w:numFmt w:val="chineseCounting"/>
      <w:suff w:val="space"/>
      <w:lvlText w:val="第%1章"/>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2E3DCA9D"/>
    <w:multiLevelType w:val="multilevel"/>
    <w:tmpl w:val="2E3DCA9D"/>
    <w:lvl w:ilvl="0" w:tentative="0">
      <w:start w:val="1"/>
      <w:numFmt w:val="chineseCounting"/>
      <w:suff w:val="space"/>
      <w:lvlText w:val="第%1条"/>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385D08D4"/>
    <w:multiLevelType w:val="multilevel"/>
    <w:tmpl w:val="385D08D4"/>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491EBDFD"/>
    <w:multiLevelType w:val="multilevel"/>
    <w:tmpl w:val="491EBDFD"/>
    <w:lvl w:ilvl="0" w:tentative="0">
      <w:start w:val="1"/>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6">
    <w:nsid w:val="66682293"/>
    <w:multiLevelType w:val="multilevel"/>
    <w:tmpl w:val="66682293"/>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7">
    <w:nsid w:val="666849E0"/>
    <w:multiLevelType w:val="multilevel"/>
    <w:tmpl w:val="666849E0"/>
    <w:lvl w:ilvl="0" w:tentative="0">
      <w:start w:val="3"/>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2"/>
  </w:num>
  <w:num w:numId="2">
    <w:abstractNumId w:val="5"/>
  </w:num>
  <w:num w:numId="3">
    <w:abstractNumId w:val="0"/>
  </w:num>
  <w:num w:numId="4">
    <w:abstractNumId w:val="4"/>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693A"/>
    <w:rsid w:val="00846033"/>
    <w:rsid w:val="01B666C0"/>
    <w:rsid w:val="03BC7892"/>
    <w:rsid w:val="05065E5D"/>
    <w:rsid w:val="05711A7E"/>
    <w:rsid w:val="05CD3FD8"/>
    <w:rsid w:val="06B5784E"/>
    <w:rsid w:val="080041F1"/>
    <w:rsid w:val="08393BA7"/>
    <w:rsid w:val="08850B9A"/>
    <w:rsid w:val="088A7F5F"/>
    <w:rsid w:val="09B27B16"/>
    <w:rsid w:val="0AFF4C34"/>
    <w:rsid w:val="0CA57A5D"/>
    <w:rsid w:val="0DC24706"/>
    <w:rsid w:val="0DC65EDD"/>
    <w:rsid w:val="0F087849"/>
    <w:rsid w:val="101E3DAE"/>
    <w:rsid w:val="114E06C3"/>
    <w:rsid w:val="133D454B"/>
    <w:rsid w:val="13E23345"/>
    <w:rsid w:val="157E3FF2"/>
    <w:rsid w:val="171E28E6"/>
    <w:rsid w:val="195720DF"/>
    <w:rsid w:val="197B5DCD"/>
    <w:rsid w:val="1A091F78"/>
    <w:rsid w:val="1B494EE4"/>
    <w:rsid w:val="1B5C39DD"/>
    <w:rsid w:val="1E9601BD"/>
    <w:rsid w:val="204C2272"/>
    <w:rsid w:val="222D7E81"/>
    <w:rsid w:val="23971A56"/>
    <w:rsid w:val="23E85BCA"/>
    <w:rsid w:val="24F8007D"/>
    <w:rsid w:val="2705317A"/>
    <w:rsid w:val="27084906"/>
    <w:rsid w:val="286767E0"/>
    <w:rsid w:val="292813A2"/>
    <w:rsid w:val="2A1D1694"/>
    <w:rsid w:val="2AAB4039"/>
    <w:rsid w:val="2C7A0167"/>
    <w:rsid w:val="2D362736"/>
    <w:rsid w:val="2E352597"/>
    <w:rsid w:val="304F36B8"/>
    <w:rsid w:val="32313075"/>
    <w:rsid w:val="32F26CA9"/>
    <w:rsid w:val="333856A4"/>
    <w:rsid w:val="33E04D53"/>
    <w:rsid w:val="34D4418C"/>
    <w:rsid w:val="36AD17EC"/>
    <w:rsid w:val="37B207B5"/>
    <w:rsid w:val="38E928FC"/>
    <w:rsid w:val="39461AFC"/>
    <w:rsid w:val="3A4D0C68"/>
    <w:rsid w:val="3AAD5BAB"/>
    <w:rsid w:val="3DAE1A1E"/>
    <w:rsid w:val="3E442382"/>
    <w:rsid w:val="3E9A01F4"/>
    <w:rsid w:val="3EF07270"/>
    <w:rsid w:val="3FEB6F5A"/>
    <w:rsid w:val="3FFB4CC3"/>
    <w:rsid w:val="40186DD6"/>
    <w:rsid w:val="40F24318"/>
    <w:rsid w:val="41986C6D"/>
    <w:rsid w:val="42CD2946"/>
    <w:rsid w:val="44735770"/>
    <w:rsid w:val="45252F0E"/>
    <w:rsid w:val="464253F9"/>
    <w:rsid w:val="46A95163"/>
    <w:rsid w:val="47490A0A"/>
    <w:rsid w:val="48D32DF7"/>
    <w:rsid w:val="49086FE6"/>
    <w:rsid w:val="49311755"/>
    <w:rsid w:val="4ACE76DF"/>
    <w:rsid w:val="4F4F0B87"/>
    <w:rsid w:val="4FD572DE"/>
    <w:rsid w:val="50301E3A"/>
    <w:rsid w:val="5038161B"/>
    <w:rsid w:val="50597F0F"/>
    <w:rsid w:val="52C72A7B"/>
    <w:rsid w:val="53A55FF0"/>
    <w:rsid w:val="53F35F85"/>
    <w:rsid w:val="550B7314"/>
    <w:rsid w:val="559D2106"/>
    <w:rsid w:val="566D64C3"/>
    <w:rsid w:val="57650F48"/>
    <w:rsid w:val="5779684A"/>
    <w:rsid w:val="581B1F4E"/>
    <w:rsid w:val="588E2720"/>
    <w:rsid w:val="58B77EC9"/>
    <w:rsid w:val="58B90726"/>
    <w:rsid w:val="593212FE"/>
    <w:rsid w:val="5AC16DDD"/>
    <w:rsid w:val="5B2B4256"/>
    <w:rsid w:val="5B9242D5"/>
    <w:rsid w:val="5D047455"/>
    <w:rsid w:val="5D964551"/>
    <w:rsid w:val="5EFD5F0A"/>
    <w:rsid w:val="60073738"/>
    <w:rsid w:val="608943A4"/>
    <w:rsid w:val="61AE1680"/>
    <w:rsid w:val="628030DA"/>
    <w:rsid w:val="64A21A2D"/>
    <w:rsid w:val="65650D00"/>
    <w:rsid w:val="6639130E"/>
    <w:rsid w:val="66EF1BEE"/>
    <w:rsid w:val="68570D81"/>
    <w:rsid w:val="687920A3"/>
    <w:rsid w:val="68F021D6"/>
    <w:rsid w:val="69981651"/>
    <w:rsid w:val="69A42806"/>
    <w:rsid w:val="6ABC136F"/>
    <w:rsid w:val="6AED1528"/>
    <w:rsid w:val="6CF724D3"/>
    <w:rsid w:val="6EB56801"/>
    <w:rsid w:val="6F712759"/>
    <w:rsid w:val="7027728A"/>
    <w:rsid w:val="704F058F"/>
    <w:rsid w:val="725913F1"/>
    <w:rsid w:val="72B868C0"/>
    <w:rsid w:val="72D03C09"/>
    <w:rsid w:val="73974727"/>
    <w:rsid w:val="766528BB"/>
    <w:rsid w:val="768857E3"/>
    <w:rsid w:val="77416E84"/>
    <w:rsid w:val="79EB1329"/>
    <w:rsid w:val="79F24465"/>
    <w:rsid w:val="79F71A7C"/>
    <w:rsid w:val="7B851309"/>
    <w:rsid w:val="7BFD3F26"/>
    <w:rsid w:val="7C2834D3"/>
    <w:rsid w:val="7CCA16C9"/>
    <w:rsid w:val="7CD80A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39"/>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164"/>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4">
    <w:name w:val="heading 2"/>
    <w:basedOn w:val="1"/>
    <w:next w:val="1"/>
    <w:link w:val="165"/>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5">
    <w:name w:val="heading 3"/>
    <w:basedOn w:val="1"/>
    <w:next w:val="1"/>
    <w:link w:val="166"/>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6">
    <w:name w:val="heading 4"/>
    <w:basedOn w:val="1"/>
    <w:next w:val="1"/>
    <w:link w:val="167"/>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7">
    <w:name w:val="heading 5"/>
    <w:basedOn w:val="1"/>
    <w:next w:val="1"/>
    <w:link w:val="168"/>
    <w:unhideWhenUsed/>
    <w:qFormat/>
    <w:uiPriority w:val="9"/>
    <w:pPr>
      <w:keepNext/>
      <w:keepLines/>
      <w:spacing w:before="80" w:after="40"/>
      <w:outlineLvl w:val="4"/>
    </w:pPr>
    <w:rPr>
      <w:rFonts w:ascii="Arial" w:hAnsi="Arial" w:eastAsia="Arial" w:cs="Arial"/>
      <w:color w:val="376092" w:themeColor="accent1" w:themeShade="BF"/>
    </w:rPr>
  </w:style>
  <w:style w:type="paragraph" w:styleId="8">
    <w:name w:val="heading 6"/>
    <w:basedOn w:val="1"/>
    <w:next w:val="1"/>
    <w:link w:val="169"/>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9">
    <w:name w:val="heading 7"/>
    <w:basedOn w:val="1"/>
    <w:next w:val="1"/>
    <w:link w:val="170"/>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171"/>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1">
    <w:name w:val="heading 9"/>
    <w:basedOn w:val="1"/>
    <w:next w:val="1"/>
    <w:link w:val="172"/>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
    <w:name w:val="正文文本1"/>
    <w:basedOn w:val="1"/>
    <w:next w:val="1"/>
    <w:qFormat/>
    <w:uiPriority w:val="0"/>
    <w:pPr>
      <w:spacing w:line="380" w:lineRule="exact"/>
    </w:pPr>
    <w:rPr>
      <w:sz w:val="24"/>
    </w:rPr>
  </w:style>
  <w:style w:type="paragraph" w:styleId="12">
    <w:name w:val="toc 7"/>
    <w:basedOn w:val="1"/>
    <w:next w:val="1"/>
    <w:unhideWhenUsed/>
    <w:qFormat/>
    <w:uiPriority w:val="39"/>
    <w:pPr>
      <w:spacing w:after="100"/>
      <w:ind w:left="1320"/>
    </w:pPr>
  </w:style>
  <w:style w:type="paragraph" w:styleId="13">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4">
    <w:name w:val="annotation text"/>
    <w:basedOn w:val="1"/>
    <w:semiHidden/>
    <w:unhideWhenUsed/>
    <w:qFormat/>
    <w:uiPriority w:val="99"/>
    <w:pPr>
      <w:jc w:val="left"/>
    </w:pPr>
  </w:style>
  <w:style w:type="paragraph" w:styleId="15">
    <w:name w:val="toc 5"/>
    <w:basedOn w:val="1"/>
    <w:next w:val="1"/>
    <w:unhideWhenUsed/>
    <w:qFormat/>
    <w:uiPriority w:val="39"/>
    <w:pPr>
      <w:spacing w:after="100"/>
      <w:ind w:left="880"/>
    </w:pPr>
  </w:style>
  <w:style w:type="paragraph" w:styleId="16">
    <w:name w:val="toc 3"/>
    <w:basedOn w:val="1"/>
    <w:next w:val="1"/>
    <w:unhideWhenUsed/>
    <w:qFormat/>
    <w:uiPriority w:val="39"/>
    <w:pPr>
      <w:spacing w:after="100"/>
      <w:ind w:left="440"/>
    </w:pPr>
  </w:style>
  <w:style w:type="paragraph" w:styleId="17">
    <w:name w:val="toc 8"/>
    <w:basedOn w:val="1"/>
    <w:next w:val="1"/>
    <w:unhideWhenUsed/>
    <w:qFormat/>
    <w:uiPriority w:val="39"/>
    <w:pPr>
      <w:spacing w:after="100"/>
      <w:ind w:left="1540"/>
    </w:pPr>
  </w:style>
  <w:style w:type="paragraph" w:styleId="18">
    <w:name w:val="endnote text"/>
    <w:basedOn w:val="1"/>
    <w:link w:val="188"/>
    <w:semiHidden/>
    <w:unhideWhenUsed/>
    <w:qFormat/>
    <w:uiPriority w:val="99"/>
    <w:pPr>
      <w:spacing w:after="0" w:line="240" w:lineRule="auto"/>
    </w:pPr>
    <w:rPr>
      <w:sz w:val="20"/>
      <w:szCs w:val="20"/>
    </w:rPr>
  </w:style>
  <w:style w:type="paragraph" w:styleId="19">
    <w:name w:val="footer"/>
    <w:basedOn w:val="1"/>
    <w:link w:val="186"/>
    <w:unhideWhenUsed/>
    <w:qFormat/>
    <w:uiPriority w:val="99"/>
    <w:pPr>
      <w:tabs>
        <w:tab w:val="center" w:pos="4844"/>
        <w:tab w:val="right" w:pos="9689"/>
      </w:tabs>
      <w:spacing w:after="0" w:line="240" w:lineRule="auto"/>
    </w:pPr>
  </w:style>
  <w:style w:type="paragraph" w:styleId="20">
    <w:name w:val="header"/>
    <w:basedOn w:val="1"/>
    <w:link w:val="185"/>
    <w:unhideWhenUsed/>
    <w:qFormat/>
    <w:uiPriority w:val="99"/>
    <w:pPr>
      <w:tabs>
        <w:tab w:val="center" w:pos="4844"/>
        <w:tab w:val="right" w:pos="9689"/>
      </w:tabs>
      <w:spacing w:after="0" w:line="240" w:lineRule="auto"/>
    </w:pPr>
  </w:style>
  <w:style w:type="paragraph" w:styleId="21">
    <w:name w:val="toc 1"/>
    <w:basedOn w:val="1"/>
    <w:next w:val="1"/>
    <w:unhideWhenUsed/>
    <w:qFormat/>
    <w:uiPriority w:val="39"/>
    <w:pPr>
      <w:spacing w:after="100"/>
    </w:pPr>
  </w:style>
  <w:style w:type="paragraph" w:styleId="22">
    <w:name w:val="toc 4"/>
    <w:basedOn w:val="1"/>
    <w:next w:val="1"/>
    <w:unhideWhenUsed/>
    <w:qFormat/>
    <w:uiPriority w:val="39"/>
    <w:pPr>
      <w:spacing w:after="100"/>
      <w:ind w:left="660"/>
    </w:pPr>
  </w:style>
  <w:style w:type="paragraph" w:styleId="23">
    <w:name w:val="Subtitle"/>
    <w:basedOn w:val="1"/>
    <w:next w:val="1"/>
    <w:link w:val="174"/>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4">
    <w:name w:val="footnote text"/>
    <w:basedOn w:val="1"/>
    <w:link w:val="187"/>
    <w:semiHidden/>
    <w:unhideWhenUsed/>
    <w:qFormat/>
    <w:uiPriority w:val="99"/>
    <w:pPr>
      <w:spacing w:after="0" w:line="240" w:lineRule="auto"/>
    </w:pPr>
    <w:rPr>
      <w:sz w:val="20"/>
      <w:szCs w:val="20"/>
    </w:rPr>
  </w:style>
  <w:style w:type="paragraph" w:styleId="25">
    <w:name w:val="toc 6"/>
    <w:basedOn w:val="1"/>
    <w:next w:val="1"/>
    <w:unhideWhenUsed/>
    <w:qFormat/>
    <w:uiPriority w:val="39"/>
    <w:pPr>
      <w:spacing w:after="100"/>
      <w:ind w:left="110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100"/>
      <w:ind w:left="220"/>
    </w:pPr>
  </w:style>
  <w:style w:type="paragraph" w:styleId="28">
    <w:name w:val="toc 9"/>
    <w:basedOn w:val="1"/>
    <w:next w:val="1"/>
    <w:unhideWhenUsed/>
    <w:qFormat/>
    <w:uiPriority w:val="39"/>
    <w:pPr>
      <w:spacing w:after="100"/>
      <w:ind w:left="1760"/>
    </w:pPr>
  </w:style>
  <w:style w:type="paragraph" w:styleId="29">
    <w:name w:val="Title"/>
    <w:basedOn w:val="1"/>
    <w:next w:val="1"/>
    <w:link w:val="173"/>
    <w:qFormat/>
    <w:uiPriority w:val="10"/>
    <w:pPr>
      <w:spacing w:after="80" w:line="240" w:lineRule="auto"/>
      <w:contextualSpacing/>
    </w:pPr>
    <w:rPr>
      <w:rFonts w:ascii="Arial" w:hAnsi="Arial" w:eastAsia="Arial" w:cs="Arial"/>
      <w:spacing w:val="-10"/>
      <w:sz w:val="56"/>
      <w:szCs w:val="56"/>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3">
    <w:name w:val="Strong"/>
    <w:basedOn w:val="32"/>
    <w:qFormat/>
    <w:uiPriority w:val="22"/>
    <w:rPr>
      <w:b/>
      <w:bCs/>
    </w:rPr>
  </w:style>
  <w:style w:type="character" w:styleId="34">
    <w:name w:val="endnote reference"/>
    <w:basedOn w:val="32"/>
    <w:semiHidden/>
    <w:unhideWhenUsed/>
    <w:qFormat/>
    <w:uiPriority w:val="99"/>
    <w:rPr>
      <w:vertAlign w:val="superscript"/>
    </w:rPr>
  </w:style>
  <w:style w:type="character" w:styleId="35">
    <w:name w:val="FollowedHyperlink"/>
    <w:basedOn w:val="32"/>
    <w:semiHidden/>
    <w:unhideWhenUsed/>
    <w:qFormat/>
    <w:uiPriority w:val="99"/>
    <w:rPr>
      <w:color w:val="800080" w:themeColor="followedHyperlink"/>
      <w:u w:val="single"/>
      <w14:textFill>
        <w14:solidFill>
          <w14:schemeClr w14:val="folHlink"/>
        </w14:solidFill>
      </w14:textFill>
    </w:rPr>
  </w:style>
  <w:style w:type="character" w:styleId="36">
    <w:name w:val="Emphasis"/>
    <w:basedOn w:val="32"/>
    <w:qFormat/>
    <w:uiPriority w:val="20"/>
    <w:rPr>
      <w:i/>
      <w:iCs/>
    </w:rPr>
  </w:style>
  <w:style w:type="character" w:styleId="37">
    <w:name w:val="Hyperlink"/>
    <w:basedOn w:val="32"/>
    <w:unhideWhenUsed/>
    <w:qFormat/>
    <w:uiPriority w:val="99"/>
    <w:rPr>
      <w:color w:val="0000FF" w:themeColor="hyperlink"/>
      <w:u w:val="single"/>
      <w14:textFill>
        <w14:solidFill>
          <w14:schemeClr w14:val="hlink"/>
        </w14:solidFill>
      </w14:textFill>
    </w:rPr>
  </w:style>
  <w:style w:type="character" w:styleId="38">
    <w:name w:val="footnote reference"/>
    <w:basedOn w:val="32"/>
    <w:semiHidden/>
    <w:unhideWhenUsed/>
    <w:qFormat/>
    <w:uiPriority w:val="99"/>
    <w:rPr>
      <w:vertAlign w:val="superscript"/>
    </w:rPr>
  </w:style>
  <w:style w:type="table" w:customStyle="1" w:styleId="39">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0">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1">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2">
    <w:name w:val="Plain Table 3"/>
    <w:basedOn w:val="30"/>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3">
    <w:name w:val="Plain Table 4"/>
    <w:basedOn w:val="30"/>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4">
    <w:name w:val="Plain Table 5"/>
    <w:basedOn w:val="30"/>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5">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6">
    <w:name w:val="Grid Table 1 Light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47">
    <w:name w:val="Grid Table 1 Light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48">
    <w:name w:val="Grid Table 1 Light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49">
    <w:name w:val="Grid Table 1 Light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0">
    <w:name w:val="Grid Table 1 Light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1">
    <w:name w:val="Grid Table 1 Light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2">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3">
    <w:name w:val="Grid Table 2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4">
    <w:name w:val="Grid Table 2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5">
    <w:name w:val="Grid Table 2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6">
    <w:name w:val="Grid Table 2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57">
    <w:name w:val="Grid Table 2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58">
    <w:name w:val="Grid Table 2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59">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0">
    <w:name w:val="Grid Table 3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1">
    <w:name w:val="Grid Table 3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2">
    <w:name w:val="Grid Table 3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3">
    <w:name w:val="Grid Table 3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4">
    <w:name w:val="Grid Table 3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5">
    <w:name w:val="Grid Table 3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6">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7">
    <w:name w:val="Grid Table 4 - Accent 1"/>
    <w:basedOn w:val="30"/>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68">
    <w:name w:val="Grid Table 4 - Accent 2"/>
    <w:basedOn w:val="30"/>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9">
    <w:name w:val="Grid Table 4 - Accent 3"/>
    <w:basedOn w:val="30"/>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0">
    <w:name w:val="Grid Table 4 - Accent 4"/>
    <w:basedOn w:val="30"/>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1">
    <w:name w:val="Grid Table 4 - Accent 5"/>
    <w:basedOn w:val="30"/>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2">
    <w:name w:val="Grid Table 4 - Accent 6"/>
    <w:basedOn w:val="30"/>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3">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4">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5">
    <w:name w:val="Grid Table 5 Dark - Accent 2"/>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6">
    <w:name w:val="Grid Table 5 Dark - Accent 3"/>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77">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78">
    <w:name w:val="Grid Table 5 Dark - Accent 5"/>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79">
    <w:name w:val="Grid Table 5 Dark - Accent 6"/>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0">
    <w:name w:val="Grid Table 6 Colorful"/>
    <w:basedOn w:val="3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1">
    <w:name w:val="Grid Table 6 Colorful - Accent 1"/>
    <w:basedOn w:val="30"/>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2">
    <w:name w:val="Grid Table 6 Colorful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3">
    <w:name w:val="Grid Table 6 Colorful - Accent 3"/>
    <w:basedOn w:val="30"/>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4">
    <w:name w:val="Grid Table 6 Colorful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85">
    <w:name w:val="Grid Table 6 Colorful - Accent 5"/>
    <w:basedOn w:val="30"/>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6">
    <w:name w:val="Grid Table 6 Colorful - Accent 6"/>
    <w:basedOn w:val="30"/>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7">
    <w:name w:val="Grid Table 7 Colorful"/>
    <w:basedOn w:val="3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8">
    <w:name w:val="Grid Table 7 Colorful - Accent 1"/>
    <w:basedOn w:val="30"/>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9">
    <w:name w:val="Grid Table 7 Colorful - Accent 2"/>
    <w:basedOn w:val="30"/>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0">
    <w:name w:val="Grid Table 7 Colorful - Accent 3"/>
    <w:basedOn w:val="30"/>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1">
    <w:name w:val="Grid Table 7 Colorful - Accent 4"/>
    <w:basedOn w:val="30"/>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2">
    <w:name w:val="Grid Table 7 Colorful - Accent 5"/>
    <w:basedOn w:val="30"/>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3">
    <w:name w:val="Grid Table 7 Colorful - Accent 6"/>
    <w:basedOn w:val="30"/>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94">
    <w:name w:val="List Table 1 Light"/>
    <w:basedOn w:val="30"/>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5">
    <w:name w:val="List Table 1 Light - Accent 1"/>
    <w:basedOn w:val="30"/>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6">
    <w:name w:val="List Table 1 Light - Accent 2"/>
    <w:basedOn w:val="30"/>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97">
    <w:name w:val="List Table 1 Light - Accent 3"/>
    <w:basedOn w:val="30"/>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98">
    <w:name w:val="List Table 1 Light - Accent 4"/>
    <w:basedOn w:val="30"/>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99">
    <w:name w:val="List Table 1 Light - Accent 5"/>
    <w:basedOn w:val="30"/>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0">
    <w:name w:val="List Table 1 Light - Accent 6"/>
    <w:basedOn w:val="30"/>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1">
    <w:name w:val="List Table 2"/>
    <w:basedOn w:val="3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2">
    <w:name w:val="List Table 2 - Accent 1"/>
    <w:basedOn w:val="30"/>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3">
    <w:name w:val="List Table 2 - Accent 2"/>
    <w:basedOn w:val="30"/>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4">
    <w:name w:val="List Table 2 - Accent 3"/>
    <w:basedOn w:val="30"/>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5">
    <w:name w:val="List Table 2 - Accent 4"/>
    <w:basedOn w:val="30"/>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6">
    <w:name w:val="List Table 2 - Accent 5"/>
    <w:basedOn w:val="30"/>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7">
    <w:name w:val="List Table 2 - Accent 6"/>
    <w:basedOn w:val="30"/>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8">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09">
    <w:name w:val="List Table 3 - Accent 1"/>
    <w:basedOn w:val="30"/>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0">
    <w:name w:val="List Table 3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1">
    <w:name w:val="List Table 3 - Accent 3"/>
    <w:basedOn w:val="30"/>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2">
    <w:name w:val="List Table 3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3">
    <w:name w:val="List Table 3 - Accent 5"/>
    <w:basedOn w:val="30"/>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4">
    <w:name w:val="List Table 3 - Accent 6"/>
    <w:basedOn w:val="30"/>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5">
    <w:name w:val="List Table 4"/>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6">
    <w:name w:val="List Table 4 - Accent 1"/>
    <w:basedOn w:val="30"/>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7">
    <w:name w:val="List Table 4 - Accent 2"/>
    <w:basedOn w:val="30"/>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8">
    <w:name w:val="List Table 4 - Accent 3"/>
    <w:basedOn w:val="30"/>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9">
    <w:name w:val="List Table 4 - Accent 4"/>
    <w:basedOn w:val="30"/>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0">
    <w:name w:val="List Table 4 - Accent 5"/>
    <w:basedOn w:val="30"/>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1">
    <w:name w:val="List Table 4 - Accent 6"/>
    <w:basedOn w:val="30"/>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2">
    <w:name w:val="List Table 5 Dark"/>
    <w:basedOn w:val="3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3">
    <w:name w:val="List Table 5 Dark - Accent 1"/>
    <w:basedOn w:val="30"/>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4">
    <w:name w:val="List Table 5 Dark - Accent 2"/>
    <w:basedOn w:val="30"/>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5">
    <w:name w:val="List Table 5 Dark - Accent 3"/>
    <w:basedOn w:val="30"/>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6">
    <w:name w:val="List Table 5 Dark - Accent 4"/>
    <w:basedOn w:val="30"/>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27">
    <w:name w:val="List Table 5 Dark - Accent 5"/>
    <w:basedOn w:val="30"/>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28">
    <w:name w:val="List Table 5 Dark - Accent 6"/>
    <w:basedOn w:val="30"/>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29">
    <w:name w:val="List Table 6 Colorful"/>
    <w:basedOn w:val="3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30">
    <w:name w:val="List Table 6 Colorful - Accent 1"/>
    <w:basedOn w:val="30"/>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1">
    <w:name w:val="List Table 6 Colorful - Accent 2"/>
    <w:basedOn w:val="30"/>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2">
    <w:name w:val="List Table 6 Colorful - Accent 3"/>
    <w:basedOn w:val="30"/>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3">
    <w:name w:val="List Table 6 Colorful - Accent 4"/>
    <w:basedOn w:val="30"/>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4">
    <w:name w:val="List Table 6 Colorful - Accent 5"/>
    <w:basedOn w:val="30"/>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35">
    <w:name w:val="List Table 6 Colorful - Accent 6"/>
    <w:basedOn w:val="30"/>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36">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37">
    <w:name w:val="List Table 7 Colorful - Accent 1"/>
    <w:basedOn w:val="30"/>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8">
    <w:name w:val="List Table 7 Colorful - Accent 2"/>
    <w:basedOn w:val="30"/>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9">
    <w:name w:val="List Table 7 Colorful - Accent 3"/>
    <w:basedOn w:val="30"/>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0">
    <w:name w:val="List Table 7 Colorful - Accent 4"/>
    <w:basedOn w:val="30"/>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1">
    <w:name w:val="List Table 7 Colorful - Accent 5"/>
    <w:basedOn w:val="30"/>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2">
    <w:name w:val="List Table 7 Colorful - Accent 6"/>
    <w:basedOn w:val="30"/>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3">
    <w:name w:val="Lined - Accent"/>
    <w:basedOn w:val="30"/>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4">
    <w:name w:val="Lined - Accent 1"/>
    <w:basedOn w:val="30"/>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5">
    <w:name w:val="Lined - Accent 2"/>
    <w:basedOn w:val="30"/>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6">
    <w:name w:val="Lined - Accent 3"/>
    <w:basedOn w:val="30"/>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47">
    <w:name w:val="Lined - Accent 4"/>
    <w:basedOn w:val="30"/>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48">
    <w:name w:val="Lined - Accent 5"/>
    <w:basedOn w:val="30"/>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49">
    <w:name w:val="Lined - Accent 6"/>
    <w:basedOn w:val="30"/>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0">
    <w:name w:val="Bordered &amp; Lined - Accent"/>
    <w:basedOn w:val="30"/>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1">
    <w:name w:val="Bordered &amp; Lined - Accent 1"/>
    <w:basedOn w:val="30"/>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2">
    <w:name w:val="Bordered &amp; Lined - Accent 2"/>
    <w:basedOn w:val="30"/>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3">
    <w:name w:val="Bordered &amp; Lined - Accent 3"/>
    <w:basedOn w:val="30"/>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4">
    <w:name w:val="Bordered &amp; Lined - Accent 4"/>
    <w:basedOn w:val="30"/>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5">
    <w:name w:val="Bordered &amp; Lined - Accent 5"/>
    <w:basedOn w:val="30"/>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6">
    <w:name w:val="Bordered &amp; Lined - Accent 6"/>
    <w:basedOn w:val="30"/>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7">
    <w:name w:val="Bordered"/>
    <w:basedOn w:val="30"/>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58">
    <w:name w:val="Bordered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59">
    <w:name w:val="Bordered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0">
    <w:name w:val="Bordered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1">
    <w:name w:val="Bordered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2">
    <w:name w:val="Bordered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3">
    <w:name w:val="Bordered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4">
    <w:name w:val="Heading 1 Char"/>
    <w:basedOn w:val="32"/>
    <w:link w:val="3"/>
    <w:qFormat/>
    <w:uiPriority w:val="9"/>
    <w:rPr>
      <w:rFonts w:ascii="Arial" w:hAnsi="Arial" w:eastAsia="Arial" w:cs="Arial"/>
      <w:color w:val="376092" w:themeColor="accent1" w:themeShade="BF"/>
      <w:sz w:val="40"/>
      <w:szCs w:val="40"/>
    </w:rPr>
  </w:style>
  <w:style w:type="character" w:customStyle="1" w:styleId="165">
    <w:name w:val="Heading 2 Char"/>
    <w:basedOn w:val="32"/>
    <w:link w:val="4"/>
    <w:qFormat/>
    <w:uiPriority w:val="9"/>
    <w:rPr>
      <w:rFonts w:ascii="Arial" w:hAnsi="Arial" w:eastAsia="Arial" w:cs="Arial"/>
      <w:color w:val="376092" w:themeColor="accent1" w:themeShade="BF"/>
      <w:sz w:val="32"/>
      <w:szCs w:val="32"/>
    </w:rPr>
  </w:style>
  <w:style w:type="character" w:customStyle="1" w:styleId="166">
    <w:name w:val="Heading 3 Char"/>
    <w:basedOn w:val="32"/>
    <w:link w:val="5"/>
    <w:qFormat/>
    <w:uiPriority w:val="9"/>
    <w:rPr>
      <w:rFonts w:ascii="Arial" w:hAnsi="Arial" w:eastAsia="Arial" w:cs="Arial"/>
      <w:color w:val="376092" w:themeColor="accent1" w:themeShade="BF"/>
      <w:sz w:val="28"/>
      <w:szCs w:val="28"/>
    </w:rPr>
  </w:style>
  <w:style w:type="character" w:customStyle="1" w:styleId="167">
    <w:name w:val="Heading 4 Char"/>
    <w:basedOn w:val="32"/>
    <w:link w:val="6"/>
    <w:qFormat/>
    <w:uiPriority w:val="9"/>
    <w:rPr>
      <w:rFonts w:ascii="Arial" w:hAnsi="Arial" w:eastAsia="Arial" w:cs="Arial"/>
      <w:i/>
      <w:iCs/>
      <w:color w:val="376092" w:themeColor="accent1" w:themeShade="BF"/>
    </w:rPr>
  </w:style>
  <w:style w:type="character" w:customStyle="1" w:styleId="168">
    <w:name w:val="Heading 5 Char"/>
    <w:basedOn w:val="32"/>
    <w:link w:val="7"/>
    <w:qFormat/>
    <w:uiPriority w:val="9"/>
    <w:rPr>
      <w:rFonts w:ascii="Arial" w:hAnsi="Arial" w:eastAsia="Arial" w:cs="Arial"/>
      <w:color w:val="376092" w:themeColor="accent1" w:themeShade="BF"/>
    </w:rPr>
  </w:style>
  <w:style w:type="character" w:customStyle="1" w:styleId="169">
    <w:name w:val="Heading 6 Char"/>
    <w:basedOn w:val="32"/>
    <w:link w:val="8"/>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0">
    <w:name w:val="Heading 7 Char"/>
    <w:basedOn w:val="32"/>
    <w:link w:val="9"/>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1">
    <w:name w:val="Heading 8 Char"/>
    <w:basedOn w:val="32"/>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2">
    <w:name w:val="Heading 9 Char"/>
    <w:basedOn w:val="32"/>
    <w:link w:val="11"/>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3">
    <w:name w:val="Title Char"/>
    <w:basedOn w:val="32"/>
    <w:link w:val="29"/>
    <w:qFormat/>
    <w:uiPriority w:val="10"/>
    <w:rPr>
      <w:rFonts w:ascii="Arial" w:hAnsi="Arial" w:eastAsia="Arial" w:cs="Arial"/>
      <w:spacing w:val="-10"/>
      <w:sz w:val="56"/>
      <w:szCs w:val="56"/>
    </w:rPr>
  </w:style>
  <w:style w:type="character" w:customStyle="1" w:styleId="174">
    <w:name w:val="Subtitle Char"/>
    <w:basedOn w:val="32"/>
    <w:link w:val="23"/>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5">
    <w:name w:val="Quote"/>
    <w:basedOn w:val="1"/>
    <w:next w:val="1"/>
    <w:link w:val="17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6">
    <w:name w:val="Quote Char"/>
    <w:basedOn w:val="32"/>
    <w:link w:val="175"/>
    <w:qFormat/>
    <w:uiPriority w:val="29"/>
    <w:rPr>
      <w:i/>
      <w:iCs/>
      <w:color w:val="404040" w:themeColor="text1" w:themeTint="BF"/>
      <w14:textFill>
        <w14:solidFill>
          <w14:schemeClr w14:val="tx1">
            <w14:lumMod w14:val="75000"/>
            <w14:lumOff w14:val="25000"/>
          </w14:schemeClr>
        </w14:solidFill>
      </w14:textFill>
    </w:rPr>
  </w:style>
  <w:style w:type="character" w:customStyle="1" w:styleId="177">
    <w:name w:val="Intense Emphasis"/>
    <w:basedOn w:val="32"/>
    <w:qFormat/>
    <w:uiPriority w:val="21"/>
    <w:rPr>
      <w:i/>
      <w:iCs/>
      <w:color w:val="376092" w:themeColor="accent1" w:themeShade="BF"/>
    </w:rPr>
  </w:style>
  <w:style w:type="paragraph" w:styleId="178">
    <w:name w:val="Intense Quote"/>
    <w:basedOn w:val="1"/>
    <w:next w:val="1"/>
    <w:link w:val="179"/>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79">
    <w:name w:val="Intense Quote Char"/>
    <w:basedOn w:val="32"/>
    <w:link w:val="178"/>
    <w:qFormat/>
    <w:uiPriority w:val="30"/>
    <w:rPr>
      <w:i/>
      <w:iCs/>
      <w:color w:val="376092" w:themeColor="accent1" w:themeShade="BF"/>
    </w:rPr>
  </w:style>
  <w:style w:type="character" w:customStyle="1" w:styleId="180">
    <w:name w:val="Intense Reference"/>
    <w:basedOn w:val="32"/>
    <w:qFormat/>
    <w:uiPriority w:val="32"/>
    <w:rPr>
      <w:b/>
      <w:bCs/>
      <w:smallCaps/>
      <w:color w:val="376092" w:themeColor="accent1" w:themeShade="BF"/>
      <w:spacing w:val="5"/>
    </w:rPr>
  </w:style>
  <w:style w:type="paragraph" w:styleId="181">
    <w:name w:val="No Spacing"/>
    <w:basedOn w:val="1"/>
    <w:qFormat/>
    <w:uiPriority w:val="1"/>
    <w:pPr>
      <w:spacing w:after="0" w:line="240" w:lineRule="auto"/>
    </w:pPr>
  </w:style>
  <w:style w:type="character" w:customStyle="1" w:styleId="182">
    <w:name w:val="Subtle Emphasis"/>
    <w:basedOn w:val="32"/>
    <w:qFormat/>
    <w:uiPriority w:val="19"/>
    <w:rPr>
      <w:i/>
      <w:iCs/>
      <w:color w:val="404040" w:themeColor="text1" w:themeTint="BF"/>
      <w14:textFill>
        <w14:solidFill>
          <w14:schemeClr w14:val="tx1">
            <w14:lumMod w14:val="75000"/>
            <w14:lumOff w14:val="25000"/>
          </w14:schemeClr>
        </w14:solidFill>
      </w14:textFill>
    </w:rPr>
  </w:style>
  <w:style w:type="character" w:customStyle="1" w:styleId="183">
    <w:name w:val="Subtle Reference"/>
    <w:basedOn w:val="32"/>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4">
    <w:name w:val="Book Title"/>
    <w:basedOn w:val="32"/>
    <w:qFormat/>
    <w:uiPriority w:val="33"/>
    <w:rPr>
      <w:b/>
      <w:bCs/>
      <w:i/>
      <w:iCs/>
      <w:spacing w:val="5"/>
    </w:rPr>
  </w:style>
  <w:style w:type="character" w:customStyle="1" w:styleId="185">
    <w:name w:val="Header Char"/>
    <w:basedOn w:val="32"/>
    <w:link w:val="20"/>
    <w:qFormat/>
    <w:uiPriority w:val="99"/>
  </w:style>
  <w:style w:type="character" w:customStyle="1" w:styleId="186">
    <w:name w:val="Footer Char"/>
    <w:basedOn w:val="32"/>
    <w:link w:val="19"/>
    <w:qFormat/>
    <w:uiPriority w:val="99"/>
  </w:style>
  <w:style w:type="character" w:customStyle="1" w:styleId="187">
    <w:name w:val="Footnote Text Char"/>
    <w:basedOn w:val="32"/>
    <w:link w:val="24"/>
    <w:semiHidden/>
    <w:qFormat/>
    <w:uiPriority w:val="99"/>
    <w:rPr>
      <w:sz w:val="20"/>
      <w:szCs w:val="20"/>
    </w:rPr>
  </w:style>
  <w:style w:type="character" w:customStyle="1" w:styleId="188">
    <w:name w:val="Endnote Text Char"/>
    <w:basedOn w:val="32"/>
    <w:link w:val="18"/>
    <w:semiHidden/>
    <w:qFormat/>
    <w:uiPriority w:val="99"/>
    <w:rPr>
      <w:sz w:val="20"/>
      <w:szCs w:val="20"/>
    </w:rPr>
  </w:style>
  <w:style w:type="character" w:styleId="189">
    <w:name w:val="Placeholder Text"/>
    <w:basedOn w:val="32"/>
    <w:semiHidden/>
    <w:qFormat/>
    <w:uiPriority w:val="99"/>
    <w:rPr>
      <w:color w:val="666666"/>
    </w:rPr>
  </w:style>
  <w:style w:type="paragraph" w:customStyle="1" w:styleId="190">
    <w:name w:val="TOC Heading"/>
    <w:unhideWhenUsed/>
    <w:qFormat/>
    <w:uiPriority w:val="39"/>
    <w:rPr>
      <w:rFonts w:hint="default" w:ascii="Times New Roman" w:hAnsi="Times New Roman" w:eastAsia="宋体" w:cs="Times New Roman"/>
    </w:rPr>
  </w:style>
  <w:style w:type="paragraph" w:customStyle="1" w:styleId="191">
    <w:name w:val="标题 11"/>
    <w:basedOn w:val="1"/>
    <w:next w:val="1"/>
    <w:link w:val="249"/>
    <w:qFormat/>
    <w:uiPriority w:val="0"/>
    <w:pPr>
      <w:keepNext/>
      <w:keepLines/>
      <w:spacing w:before="340" w:after="330" w:line="578" w:lineRule="auto"/>
      <w:outlineLvl w:val="0"/>
    </w:pPr>
    <w:rPr>
      <w:rFonts w:ascii="Tahoma" w:hAnsi="Tahoma"/>
      <w:b/>
      <w:bCs/>
      <w:sz w:val="44"/>
      <w:szCs w:val="44"/>
    </w:rPr>
  </w:style>
  <w:style w:type="paragraph" w:customStyle="1" w:styleId="192">
    <w:name w:val="标题 21"/>
    <w:basedOn w:val="1"/>
    <w:next w:val="1"/>
    <w:link w:val="199"/>
    <w:qFormat/>
    <w:uiPriority w:val="0"/>
    <w:pPr>
      <w:keepNext/>
      <w:keepLines/>
      <w:spacing w:before="260" w:after="260" w:line="416" w:lineRule="auto"/>
      <w:outlineLvl w:val="1"/>
    </w:pPr>
    <w:rPr>
      <w:rFonts w:ascii="Cambria" w:hAnsi="Cambria"/>
      <w:b/>
      <w:bCs/>
      <w:sz w:val="32"/>
      <w:szCs w:val="32"/>
    </w:rPr>
  </w:style>
  <w:style w:type="paragraph" w:customStyle="1" w:styleId="193">
    <w:name w:val="标题 31"/>
    <w:basedOn w:val="1"/>
    <w:next w:val="1"/>
    <w:qFormat/>
    <w:uiPriority w:val="0"/>
    <w:pPr>
      <w:keepNext/>
      <w:keepLines/>
      <w:spacing w:before="260" w:after="260" w:line="416" w:lineRule="auto"/>
      <w:outlineLvl w:val="2"/>
    </w:pPr>
    <w:rPr>
      <w:b/>
      <w:bCs/>
      <w:sz w:val="32"/>
      <w:szCs w:val="32"/>
    </w:rPr>
  </w:style>
  <w:style w:type="paragraph" w:customStyle="1" w:styleId="194">
    <w:name w:val="标题 41"/>
    <w:basedOn w:val="1"/>
    <w:next w:val="1"/>
    <w:qFormat/>
    <w:uiPriority w:val="0"/>
    <w:pPr>
      <w:keepNext/>
      <w:spacing w:before="240" w:after="60"/>
      <w:outlineLvl w:val="3"/>
    </w:pPr>
    <w:rPr>
      <w:b/>
      <w:bCs/>
      <w:sz w:val="28"/>
      <w:szCs w:val="28"/>
    </w:rPr>
  </w:style>
  <w:style w:type="paragraph" w:customStyle="1" w:styleId="195">
    <w:name w:val="标题 61"/>
    <w:basedOn w:val="1"/>
    <w:next w:val="1"/>
    <w:link w:val="200"/>
    <w:qFormat/>
    <w:uiPriority w:val="0"/>
    <w:pPr>
      <w:keepNext/>
      <w:keepLines/>
      <w:spacing w:before="240" w:after="64" w:line="320" w:lineRule="auto"/>
      <w:outlineLvl w:val="5"/>
    </w:pPr>
    <w:rPr>
      <w:rFonts w:ascii="Arial" w:hAnsi="Arial" w:eastAsia="黑体"/>
      <w:b/>
      <w:bCs/>
      <w:sz w:val="24"/>
    </w:rPr>
  </w:style>
  <w:style w:type="character" w:customStyle="1" w:styleId="196">
    <w:name w:val="默认段落字体1"/>
    <w:link w:val="1"/>
    <w:unhideWhenUsed/>
    <w:qFormat/>
    <w:uiPriority w:val="1"/>
  </w:style>
  <w:style w:type="table" w:customStyle="1" w:styleId="197">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98">
    <w:name w:val="标题 1 Char"/>
    <w:link w:val="191"/>
    <w:qFormat/>
    <w:uiPriority w:val="0"/>
    <w:rPr>
      <w:rFonts w:ascii="Times New Roman" w:hAnsi="Times New Roman" w:eastAsia="宋体"/>
      <w:b/>
      <w:sz w:val="32"/>
    </w:rPr>
  </w:style>
  <w:style w:type="character" w:customStyle="1" w:styleId="199">
    <w:name w:val="标题 2 字符"/>
    <w:link w:val="192"/>
    <w:semiHidden/>
    <w:qFormat/>
    <w:uiPriority w:val="0"/>
    <w:rPr>
      <w:rFonts w:ascii="Cambria" w:hAnsi="Cambria" w:eastAsia="宋体" w:cs="Times New Roman"/>
      <w:b/>
      <w:bCs/>
      <w:sz w:val="32"/>
      <w:szCs w:val="32"/>
    </w:rPr>
  </w:style>
  <w:style w:type="character" w:customStyle="1" w:styleId="200">
    <w:name w:val="标题 6 字符"/>
    <w:link w:val="195"/>
    <w:qFormat/>
    <w:uiPriority w:val="0"/>
    <w:rPr>
      <w:rFonts w:ascii="Arial" w:hAnsi="Arial" w:eastAsia="黑体"/>
      <w:b/>
      <w:bCs/>
      <w:sz w:val="24"/>
      <w:szCs w:val="24"/>
      <w:lang w:val="en-US" w:eastAsia="zh-CN" w:bidi="ar-SA"/>
    </w:rPr>
  </w:style>
  <w:style w:type="paragraph" w:customStyle="1" w:styleId="201">
    <w:name w:val="索引 81"/>
    <w:basedOn w:val="1"/>
    <w:next w:val="1"/>
    <w:qFormat/>
    <w:uiPriority w:val="0"/>
    <w:pPr>
      <w:ind w:left="2940"/>
    </w:pPr>
  </w:style>
  <w:style w:type="paragraph" w:customStyle="1" w:styleId="202">
    <w:name w:val="列表编号1"/>
    <w:basedOn w:val="1"/>
    <w:qFormat/>
    <w:uiPriority w:val="0"/>
    <w:pPr>
      <w:widowControl/>
      <w:tabs>
        <w:tab w:val="left" w:pos="454"/>
        <w:tab w:val="left" w:pos="720"/>
        <w:tab w:val="left" w:pos="840"/>
      </w:tabs>
      <w:ind w:left="454" w:hanging="284"/>
      <w:jc w:val="left"/>
    </w:pPr>
    <w:rPr>
      <w:sz w:val="24"/>
      <w:szCs w:val="20"/>
    </w:rPr>
  </w:style>
  <w:style w:type="paragraph" w:customStyle="1" w:styleId="203">
    <w:name w:val="正文缩进1"/>
    <w:basedOn w:val="1"/>
    <w:link w:val="204"/>
    <w:qFormat/>
    <w:uiPriority w:val="0"/>
    <w:pPr>
      <w:ind w:firstLine="420"/>
    </w:pPr>
    <w:rPr>
      <w:szCs w:val="20"/>
    </w:rPr>
  </w:style>
  <w:style w:type="character" w:customStyle="1" w:styleId="204">
    <w:name w:val="正文缩进 字符"/>
    <w:link w:val="203"/>
    <w:qFormat/>
    <w:uiPriority w:val="0"/>
    <w:rPr>
      <w:rFonts w:eastAsia="宋体"/>
      <w:sz w:val="21"/>
      <w:lang w:val="en-US" w:eastAsia="zh-CN" w:bidi="ar-SA"/>
    </w:rPr>
  </w:style>
  <w:style w:type="paragraph" w:customStyle="1" w:styleId="205">
    <w:name w:val="文档结构图1"/>
    <w:basedOn w:val="1"/>
    <w:link w:val="206"/>
    <w:qFormat/>
    <w:uiPriority w:val="0"/>
    <w:rPr>
      <w:rFonts w:ascii="宋体" w:hAnsi="Tahoma"/>
      <w:sz w:val="18"/>
      <w:szCs w:val="18"/>
    </w:rPr>
  </w:style>
  <w:style w:type="character" w:customStyle="1" w:styleId="206">
    <w:name w:val="文档结构图 字符"/>
    <w:link w:val="205"/>
    <w:qFormat/>
    <w:uiPriority w:val="0"/>
    <w:rPr>
      <w:rFonts w:ascii="宋体" w:hAnsi="Tahoma"/>
      <w:sz w:val="18"/>
      <w:szCs w:val="18"/>
    </w:rPr>
  </w:style>
  <w:style w:type="paragraph" w:customStyle="1" w:styleId="207">
    <w:name w:val="批注文字1"/>
    <w:basedOn w:val="1"/>
    <w:link w:val="208"/>
    <w:semiHidden/>
    <w:qFormat/>
    <w:uiPriority w:val="0"/>
    <w:pPr>
      <w:jc w:val="left"/>
    </w:pPr>
  </w:style>
  <w:style w:type="character" w:customStyle="1" w:styleId="208">
    <w:name w:val="批注文字 字符"/>
    <w:link w:val="207"/>
    <w:qFormat/>
    <w:uiPriority w:val="0"/>
    <w:rPr>
      <w:rFonts w:eastAsia="宋体"/>
      <w:sz w:val="21"/>
      <w:szCs w:val="24"/>
      <w:lang w:val="en-US" w:eastAsia="zh-CN" w:bidi="ar-SA"/>
    </w:rPr>
  </w:style>
  <w:style w:type="paragraph" w:customStyle="1" w:styleId="209">
    <w:name w:val="正文文本 31"/>
    <w:basedOn w:val="1"/>
    <w:qFormat/>
    <w:uiPriority w:val="0"/>
    <w:pPr>
      <w:spacing w:line="240" w:lineRule="exact"/>
    </w:pPr>
    <w:rPr>
      <w:rFonts w:ascii="宋体" w:hAnsi="宋体"/>
      <w:color w:val="000000"/>
      <w:szCs w:val="21"/>
    </w:rPr>
  </w:style>
  <w:style w:type="paragraph" w:customStyle="1" w:styleId="210">
    <w:name w:val="正文文本缩进1"/>
    <w:basedOn w:val="1"/>
    <w:link w:val="211"/>
    <w:qFormat/>
    <w:uiPriority w:val="0"/>
    <w:pPr>
      <w:spacing w:after="120"/>
      <w:ind w:left="420"/>
    </w:pPr>
    <w:rPr>
      <w:rFonts w:ascii="Tahoma" w:hAnsi="Tahoma"/>
    </w:rPr>
  </w:style>
  <w:style w:type="character" w:customStyle="1" w:styleId="211">
    <w:name w:val="正文文本缩进 字符"/>
    <w:link w:val="210"/>
    <w:qFormat/>
    <w:uiPriority w:val="0"/>
    <w:rPr>
      <w:rFonts w:ascii="Tahoma" w:hAnsi="Tahoma"/>
      <w:sz w:val="21"/>
      <w:szCs w:val="24"/>
    </w:rPr>
  </w:style>
  <w:style w:type="paragraph" w:customStyle="1" w:styleId="212">
    <w:name w:val="目录 31"/>
    <w:basedOn w:val="1"/>
    <w:next w:val="1"/>
    <w:qFormat/>
    <w:uiPriority w:val="39"/>
    <w:pPr>
      <w:ind w:left="840"/>
    </w:pPr>
  </w:style>
  <w:style w:type="paragraph" w:customStyle="1" w:styleId="213">
    <w:name w:val="纯文本1"/>
    <w:basedOn w:val="1"/>
    <w:link w:val="214"/>
    <w:qFormat/>
    <w:uiPriority w:val="0"/>
    <w:rPr>
      <w:rFonts w:ascii="宋体" w:hAnsi="Courier New"/>
      <w:szCs w:val="20"/>
    </w:rPr>
  </w:style>
  <w:style w:type="character" w:customStyle="1" w:styleId="214">
    <w:name w:val="纯文本 字符3"/>
    <w:link w:val="213"/>
    <w:qFormat/>
    <w:uiPriority w:val="0"/>
    <w:rPr>
      <w:rFonts w:ascii="宋体" w:hAnsi="Courier New" w:eastAsia="宋体"/>
      <w:sz w:val="21"/>
      <w:szCs w:val="20"/>
      <w:lang w:val="en-US" w:eastAsia="zh-CN" w:bidi="ar-SA"/>
    </w:rPr>
  </w:style>
  <w:style w:type="paragraph" w:customStyle="1" w:styleId="215">
    <w:name w:val="日期1"/>
    <w:basedOn w:val="1"/>
    <w:next w:val="1"/>
    <w:qFormat/>
    <w:uiPriority w:val="0"/>
    <w:pPr>
      <w:ind w:left="100"/>
    </w:pPr>
  </w:style>
  <w:style w:type="paragraph" w:customStyle="1" w:styleId="216">
    <w:name w:val="正文文本缩进 21"/>
    <w:basedOn w:val="1"/>
    <w:qFormat/>
    <w:uiPriority w:val="0"/>
    <w:pPr>
      <w:ind w:firstLine="630"/>
    </w:pPr>
    <w:rPr>
      <w:sz w:val="32"/>
      <w:szCs w:val="20"/>
    </w:rPr>
  </w:style>
  <w:style w:type="paragraph" w:customStyle="1" w:styleId="217">
    <w:name w:val="批注框文本1"/>
    <w:basedOn w:val="1"/>
    <w:semiHidden/>
    <w:qFormat/>
    <w:uiPriority w:val="0"/>
    <w:rPr>
      <w:sz w:val="18"/>
      <w:szCs w:val="18"/>
    </w:rPr>
  </w:style>
  <w:style w:type="paragraph" w:customStyle="1" w:styleId="218">
    <w:name w:val="页脚1"/>
    <w:basedOn w:val="1"/>
    <w:link w:val="219"/>
    <w:qFormat/>
    <w:uiPriority w:val="99"/>
    <w:pPr>
      <w:tabs>
        <w:tab w:val="center" w:pos="4153"/>
        <w:tab w:val="right" w:pos="8306"/>
      </w:tabs>
      <w:jc w:val="left"/>
    </w:pPr>
    <w:rPr>
      <w:rFonts w:ascii="Tahoma" w:hAnsi="Tahoma"/>
      <w:sz w:val="18"/>
      <w:szCs w:val="18"/>
    </w:rPr>
  </w:style>
  <w:style w:type="character" w:customStyle="1" w:styleId="219">
    <w:name w:val="页脚 字符1"/>
    <w:link w:val="218"/>
    <w:qFormat/>
    <w:uiPriority w:val="99"/>
    <w:rPr>
      <w:rFonts w:ascii="Tahoma" w:hAnsi="Tahoma"/>
      <w:sz w:val="18"/>
      <w:szCs w:val="18"/>
    </w:rPr>
  </w:style>
  <w:style w:type="paragraph" w:customStyle="1" w:styleId="220">
    <w:name w:val="寄信人地址1"/>
    <w:basedOn w:val="1"/>
    <w:qFormat/>
    <w:uiPriority w:val="0"/>
    <w:rPr>
      <w:rFonts w:ascii="Arial" w:hAnsi="Arial"/>
    </w:rPr>
  </w:style>
  <w:style w:type="paragraph" w:customStyle="1" w:styleId="221">
    <w:name w:val="页眉1"/>
    <w:basedOn w:val="1"/>
    <w:link w:val="222"/>
    <w:qFormat/>
    <w:uiPriority w:val="99"/>
    <w:pPr>
      <w:pBdr>
        <w:bottom w:val="single" w:color="000000" w:sz="6" w:space="1"/>
      </w:pBdr>
      <w:tabs>
        <w:tab w:val="center" w:pos="4153"/>
        <w:tab w:val="right" w:pos="8306"/>
      </w:tabs>
      <w:jc w:val="center"/>
    </w:pPr>
    <w:rPr>
      <w:rFonts w:ascii="Tahoma" w:hAnsi="Tahoma"/>
      <w:sz w:val="18"/>
      <w:szCs w:val="18"/>
    </w:rPr>
  </w:style>
  <w:style w:type="character" w:customStyle="1" w:styleId="222">
    <w:name w:val="页眉 字符"/>
    <w:link w:val="221"/>
    <w:qFormat/>
    <w:uiPriority w:val="99"/>
    <w:rPr>
      <w:rFonts w:ascii="Tahoma" w:hAnsi="Tahoma"/>
      <w:sz w:val="18"/>
      <w:szCs w:val="18"/>
    </w:rPr>
  </w:style>
  <w:style w:type="paragraph" w:customStyle="1" w:styleId="223">
    <w:name w:val="目录 11"/>
    <w:basedOn w:val="1"/>
    <w:next w:val="1"/>
    <w:qFormat/>
    <w:uiPriority w:val="39"/>
  </w:style>
  <w:style w:type="paragraph" w:customStyle="1" w:styleId="224">
    <w:name w:val="脚注文本1"/>
    <w:basedOn w:val="1"/>
    <w:qFormat/>
    <w:uiPriority w:val="0"/>
    <w:pPr>
      <w:jc w:val="left"/>
    </w:pPr>
    <w:rPr>
      <w:sz w:val="18"/>
    </w:rPr>
  </w:style>
  <w:style w:type="paragraph" w:customStyle="1" w:styleId="225">
    <w:name w:val="目录 21"/>
    <w:basedOn w:val="1"/>
    <w:next w:val="1"/>
    <w:qFormat/>
    <w:uiPriority w:val="39"/>
    <w:pPr>
      <w:ind w:left="420"/>
    </w:pPr>
  </w:style>
  <w:style w:type="paragraph" w:customStyle="1" w:styleId="226">
    <w:name w:val="目录 91"/>
    <w:basedOn w:val="1"/>
    <w:next w:val="1"/>
    <w:qFormat/>
    <w:uiPriority w:val="39"/>
    <w:pPr>
      <w:ind w:left="1680"/>
      <w:jc w:val="left"/>
    </w:pPr>
    <w:rPr>
      <w:sz w:val="18"/>
      <w:szCs w:val="18"/>
    </w:rPr>
  </w:style>
  <w:style w:type="paragraph" w:customStyle="1" w:styleId="227">
    <w:name w:val="正文文本 21"/>
    <w:basedOn w:val="1"/>
    <w:qFormat/>
    <w:uiPriority w:val="0"/>
    <w:pPr>
      <w:spacing w:after="120" w:afterAutospacing="0" w:line="480" w:lineRule="auto"/>
    </w:pPr>
  </w:style>
  <w:style w:type="paragraph" w:customStyle="1" w:styleId="228">
    <w:name w:val="列表 41"/>
    <w:basedOn w:val="1"/>
    <w:unhideWhenUsed/>
    <w:qFormat/>
    <w:uiPriority w:val="99"/>
    <w:pPr>
      <w:ind w:left="100" w:hanging="200"/>
      <w:contextualSpacing/>
    </w:pPr>
  </w:style>
  <w:style w:type="paragraph" w:customStyle="1" w:styleId="229">
    <w:name w:val="普通(网站)11"/>
    <w:basedOn w:val="1"/>
    <w:qFormat/>
    <w:uiPriority w:val="0"/>
    <w:pPr>
      <w:widowControl/>
      <w:spacing w:before="100" w:beforeAutospacing="1" w:after="100" w:afterAutospacing="1"/>
      <w:jc w:val="left"/>
    </w:pPr>
    <w:rPr>
      <w:rFonts w:ascii="宋体" w:hAnsi="宋体" w:cs="宋体"/>
      <w:sz w:val="24"/>
    </w:rPr>
  </w:style>
  <w:style w:type="paragraph" w:customStyle="1" w:styleId="230">
    <w:name w:val="标题1"/>
    <w:basedOn w:val="1"/>
    <w:next w:val="1"/>
    <w:qFormat/>
    <w:uiPriority w:val="10"/>
    <w:pPr>
      <w:spacing w:before="240" w:after="60"/>
      <w:jc w:val="center"/>
      <w:outlineLvl w:val="0"/>
    </w:pPr>
    <w:rPr>
      <w:rFonts w:ascii="等线 Light" w:hAnsi="等线 Light"/>
      <w:b/>
      <w:bCs/>
      <w:sz w:val="32"/>
      <w:szCs w:val="32"/>
    </w:rPr>
  </w:style>
  <w:style w:type="paragraph" w:customStyle="1" w:styleId="231">
    <w:name w:val="批注主题1"/>
    <w:basedOn w:val="207"/>
    <w:next w:val="207"/>
    <w:semiHidden/>
    <w:qFormat/>
    <w:uiPriority w:val="0"/>
    <w:rPr>
      <w:b/>
      <w:bCs/>
    </w:rPr>
  </w:style>
  <w:style w:type="paragraph" w:customStyle="1" w:styleId="232">
    <w:name w:val="正文首行缩进 21"/>
    <w:basedOn w:val="210"/>
    <w:unhideWhenUsed/>
    <w:qFormat/>
    <w:uiPriority w:val="0"/>
    <w:pPr>
      <w:ind w:firstLine="420"/>
    </w:pPr>
  </w:style>
  <w:style w:type="table" w:customStyle="1" w:styleId="233">
    <w:name w:val="网格型1"/>
    <w:basedOn w:val="197"/>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34">
    <w:name w:val="要点1"/>
    <w:link w:val="1"/>
    <w:qFormat/>
    <w:uiPriority w:val="0"/>
    <w:rPr>
      <w:rFonts w:ascii="Tahoma" w:hAnsi="Tahoma"/>
      <w:b/>
      <w:bCs/>
      <w:sz w:val="24"/>
      <w:szCs w:val="20"/>
    </w:rPr>
  </w:style>
  <w:style w:type="character" w:customStyle="1" w:styleId="235">
    <w:name w:val="页码1"/>
    <w:basedOn w:val="196"/>
    <w:link w:val="1"/>
    <w:qFormat/>
    <w:uiPriority w:val="0"/>
  </w:style>
  <w:style w:type="character" w:customStyle="1" w:styleId="236">
    <w:name w:val="已访问的超链接1"/>
    <w:link w:val="1"/>
    <w:unhideWhenUsed/>
    <w:qFormat/>
    <w:uiPriority w:val="99"/>
    <w:rPr>
      <w:color w:val="954F72"/>
      <w:u w:val="single"/>
    </w:rPr>
  </w:style>
  <w:style w:type="character" w:customStyle="1" w:styleId="237">
    <w:name w:val="强调1"/>
    <w:link w:val="1"/>
    <w:qFormat/>
    <w:uiPriority w:val="0"/>
  </w:style>
  <w:style w:type="character" w:customStyle="1" w:styleId="238">
    <w:name w:val="HTML 定义1"/>
    <w:link w:val="1"/>
    <w:qFormat/>
    <w:uiPriority w:val="0"/>
  </w:style>
  <w:style w:type="character" w:customStyle="1" w:styleId="239">
    <w:name w:val="HTML 打字机1"/>
    <w:link w:val="1"/>
    <w:qFormat/>
    <w:uiPriority w:val="0"/>
    <w:rPr>
      <w:rFonts w:ascii="monospace" w:hAnsi="monospace" w:eastAsia="monospace" w:cs="monospace"/>
      <w:sz w:val="20"/>
    </w:rPr>
  </w:style>
  <w:style w:type="character" w:customStyle="1" w:styleId="240">
    <w:name w:val="HTML 缩写1"/>
    <w:basedOn w:val="196"/>
    <w:link w:val="1"/>
    <w:qFormat/>
    <w:uiPriority w:val="0"/>
  </w:style>
  <w:style w:type="character" w:customStyle="1" w:styleId="241">
    <w:name w:val="HTML 变量1"/>
    <w:link w:val="1"/>
    <w:qFormat/>
    <w:uiPriority w:val="0"/>
    <w:rPr>
      <w:rFonts w:ascii="Tahoma" w:hAnsi="Tahoma"/>
      <w:sz w:val="24"/>
      <w:szCs w:val="20"/>
    </w:rPr>
  </w:style>
  <w:style w:type="character" w:customStyle="1" w:styleId="242">
    <w:name w:val="超链接1"/>
    <w:link w:val="1"/>
    <w:qFormat/>
    <w:uiPriority w:val="99"/>
    <w:rPr>
      <w:rFonts w:ascii="Tahoma" w:hAnsi="Tahoma"/>
      <w:color w:val="0000FF"/>
      <w:sz w:val="24"/>
      <w:szCs w:val="20"/>
      <w:u w:val="single"/>
    </w:rPr>
  </w:style>
  <w:style w:type="character" w:customStyle="1" w:styleId="243">
    <w:name w:val="HTML 代码1"/>
    <w:link w:val="1"/>
    <w:qFormat/>
    <w:uiPriority w:val="0"/>
    <w:rPr>
      <w:rFonts w:ascii="monospace" w:hAnsi="monospace" w:eastAsia="monospace" w:cs="monospace"/>
      <w:sz w:val="20"/>
    </w:rPr>
  </w:style>
  <w:style w:type="character" w:customStyle="1" w:styleId="244">
    <w:name w:val="批注引用1"/>
    <w:basedOn w:val="196"/>
    <w:link w:val="1"/>
    <w:semiHidden/>
    <w:qFormat/>
    <w:uiPriority w:val="0"/>
    <w:rPr>
      <w:rFonts w:ascii="Tahoma" w:hAnsi="Tahoma"/>
      <w:sz w:val="21"/>
      <w:szCs w:val="21"/>
    </w:rPr>
  </w:style>
  <w:style w:type="character" w:customStyle="1" w:styleId="245">
    <w:name w:val="HTML 引文1"/>
    <w:link w:val="1"/>
    <w:qFormat/>
    <w:uiPriority w:val="0"/>
  </w:style>
  <w:style w:type="character" w:customStyle="1" w:styleId="246">
    <w:name w:val="脚注引用1"/>
    <w:basedOn w:val="196"/>
    <w:link w:val="1"/>
    <w:qFormat/>
    <w:uiPriority w:val="0"/>
    <w:rPr>
      <w:vertAlign w:val="superscript"/>
    </w:rPr>
  </w:style>
  <w:style w:type="character" w:customStyle="1" w:styleId="247">
    <w:name w:val="HTML 键盘1"/>
    <w:link w:val="1"/>
    <w:qFormat/>
    <w:uiPriority w:val="0"/>
    <w:rPr>
      <w:rFonts w:ascii="monospace" w:hAnsi="monospace" w:eastAsia="monospace" w:cs="monospace"/>
      <w:sz w:val="20"/>
    </w:rPr>
  </w:style>
  <w:style w:type="character" w:customStyle="1" w:styleId="248">
    <w:name w:val="HTML 样本1"/>
    <w:link w:val="1"/>
    <w:qFormat/>
    <w:uiPriority w:val="0"/>
    <w:rPr>
      <w:rFonts w:ascii="monospace" w:hAnsi="monospace" w:eastAsia="monospace" w:cs="monospace"/>
    </w:rPr>
  </w:style>
  <w:style w:type="character" w:customStyle="1" w:styleId="249">
    <w:name w:val="标题 1 字符"/>
    <w:link w:val="191"/>
    <w:qFormat/>
    <w:uiPriority w:val="0"/>
    <w:rPr>
      <w:rFonts w:ascii="Tahoma" w:hAnsi="Tahoma"/>
      <w:b/>
      <w:bCs/>
      <w:sz w:val="44"/>
      <w:szCs w:val="44"/>
    </w:rPr>
  </w:style>
  <w:style w:type="paragraph" w:customStyle="1" w:styleId="250">
    <w:name w:val="首行缩进"/>
    <w:basedOn w:val="1"/>
    <w:qFormat/>
    <w:uiPriority w:val="0"/>
    <w:pPr>
      <w:ind w:firstLine="480"/>
    </w:pPr>
  </w:style>
  <w:style w:type="paragraph" w:customStyle="1" w:styleId="251">
    <w:name w:val="Default"/>
    <w:qFormat/>
    <w:uiPriority w:val="0"/>
    <w:pPr>
      <w:widowControl w:val="0"/>
    </w:pPr>
    <w:rPr>
      <w:rFonts w:hint="default" w:ascii="黑体" w:hAnsi="Times New Roman" w:eastAsia="黑体" w:cs="黑体"/>
      <w:color w:val="000000"/>
      <w:sz w:val="24"/>
      <w:szCs w:val="24"/>
      <w:lang w:val="en-US" w:eastAsia="zh-CN" w:bidi="ar-SA"/>
    </w:rPr>
  </w:style>
  <w:style w:type="character" w:customStyle="1" w:styleId="252">
    <w:name w:val="普通文字 Char Char5"/>
    <w:link w:val="1"/>
    <w:qFormat/>
    <w:uiPriority w:val="0"/>
    <w:rPr>
      <w:rFonts w:ascii="宋体" w:hAnsi="Courier New" w:eastAsia="宋体"/>
      <w:szCs w:val="21"/>
      <w:lang w:bidi="ar-SA"/>
    </w:rPr>
  </w:style>
  <w:style w:type="character" w:customStyle="1" w:styleId="253">
    <w:name w:val="displayarti"/>
    <w:link w:val="1"/>
    <w:qFormat/>
    <w:uiPriority w:val="0"/>
    <w:rPr>
      <w:color w:val="FFFFFF"/>
      <w:shd w:val="clear" w:color="auto" w:fill="A00000"/>
    </w:rPr>
  </w:style>
  <w:style w:type="character" w:customStyle="1" w:styleId="254">
    <w:name w:val="纯文本 字符1"/>
    <w:link w:val="1"/>
    <w:qFormat/>
    <w:uiPriority w:val="0"/>
    <w:rPr>
      <w:rFonts w:ascii="Ђˎ̥" w:hAnsi="Verdana" w:eastAsia="Ђˎ̥" w:cs="Verdana"/>
      <w:szCs w:val="21"/>
    </w:rPr>
  </w:style>
  <w:style w:type="character" w:customStyle="1" w:styleId="255">
    <w:name w:val="页脚 字符"/>
    <w:link w:val="1"/>
    <w:qFormat/>
    <w:uiPriority w:val="99"/>
  </w:style>
  <w:style w:type="character" w:customStyle="1" w:styleId="256">
    <w:name w:val="未处理的提及1"/>
    <w:link w:val="1"/>
    <w:unhideWhenUsed/>
    <w:qFormat/>
    <w:uiPriority w:val="99"/>
    <w:rPr>
      <w:rFonts w:ascii="Tahoma" w:hAnsi="Tahoma"/>
      <w:color w:val="808080"/>
      <w:sz w:val="24"/>
      <w:szCs w:val="20"/>
      <w:shd w:val="clear" w:color="auto" w:fill="E6E6E6"/>
    </w:rPr>
  </w:style>
  <w:style w:type="character" w:customStyle="1" w:styleId="257">
    <w:name w:val="列表段落 字符"/>
    <w:link w:val="258"/>
    <w:qFormat/>
    <w:uiPriority w:val="0"/>
    <w:rPr>
      <w:sz w:val="21"/>
      <w:szCs w:val="24"/>
    </w:rPr>
  </w:style>
  <w:style w:type="paragraph" w:customStyle="1" w:styleId="258">
    <w:name w:val="列表段落"/>
    <w:basedOn w:val="1"/>
    <w:link w:val="257"/>
    <w:qFormat/>
    <w:uiPriority w:val="0"/>
    <w:pPr>
      <w:ind w:firstLine="420"/>
    </w:pPr>
  </w:style>
  <w:style w:type="character" w:customStyle="1" w:styleId="259">
    <w:name w:val="纯文本 字符"/>
    <w:link w:val="1"/>
    <w:qFormat/>
    <w:uiPriority w:val="0"/>
    <w:rPr>
      <w:rFonts w:ascii="宋体" w:hAnsi="Courier New" w:eastAsia="宋体" w:cs="Courier New"/>
      <w:szCs w:val="21"/>
    </w:rPr>
  </w:style>
  <w:style w:type="character" w:customStyle="1" w:styleId="260">
    <w:name w:val="Char Char10"/>
    <w:link w:val="1"/>
    <w:qFormat/>
    <w:uiPriority w:val="0"/>
    <w:rPr>
      <w:rFonts w:ascii="宋体" w:hAnsi="宋体" w:eastAsia="宋体"/>
      <w:sz w:val="21"/>
      <w:szCs w:val="24"/>
      <w:lang w:val="en-US" w:eastAsia="zh-CN" w:bidi="ar-SA"/>
    </w:rPr>
  </w:style>
  <w:style w:type="character" w:customStyle="1" w:styleId="261">
    <w:name w:val="gjfg"/>
    <w:basedOn w:val="196"/>
    <w:link w:val="1"/>
    <w:qFormat/>
    <w:uiPriority w:val="0"/>
  </w:style>
  <w:style w:type="character" w:customStyle="1" w:styleId="262">
    <w:name w:val="font121"/>
    <w:link w:val="1"/>
    <w:qFormat/>
    <w:uiPriority w:val="0"/>
    <w:rPr>
      <w:rFonts w:hint="eastAsia" w:ascii="宋体" w:hAnsi="宋体" w:eastAsia="宋体" w:cs="宋体"/>
      <w:b/>
      <w:color w:val="000000"/>
      <w:sz w:val="22"/>
      <w:szCs w:val="22"/>
      <w:u w:val="none"/>
    </w:rPr>
  </w:style>
  <w:style w:type="character" w:customStyle="1" w:styleId="263">
    <w:name w:val="qxdate"/>
    <w:link w:val="1"/>
    <w:qFormat/>
    <w:uiPriority w:val="0"/>
    <w:rPr>
      <w:color w:val="333333"/>
      <w:sz w:val="18"/>
      <w:szCs w:val="18"/>
    </w:rPr>
  </w:style>
  <w:style w:type="character" w:customStyle="1" w:styleId="264">
    <w:name w:val="font31"/>
    <w:link w:val="1"/>
    <w:qFormat/>
    <w:uiPriority w:val="0"/>
    <w:rPr>
      <w:rFonts w:hint="eastAsia" w:ascii="宋体" w:hAnsi="宋体" w:eastAsia="宋体" w:cs="宋体"/>
      <w:color w:val="000000"/>
      <w:sz w:val="24"/>
      <w:szCs w:val="24"/>
      <w:u w:val="none"/>
    </w:rPr>
  </w:style>
  <w:style w:type="character" w:customStyle="1" w:styleId="265">
    <w:name w:val="Char Char1"/>
    <w:link w:val="1"/>
    <w:qFormat/>
    <w:uiPriority w:val="0"/>
    <w:rPr>
      <w:rFonts w:eastAsia="宋体"/>
      <w:sz w:val="21"/>
      <w:szCs w:val="24"/>
      <w:lang w:val="en-US" w:eastAsia="zh-CN" w:bidi="ar-SA"/>
    </w:rPr>
  </w:style>
  <w:style w:type="character" w:customStyle="1" w:styleId="266">
    <w:name w:val="font41"/>
    <w:link w:val="1"/>
    <w:qFormat/>
    <w:uiPriority w:val="0"/>
    <w:rPr>
      <w:rFonts w:hint="eastAsia" w:ascii="宋体" w:hAnsi="宋体" w:eastAsia="宋体" w:cs="宋体"/>
      <w:color w:val="000000"/>
      <w:sz w:val="22"/>
      <w:szCs w:val="22"/>
      <w:u w:val="none"/>
    </w:rPr>
  </w:style>
  <w:style w:type="character" w:customStyle="1" w:styleId="267">
    <w:name w:val="纯文本 Char"/>
    <w:link w:val="1"/>
    <w:qFormat/>
    <w:uiPriority w:val="0"/>
    <w:rPr>
      <w:rFonts w:ascii="宋体" w:hAnsi="Courier New" w:eastAsia="宋体"/>
    </w:rPr>
  </w:style>
  <w:style w:type="character" w:customStyle="1" w:styleId="268">
    <w:name w:val="标题 Char"/>
    <w:link w:val="1"/>
    <w:qFormat/>
    <w:uiPriority w:val="10"/>
    <w:rPr>
      <w:rFonts w:ascii="Calibri Light" w:hAnsi="Calibri Light" w:cs="Times New Roman"/>
      <w:b/>
      <w:bCs/>
      <w:sz w:val="32"/>
      <w:szCs w:val="32"/>
    </w:rPr>
  </w:style>
  <w:style w:type="character" w:customStyle="1" w:styleId="269">
    <w:name w:val="cfdate"/>
    <w:link w:val="1"/>
    <w:qFormat/>
    <w:uiPriority w:val="0"/>
    <w:rPr>
      <w:color w:val="333333"/>
      <w:sz w:val="18"/>
      <w:szCs w:val="18"/>
    </w:rPr>
  </w:style>
  <w:style w:type="character" w:customStyle="1" w:styleId="270">
    <w:name w:val="正文缩进 Char1"/>
    <w:link w:val="1"/>
    <w:qFormat/>
    <w:uiPriority w:val="0"/>
    <w:rPr>
      <w:rFonts w:eastAsia="宋体"/>
      <w:sz w:val="21"/>
      <w:lang w:val="en-US" w:eastAsia="zh-CN" w:bidi="ar-SA"/>
    </w:rPr>
  </w:style>
  <w:style w:type="character" w:customStyle="1" w:styleId="271">
    <w:name w:val="无"/>
    <w:link w:val="1"/>
    <w:qFormat/>
    <w:uiPriority w:val="0"/>
  </w:style>
  <w:style w:type="character" w:customStyle="1" w:styleId="272">
    <w:name w:val="font01"/>
    <w:link w:val="1"/>
    <w:qFormat/>
    <w:uiPriority w:val="0"/>
    <w:rPr>
      <w:rFonts w:hint="eastAsia" w:ascii="宋体" w:hAnsi="宋体" w:eastAsia="宋体" w:cs="宋体"/>
      <w:color w:val="000000"/>
      <w:sz w:val="22"/>
      <w:szCs w:val="22"/>
      <w:u w:val="none"/>
    </w:rPr>
  </w:style>
  <w:style w:type="character" w:customStyle="1" w:styleId="273">
    <w:name w:val="main12"/>
    <w:link w:val="1"/>
    <w:qFormat/>
    <w:uiPriority w:val="0"/>
    <w:rPr>
      <w:rFonts w:ascii="Arial" w:hAnsi="Arial" w:cs="Arial"/>
      <w:color w:val="000000"/>
      <w:sz w:val="18"/>
      <w:szCs w:val="18"/>
    </w:rPr>
  </w:style>
  <w:style w:type="character" w:customStyle="1" w:styleId="274">
    <w:name w:val="font61"/>
    <w:link w:val="1"/>
    <w:qFormat/>
    <w:uiPriority w:val="0"/>
    <w:rPr>
      <w:rFonts w:hint="eastAsia" w:ascii="宋体" w:hAnsi="宋体" w:eastAsia="宋体" w:cs="宋体"/>
      <w:color w:val="000000"/>
      <w:sz w:val="21"/>
      <w:szCs w:val="21"/>
      <w:u w:val="none"/>
    </w:rPr>
  </w:style>
  <w:style w:type="character" w:customStyle="1" w:styleId="275">
    <w:name w:val="redfilenumber"/>
    <w:link w:val="1"/>
    <w:qFormat/>
    <w:uiPriority w:val="0"/>
    <w:rPr>
      <w:color w:val="BA2636"/>
      <w:sz w:val="18"/>
      <w:szCs w:val="18"/>
    </w:rPr>
  </w:style>
  <w:style w:type="character" w:customStyle="1" w:styleId="276">
    <w:name w:val="纯文本 字符2"/>
    <w:link w:val="1"/>
    <w:qFormat/>
    <w:uiPriority w:val="0"/>
    <w:rPr>
      <w:rFonts w:ascii="宋体" w:hAnsi="Courier New" w:eastAsia="宋体"/>
      <w:sz w:val="21"/>
      <w:lang w:val="en-US" w:eastAsia="zh-CN" w:bidi="ar-SA"/>
    </w:rPr>
  </w:style>
  <w:style w:type="character" w:customStyle="1" w:styleId="277">
    <w:name w:val="font71"/>
    <w:link w:val="1"/>
    <w:qFormat/>
    <w:uiPriority w:val="0"/>
    <w:rPr>
      <w:rFonts w:ascii="Times New Roman" w:hAnsi="Times New Roman" w:cs="Times New Roman"/>
      <w:color w:val="000000"/>
      <w:sz w:val="24"/>
      <w:szCs w:val="24"/>
      <w:u w:val="none"/>
    </w:rPr>
  </w:style>
  <w:style w:type="character" w:customStyle="1" w:styleId="278">
    <w:name w:val="font21"/>
    <w:link w:val="1"/>
    <w:qFormat/>
    <w:uiPriority w:val="0"/>
    <w:rPr>
      <w:rFonts w:hint="eastAsia" w:ascii="宋体" w:hAnsi="宋体" w:eastAsia="宋体" w:cs="宋体"/>
      <w:color w:val="000000"/>
      <w:sz w:val="22"/>
      <w:szCs w:val="22"/>
      <w:u w:val="none"/>
    </w:rPr>
  </w:style>
  <w:style w:type="character" w:customStyle="1" w:styleId="279">
    <w:name w:val="font122"/>
    <w:link w:val="1"/>
    <w:qFormat/>
    <w:uiPriority w:val="0"/>
    <w:rPr>
      <w:rFonts w:hint="eastAsia" w:ascii="宋体" w:hAnsi="宋体" w:eastAsia="宋体" w:cs="宋体"/>
      <w:color w:val="FF0000"/>
      <w:sz w:val="20"/>
      <w:szCs w:val="20"/>
      <w:u w:val="none"/>
    </w:rPr>
  </w:style>
  <w:style w:type="character" w:customStyle="1" w:styleId="280">
    <w:name w:val="正文文本缩进 Char"/>
    <w:link w:val="1"/>
    <w:qFormat/>
    <w:uiPriority w:val="0"/>
    <w:rPr>
      <w:rFonts w:ascii="Times New Roman" w:hAnsi="Times New Roman" w:eastAsia="宋体" w:cs="Times New Roman"/>
      <w:sz w:val="21"/>
      <w:szCs w:val="24"/>
    </w:rPr>
  </w:style>
  <w:style w:type="character" w:customStyle="1" w:styleId="281">
    <w:name w:val="列出段落 Char"/>
    <w:link w:val="1"/>
    <w:qFormat/>
    <w:uiPriority w:val="34"/>
    <w:rPr>
      <w:rFonts w:ascii="Times New Roman" w:hAnsi="Times New Roman" w:eastAsia="宋体" w:cs="Times New Roman"/>
      <w:sz w:val="24"/>
      <w:szCs w:val="20"/>
    </w:rPr>
  </w:style>
  <w:style w:type="character" w:customStyle="1" w:styleId="282">
    <w:name w:val="redfilefwwh"/>
    <w:link w:val="1"/>
    <w:qFormat/>
    <w:uiPriority w:val="0"/>
    <w:rPr>
      <w:color w:val="BA2636"/>
      <w:sz w:val="18"/>
      <w:szCs w:val="18"/>
    </w:rPr>
  </w:style>
  <w:style w:type="character" w:customStyle="1" w:styleId="283">
    <w:name w:val="font131"/>
    <w:link w:val="1"/>
    <w:qFormat/>
    <w:uiPriority w:val="0"/>
    <w:rPr>
      <w:rFonts w:hint="eastAsia" w:ascii="宋体" w:hAnsi="宋体" w:eastAsia="宋体" w:cs="宋体"/>
      <w:b/>
      <w:bCs/>
      <w:color w:val="FF0000"/>
      <w:sz w:val="18"/>
      <w:szCs w:val="18"/>
      <w:u w:val="none"/>
    </w:rPr>
  </w:style>
  <w:style w:type="character" w:customStyle="1" w:styleId="284">
    <w:name w:val="fontstyle01"/>
    <w:link w:val="1"/>
    <w:qFormat/>
    <w:uiPriority w:val="0"/>
    <w:rPr>
      <w:rFonts w:hint="eastAsia" w:ascii="宋体" w:hAnsi="宋体" w:eastAsia="宋体"/>
      <w:color w:val="000000"/>
      <w:sz w:val="22"/>
      <w:szCs w:val="22"/>
    </w:rPr>
  </w:style>
  <w:style w:type="character" w:customStyle="1" w:styleId="285">
    <w:name w:val="apple-converted-space"/>
    <w:basedOn w:val="196"/>
    <w:link w:val="1"/>
    <w:qFormat/>
    <w:uiPriority w:val="0"/>
  </w:style>
  <w:style w:type="paragraph" w:customStyle="1" w:styleId="286">
    <w:name w:val="1"/>
    <w:basedOn w:val="1"/>
    <w:next w:val="213"/>
    <w:qFormat/>
    <w:uiPriority w:val="0"/>
    <w:rPr>
      <w:rFonts w:ascii="宋体" w:hAnsi="Courier New"/>
      <w:szCs w:val="20"/>
    </w:rPr>
  </w:style>
  <w:style w:type="paragraph" w:customStyle="1" w:styleId="287">
    <w:name w:val="正文_0_0"/>
    <w:qFormat/>
    <w:uiPriority w:val="0"/>
    <w:pPr>
      <w:widowControl w:val="0"/>
      <w:spacing w:line="360" w:lineRule="auto"/>
      <w:ind w:firstLine="480"/>
      <w:jc w:val="both"/>
    </w:pPr>
    <w:rPr>
      <w:rFonts w:hint="default" w:ascii="宋体" w:hAnsi="宋体" w:eastAsia="宋体" w:cs="Times New Roman"/>
      <w:color w:val="000000"/>
      <w:sz w:val="24"/>
      <w:szCs w:val="24"/>
      <w:lang w:val="en-US" w:eastAsia="zh-CN" w:bidi="ar-SA"/>
    </w:rPr>
  </w:style>
  <w:style w:type="paragraph" w:customStyle="1" w:styleId="288">
    <w:name w:val="Body text|1"/>
    <w:basedOn w:val="1"/>
    <w:qFormat/>
    <w:uiPriority w:val="0"/>
    <w:pPr>
      <w:spacing w:line="350" w:lineRule="auto"/>
      <w:ind w:firstLine="400"/>
      <w:jc w:val="left"/>
    </w:pPr>
    <w:rPr>
      <w:rFonts w:ascii="宋体" w:hAnsi="宋体" w:cs="宋体"/>
      <w:sz w:val="30"/>
      <w:szCs w:val="30"/>
    </w:rPr>
  </w:style>
  <w:style w:type="paragraph" w:customStyle="1" w:styleId="289">
    <w:name w:val="xl7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290">
    <w:name w:val="xl85"/>
    <w:basedOn w:val="1"/>
    <w:qFormat/>
    <w:uiPriority w:val="0"/>
    <w:pPr>
      <w:widowControl/>
      <w:pBdr>
        <w:top w:val="single" w:color="000000" w:sz="4" w:space="0"/>
        <w:bottom w:val="single" w:color="000000" w:sz="4" w:space="0"/>
      </w:pBdr>
      <w:shd w:val="clear" w:color="000000" w:fill="FFFFFF"/>
      <w:spacing w:before="100" w:beforeAutospacing="1" w:after="100" w:afterAutospacing="1"/>
      <w:jc w:val="left"/>
    </w:pPr>
    <w:rPr>
      <w:rFonts w:ascii="宋体" w:hAnsi="宋体" w:cs="宋体"/>
      <w:b/>
      <w:bCs/>
      <w:color w:val="000000"/>
      <w:sz w:val="20"/>
      <w:szCs w:val="20"/>
    </w:rPr>
  </w:style>
  <w:style w:type="paragraph" w:customStyle="1" w:styleId="291">
    <w:name w:val="p0"/>
    <w:basedOn w:val="1"/>
    <w:qFormat/>
    <w:uiPriority w:val="0"/>
    <w:pPr>
      <w:widowControl/>
    </w:pPr>
    <w:rPr>
      <w:szCs w:val="20"/>
    </w:rPr>
  </w:style>
  <w:style w:type="paragraph" w:customStyle="1" w:styleId="292">
    <w:name w:val="修订"/>
    <w:unhideWhenUsed/>
    <w:qFormat/>
    <w:uiPriority w:val="99"/>
    <w:rPr>
      <w:rFonts w:hint="default" w:ascii="Times New Roman" w:hAnsi="Times New Roman" w:eastAsia="宋体" w:cs="Times New Roman"/>
      <w:sz w:val="21"/>
      <w:szCs w:val="24"/>
      <w:lang w:val="en-US" w:eastAsia="zh-CN" w:bidi="ar-SA"/>
    </w:rPr>
  </w:style>
  <w:style w:type="paragraph" w:customStyle="1" w:styleId="293">
    <w:name w:val="Char Char8"/>
    <w:basedOn w:val="1"/>
    <w:qFormat/>
    <w:uiPriority w:val="0"/>
    <w:rPr>
      <w:rFonts w:ascii="Tahoma" w:hAnsi="Tahoma" w:eastAsia="Times New Roman"/>
      <w:sz w:val="24"/>
      <w:szCs w:val="20"/>
    </w:rPr>
  </w:style>
  <w:style w:type="paragraph" w:customStyle="1" w:styleId="294">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295">
    <w:name w:val="Table Paragraph"/>
    <w:basedOn w:val="1"/>
    <w:qFormat/>
    <w:uiPriority w:val="1"/>
  </w:style>
  <w:style w:type="paragraph" w:customStyle="1" w:styleId="296">
    <w:name w:val="xl8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b/>
      <w:bCs/>
      <w:color w:val="000000"/>
      <w:sz w:val="20"/>
      <w:szCs w:val="20"/>
    </w:rPr>
  </w:style>
  <w:style w:type="paragraph" w:customStyle="1" w:styleId="297">
    <w:name w:val="xl7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298">
    <w:name w:val="正文格式"/>
    <w:basedOn w:val="1"/>
    <w:qFormat/>
    <w:uiPriority w:val="0"/>
    <w:pPr>
      <w:widowControl/>
      <w:spacing w:line="400" w:lineRule="atLeast"/>
      <w:ind w:firstLine="482"/>
    </w:pPr>
    <w:rPr>
      <w:sz w:val="24"/>
    </w:rPr>
  </w:style>
  <w:style w:type="paragraph" w:customStyle="1" w:styleId="299">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00">
    <w:name w:val="_Style 36"/>
    <w:basedOn w:val="1"/>
    <w:qFormat/>
    <w:uiPriority w:val="0"/>
    <w:rPr>
      <w:rFonts w:ascii="Tahoma" w:hAnsi="Tahoma"/>
      <w:sz w:val="24"/>
      <w:szCs w:val="20"/>
    </w:rPr>
  </w:style>
  <w:style w:type="paragraph" w:customStyle="1" w:styleId="301">
    <w:name w:val="xl87"/>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02">
    <w:name w:val="xl78"/>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03">
    <w:name w:val="xl72"/>
    <w:basedOn w:val="1"/>
    <w:qFormat/>
    <w:uiPriority w:val="0"/>
    <w:pPr>
      <w:widowControl/>
      <w:shd w:val="clear" w:color="000000" w:fill="FFFFFF"/>
      <w:spacing w:before="100" w:beforeAutospacing="1" w:after="100" w:afterAutospacing="1"/>
      <w:jc w:val="left"/>
    </w:pPr>
    <w:rPr>
      <w:rFonts w:ascii="宋体" w:hAnsi="宋体" w:cs="宋体"/>
      <w:sz w:val="24"/>
    </w:rPr>
  </w:style>
  <w:style w:type="paragraph" w:customStyle="1" w:styleId="304">
    <w:name w:val="xl7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sz w:val="20"/>
      <w:szCs w:val="20"/>
    </w:rPr>
  </w:style>
  <w:style w:type="paragraph" w:customStyle="1" w:styleId="305">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06">
    <w:name w:val="CM14"/>
    <w:basedOn w:val="251"/>
    <w:next w:val="251"/>
    <w:qFormat/>
    <w:uiPriority w:val="0"/>
    <w:pPr>
      <w:spacing w:line="468" w:lineRule="atLeast"/>
    </w:pPr>
    <w:rPr>
      <w:rFonts w:ascii="Sim Sun" w:eastAsia="Sim Sun" w:cs="Times New Roman"/>
      <w:color w:val="000000"/>
    </w:rPr>
  </w:style>
  <w:style w:type="paragraph" w:customStyle="1" w:styleId="307">
    <w:name w:val="p17"/>
    <w:basedOn w:val="1"/>
    <w:qFormat/>
    <w:uiPriority w:val="0"/>
    <w:pPr>
      <w:widowControl/>
    </w:pPr>
    <w:rPr>
      <w:rFonts w:ascii="宋体" w:hAnsi="宋体" w:cs="宋体"/>
      <w:szCs w:val="21"/>
    </w:rPr>
  </w:style>
  <w:style w:type="paragraph" w:customStyle="1" w:styleId="308">
    <w:name w:val="xl89"/>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09">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10">
    <w:name w:val="样式1"/>
    <w:basedOn w:val="1"/>
    <w:qFormat/>
    <w:uiPriority w:val="0"/>
    <w:pPr>
      <w:widowControl/>
      <w:jc w:val="left"/>
    </w:pPr>
    <w:rPr>
      <w:rFonts w:ascii="宋体" w:hAnsi="宋体"/>
      <w:szCs w:val="21"/>
    </w:rPr>
  </w:style>
  <w:style w:type="paragraph" w:customStyle="1" w:styleId="311">
    <w:name w:val="font6"/>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12">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13">
    <w:name w:val="Heading21"/>
    <w:basedOn w:val="1"/>
    <w:next w:val="1"/>
    <w:qFormat/>
    <w:uiPriority w:val="0"/>
    <w:pPr>
      <w:keepNext/>
      <w:keepLines/>
      <w:spacing w:before="260" w:after="260" w:line="416" w:lineRule="auto"/>
    </w:pPr>
    <w:rPr>
      <w:rFonts w:ascii="Arial" w:hAnsi="Arial" w:eastAsia="黑体" w:cs="Times New Roman"/>
      <w:b/>
      <w:bCs/>
      <w:sz w:val="32"/>
      <w:szCs w:val="32"/>
    </w:rPr>
  </w:style>
  <w:style w:type="paragraph" w:customStyle="1" w:styleId="314">
    <w:name w:val="Body text|3"/>
    <w:basedOn w:val="1"/>
    <w:qFormat/>
    <w:uiPriority w:val="0"/>
    <w:pPr>
      <w:spacing w:after="460"/>
      <w:jc w:val="center"/>
    </w:pPr>
    <w:rPr>
      <w:rFonts w:ascii="宋体" w:hAnsi="宋体" w:cs="宋体"/>
      <w:sz w:val="34"/>
      <w:szCs w:val="34"/>
    </w:rPr>
  </w:style>
  <w:style w:type="paragraph" w:customStyle="1" w:styleId="315">
    <w:name w:val="xl7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16">
    <w:name w:val="xl7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17">
    <w:name w:val="正文_0"/>
    <w:qFormat/>
    <w:uiPriority w:val="0"/>
    <w:pPr>
      <w:widowControl w:val="0"/>
      <w:tabs>
        <w:tab w:val="left" w:pos="480"/>
      </w:tabs>
      <w:spacing w:line="360" w:lineRule="auto"/>
      <w:jc w:val="both"/>
    </w:pPr>
    <w:rPr>
      <w:rFonts w:hint="default" w:ascii="Times New Roman" w:hAnsi="Times New Roman" w:eastAsia="宋体" w:cs="Times New Roman"/>
      <w:sz w:val="24"/>
      <w:szCs w:val="22"/>
      <w:lang w:val="en-US" w:eastAsia="zh-CN" w:bidi="ar-SA"/>
    </w:rPr>
  </w:style>
  <w:style w:type="paragraph" w:customStyle="1" w:styleId="318">
    <w:name w:val="Char Char2 Char Char"/>
    <w:basedOn w:val="1"/>
    <w:qFormat/>
    <w:uiPriority w:val="0"/>
    <w:rPr>
      <w:rFonts w:ascii="Tahoma" w:hAnsi="Tahoma"/>
      <w:sz w:val="24"/>
      <w:szCs w:val="20"/>
    </w:rPr>
  </w:style>
  <w:style w:type="paragraph" w:customStyle="1" w:styleId="319">
    <w:name w:val="xl8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4"/>
    </w:rPr>
  </w:style>
  <w:style w:type="paragraph" w:customStyle="1" w:styleId="320">
    <w:name w:val="正文_1"/>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21">
    <w:name w:val="xl7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22">
    <w:name w:val="xl8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23">
    <w:name w:val="列表段落1"/>
    <w:basedOn w:val="1"/>
    <w:qFormat/>
    <w:uiPriority w:val="0"/>
    <w:pPr>
      <w:ind w:firstLine="420"/>
    </w:pPr>
  </w:style>
  <w:style w:type="paragraph" w:customStyle="1" w:styleId="324">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25">
    <w:name w:val="段"/>
    <w:next w:val="1"/>
    <w:qFormat/>
    <w:uiPriority w:val="99"/>
    <w:pPr>
      <w:ind w:firstLine="200"/>
      <w:jc w:val="both"/>
    </w:pPr>
    <w:rPr>
      <w:rFonts w:hint="default" w:ascii="宋体" w:hAnsi="宋体" w:eastAsia="宋体" w:cs="Times New Roman"/>
      <w:sz w:val="21"/>
      <w:szCs w:val="21"/>
      <w:lang w:val="en-US" w:eastAsia="zh-CN" w:bidi="ar-SA"/>
    </w:rPr>
  </w:style>
  <w:style w:type="paragraph" w:customStyle="1" w:styleId="326">
    <w:name w:val="TOC 标题1"/>
    <w:basedOn w:val="191"/>
    <w:next w:val="1"/>
    <w:qFormat/>
    <w:uiPriority w:val="39"/>
    <w:pPr>
      <w:widowControl/>
      <w:spacing w:before="240" w:after="0" w:line="259" w:lineRule="auto"/>
      <w:jc w:val="left"/>
      <w:outlineLvl w:val="9"/>
    </w:pPr>
    <w:rPr>
      <w:rFonts w:ascii="等线 Light" w:hAnsi="等线 Light" w:eastAsia="等线 Light"/>
      <w:b w:val="0"/>
      <w:bCs w:val="0"/>
      <w:color w:val="2F5496"/>
      <w:sz w:val="32"/>
      <w:szCs w:val="32"/>
    </w:rPr>
  </w:style>
  <w:style w:type="paragraph" w:customStyle="1" w:styleId="327">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28">
    <w:name w:val="msonormal"/>
    <w:basedOn w:val="1"/>
    <w:qFormat/>
    <w:uiPriority w:val="0"/>
    <w:pPr>
      <w:widowControl/>
      <w:spacing w:before="100" w:beforeAutospacing="1" w:after="100" w:afterAutospacing="1"/>
      <w:jc w:val="left"/>
    </w:pPr>
    <w:rPr>
      <w:rFonts w:ascii="宋体" w:hAnsi="宋体" w:cs="宋体"/>
      <w:sz w:val="24"/>
    </w:rPr>
  </w:style>
  <w:style w:type="paragraph" w:customStyle="1" w:styleId="329">
    <w:name w:val="xl84"/>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宋体" w:hAnsi="宋体" w:cs="宋体"/>
      <w:b/>
      <w:bCs/>
      <w:color w:val="000000"/>
      <w:sz w:val="20"/>
      <w:szCs w:val="20"/>
    </w:rPr>
  </w:style>
  <w:style w:type="paragraph" w:customStyle="1" w:styleId="330">
    <w:name w:val="正文 New New New New"/>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31">
    <w:name w:val="列出段落1"/>
    <w:basedOn w:val="1"/>
    <w:qFormat/>
    <w:uiPriority w:val="0"/>
    <w:pPr>
      <w:ind w:firstLine="420"/>
    </w:pPr>
    <w:rPr>
      <w:rFonts w:ascii="仿宋_GB2312" w:eastAsia="仿宋_GB2312"/>
      <w:sz w:val="32"/>
    </w:rPr>
  </w:style>
  <w:style w:type="paragraph" w:customStyle="1" w:styleId="332">
    <w:name w:val="普通(网站)1"/>
    <w:basedOn w:val="1"/>
    <w:qFormat/>
    <w:uiPriority w:val="0"/>
    <w:pPr>
      <w:jc w:val="left"/>
    </w:pPr>
    <w:rPr>
      <w:sz w:val="24"/>
    </w:rPr>
  </w:style>
  <w:style w:type="paragraph" w:styleId="333">
    <w:name w:val="List Paragraph"/>
    <w:basedOn w:val="1"/>
    <w:qFormat/>
    <w:uiPriority w:val="99"/>
    <w:pPr>
      <w:ind w:firstLine="420"/>
    </w:pPr>
  </w:style>
  <w:style w:type="paragraph" w:customStyle="1" w:styleId="334">
    <w:name w:val="_Style 1"/>
    <w:qFormat/>
    <w:uiPriority w:val="1"/>
    <w:pPr>
      <w:widowControl w:val="0"/>
      <w:jc w:val="both"/>
    </w:pPr>
    <w:rPr>
      <w:rFonts w:hint="default" w:ascii="Times New Roman" w:hAnsi="Times New Roman" w:eastAsia="宋体" w:cs="Times New Roman"/>
      <w:sz w:val="21"/>
      <w:szCs w:val="24"/>
      <w:lang w:val="en-US" w:eastAsia="zh-CN" w:bidi="ar-SA"/>
    </w:rPr>
  </w:style>
  <w:style w:type="paragraph" w:customStyle="1" w:styleId="335">
    <w:name w:val="xl88"/>
    <w:basedOn w:val="1"/>
    <w:qFormat/>
    <w:uiPriority w:val="0"/>
    <w:pPr>
      <w:widowControl/>
      <w:pBdr>
        <w:top w:val="single" w:color="000000" w:sz="4" w:space="0"/>
        <w:bottom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36">
    <w:name w:val="xl7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37">
    <w:name w:val="CM15"/>
    <w:basedOn w:val="251"/>
    <w:next w:val="251"/>
    <w:qFormat/>
    <w:uiPriority w:val="0"/>
    <w:pPr>
      <w:spacing w:line="468" w:lineRule="atLeast"/>
    </w:pPr>
    <w:rPr>
      <w:rFonts w:ascii="Sim Sun" w:eastAsia="Sim Sun" w:cs="Times New Roman"/>
      <w:color w:val="000000"/>
    </w:rPr>
  </w:style>
  <w:style w:type="paragraph" w:customStyle="1" w:styleId="338">
    <w:name w:val="p15"/>
    <w:basedOn w:val="1"/>
    <w:qFormat/>
    <w:uiPriority w:val="0"/>
    <w:pPr>
      <w:widowControl/>
    </w:pPr>
    <w:rPr>
      <w:rFonts w:ascii="宋体" w:hAnsi="宋体" w:cs="宋体"/>
      <w:szCs w:val="21"/>
    </w:rPr>
  </w:style>
  <w:style w:type="character" w:customStyle="1" w:styleId="339">
    <w:name w:val="NormalCharacter1"/>
    <w:link w:val="1"/>
    <w:semiHidden/>
    <w:qFormat/>
    <w:uiPriority w:val="0"/>
  </w:style>
  <w:style w:type="paragraph" w:customStyle="1" w:styleId="340">
    <w:name w:val="PlainText1"/>
    <w:basedOn w:val="1"/>
    <w:qFormat/>
    <w:uiPriority w:val="0"/>
    <w:pPr>
      <w:widowControl/>
    </w:pPr>
    <w:rPr>
      <w:rFonts w:ascii="宋体" w:hAnsi="Courier New" w:eastAsia="Times New Roman" w:cs="Times New Roman"/>
      <w:b/>
      <w:szCs w:val="20"/>
    </w:rPr>
  </w:style>
  <w:style w:type="paragraph" w:customStyle="1" w:styleId="341">
    <w:name w:val="表格文字"/>
    <w:basedOn w:val="1"/>
    <w:qFormat/>
    <w:uiPriority w:val="0"/>
    <w:pPr>
      <w:jc w:val="left"/>
    </w:pPr>
    <w:rPr>
      <w:bCs/>
      <w:spacing w:val="10"/>
    </w:rPr>
  </w:style>
  <w:style w:type="paragraph" w:customStyle="1" w:styleId="342">
    <w:name w:val="样式 标题 2 + 宋体"/>
    <w:basedOn w:val="192"/>
    <w:qFormat/>
    <w:uiPriority w:val="99"/>
    <w:pPr>
      <w:tabs>
        <w:tab w:val="left" w:pos="567"/>
      </w:tabs>
    </w:pPr>
    <w:rPr>
      <w:rFonts w:ascii="宋体" w:hAnsi="宋体"/>
      <w:sz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QB</Company>
  <Pages>84</Pages>
  <Words>12504</Words>
  <Characters>13578</Characters>
  <TotalTime>15</TotalTime>
  <ScaleCrop>false</ScaleCrop>
  <LinksUpToDate>false</LinksUpToDate>
  <CharactersWithSpaces>13870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2020-10-09T07:10:00Z</dcterms:created>
  <dc:creator>微软</dc:creator>
  <cp:lastModifiedBy>廖</cp:lastModifiedBy>
  <dcterms:modified xsi:type="dcterms:W3CDTF">2026-05-15T02:52:14Z</dcterms:modified>
  <dc:title>医疗设</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eyJoZGlkIjoiYTYzODYyZTU4YmY1YWI4Yjg1ZjVlYTI2YmEyMGFhYjEiLCJ1c2VySWQiOiIxNTgyMDIyOTkzIn0=</vt:lpwstr>
  </property>
  <property fmtid="{D5CDD505-2E9C-101B-9397-08002B2CF9AE}" pid="3" name="KSOProductBuildVer">
    <vt:lpwstr>2052-12.1.0.21915</vt:lpwstr>
  </property>
  <property fmtid="{D5CDD505-2E9C-101B-9397-08002B2CF9AE}" pid="4" name="ICV">
    <vt:lpwstr>53EEBAC958C14146B45CC11CD392B3DE_13</vt:lpwstr>
  </property>
</Properties>
</file>