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0A62A">
      <w:pPr>
        <w:pStyle w:val="214"/>
        <w:jc w:val="left"/>
        <w:rPr>
          <w:rFonts w:hint="eastAsia" w:hAnsi="宋体" w:cs="宋体"/>
          <w:b/>
          <w:bCs/>
          <w:color w:val="000000"/>
          <w:spacing w:val="80"/>
          <w:sz w:val="64"/>
          <w:highlight w:val="none"/>
        </w:rPr>
      </w:pPr>
    </w:p>
    <w:p w14:paraId="35FB14E1">
      <w:pPr>
        <w:pStyle w:val="214"/>
        <w:jc w:val="center"/>
        <w:rPr>
          <w:rFonts w:hAnsi="宋体" w:cs="宋体"/>
          <w:b/>
          <w:bCs/>
          <w:color w:val="000000"/>
          <w:spacing w:val="80"/>
          <w:sz w:val="60"/>
          <w:szCs w:val="60"/>
          <w:highlight w:val="none"/>
        </w:rPr>
      </w:pPr>
      <w:r>
        <w:rPr>
          <w:rFonts w:hint="eastAsia" w:hAnsi="宋体" w:cs="宋体"/>
          <w:b/>
          <w:bCs/>
          <w:color w:val="000000"/>
          <w:spacing w:val="80"/>
          <w:sz w:val="60"/>
          <w:szCs w:val="60"/>
          <w:highlight w:val="none"/>
        </w:rPr>
        <w:t>桂林市政府集中采购中心</w:t>
      </w:r>
    </w:p>
    <w:p w14:paraId="18B5D266">
      <w:pPr>
        <w:pStyle w:val="214"/>
        <w:jc w:val="center"/>
        <w:rPr>
          <w:rFonts w:hAnsi="宋体" w:cs="宋体"/>
          <w:b/>
          <w:bCs/>
          <w:color w:val="000000"/>
          <w:spacing w:val="80"/>
          <w:sz w:val="72"/>
          <w:highlight w:val="none"/>
        </w:rPr>
      </w:pPr>
    </w:p>
    <w:p w14:paraId="73CECCAC">
      <w:pPr>
        <w:pStyle w:val="214"/>
        <w:jc w:val="center"/>
        <w:rPr>
          <w:rFonts w:hAnsi="宋体" w:cs="宋体"/>
          <w:b/>
          <w:bCs/>
          <w:color w:val="000000"/>
          <w:sz w:val="72"/>
          <w:highlight w:val="none"/>
        </w:rPr>
      </w:pPr>
    </w:p>
    <w:p w14:paraId="3D511C65">
      <w:pPr>
        <w:pStyle w:val="214"/>
        <w:jc w:val="center"/>
        <w:rPr>
          <w:rFonts w:hAnsi="宋体" w:cs="宋体"/>
          <w:color w:val="000000"/>
          <w:highlight w:val="none"/>
        </w:rPr>
      </w:pPr>
    </w:p>
    <w:p w14:paraId="137A1E2F">
      <w:pPr>
        <w:spacing w:line="1400" w:lineRule="exact"/>
        <w:jc w:val="center"/>
        <w:rPr>
          <w:rFonts w:ascii="宋体" w:hAnsi="宋体" w:cs="宋体"/>
          <w:b/>
          <w:color w:val="000000"/>
          <w:spacing w:val="60"/>
          <w:sz w:val="112"/>
          <w:szCs w:val="112"/>
          <w:highlight w:val="none"/>
        </w:rPr>
      </w:pPr>
      <w:r>
        <w:rPr>
          <w:rFonts w:hint="eastAsia" w:ascii="宋体" w:hAnsi="宋体" w:cs="宋体"/>
          <w:b/>
          <w:color w:val="000000"/>
          <w:spacing w:val="60"/>
          <w:sz w:val="112"/>
          <w:szCs w:val="112"/>
          <w:highlight w:val="none"/>
        </w:rPr>
        <w:t>招标文件</w:t>
      </w:r>
    </w:p>
    <w:p w14:paraId="67F8775F">
      <w:pPr>
        <w:pStyle w:val="214"/>
        <w:rPr>
          <w:rFonts w:hAnsi="宋体" w:cs="宋体"/>
          <w:color w:val="000000"/>
          <w:highlight w:val="none"/>
        </w:rPr>
      </w:pPr>
    </w:p>
    <w:p w14:paraId="67EBB583">
      <w:pPr>
        <w:pStyle w:val="214"/>
        <w:ind w:firstLine="3885"/>
        <w:rPr>
          <w:rFonts w:hAnsi="宋体" w:cs="宋体"/>
          <w:color w:val="000000"/>
          <w:highlight w:val="none"/>
        </w:rPr>
      </w:pPr>
    </w:p>
    <w:p w14:paraId="257ACDDD">
      <w:pPr>
        <w:pStyle w:val="214"/>
        <w:rPr>
          <w:rFonts w:hAnsi="宋体" w:cs="宋体"/>
          <w:color w:val="000000"/>
          <w:highlight w:val="none"/>
        </w:rPr>
      </w:pPr>
    </w:p>
    <w:p w14:paraId="6FD21234">
      <w:pPr>
        <w:pStyle w:val="214"/>
        <w:rPr>
          <w:rFonts w:hint="eastAsia" w:hAnsi="宋体" w:cs="宋体"/>
          <w:color w:val="000000"/>
          <w:highlight w:val="none"/>
        </w:rPr>
      </w:pPr>
    </w:p>
    <w:p w14:paraId="723CB5E2">
      <w:pPr>
        <w:pStyle w:val="214"/>
        <w:rPr>
          <w:rFonts w:hint="eastAsia" w:ascii="宋体" w:hAnsi="宋体" w:eastAsia="宋体" w:cs="宋体"/>
          <w:b/>
          <w:bCs/>
          <w:color w:val="000000"/>
          <w:spacing w:val="40"/>
          <w:sz w:val="32"/>
          <w:szCs w:val="24"/>
          <w:highlight w:val="none"/>
          <w:lang w:val="en-US" w:eastAsia="zh-CN" w:bidi="ar-SA"/>
        </w:rPr>
      </w:pPr>
    </w:p>
    <w:p w14:paraId="3DCEB4FC">
      <w:pPr>
        <w:jc w:val="center"/>
        <w:rPr>
          <w:rFonts w:hint="eastAsia" w:ascii="宋体" w:hAnsi="宋体" w:eastAsia="宋体" w:cs="宋体"/>
          <w:b/>
          <w:bCs/>
          <w:color w:val="000000"/>
          <w:spacing w:val="40"/>
          <w:sz w:val="32"/>
          <w:szCs w:val="24"/>
          <w:highlight w:val="none"/>
          <w:lang w:val="en-US" w:eastAsia="zh-CN" w:bidi="ar-SA"/>
        </w:rPr>
      </w:pPr>
      <w:r>
        <w:rPr>
          <w:rFonts w:hint="eastAsia" w:ascii="宋体" w:hAnsi="宋体" w:eastAsia="宋体" w:cs="宋体"/>
          <w:b/>
          <w:bCs/>
          <w:color w:val="000000"/>
          <w:spacing w:val="40"/>
          <w:sz w:val="32"/>
          <w:szCs w:val="24"/>
          <w:highlight w:val="none"/>
          <w:lang w:val="en-US" w:eastAsia="zh-CN" w:bidi="ar-SA"/>
        </w:rPr>
        <w:t>项目名称：荔浦市荔浦中学等114所学校教育城域网建设项目网络服务租用项目</w:t>
      </w:r>
    </w:p>
    <w:p w14:paraId="0F0A612B">
      <w:pPr>
        <w:jc w:val="center"/>
        <w:rPr>
          <w:rFonts w:hint="eastAsia" w:ascii="宋体" w:hAnsi="宋体" w:eastAsia="宋体" w:cs="宋体"/>
          <w:color w:val="000000"/>
          <w:highlight w:val="none"/>
          <w:lang w:eastAsia="zh-CN"/>
        </w:rPr>
      </w:pPr>
      <w:r>
        <w:rPr>
          <w:rFonts w:hint="eastAsia" w:ascii="宋体" w:hAnsi="宋体" w:cs="宋体"/>
          <w:b/>
          <w:bCs/>
          <w:color w:val="000000"/>
          <w:spacing w:val="40"/>
          <w:sz w:val="32"/>
          <w:highlight w:val="none"/>
        </w:rPr>
        <w:t>项目编号：</w:t>
      </w:r>
      <w:r>
        <w:rPr>
          <w:rFonts w:hint="eastAsia" w:ascii="宋体" w:hAnsi="宋体" w:cs="宋体"/>
          <w:b/>
          <w:bCs/>
          <w:color w:val="000000"/>
          <w:spacing w:val="40"/>
          <w:sz w:val="32"/>
          <w:highlight w:val="none"/>
          <w:lang w:eastAsia="zh-CN"/>
        </w:rPr>
        <w:t>GLZC2026-G3-310022-GLSZ</w:t>
      </w:r>
    </w:p>
    <w:p w14:paraId="14C9D073">
      <w:pPr>
        <w:jc w:val="center"/>
        <w:rPr>
          <w:rFonts w:ascii="宋体" w:hAnsi="宋体" w:cs="宋体"/>
          <w:color w:val="000000"/>
          <w:highlight w:val="none"/>
        </w:rPr>
      </w:pPr>
    </w:p>
    <w:p w14:paraId="3DAB22DF">
      <w:pPr>
        <w:ind w:left="-2" w:firstLine="840"/>
        <w:jc w:val="center"/>
        <w:rPr>
          <w:rFonts w:ascii="宋体" w:hAnsi="宋体" w:cs="宋体"/>
          <w:color w:val="000000"/>
          <w:highlight w:val="none"/>
        </w:rPr>
      </w:pPr>
    </w:p>
    <w:p w14:paraId="31544180">
      <w:pPr>
        <w:ind w:left="-2" w:firstLine="630"/>
        <w:jc w:val="center"/>
        <w:rPr>
          <w:rFonts w:ascii="宋体" w:hAnsi="宋体" w:cs="宋体"/>
          <w:color w:val="000000"/>
          <w:highlight w:val="none"/>
        </w:rPr>
      </w:pPr>
    </w:p>
    <w:p w14:paraId="2DE2FC01">
      <w:pPr>
        <w:ind w:left="103" w:firstLine="1470"/>
        <w:jc w:val="center"/>
        <w:rPr>
          <w:rFonts w:hint="eastAsia" w:ascii="宋体" w:hAnsi="宋体" w:cs="宋体"/>
          <w:color w:val="000000"/>
          <w:highlight w:val="none"/>
        </w:rPr>
      </w:pPr>
    </w:p>
    <w:p w14:paraId="5C564EC9">
      <w:pPr>
        <w:ind w:left="103" w:firstLine="1470"/>
        <w:jc w:val="center"/>
        <w:rPr>
          <w:rFonts w:ascii="宋体" w:hAnsi="宋体" w:cs="宋体"/>
          <w:b/>
          <w:bCs/>
          <w:color w:val="000000"/>
          <w:spacing w:val="40"/>
          <w:sz w:val="32"/>
          <w:szCs w:val="32"/>
          <w:highlight w:val="none"/>
        </w:rPr>
      </w:pPr>
      <w:r>
        <w:rPr>
          <w:rFonts w:hint="eastAsia" w:ascii="宋体" w:hAnsi="宋体" w:cs="宋体"/>
          <w:b/>
          <w:bCs/>
          <w:color w:val="000000"/>
          <w:spacing w:val="40"/>
          <w:sz w:val="32"/>
          <w:szCs w:val="32"/>
          <w:highlight w:val="none"/>
        </w:rPr>
        <w:t>采购代理机构：桂林市政府集中采购中心</w:t>
      </w:r>
    </w:p>
    <w:p w14:paraId="50099EC0">
      <w:pPr>
        <w:jc w:val="center"/>
        <w:rPr>
          <w:rFonts w:hint="eastAsia" w:ascii="宋体" w:hAnsi="宋体" w:eastAsia="宋体" w:cs="宋体"/>
          <w:b/>
          <w:bCs/>
          <w:color w:val="000000"/>
          <w:sz w:val="32"/>
          <w:highlight w:val="none"/>
          <w:lang w:eastAsia="zh-CN"/>
        </w:rPr>
      </w:pPr>
      <w:r>
        <w:rPr>
          <w:rFonts w:hint="eastAsia" w:ascii="宋体" w:hAnsi="宋体" w:cs="宋体"/>
          <w:b/>
          <w:bCs/>
          <w:color w:val="000000"/>
          <w:sz w:val="32"/>
          <w:highlight w:val="none"/>
          <w:lang w:eastAsia="zh-CN"/>
        </w:rPr>
        <w:t>202</w:t>
      </w:r>
      <w:r>
        <w:rPr>
          <w:rFonts w:hint="eastAsia" w:ascii="宋体" w:hAnsi="宋体" w:cs="宋体"/>
          <w:b/>
          <w:bCs/>
          <w:color w:val="000000"/>
          <w:sz w:val="32"/>
          <w:highlight w:val="none"/>
          <w:lang w:val="en-US" w:eastAsia="zh-CN"/>
        </w:rPr>
        <w:t>6</w:t>
      </w:r>
      <w:r>
        <w:rPr>
          <w:rFonts w:hint="eastAsia" w:ascii="宋体" w:hAnsi="宋体" w:cs="宋体"/>
          <w:b/>
          <w:bCs/>
          <w:color w:val="000000"/>
          <w:sz w:val="32"/>
          <w:highlight w:val="none"/>
          <w:lang w:eastAsia="zh-CN"/>
        </w:rPr>
        <w:t>年</w:t>
      </w:r>
      <w:r>
        <w:rPr>
          <w:rFonts w:hint="eastAsia" w:ascii="宋体" w:hAnsi="宋体" w:cs="宋体"/>
          <w:b/>
          <w:bCs/>
          <w:color w:val="000000"/>
          <w:sz w:val="32"/>
          <w:highlight w:val="none"/>
          <w:lang w:val="en-US" w:eastAsia="zh-CN"/>
        </w:rPr>
        <w:t>07</w:t>
      </w:r>
      <w:r>
        <w:rPr>
          <w:rFonts w:hint="eastAsia" w:ascii="宋体" w:hAnsi="宋体" w:cs="宋体"/>
          <w:b/>
          <w:bCs/>
          <w:color w:val="000000"/>
          <w:sz w:val="32"/>
          <w:highlight w:val="none"/>
          <w:lang w:eastAsia="zh-CN"/>
        </w:rPr>
        <w:t>月</w:t>
      </w:r>
      <w:r>
        <w:rPr>
          <w:rFonts w:hint="eastAsia" w:ascii="宋体" w:hAnsi="宋体" w:cs="宋体"/>
          <w:b/>
          <w:bCs/>
          <w:color w:val="000000"/>
          <w:sz w:val="32"/>
          <w:highlight w:val="none"/>
          <w:lang w:val="en-US" w:eastAsia="zh-CN"/>
        </w:rPr>
        <w:t>01</w:t>
      </w:r>
      <w:r>
        <w:rPr>
          <w:rFonts w:hint="eastAsia" w:ascii="宋体" w:hAnsi="宋体" w:cs="宋体"/>
          <w:b/>
          <w:bCs/>
          <w:color w:val="000000"/>
          <w:sz w:val="32"/>
          <w:highlight w:val="none"/>
          <w:lang w:eastAsia="zh-CN"/>
        </w:rPr>
        <w:t>日</w:t>
      </w:r>
    </w:p>
    <w:p w14:paraId="323A4BFA">
      <w:pPr>
        <w:jc w:val="center"/>
        <w:rPr>
          <w:rFonts w:ascii="宋体" w:hAnsi="宋体" w:cs="宋体"/>
          <w:bCs/>
          <w:color w:val="000000"/>
          <w:sz w:val="30"/>
          <w:szCs w:val="30"/>
          <w:highlight w:val="none"/>
        </w:rPr>
      </w:pPr>
    </w:p>
    <w:p w14:paraId="096C2A04">
      <w:pPr>
        <w:pStyle w:val="327"/>
        <w:jc w:val="center"/>
        <w:rPr>
          <w:rFonts w:ascii="宋体" w:hAnsi="宋体" w:eastAsia="宋体" w:cs="宋体"/>
          <w:color w:val="000000"/>
          <w:highlight w:val="none"/>
          <w:lang w:val="zh-CN"/>
        </w:rPr>
        <w:sectPr>
          <w:headerReference r:id="rId4" w:type="default"/>
          <w:footerReference r:id="rId5" w:type="default"/>
          <w:pgSz w:w="11906" w:h="16838"/>
          <w:pgMar w:top="1440" w:right="1080" w:bottom="1440" w:left="1080" w:header="851" w:footer="992" w:gutter="0"/>
          <w:cols w:space="1701" w:num="1"/>
        </w:sectPr>
      </w:pPr>
    </w:p>
    <w:p w14:paraId="0D3B1DD4">
      <w:pPr>
        <w:jc w:val="center"/>
        <w:rPr>
          <w:rFonts w:ascii="宋体" w:hAnsi="宋体" w:cs="宋体"/>
          <w:b/>
          <w:bCs/>
          <w:color w:val="000000"/>
          <w:highlight w:val="none"/>
        </w:rPr>
      </w:pPr>
      <w:bookmarkStart w:id="0" w:name="_Toc35393789"/>
      <w:bookmarkStart w:id="1" w:name="_Toc28359001"/>
      <w:r>
        <w:rPr>
          <w:rFonts w:hint="eastAsia" w:ascii="宋体" w:hAnsi="宋体" w:cs="宋体"/>
          <w:b/>
          <w:bCs/>
          <w:color w:val="000000"/>
          <w:highlight w:val="none"/>
        </w:rPr>
        <w:t>目录</w:t>
      </w:r>
    </w:p>
    <w:p w14:paraId="345B6E23">
      <w:pPr>
        <w:rPr>
          <w:rFonts w:ascii="宋体" w:hAnsi="宋体" w:cs="宋体"/>
          <w:color w:val="000000"/>
          <w:szCs w:val="21"/>
          <w:highlight w:val="none"/>
        </w:rPr>
      </w:pPr>
    </w:p>
    <w:p w14:paraId="478C805F">
      <w:pPr>
        <w:pStyle w:val="21"/>
        <w:tabs>
          <w:tab w:val="right" w:leader="dot" w:pos="9746"/>
        </w:tabs>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TOC \o "1-3" \h \u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_Toc11443 </w:instrText>
      </w:r>
      <w:r>
        <w:rPr>
          <w:rFonts w:hint="eastAsia" w:ascii="宋体" w:hAnsi="宋体" w:cs="宋体"/>
          <w:szCs w:val="21"/>
          <w:highlight w:val="none"/>
        </w:rPr>
        <w:fldChar w:fldCharType="separate"/>
      </w:r>
      <w:r>
        <w:rPr>
          <w:rFonts w:hint="eastAsia" w:ascii="宋体" w:hAnsi="宋体" w:cs="宋体"/>
          <w:szCs w:val="32"/>
        </w:rPr>
        <w:t xml:space="preserve">第一章 </w:t>
      </w:r>
      <w:r>
        <w:rPr>
          <w:rFonts w:hint="eastAsia" w:ascii="宋体" w:hAnsi="宋体" w:cs="宋体"/>
          <w:szCs w:val="32"/>
          <w:highlight w:val="none"/>
        </w:rPr>
        <w:t>公开招标公告</w:t>
      </w:r>
      <w:r>
        <w:tab/>
      </w:r>
      <w:r>
        <w:fldChar w:fldCharType="begin"/>
      </w:r>
      <w:r>
        <w:instrText xml:space="preserve"> PAGEREF _Toc11443 \h </w:instrText>
      </w:r>
      <w:r>
        <w:fldChar w:fldCharType="separate"/>
      </w:r>
      <w:r>
        <w:t>1</w:t>
      </w:r>
      <w:r>
        <w:fldChar w:fldCharType="end"/>
      </w:r>
      <w:r>
        <w:rPr>
          <w:rFonts w:hint="eastAsia" w:ascii="宋体" w:hAnsi="宋体" w:cs="宋体"/>
          <w:color w:val="000000"/>
          <w:szCs w:val="21"/>
          <w:highlight w:val="none"/>
        </w:rPr>
        <w:fldChar w:fldCharType="end"/>
      </w:r>
    </w:p>
    <w:p w14:paraId="44D3C7A7">
      <w:pPr>
        <w:pStyle w:val="21"/>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_Toc20656 </w:instrText>
      </w:r>
      <w:r>
        <w:rPr>
          <w:rFonts w:hint="eastAsia" w:ascii="宋体" w:hAnsi="宋体" w:cs="宋体"/>
          <w:szCs w:val="21"/>
          <w:highlight w:val="none"/>
        </w:rPr>
        <w:fldChar w:fldCharType="separate"/>
      </w:r>
      <w:r>
        <w:rPr>
          <w:rFonts w:hint="eastAsia" w:ascii="宋体" w:hAnsi="宋体" w:cs="宋体"/>
          <w:bCs/>
          <w:szCs w:val="32"/>
          <w:highlight w:val="none"/>
        </w:rPr>
        <w:t>第二章投标人须知</w:t>
      </w:r>
      <w:r>
        <w:tab/>
      </w:r>
      <w:r>
        <w:fldChar w:fldCharType="begin"/>
      </w:r>
      <w:r>
        <w:instrText xml:space="preserve"> PAGEREF _Toc20656 \h </w:instrText>
      </w:r>
      <w:r>
        <w:fldChar w:fldCharType="separate"/>
      </w:r>
      <w:r>
        <w:t>4</w:t>
      </w:r>
      <w:r>
        <w:fldChar w:fldCharType="end"/>
      </w:r>
      <w:r>
        <w:rPr>
          <w:rFonts w:hint="eastAsia" w:ascii="宋体" w:hAnsi="宋体" w:cs="宋体"/>
          <w:color w:val="000000"/>
          <w:szCs w:val="21"/>
          <w:highlight w:val="none"/>
        </w:rPr>
        <w:fldChar w:fldCharType="end"/>
      </w:r>
    </w:p>
    <w:p w14:paraId="52F1F166">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_Toc9149 </w:instrText>
      </w:r>
      <w:r>
        <w:rPr>
          <w:rFonts w:hint="eastAsia" w:ascii="宋体" w:hAnsi="宋体" w:cs="宋体"/>
          <w:szCs w:val="21"/>
          <w:highlight w:val="none"/>
        </w:rPr>
        <w:fldChar w:fldCharType="separate"/>
      </w:r>
      <w:r>
        <w:rPr>
          <w:rFonts w:hint="eastAsia" w:ascii="宋体" w:hAnsi="宋体" w:cs="宋体"/>
          <w:highlight w:val="none"/>
        </w:rPr>
        <w:t>投标人须知前附表</w:t>
      </w:r>
      <w:r>
        <w:tab/>
      </w:r>
      <w:r>
        <w:fldChar w:fldCharType="begin"/>
      </w:r>
      <w:r>
        <w:instrText xml:space="preserve"> PAGEREF _Toc9149 \h </w:instrText>
      </w:r>
      <w:r>
        <w:fldChar w:fldCharType="separate"/>
      </w:r>
      <w:r>
        <w:t>4</w:t>
      </w:r>
      <w:r>
        <w:fldChar w:fldCharType="end"/>
      </w:r>
      <w:r>
        <w:rPr>
          <w:rFonts w:hint="eastAsia" w:ascii="宋体" w:hAnsi="宋体" w:cs="宋体"/>
          <w:color w:val="000000"/>
          <w:szCs w:val="21"/>
          <w:highlight w:val="none"/>
        </w:rPr>
        <w:fldChar w:fldCharType="end"/>
      </w:r>
    </w:p>
    <w:p w14:paraId="59FDE282">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_Toc27450 </w:instrText>
      </w:r>
      <w:r>
        <w:rPr>
          <w:rFonts w:hint="eastAsia" w:ascii="宋体" w:hAnsi="宋体" w:cs="宋体"/>
          <w:szCs w:val="21"/>
          <w:highlight w:val="none"/>
        </w:rPr>
        <w:fldChar w:fldCharType="separate"/>
      </w:r>
      <w:r>
        <w:rPr>
          <w:rFonts w:hint="eastAsia" w:ascii="宋体" w:hAnsi="宋体" w:cs="宋体"/>
          <w:szCs w:val="28"/>
          <w:highlight w:val="none"/>
        </w:rPr>
        <w:t>一、总则</w:t>
      </w:r>
      <w:r>
        <w:tab/>
      </w:r>
      <w:r>
        <w:fldChar w:fldCharType="begin"/>
      </w:r>
      <w:r>
        <w:instrText xml:space="preserve"> PAGEREF _Toc27450 \h </w:instrText>
      </w:r>
      <w:r>
        <w:fldChar w:fldCharType="separate"/>
      </w:r>
      <w:r>
        <w:t>8</w:t>
      </w:r>
      <w:r>
        <w:fldChar w:fldCharType="end"/>
      </w:r>
      <w:r>
        <w:rPr>
          <w:rFonts w:hint="eastAsia" w:ascii="宋体" w:hAnsi="宋体" w:cs="宋体"/>
          <w:color w:val="000000"/>
          <w:szCs w:val="21"/>
          <w:highlight w:val="none"/>
        </w:rPr>
        <w:fldChar w:fldCharType="end"/>
      </w:r>
    </w:p>
    <w:p w14:paraId="44F3E300">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_Toc6598 </w:instrText>
      </w:r>
      <w:r>
        <w:rPr>
          <w:rFonts w:hint="eastAsia" w:ascii="宋体" w:hAnsi="宋体" w:cs="宋体"/>
          <w:szCs w:val="21"/>
          <w:highlight w:val="none"/>
        </w:rPr>
        <w:fldChar w:fldCharType="separate"/>
      </w:r>
      <w:r>
        <w:rPr>
          <w:rFonts w:hint="eastAsia" w:ascii="宋体" w:hAnsi="宋体" w:cs="宋体"/>
          <w:szCs w:val="21"/>
          <w:highlight w:val="none"/>
        </w:rPr>
        <w:t>1.项目名称及项目编号</w:t>
      </w:r>
      <w:r>
        <w:tab/>
      </w:r>
      <w:r>
        <w:fldChar w:fldCharType="begin"/>
      </w:r>
      <w:r>
        <w:instrText xml:space="preserve"> PAGEREF _Toc6598 \h </w:instrText>
      </w:r>
      <w:r>
        <w:fldChar w:fldCharType="separate"/>
      </w:r>
      <w:r>
        <w:t>8</w:t>
      </w:r>
      <w:r>
        <w:fldChar w:fldCharType="end"/>
      </w:r>
      <w:r>
        <w:rPr>
          <w:rFonts w:hint="eastAsia" w:ascii="宋体" w:hAnsi="宋体" w:cs="宋体"/>
          <w:color w:val="000000"/>
          <w:szCs w:val="21"/>
          <w:highlight w:val="none"/>
        </w:rPr>
        <w:fldChar w:fldCharType="end"/>
      </w:r>
    </w:p>
    <w:p w14:paraId="0832FBCE">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_Toc27214 </w:instrText>
      </w:r>
      <w:r>
        <w:rPr>
          <w:rFonts w:hint="eastAsia" w:ascii="宋体" w:hAnsi="宋体" w:cs="宋体"/>
          <w:szCs w:val="21"/>
          <w:highlight w:val="none"/>
        </w:rPr>
        <w:fldChar w:fldCharType="separate"/>
      </w:r>
      <w:r>
        <w:rPr>
          <w:rFonts w:hint="eastAsia" w:ascii="宋体" w:hAnsi="宋体" w:cs="宋体"/>
          <w:szCs w:val="21"/>
          <w:highlight w:val="none"/>
        </w:rPr>
        <w:t>项目编号：</w:t>
      </w:r>
      <w:r>
        <w:rPr>
          <w:rFonts w:hint="eastAsia" w:ascii="宋体" w:hAnsi="宋体" w:cs="宋体"/>
          <w:highlight w:val="none"/>
          <w:lang w:eastAsia="zh-CN"/>
        </w:rPr>
        <w:t>GLZC2026-G3-310022-GLSZ</w:t>
      </w:r>
      <w:r>
        <w:tab/>
      </w:r>
      <w:r>
        <w:fldChar w:fldCharType="begin"/>
      </w:r>
      <w:r>
        <w:instrText xml:space="preserve"> PAGEREF _Toc27214 \h </w:instrText>
      </w:r>
      <w:r>
        <w:fldChar w:fldCharType="separate"/>
      </w:r>
      <w:r>
        <w:t>8</w:t>
      </w:r>
      <w:r>
        <w:fldChar w:fldCharType="end"/>
      </w:r>
      <w:r>
        <w:rPr>
          <w:rFonts w:hint="eastAsia" w:ascii="宋体" w:hAnsi="宋体" w:cs="宋体"/>
          <w:color w:val="000000"/>
          <w:szCs w:val="21"/>
          <w:highlight w:val="none"/>
        </w:rPr>
        <w:fldChar w:fldCharType="end"/>
      </w:r>
    </w:p>
    <w:p w14:paraId="42BB0705">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_Toc25246 </w:instrText>
      </w:r>
      <w:r>
        <w:rPr>
          <w:rFonts w:hint="eastAsia" w:ascii="宋体" w:hAnsi="宋体" w:cs="宋体"/>
          <w:szCs w:val="21"/>
          <w:highlight w:val="none"/>
        </w:rPr>
        <w:fldChar w:fldCharType="separate"/>
      </w:r>
      <w:r>
        <w:rPr>
          <w:rFonts w:hint="eastAsia" w:ascii="宋体" w:hAnsi="宋体" w:cs="宋体"/>
          <w:szCs w:val="21"/>
          <w:highlight w:val="none"/>
        </w:rPr>
        <w:t>2.</w:t>
      </w:r>
      <w:r>
        <w:rPr>
          <w:rFonts w:hint="eastAsia" w:ascii="宋体" w:hAnsi="宋体" w:cs="宋体"/>
          <w:szCs w:val="21"/>
        </w:rPr>
        <w:t>适</w:t>
      </w:r>
      <w:r>
        <w:rPr>
          <w:rFonts w:hint="eastAsia" w:ascii="宋体" w:hAnsi="宋体" w:cs="宋体"/>
          <w:szCs w:val="21"/>
          <w:lang w:eastAsia="zh-CN"/>
        </w:rPr>
        <w:t>用</w:t>
      </w:r>
      <w:r>
        <w:rPr>
          <w:rFonts w:hint="eastAsia" w:ascii="宋体" w:hAnsi="宋体" w:cs="宋体"/>
          <w:szCs w:val="21"/>
        </w:rPr>
        <w:t>范围</w:t>
      </w:r>
      <w:r>
        <w:tab/>
      </w:r>
      <w:r>
        <w:fldChar w:fldCharType="begin"/>
      </w:r>
      <w:r>
        <w:instrText xml:space="preserve"> PAGEREF _Toc25246 \h </w:instrText>
      </w:r>
      <w:r>
        <w:fldChar w:fldCharType="separate"/>
      </w:r>
      <w:r>
        <w:t>8</w:t>
      </w:r>
      <w:r>
        <w:fldChar w:fldCharType="end"/>
      </w:r>
      <w:r>
        <w:rPr>
          <w:rFonts w:hint="eastAsia" w:ascii="宋体" w:hAnsi="宋体" w:cs="宋体"/>
          <w:color w:val="000000"/>
          <w:szCs w:val="21"/>
          <w:highlight w:val="none"/>
        </w:rPr>
        <w:fldChar w:fldCharType="end"/>
      </w:r>
    </w:p>
    <w:p w14:paraId="1F9A4531">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_Toc163 </w:instrText>
      </w:r>
      <w:r>
        <w:rPr>
          <w:rFonts w:hint="eastAsia" w:ascii="宋体" w:hAnsi="宋体" w:cs="宋体"/>
          <w:szCs w:val="21"/>
          <w:highlight w:val="none"/>
        </w:rPr>
        <w:fldChar w:fldCharType="separate"/>
      </w:r>
      <w:r>
        <w:rPr>
          <w:rFonts w:hint="eastAsia" w:ascii="宋体" w:hAnsi="宋体" w:cs="宋体"/>
          <w:szCs w:val="21"/>
          <w:highlight w:val="none"/>
        </w:rPr>
        <w:t>3.定义</w:t>
      </w:r>
      <w:r>
        <w:tab/>
      </w:r>
      <w:r>
        <w:fldChar w:fldCharType="begin"/>
      </w:r>
      <w:r>
        <w:instrText xml:space="preserve"> PAGEREF _Toc163 \h </w:instrText>
      </w:r>
      <w:r>
        <w:fldChar w:fldCharType="separate"/>
      </w:r>
      <w:r>
        <w:t>8</w:t>
      </w:r>
      <w:r>
        <w:fldChar w:fldCharType="end"/>
      </w:r>
      <w:r>
        <w:rPr>
          <w:rFonts w:hint="eastAsia" w:ascii="宋体" w:hAnsi="宋体" w:cs="宋体"/>
          <w:color w:val="000000"/>
          <w:szCs w:val="21"/>
          <w:highlight w:val="none"/>
        </w:rPr>
        <w:fldChar w:fldCharType="end"/>
      </w:r>
    </w:p>
    <w:p w14:paraId="2C430C84">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_Toc935 </w:instrText>
      </w:r>
      <w:r>
        <w:rPr>
          <w:rFonts w:hint="eastAsia" w:ascii="宋体" w:hAnsi="宋体" w:cs="宋体"/>
          <w:szCs w:val="21"/>
          <w:highlight w:val="none"/>
        </w:rPr>
        <w:fldChar w:fldCharType="separate"/>
      </w:r>
      <w:r>
        <w:rPr>
          <w:rFonts w:hint="eastAsia" w:ascii="宋体" w:hAnsi="宋体" w:cs="宋体"/>
          <w:szCs w:val="21"/>
          <w:highlight w:val="none"/>
        </w:rPr>
        <w:t>4.招标方式、评分办法</w:t>
      </w:r>
      <w:r>
        <w:tab/>
      </w:r>
      <w:r>
        <w:fldChar w:fldCharType="begin"/>
      </w:r>
      <w:r>
        <w:instrText xml:space="preserve"> PAGEREF _Toc935 \h </w:instrText>
      </w:r>
      <w:r>
        <w:fldChar w:fldCharType="separate"/>
      </w:r>
      <w:r>
        <w:t>8</w:t>
      </w:r>
      <w:r>
        <w:fldChar w:fldCharType="end"/>
      </w:r>
      <w:r>
        <w:rPr>
          <w:rFonts w:hint="eastAsia" w:ascii="宋体" w:hAnsi="宋体" w:cs="宋体"/>
          <w:color w:val="000000"/>
          <w:szCs w:val="21"/>
          <w:highlight w:val="none"/>
        </w:rPr>
        <w:fldChar w:fldCharType="end"/>
      </w:r>
    </w:p>
    <w:p w14:paraId="6FDB5CC6">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_Toc19854 </w:instrText>
      </w:r>
      <w:r>
        <w:rPr>
          <w:rFonts w:hint="eastAsia" w:ascii="宋体" w:hAnsi="宋体" w:cs="宋体"/>
          <w:szCs w:val="21"/>
          <w:highlight w:val="none"/>
        </w:rPr>
        <w:fldChar w:fldCharType="separate"/>
      </w:r>
      <w:r>
        <w:rPr>
          <w:rFonts w:hint="eastAsia" w:ascii="宋体" w:hAnsi="宋体" w:cs="宋体"/>
          <w:szCs w:val="21"/>
          <w:highlight w:val="none"/>
        </w:rPr>
        <w:t>5.投标人资格</w:t>
      </w:r>
      <w:r>
        <w:tab/>
      </w:r>
      <w:r>
        <w:fldChar w:fldCharType="begin"/>
      </w:r>
      <w:r>
        <w:instrText xml:space="preserve"> PAGEREF _Toc19854 \h </w:instrText>
      </w:r>
      <w:r>
        <w:fldChar w:fldCharType="separate"/>
      </w:r>
      <w:r>
        <w:t>8</w:t>
      </w:r>
      <w:r>
        <w:fldChar w:fldCharType="end"/>
      </w:r>
      <w:r>
        <w:rPr>
          <w:rFonts w:hint="eastAsia" w:ascii="宋体" w:hAnsi="宋体" w:cs="宋体"/>
          <w:color w:val="000000"/>
          <w:szCs w:val="21"/>
          <w:highlight w:val="none"/>
        </w:rPr>
        <w:fldChar w:fldCharType="end"/>
      </w:r>
    </w:p>
    <w:p w14:paraId="2CBD159C">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_Toc30836 </w:instrText>
      </w:r>
      <w:r>
        <w:rPr>
          <w:rFonts w:hint="eastAsia" w:ascii="宋体" w:hAnsi="宋体" w:cs="宋体"/>
          <w:szCs w:val="21"/>
          <w:highlight w:val="none"/>
        </w:rPr>
        <w:fldChar w:fldCharType="separate"/>
      </w:r>
      <w:r>
        <w:rPr>
          <w:rFonts w:hint="eastAsia" w:ascii="宋体" w:hAnsi="宋体" w:cs="宋体"/>
          <w:szCs w:val="21"/>
          <w:highlight w:val="none"/>
        </w:rPr>
        <w:t>6.投标费用</w:t>
      </w:r>
      <w:r>
        <w:tab/>
      </w:r>
      <w:r>
        <w:fldChar w:fldCharType="begin"/>
      </w:r>
      <w:r>
        <w:instrText xml:space="preserve"> PAGEREF _Toc30836 \h </w:instrText>
      </w:r>
      <w:r>
        <w:fldChar w:fldCharType="separate"/>
      </w:r>
      <w:r>
        <w:t>8</w:t>
      </w:r>
      <w:r>
        <w:fldChar w:fldCharType="end"/>
      </w:r>
      <w:r>
        <w:rPr>
          <w:rFonts w:hint="eastAsia" w:ascii="宋体" w:hAnsi="宋体" w:cs="宋体"/>
          <w:color w:val="000000"/>
          <w:szCs w:val="21"/>
          <w:highlight w:val="none"/>
        </w:rPr>
        <w:fldChar w:fldCharType="end"/>
      </w:r>
    </w:p>
    <w:p w14:paraId="799D57A1">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_Toc6562 </w:instrText>
      </w:r>
      <w:r>
        <w:rPr>
          <w:rFonts w:hint="eastAsia" w:ascii="宋体" w:hAnsi="宋体" w:cs="宋体"/>
          <w:szCs w:val="21"/>
          <w:highlight w:val="none"/>
        </w:rPr>
        <w:fldChar w:fldCharType="separate"/>
      </w:r>
      <w:r>
        <w:rPr>
          <w:rFonts w:hint="eastAsia" w:ascii="宋体" w:hAnsi="宋体" w:cs="宋体"/>
          <w:szCs w:val="21"/>
          <w:highlight w:val="none"/>
        </w:rPr>
        <w:t>7.联合体投标要求</w:t>
      </w:r>
      <w:r>
        <w:tab/>
      </w:r>
      <w:r>
        <w:fldChar w:fldCharType="begin"/>
      </w:r>
      <w:r>
        <w:instrText xml:space="preserve"> PAGEREF _Toc6562 \h </w:instrText>
      </w:r>
      <w:r>
        <w:fldChar w:fldCharType="separate"/>
      </w:r>
      <w:r>
        <w:t>8</w:t>
      </w:r>
      <w:r>
        <w:fldChar w:fldCharType="end"/>
      </w:r>
      <w:r>
        <w:rPr>
          <w:rFonts w:hint="eastAsia" w:ascii="宋体" w:hAnsi="宋体" w:cs="宋体"/>
          <w:color w:val="000000"/>
          <w:szCs w:val="21"/>
          <w:highlight w:val="none"/>
        </w:rPr>
        <w:fldChar w:fldCharType="end"/>
      </w:r>
    </w:p>
    <w:p w14:paraId="40B73F58">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_Toc23917 </w:instrText>
      </w:r>
      <w:r>
        <w:rPr>
          <w:rFonts w:hint="eastAsia" w:ascii="宋体" w:hAnsi="宋体" w:cs="宋体"/>
          <w:szCs w:val="21"/>
          <w:highlight w:val="none"/>
        </w:rPr>
        <w:fldChar w:fldCharType="separate"/>
      </w:r>
      <w:r>
        <w:rPr>
          <w:rFonts w:hint="eastAsia" w:ascii="宋体" w:hAnsi="宋体" w:cs="宋体"/>
          <w:szCs w:val="21"/>
          <w:highlight w:val="none"/>
        </w:rPr>
        <w:t>8.转包与分包</w:t>
      </w:r>
      <w:r>
        <w:tab/>
      </w:r>
      <w:r>
        <w:fldChar w:fldCharType="begin"/>
      </w:r>
      <w:r>
        <w:instrText xml:space="preserve"> PAGEREF _Toc23917 \h </w:instrText>
      </w:r>
      <w:r>
        <w:fldChar w:fldCharType="separate"/>
      </w:r>
      <w:r>
        <w:t>8</w:t>
      </w:r>
      <w:r>
        <w:fldChar w:fldCharType="end"/>
      </w:r>
      <w:r>
        <w:rPr>
          <w:rFonts w:hint="eastAsia" w:ascii="宋体" w:hAnsi="宋体" w:cs="宋体"/>
          <w:color w:val="000000"/>
          <w:szCs w:val="21"/>
          <w:highlight w:val="none"/>
        </w:rPr>
        <w:fldChar w:fldCharType="end"/>
      </w:r>
    </w:p>
    <w:p w14:paraId="644941F2">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_Toc13630 </w:instrText>
      </w:r>
      <w:r>
        <w:rPr>
          <w:rFonts w:hint="eastAsia" w:ascii="宋体" w:hAnsi="宋体" w:cs="宋体"/>
          <w:szCs w:val="21"/>
          <w:highlight w:val="none"/>
        </w:rPr>
        <w:fldChar w:fldCharType="separate"/>
      </w:r>
      <w:r>
        <w:rPr>
          <w:rFonts w:hint="eastAsia" w:ascii="宋体" w:hAnsi="宋体" w:cs="宋体"/>
          <w:szCs w:val="21"/>
          <w:highlight w:val="none"/>
        </w:rPr>
        <w:t>9.特别说明</w:t>
      </w:r>
      <w:r>
        <w:tab/>
      </w:r>
      <w:r>
        <w:fldChar w:fldCharType="begin"/>
      </w:r>
      <w:r>
        <w:instrText xml:space="preserve"> PAGEREF _Toc13630 \h </w:instrText>
      </w:r>
      <w:r>
        <w:fldChar w:fldCharType="separate"/>
      </w:r>
      <w:r>
        <w:t>9</w:t>
      </w:r>
      <w:r>
        <w:fldChar w:fldCharType="end"/>
      </w:r>
      <w:r>
        <w:rPr>
          <w:rFonts w:hint="eastAsia" w:ascii="宋体" w:hAnsi="宋体" w:cs="宋体"/>
          <w:color w:val="000000"/>
          <w:szCs w:val="21"/>
          <w:highlight w:val="none"/>
        </w:rPr>
        <w:fldChar w:fldCharType="end"/>
      </w:r>
    </w:p>
    <w:p w14:paraId="5CCF590D">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_Toc14499 </w:instrText>
      </w:r>
      <w:r>
        <w:rPr>
          <w:rFonts w:hint="eastAsia" w:ascii="宋体" w:hAnsi="宋体" w:cs="宋体"/>
          <w:szCs w:val="21"/>
          <w:highlight w:val="none"/>
        </w:rPr>
        <w:fldChar w:fldCharType="separate"/>
      </w:r>
      <w:r>
        <w:rPr>
          <w:rFonts w:hint="eastAsia" w:ascii="宋体" w:hAnsi="宋体" w:cs="宋体"/>
          <w:szCs w:val="21"/>
          <w:highlight w:val="none"/>
        </w:rPr>
        <w:t>10.质疑和投诉</w:t>
      </w:r>
      <w:r>
        <w:tab/>
      </w:r>
      <w:r>
        <w:fldChar w:fldCharType="begin"/>
      </w:r>
      <w:r>
        <w:instrText xml:space="preserve"> PAGEREF _Toc14499 \h </w:instrText>
      </w:r>
      <w:r>
        <w:fldChar w:fldCharType="separate"/>
      </w:r>
      <w:r>
        <w:t>9</w:t>
      </w:r>
      <w:r>
        <w:fldChar w:fldCharType="end"/>
      </w:r>
      <w:r>
        <w:rPr>
          <w:rFonts w:hint="eastAsia" w:ascii="宋体" w:hAnsi="宋体" w:cs="宋体"/>
          <w:color w:val="000000"/>
          <w:szCs w:val="21"/>
          <w:highlight w:val="none"/>
        </w:rPr>
        <w:fldChar w:fldCharType="end"/>
      </w:r>
    </w:p>
    <w:p w14:paraId="47731BD4">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_Toc28824 </w:instrText>
      </w:r>
      <w:r>
        <w:rPr>
          <w:rFonts w:hint="eastAsia" w:ascii="宋体" w:hAnsi="宋体" w:cs="宋体"/>
          <w:szCs w:val="21"/>
          <w:highlight w:val="none"/>
        </w:rPr>
        <w:fldChar w:fldCharType="separate"/>
      </w:r>
      <w:r>
        <w:rPr>
          <w:rFonts w:hint="eastAsia" w:ascii="宋体" w:hAnsi="宋体" w:cs="宋体"/>
          <w:szCs w:val="28"/>
          <w:highlight w:val="none"/>
        </w:rPr>
        <w:t>二、招标文件</w:t>
      </w:r>
      <w:r>
        <w:tab/>
      </w:r>
      <w:r>
        <w:fldChar w:fldCharType="begin"/>
      </w:r>
      <w:r>
        <w:instrText xml:space="preserve"> PAGEREF _Toc28824 \h </w:instrText>
      </w:r>
      <w:r>
        <w:fldChar w:fldCharType="separate"/>
      </w:r>
      <w:r>
        <w:t>10</w:t>
      </w:r>
      <w:r>
        <w:fldChar w:fldCharType="end"/>
      </w:r>
      <w:r>
        <w:rPr>
          <w:rFonts w:hint="eastAsia" w:ascii="宋体" w:hAnsi="宋体" w:cs="宋体"/>
          <w:color w:val="000000"/>
          <w:szCs w:val="21"/>
          <w:highlight w:val="none"/>
        </w:rPr>
        <w:fldChar w:fldCharType="end"/>
      </w:r>
    </w:p>
    <w:p w14:paraId="40FB6FCD">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_Toc6714 </w:instrText>
      </w:r>
      <w:r>
        <w:rPr>
          <w:rFonts w:hint="eastAsia" w:ascii="宋体" w:hAnsi="宋体" w:cs="宋体"/>
          <w:szCs w:val="21"/>
          <w:highlight w:val="none"/>
        </w:rPr>
        <w:fldChar w:fldCharType="separate"/>
      </w:r>
      <w:r>
        <w:rPr>
          <w:rFonts w:hint="eastAsia" w:ascii="宋体" w:hAnsi="宋体" w:cs="宋体"/>
          <w:szCs w:val="21"/>
          <w:highlight w:val="none"/>
        </w:rPr>
        <w:t>11.招标文件的构成</w:t>
      </w:r>
      <w:r>
        <w:tab/>
      </w:r>
      <w:r>
        <w:fldChar w:fldCharType="begin"/>
      </w:r>
      <w:r>
        <w:instrText xml:space="preserve"> PAGEREF _Toc6714 \h </w:instrText>
      </w:r>
      <w:r>
        <w:fldChar w:fldCharType="separate"/>
      </w:r>
      <w:r>
        <w:t>10</w:t>
      </w:r>
      <w:r>
        <w:fldChar w:fldCharType="end"/>
      </w:r>
      <w:r>
        <w:rPr>
          <w:rFonts w:hint="eastAsia" w:ascii="宋体" w:hAnsi="宋体" w:cs="宋体"/>
          <w:color w:val="000000"/>
          <w:szCs w:val="21"/>
          <w:highlight w:val="none"/>
        </w:rPr>
        <w:fldChar w:fldCharType="end"/>
      </w:r>
    </w:p>
    <w:p w14:paraId="0606BF54">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_Toc8452 </w:instrText>
      </w:r>
      <w:r>
        <w:rPr>
          <w:rFonts w:hint="eastAsia" w:ascii="宋体" w:hAnsi="宋体" w:cs="宋体"/>
          <w:szCs w:val="21"/>
          <w:highlight w:val="none"/>
        </w:rPr>
        <w:fldChar w:fldCharType="separate"/>
      </w:r>
      <w:r>
        <w:rPr>
          <w:rFonts w:hint="eastAsia" w:ascii="宋体" w:hAnsi="宋体" w:cs="宋体"/>
          <w:szCs w:val="21"/>
          <w:highlight w:val="none"/>
        </w:rPr>
        <w:t>12.招标文件的澄清与修改</w:t>
      </w:r>
      <w:r>
        <w:tab/>
      </w:r>
      <w:r>
        <w:fldChar w:fldCharType="begin"/>
      </w:r>
      <w:r>
        <w:instrText xml:space="preserve"> PAGEREF _Toc8452 \h </w:instrText>
      </w:r>
      <w:r>
        <w:fldChar w:fldCharType="separate"/>
      </w:r>
      <w:r>
        <w:t>10</w:t>
      </w:r>
      <w:r>
        <w:fldChar w:fldCharType="end"/>
      </w:r>
      <w:r>
        <w:rPr>
          <w:rFonts w:hint="eastAsia" w:ascii="宋体" w:hAnsi="宋体" w:cs="宋体"/>
          <w:color w:val="000000"/>
          <w:szCs w:val="21"/>
          <w:highlight w:val="none"/>
        </w:rPr>
        <w:fldChar w:fldCharType="end"/>
      </w:r>
    </w:p>
    <w:p w14:paraId="3DACCDBA">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_Toc22791 </w:instrText>
      </w:r>
      <w:r>
        <w:rPr>
          <w:rFonts w:hint="eastAsia" w:ascii="宋体" w:hAnsi="宋体" w:cs="宋体"/>
          <w:szCs w:val="21"/>
          <w:highlight w:val="none"/>
        </w:rPr>
        <w:fldChar w:fldCharType="separate"/>
      </w:r>
      <w:r>
        <w:rPr>
          <w:rFonts w:hint="eastAsia" w:ascii="宋体" w:hAnsi="宋体" w:cs="宋体"/>
          <w:szCs w:val="28"/>
          <w:highlight w:val="none"/>
        </w:rPr>
        <w:t>三、投标文件的编制</w:t>
      </w:r>
      <w:r>
        <w:tab/>
      </w:r>
      <w:r>
        <w:fldChar w:fldCharType="begin"/>
      </w:r>
      <w:r>
        <w:instrText xml:space="preserve"> PAGEREF _Toc22791 \h </w:instrText>
      </w:r>
      <w:r>
        <w:fldChar w:fldCharType="separate"/>
      </w:r>
      <w:r>
        <w:t>10</w:t>
      </w:r>
      <w:r>
        <w:fldChar w:fldCharType="end"/>
      </w:r>
      <w:r>
        <w:rPr>
          <w:rFonts w:hint="eastAsia" w:ascii="宋体" w:hAnsi="宋体" w:cs="宋体"/>
          <w:color w:val="000000"/>
          <w:szCs w:val="21"/>
          <w:highlight w:val="none"/>
        </w:rPr>
        <w:fldChar w:fldCharType="end"/>
      </w:r>
    </w:p>
    <w:p w14:paraId="5A957606">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_Toc1414 </w:instrText>
      </w:r>
      <w:r>
        <w:rPr>
          <w:rFonts w:hint="eastAsia" w:ascii="宋体" w:hAnsi="宋体" w:cs="宋体"/>
          <w:szCs w:val="21"/>
          <w:highlight w:val="none"/>
        </w:rPr>
        <w:fldChar w:fldCharType="separate"/>
      </w:r>
      <w:r>
        <w:rPr>
          <w:rFonts w:hint="eastAsia" w:ascii="宋体" w:hAnsi="宋体" w:cs="宋体"/>
          <w:szCs w:val="21"/>
          <w:highlight w:val="none"/>
        </w:rPr>
        <w:t>13.投标文件的组成及要求</w:t>
      </w:r>
      <w:r>
        <w:tab/>
      </w:r>
      <w:r>
        <w:fldChar w:fldCharType="begin"/>
      </w:r>
      <w:r>
        <w:instrText xml:space="preserve"> PAGEREF _Toc1414 \h </w:instrText>
      </w:r>
      <w:r>
        <w:fldChar w:fldCharType="separate"/>
      </w:r>
      <w:r>
        <w:t>10</w:t>
      </w:r>
      <w:r>
        <w:fldChar w:fldCharType="end"/>
      </w:r>
      <w:r>
        <w:rPr>
          <w:rFonts w:hint="eastAsia" w:ascii="宋体" w:hAnsi="宋体" w:cs="宋体"/>
          <w:color w:val="000000"/>
          <w:szCs w:val="21"/>
          <w:highlight w:val="none"/>
        </w:rPr>
        <w:fldChar w:fldCharType="end"/>
      </w:r>
    </w:p>
    <w:p w14:paraId="67BA92C8">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_Toc5474 </w:instrText>
      </w:r>
      <w:r>
        <w:rPr>
          <w:rFonts w:hint="eastAsia" w:ascii="宋体" w:hAnsi="宋体" w:cs="宋体"/>
          <w:szCs w:val="21"/>
          <w:highlight w:val="none"/>
        </w:rPr>
        <w:fldChar w:fldCharType="separate"/>
      </w:r>
      <w:r>
        <w:rPr>
          <w:rFonts w:hint="eastAsia" w:ascii="宋体" w:hAnsi="宋体" w:cs="宋体"/>
          <w:szCs w:val="21"/>
          <w:highlight w:val="none"/>
        </w:rPr>
        <w:t>14.投标文件的语言及计量</w:t>
      </w:r>
      <w:r>
        <w:tab/>
      </w:r>
      <w:r>
        <w:fldChar w:fldCharType="begin"/>
      </w:r>
      <w:r>
        <w:instrText xml:space="preserve"> PAGEREF _Toc5474 \h </w:instrText>
      </w:r>
      <w:r>
        <w:fldChar w:fldCharType="separate"/>
      </w:r>
      <w:r>
        <w:t>12</w:t>
      </w:r>
      <w:r>
        <w:fldChar w:fldCharType="end"/>
      </w:r>
      <w:r>
        <w:rPr>
          <w:rFonts w:hint="eastAsia" w:ascii="宋体" w:hAnsi="宋体" w:cs="宋体"/>
          <w:color w:val="000000"/>
          <w:szCs w:val="21"/>
          <w:highlight w:val="none"/>
        </w:rPr>
        <w:fldChar w:fldCharType="end"/>
      </w:r>
    </w:p>
    <w:p w14:paraId="08D6D4D5">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_Toc11509 </w:instrText>
      </w:r>
      <w:r>
        <w:rPr>
          <w:rFonts w:hint="eastAsia" w:ascii="宋体" w:hAnsi="宋体" w:cs="宋体"/>
          <w:szCs w:val="21"/>
          <w:highlight w:val="none"/>
        </w:rPr>
        <w:fldChar w:fldCharType="separate"/>
      </w:r>
      <w:r>
        <w:rPr>
          <w:rFonts w:ascii="宋体" w:hAnsi="宋体" w:cs="宋体"/>
          <w:szCs w:val="21"/>
        </w:rPr>
        <w:t xml:space="preserve">15. </w:t>
      </w:r>
      <w:r>
        <w:rPr>
          <w:rFonts w:hint="eastAsia" w:ascii="宋体" w:hAnsi="宋体" w:cs="宋体"/>
          <w:szCs w:val="21"/>
          <w:highlight w:val="none"/>
        </w:rPr>
        <w:t>投标报价</w:t>
      </w:r>
      <w:r>
        <w:tab/>
      </w:r>
      <w:r>
        <w:fldChar w:fldCharType="begin"/>
      </w:r>
      <w:r>
        <w:instrText xml:space="preserve"> PAGEREF _Toc11509 \h </w:instrText>
      </w:r>
      <w:r>
        <w:fldChar w:fldCharType="separate"/>
      </w:r>
      <w:r>
        <w:t>12</w:t>
      </w:r>
      <w:r>
        <w:fldChar w:fldCharType="end"/>
      </w:r>
      <w:r>
        <w:rPr>
          <w:rFonts w:hint="eastAsia" w:ascii="宋体" w:hAnsi="宋体" w:cs="宋体"/>
          <w:color w:val="000000"/>
          <w:szCs w:val="21"/>
          <w:highlight w:val="none"/>
        </w:rPr>
        <w:fldChar w:fldCharType="end"/>
      </w:r>
    </w:p>
    <w:p w14:paraId="369E0DA1">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_Toc15158 </w:instrText>
      </w:r>
      <w:r>
        <w:rPr>
          <w:rFonts w:hint="eastAsia" w:ascii="宋体" w:hAnsi="宋体" w:cs="宋体"/>
          <w:szCs w:val="21"/>
          <w:highlight w:val="none"/>
        </w:rPr>
        <w:fldChar w:fldCharType="separate"/>
      </w:r>
      <w:r>
        <w:rPr>
          <w:rFonts w:hint="eastAsia" w:ascii="宋体" w:hAnsi="宋体" w:cs="宋体"/>
          <w:szCs w:val="21"/>
          <w:highlight w:val="none"/>
        </w:rPr>
        <w:t>16.投标有效期</w:t>
      </w:r>
      <w:r>
        <w:tab/>
      </w:r>
      <w:r>
        <w:fldChar w:fldCharType="begin"/>
      </w:r>
      <w:r>
        <w:instrText xml:space="preserve"> PAGEREF _Toc15158 \h </w:instrText>
      </w:r>
      <w:r>
        <w:fldChar w:fldCharType="separate"/>
      </w:r>
      <w:r>
        <w:t>13</w:t>
      </w:r>
      <w:r>
        <w:fldChar w:fldCharType="end"/>
      </w:r>
      <w:r>
        <w:rPr>
          <w:rFonts w:hint="eastAsia" w:ascii="宋体" w:hAnsi="宋体" w:cs="宋体"/>
          <w:color w:val="000000"/>
          <w:szCs w:val="21"/>
          <w:highlight w:val="none"/>
        </w:rPr>
        <w:fldChar w:fldCharType="end"/>
      </w:r>
    </w:p>
    <w:p w14:paraId="49E57EA7">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_Toc21047 </w:instrText>
      </w:r>
      <w:r>
        <w:rPr>
          <w:rFonts w:hint="eastAsia" w:ascii="宋体" w:hAnsi="宋体" w:cs="宋体"/>
          <w:szCs w:val="21"/>
          <w:highlight w:val="none"/>
        </w:rPr>
        <w:fldChar w:fldCharType="separate"/>
      </w:r>
      <w:r>
        <w:rPr>
          <w:rFonts w:hint="eastAsia" w:ascii="宋体" w:hAnsi="宋体" w:cs="宋体"/>
          <w:szCs w:val="21"/>
          <w:highlight w:val="none"/>
        </w:rPr>
        <w:t>17.投标保证金</w:t>
      </w:r>
      <w:r>
        <w:tab/>
      </w:r>
      <w:r>
        <w:fldChar w:fldCharType="begin"/>
      </w:r>
      <w:r>
        <w:instrText xml:space="preserve"> PAGEREF _Toc21047 \h </w:instrText>
      </w:r>
      <w:r>
        <w:fldChar w:fldCharType="separate"/>
      </w:r>
      <w:r>
        <w:t>13</w:t>
      </w:r>
      <w:r>
        <w:fldChar w:fldCharType="end"/>
      </w:r>
      <w:r>
        <w:rPr>
          <w:rFonts w:hint="eastAsia" w:ascii="宋体" w:hAnsi="宋体" w:cs="宋体"/>
          <w:color w:val="000000"/>
          <w:szCs w:val="21"/>
          <w:highlight w:val="none"/>
        </w:rPr>
        <w:fldChar w:fldCharType="end"/>
      </w:r>
    </w:p>
    <w:p w14:paraId="4607A670">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_Toc17872 </w:instrText>
      </w:r>
      <w:r>
        <w:rPr>
          <w:rFonts w:hint="eastAsia" w:ascii="宋体" w:hAnsi="宋体" w:cs="宋体"/>
          <w:szCs w:val="21"/>
          <w:highlight w:val="none"/>
        </w:rPr>
        <w:fldChar w:fldCharType="separate"/>
      </w:r>
      <w:r>
        <w:rPr>
          <w:rFonts w:hint="eastAsia" w:ascii="宋体" w:hAnsi="宋体" w:cs="宋体"/>
          <w:szCs w:val="21"/>
          <w:highlight w:val="none"/>
        </w:rPr>
        <w:t>18.投标文件的制作</w:t>
      </w:r>
      <w:r>
        <w:tab/>
      </w:r>
      <w:r>
        <w:fldChar w:fldCharType="begin"/>
      </w:r>
      <w:r>
        <w:instrText xml:space="preserve"> PAGEREF _Toc17872 \h </w:instrText>
      </w:r>
      <w:r>
        <w:fldChar w:fldCharType="separate"/>
      </w:r>
      <w:r>
        <w:t>13</w:t>
      </w:r>
      <w:r>
        <w:fldChar w:fldCharType="end"/>
      </w:r>
      <w:r>
        <w:rPr>
          <w:rFonts w:hint="eastAsia" w:ascii="宋体" w:hAnsi="宋体" w:cs="宋体"/>
          <w:color w:val="000000"/>
          <w:szCs w:val="21"/>
          <w:highlight w:val="none"/>
        </w:rPr>
        <w:fldChar w:fldCharType="end"/>
      </w:r>
    </w:p>
    <w:p w14:paraId="79CF59CD">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_Toc1890 </w:instrText>
      </w:r>
      <w:r>
        <w:rPr>
          <w:rFonts w:hint="eastAsia" w:ascii="宋体" w:hAnsi="宋体" w:cs="宋体"/>
          <w:szCs w:val="21"/>
          <w:highlight w:val="none"/>
        </w:rPr>
        <w:fldChar w:fldCharType="separate"/>
      </w:r>
      <w:r>
        <w:rPr>
          <w:rFonts w:hint="eastAsia" w:ascii="宋体" w:hAnsi="宋体" w:cs="宋体"/>
          <w:szCs w:val="21"/>
          <w:highlight w:val="none"/>
        </w:rPr>
        <w:t>19.投标文件的补充、修改和撤回</w:t>
      </w:r>
      <w:r>
        <w:tab/>
      </w:r>
      <w:r>
        <w:fldChar w:fldCharType="begin"/>
      </w:r>
      <w:r>
        <w:instrText xml:space="preserve"> PAGEREF _Toc1890 \h </w:instrText>
      </w:r>
      <w:r>
        <w:fldChar w:fldCharType="separate"/>
      </w:r>
      <w:r>
        <w:t>13</w:t>
      </w:r>
      <w:r>
        <w:fldChar w:fldCharType="end"/>
      </w:r>
      <w:r>
        <w:rPr>
          <w:rFonts w:hint="eastAsia" w:ascii="宋体" w:hAnsi="宋体" w:cs="宋体"/>
          <w:color w:val="000000"/>
          <w:szCs w:val="21"/>
          <w:highlight w:val="none"/>
        </w:rPr>
        <w:fldChar w:fldCharType="end"/>
      </w:r>
    </w:p>
    <w:p w14:paraId="4CD3FAB9">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_Toc23302 </w:instrText>
      </w:r>
      <w:r>
        <w:rPr>
          <w:rFonts w:hint="eastAsia" w:ascii="宋体" w:hAnsi="宋体" w:cs="宋体"/>
          <w:szCs w:val="21"/>
          <w:highlight w:val="none"/>
        </w:rPr>
        <w:fldChar w:fldCharType="separate"/>
      </w:r>
      <w:r>
        <w:rPr>
          <w:rFonts w:hint="eastAsia" w:ascii="宋体" w:hAnsi="宋体" w:cs="宋体"/>
          <w:szCs w:val="21"/>
          <w:highlight w:val="none"/>
        </w:rPr>
        <w:t>20.投标文件的递交和解密</w:t>
      </w:r>
      <w:r>
        <w:tab/>
      </w:r>
      <w:r>
        <w:fldChar w:fldCharType="begin"/>
      </w:r>
      <w:r>
        <w:instrText xml:space="preserve"> PAGEREF _Toc23302 \h </w:instrText>
      </w:r>
      <w:r>
        <w:fldChar w:fldCharType="separate"/>
      </w:r>
      <w:r>
        <w:t>13</w:t>
      </w:r>
      <w:r>
        <w:fldChar w:fldCharType="end"/>
      </w:r>
      <w:r>
        <w:rPr>
          <w:rFonts w:hint="eastAsia" w:ascii="宋体" w:hAnsi="宋体" w:cs="宋体"/>
          <w:color w:val="000000"/>
          <w:szCs w:val="21"/>
          <w:highlight w:val="none"/>
        </w:rPr>
        <w:fldChar w:fldCharType="end"/>
      </w:r>
    </w:p>
    <w:p w14:paraId="2845AC4D">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_Toc3772 </w:instrText>
      </w:r>
      <w:r>
        <w:rPr>
          <w:rFonts w:hint="eastAsia" w:ascii="宋体" w:hAnsi="宋体" w:cs="宋体"/>
          <w:szCs w:val="21"/>
          <w:highlight w:val="none"/>
        </w:rPr>
        <w:fldChar w:fldCharType="separate"/>
      </w:r>
      <w:r>
        <w:rPr>
          <w:rFonts w:hint="eastAsia" w:ascii="宋体" w:hAnsi="宋体" w:cs="宋体"/>
          <w:szCs w:val="28"/>
          <w:highlight w:val="none"/>
        </w:rPr>
        <w:t>四、开标</w:t>
      </w:r>
      <w:r>
        <w:tab/>
      </w:r>
      <w:r>
        <w:fldChar w:fldCharType="begin"/>
      </w:r>
      <w:r>
        <w:instrText xml:space="preserve"> PAGEREF _Toc3772 \h </w:instrText>
      </w:r>
      <w:r>
        <w:fldChar w:fldCharType="separate"/>
      </w:r>
      <w:r>
        <w:t>14</w:t>
      </w:r>
      <w:r>
        <w:fldChar w:fldCharType="end"/>
      </w:r>
      <w:r>
        <w:rPr>
          <w:rFonts w:hint="eastAsia" w:ascii="宋体" w:hAnsi="宋体" w:cs="宋体"/>
          <w:color w:val="000000"/>
          <w:szCs w:val="21"/>
          <w:highlight w:val="none"/>
        </w:rPr>
        <w:fldChar w:fldCharType="end"/>
      </w:r>
    </w:p>
    <w:p w14:paraId="6D11B71C">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_Toc16550 </w:instrText>
      </w:r>
      <w:r>
        <w:rPr>
          <w:rFonts w:hint="eastAsia" w:ascii="宋体" w:hAnsi="宋体" w:cs="宋体"/>
          <w:szCs w:val="21"/>
          <w:highlight w:val="none"/>
        </w:rPr>
        <w:fldChar w:fldCharType="separate"/>
      </w:r>
      <w:r>
        <w:rPr>
          <w:rFonts w:hint="eastAsia" w:ascii="宋体" w:hAnsi="宋体" w:cs="宋体"/>
          <w:szCs w:val="21"/>
          <w:highlight w:val="none"/>
        </w:rPr>
        <w:t>21.开标时间及地点</w:t>
      </w:r>
      <w:r>
        <w:tab/>
      </w:r>
      <w:r>
        <w:fldChar w:fldCharType="begin"/>
      </w:r>
      <w:r>
        <w:instrText xml:space="preserve"> PAGEREF _Toc16550 \h </w:instrText>
      </w:r>
      <w:r>
        <w:fldChar w:fldCharType="separate"/>
      </w:r>
      <w:r>
        <w:t>14</w:t>
      </w:r>
      <w:r>
        <w:fldChar w:fldCharType="end"/>
      </w:r>
      <w:r>
        <w:rPr>
          <w:rFonts w:hint="eastAsia" w:ascii="宋体" w:hAnsi="宋体" w:cs="宋体"/>
          <w:color w:val="000000"/>
          <w:szCs w:val="21"/>
          <w:highlight w:val="none"/>
        </w:rPr>
        <w:fldChar w:fldCharType="end"/>
      </w:r>
    </w:p>
    <w:p w14:paraId="516B3F40">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_Toc30965 </w:instrText>
      </w:r>
      <w:r>
        <w:rPr>
          <w:rFonts w:hint="eastAsia" w:ascii="宋体" w:hAnsi="宋体" w:cs="宋体"/>
          <w:szCs w:val="21"/>
          <w:highlight w:val="none"/>
        </w:rPr>
        <w:fldChar w:fldCharType="separate"/>
      </w:r>
      <w:r>
        <w:rPr>
          <w:rFonts w:hint="eastAsia" w:ascii="宋体" w:hAnsi="宋体" w:cs="宋体"/>
          <w:bCs/>
          <w:szCs w:val="21"/>
          <w:highlight w:val="none"/>
        </w:rPr>
        <w:t>22.开标程序</w:t>
      </w:r>
      <w:r>
        <w:tab/>
      </w:r>
      <w:r>
        <w:fldChar w:fldCharType="begin"/>
      </w:r>
      <w:r>
        <w:instrText xml:space="preserve"> PAGEREF _Toc30965 \h </w:instrText>
      </w:r>
      <w:r>
        <w:fldChar w:fldCharType="separate"/>
      </w:r>
      <w:r>
        <w:t>14</w:t>
      </w:r>
      <w:r>
        <w:fldChar w:fldCharType="end"/>
      </w:r>
      <w:r>
        <w:rPr>
          <w:rFonts w:hint="eastAsia" w:ascii="宋体" w:hAnsi="宋体" w:cs="宋体"/>
          <w:color w:val="000000"/>
          <w:szCs w:val="21"/>
          <w:highlight w:val="none"/>
        </w:rPr>
        <w:fldChar w:fldCharType="end"/>
      </w:r>
    </w:p>
    <w:p w14:paraId="42BC80AB">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_Toc1616 </w:instrText>
      </w:r>
      <w:r>
        <w:rPr>
          <w:rFonts w:hint="eastAsia" w:ascii="宋体" w:hAnsi="宋体" w:cs="宋体"/>
          <w:szCs w:val="21"/>
          <w:highlight w:val="none"/>
        </w:rPr>
        <w:fldChar w:fldCharType="separate"/>
      </w:r>
      <w:r>
        <w:rPr>
          <w:rFonts w:hint="eastAsia" w:ascii="宋体" w:hAnsi="宋体" w:cs="宋体"/>
          <w:szCs w:val="28"/>
          <w:highlight w:val="none"/>
        </w:rPr>
        <w:t>五、资格性审查</w:t>
      </w:r>
      <w:r>
        <w:tab/>
      </w:r>
      <w:r>
        <w:fldChar w:fldCharType="begin"/>
      </w:r>
      <w:r>
        <w:instrText xml:space="preserve"> PAGEREF _Toc1616 \h </w:instrText>
      </w:r>
      <w:r>
        <w:fldChar w:fldCharType="separate"/>
      </w:r>
      <w:r>
        <w:t>15</w:t>
      </w:r>
      <w:r>
        <w:fldChar w:fldCharType="end"/>
      </w:r>
      <w:r>
        <w:rPr>
          <w:rFonts w:hint="eastAsia" w:ascii="宋体" w:hAnsi="宋体" w:cs="宋体"/>
          <w:color w:val="000000"/>
          <w:szCs w:val="21"/>
          <w:highlight w:val="none"/>
        </w:rPr>
        <w:fldChar w:fldCharType="end"/>
      </w:r>
    </w:p>
    <w:p w14:paraId="321F043E">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_Toc6681 </w:instrText>
      </w:r>
      <w:r>
        <w:rPr>
          <w:rFonts w:hint="eastAsia" w:ascii="宋体" w:hAnsi="宋体" w:cs="宋体"/>
          <w:szCs w:val="21"/>
          <w:highlight w:val="none"/>
        </w:rPr>
        <w:fldChar w:fldCharType="separate"/>
      </w:r>
      <w:r>
        <w:rPr>
          <w:rFonts w:hint="eastAsia" w:ascii="宋体" w:hAnsi="宋体" w:cs="宋体"/>
          <w:szCs w:val="21"/>
          <w:highlight w:val="none"/>
        </w:rPr>
        <w:t>23.资格性审查</w:t>
      </w:r>
      <w:r>
        <w:tab/>
      </w:r>
      <w:r>
        <w:fldChar w:fldCharType="begin"/>
      </w:r>
      <w:r>
        <w:instrText xml:space="preserve"> PAGEREF _Toc6681 \h </w:instrText>
      </w:r>
      <w:r>
        <w:fldChar w:fldCharType="separate"/>
      </w:r>
      <w:r>
        <w:t>15</w:t>
      </w:r>
      <w:r>
        <w:fldChar w:fldCharType="end"/>
      </w:r>
      <w:r>
        <w:rPr>
          <w:rFonts w:hint="eastAsia" w:ascii="宋体" w:hAnsi="宋体" w:cs="宋体"/>
          <w:color w:val="000000"/>
          <w:szCs w:val="21"/>
          <w:highlight w:val="none"/>
        </w:rPr>
        <w:fldChar w:fldCharType="end"/>
      </w:r>
    </w:p>
    <w:p w14:paraId="59ECF7B7">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_Toc20260 </w:instrText>
      </w:r>
      <w:r>
        <w:rPr>
          <w:rFonts w:hint="eastAsia" w:ascii="宋体" w:hAnsi="宋体" w:cs="宋体"/>
          <w:szCs w:val="21"/>
          <w:highlight w:val="none"/>
        </w:rPr>
        <w:fldChar w:fldCharType="separate"/>
      </w:r>
      <w:r>
        <w:rPr>
          <w:rFonts w:hint="eastAsia" w:ascii="宋体" w:hAnsi="宋体" w:cs="宋体"/>
          <w:szCs w:val="28"/>
          <w:highlight w:val="none"/>
        </w:rPr>
        <w:t>六、评标</w:t>
      </w:r>
      <w:r>
        <w:tab/>
      </w:r>
      <w:r>
        <w:fldChar w:fldCharType="begin"/>
      </w:r>
      <w:r>
        <w:instrText xml:space="preserve"> PAGEREF _Toc20260 \h </w:instrText>
      </w:r>
      <w:r>
        <w:fldChar w:fldCharType="separate"/>
      </w:r>
      <w:r>
        <w:t>15</w:t>
      </w:r>
      <w:r>
        <w:fldChar w:fldCharType="end"/>
      </w:r>
      <w:r>
        <w:rPr>
          <w:rFonts w:hint="eastAsia" w:ascii="宋体" w:hAnsi="宋体" w:cs="宋体"/>
          <w:color w:val="000000"/>
          <w:szCs w:val="21"/>
          <w:highlight w:val="none"/>
        </w:rPr>
        <w:fldChar w:fldCharType="end"/>
      </w:r>
    </w:p>
    <w:p w14:paraId="5D610D6E">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_Toc13053 </w:instrText>
      </w:r>
      <w:r>
        <w:rPr>
          <w:rFonts w:hint="eastAsia" w:ascii="宋体" w:hAnsi="宋体" w:cs="宋体"/>
          <w:szCs w:val="21"/>
          <w:highlight w:val="none"/>
        </w:rPr>
        <w:fldChar w:fldCharType="separate"/>
      </w:r>
      <w:r>
        <w:rPr>
          <w:rFonts w:hint="eastAsia" w:ascii="宋体" w:hAnsi="宋体" w:cs="宋体"/>
          <w:szCs w:val="21"/>
          <w:highlight w:val="none"/>
        </w:rPr>
        <w:t>24.评标委员会组成</w:t>
      </w:r>
      <w:r>
        <w:tab/>
      </w:r>
      <w:r>
        <w:fldChar w:fldCharType="begin"/>
      </w:r>
      <w:r>
        <w:instrText xml:space="preserve"> PAGEREF _Toc13053 \h </w:instrText>
      </w:r>
      <w:r>
        <w:fldChar w:fldCharType="separate"/>
      </w:r>
      <w:r>
        <w:t>15</w:t>
      </w:r>
      <w:r>
        <w:fldChar w:fldCharType="end"/>
      </w:r>
      <w:r>
        <w:rPr>
          <w:rFonts w:hint="eastAsia" w:ascii="宋体" w:hAnsi="宋体" w:cs="宋体"/>
          <w:color w:val="000000"/>
          <w:szCs w:val="21"/>
          <w:highlight w:val="none"/>
        </w:rPr>
        <w:fldChar w:fldCharType="end"/>
      </w:r>
    </w:p>
    <w:p w14:paraId="14D9C5B0">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_Toc16883 </w:instrText>
      </w:r>
      <w:r>
        <w:rPr>
          <w:rFonts w:hint="eastAsia" w:ascii="宋体" w:hAnsi="宋体" w:cs="宋体"/>
          <w:szCs w:val="21"/>
          <w:highlight w:val="none"/>
        </w:rPr>
        <w:fldChar w:fldCharType="separate"/>
      </w:r>
      <w:r>
        <w:rPr>
          <w:rFonts w:hint="eastAsia" w:ascii="宋体" w:hAnsi="宋体" w:cs="宋体"/>
          <w:szCs w:val="21"/>
          <w:highlight w:val="none"/>
        </w:rPr>
        <w:t>25.评标原则</w:t>
      </w:r>
      <w:r>
        <w:tab/>
      </w:r>
      <w:r>
        <w:fldChar w:fldCharType="begin"/>
      </w:r>
      <w:r>
        <w:instrText xml:space="preserve"> PAGEREF _Toc16883 \h </w:instrText>
      </w:r>
      <w:r>
        <w:fldChar w:fldCharType="separate"/>
      </w:r>
      <w:r>
        <w:t>15</w:t>
      </w:r>
      <w:r>
        <w:fldChar w:fldCharType="end"/>
      </w:r>
      <w:r>
        <w:rPr>
          <w:rFonts w:hint="eastAsia" w:ascii="宋体" w:hAnsi="宋体" w:cs="宋体"/>
          <w:color w:val="000000"/>
          <w:szCs w:val="21"/>
          <w:highlight w:val="none"/>
        </w:rPr>
        <w:fldChar w:fldCharType="end"/>
      </w:r>
    </w:p>
    <w:p w14:paraId="2736403C">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_Toc23358 </w:instrText>
      </w:r>
      <w:r>
        <w:rPr>
          <w:rFonts w:hint="eastAsia" w:ascii="宋体" w:hAnsi="宋体" w:cs="宋体"/>
          <w:szCs w:val="21"/>
          <w:highlight w:val="none"/>
        </w:rPr>
        <w:fldChar w:fldCharType="separate"/>
      </w:r>
      <w:r>
        <w:rPr>
          <w:rFonts w:hint="eastAsia" w:ascii="宋体" w:hAnsi="宋体" w:cs="宋体"/>
          <w:szCs w:val="21"/>
          <w:highlight w:val="none"/>
        </w:rPr>
        <w:t>26.评标</w:t>
      </w:r>
      <w:r>
        <w:tab/>
      </w:r>
      <w:r>
        <w:fldChar w:fldCharType="begin"/>
      </w:r>
      <w:r>
        <w:instrText xml:space="preserve"> PAGEREF _Toc23358 \h </w:instrText>
      </w:r>
      <w:r>
        <w:fldChar w:fldCharType="separate"/>
      </w:r>
      <w:r>
        <w:t>15</w:t>
      </w:r>
      <w:r>
        <w:fldChar w:fldCharType="end"/>
      </w:r>
      <w:r>
        <w:rPr>
          <w:rFonts w:hint="eastAsia" w:ascii="宋体" w:hAnsi="宋体" w:cs="宋体"/>
          <w:color w:val="000000"/>
          <w:szCs w:val="21"/>
          <w:highlight w:val="none"/>
        </w:rPr>
        <w:fldChar w:fldCharType="end"/>
      </w:r>
    </w:p>
    <w:p w14:paraId="532454D1">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_Toc7115 </w:instrText>
      </w:r>
      <w:r>
        <w:rPr>
          <w:rFonts w:hint="eastAsia" w:ascii="宋体" w:hAnsi="宋体" w:cs="宋体"/>
          <w:szCs w:val="21"/>
          <w:highlight w:val="none"/>
        </w:rPr>
        <w:fldChar w:fldCharType="separate"/>
      </w:r>
      <w:r>
        <w:rPr>
          <w:rFonts w:hint="eastAsia" w:ascii="宋体" w:hAnsi="宋体" w:cs="宋体"/>
          <w:szCs w:val="21"/>
          <w:highlight w:val="none"/>
        </w:rPr>
        <w:t>27.推荐及确定中标候选供应商原则</w:t>
      </w:r>
      <w:r>
        <w:tab/>
      </w:r>
      <w:r>
        <w:fldChar w:fldCharType="begin"/>
      </w:r>
      <w:r>
        <w:instrText xml:space="preserve"> PAGEREF _Toc7115 \h </w:instrText>
      </w:r>
      <w:r>
        <w:fldChar w:fldCharType="separate"/>
      </w:r>
      <w:r>
        <w:t>17</w:t>
      </w:r>
      <w:r>
        <w:fldChar w:fldCharType="end"/>
      </w:r>
      <w:r>
        <w:rPr>
          <w:rFonts w:hint="eastAsia" w:ascii="宋体" w:hAnsi="宋体" w:cs="宋体"/>
          <w:color w:val="000000"/>
          <w:szCs w:val="21"/>
          <w:highlight w:val="none"/>
        </w:rPr>
        <w:fldChar w:fldCharType="end"/>
      </w:r>
    </w:p>
    <w:p w14:paraId="57F4A58A">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_Toc22535 </w:instrText>
      </w:r>
      <w:r>
        <w:rPr>
          <w:rFonts w:hint="eastAsia" w:ascii="宋体" w:hAnsi="宋体" w:cs="宋体"/>
          <w:szCs w:val="21"/>
          <w:highlight w:val="none"/>
        </w:rPr>
        <w:fldChar w:fldCharType="separate"/>
      </w:r>
      <w:r>
        <w:rPr>
          <w:rFonts w:hint="eastAsia" w:ascii="宋体" w:hAnsi="宋体" w:cs="宋体"/>
          <w:szCs w:val="21"/>
          <w:highlight w:val="none"/>
        </w:rPr>
        <w:t>28.属于下列情况之一者，投标无效</w:t>
      </w:r>
      <w:r>
        <w:tab/>
      </w:r>
      <w:r>
        <w:fldChar w:fldCharType="begin"/>
      </w:r>
      <w:r>
        <w:instrText xml:space="preserve"> PAGEREF _Toc22535 \h </w:instrText>
      </w:r>
      <w:r>
        <w:fldChar w:fldCharType="separate"/>
      </w:r>
      <w:r>
        <w:t>17</w:t>
      </w:r>
      <w:r>
        <w:fldChar w:fldCharType="end"/>
      </w:r>
      <w:r>
        <w:rPr>
          <w:rFonts w:hint="eastAsia" w:ascii="宋体" w:hAnsi="宋体" w:cs="宋体"/>
          <w:color w:val="000000"/>
          <w:szCs w:val="21"/>
          <w:highlight w:val="none"/>
        </w:rPr>
        <w:fldChar w:fldCharType="end"/>
      </w:r>
    </w:p>
    <w:p w14:paraId="7692DBCB">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_Toc27 </w:instrText>
      </w:r>
      <w:r>
        <w:rPr>
          <w:rFonts w:hint="eastAsia" w:ascii="宋体" w:hAnsi="宋体" w:cs="宋体"/>
          <w:szCs w:val="21"/>
          <w:highlight w:val="none"/>
        </w:rPr>
        <w:fldChar w:fldCharType="separate"/>
      </w:r>
      <w:r>
        <w:rPr>
          <w:rFonts w:hint="eastAsia" w:ascii="宋体" w:hAnsi="宋体" w:cs="宋体"/>
          <w:szCs w:val="21"/>
          <w:highlight w:val="none"/>
        </w:rPr>
        <w:t>29.投标人有下列情形之一的，视为串通投标，投标文件将被视为无效</w:t>
      </w:r>
      <w:r>
        <w:tab/>
      </w:r>
      <w:r>
        <w:fldChar w:fldCharType="begin"/>
      </w:r>
      <w:r>
        <w:instrText xml:space="preserve"> PAGEREF _Toc27 \h </w:instrText>
      </w:r>
      <w:r>
        <w:fldChar w:fldCharType="separate"/>
      </w:r>
      <w:r>
        <w:t>17</w:t>
      </w:r>
      <w:r>
        <w:fldChar w:fldCharType="end"/>
      </w:r>
      <w:r>
        <w:rPr>
          <w:rFonts w:hint="eastAsia" w:ascii="宋体" w:hAnsi="宋体" w:cs="宋体"/>
          <w:color w:val="000000"/>
          <w:szCs w:val="21"/>
          <w:highlight w:val="none"/>
        </w:rPr>
        <w:fldChar w:fldCharType="end"/>
      </w:r>
    </w:p>
    <w:p w14:paraId="5510F8C2">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_Toc11833 </w:instrText>
      </w:r>
      <w:r>
        <w:rPr>
          <w:rFonts w:hint="eastAsia" w:ascii="宋体" w:hAnsi="宋体" w:cs="宋体"/>
          <w:szCs w:val="21"/>
          <w:highlight w:val="none"/>
        </w:rPr>
        <w:fldChar w:fldCharType="separate"/>
      </w:r>
      <w:r>
        <w:rPr>
          <w:rFonts w:hint="eastAsia" w:ascii="宋体" w:hAnsi="宋体" w:cs="宋体"/>
          <w:szCs w:val="21"/>
          <w:highlight w:val="none"/>
        </w:rPr>
        <w:t>30.属于下列情形之一的，应予废标</w:t>
      </w:r>
      <w:r>
        <w:tab/>
      </w:r>
      <w:r>
        <w:fldChar w:fldCharType="begin"/>
      </w:r>
      <w:r>
        <w:instrText xml:space="preserve"> PAGEREF _Toc11833 \h </w:instrText>
      </w:r>
      <w:r>
        <w:fldChar w:fldCharType="separate"/>
      </w:r>
      <w:r>
        <w:t>18</w:t>
      </w:r>
      <w:r>
        <w:fldChar w:fldCharType="end"/>
      </w:r>
      <w:r>
        <w:rPr>
          <w:rFonts w:hint="eastAsia" w:ascii="宋体" w:hAnsi="宋体" w:cs="宋体"/>
          <w:color w:val="000000"/>
          <w:szCs w:val="21"/>
          <w:highlight w:val="none"/>
        </w:rPr>
        <w:fldChar w:fldCharType="end"/>
      </w:r>
    </w:p>
    <w:p w14:paraId="03B1C540">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_Toc15042 </w:instrText>
      </w:r>
      <w:r>
        <w:rPr>
          <w:rFonts w:hint="eastAsia" w:ascii="宋体" w:hAnsi="宋体" w:cs="宋体"/>
          <w:szCs w:val="21"/>
          <w:highlight w:val="none"/>
        </w:rPr>
        <w:fldChar w:fldCharType="separate"/>
      </w:r>
      <w:r>
        <w:rPr>
          <w:rFonts w:hint="eastAsia" w:ascii="宋体" w:hAnsi="宋体" w:cs="宋体"/>
          <w:szCs w:val="21"/>
          <w:highlight w:val="none"/>
        </w:rPr>
        <w:t>31.开标、评标过程的监控</w:t>
      </w:r>
      <w:r>
        <w:tab/>
      </w:r>
      <w:r>
        <w:fldChar w:fldCharType="begin"/>
      </w:r>
      <w:r>
        <w:instrText xml:space="preserve"> PAGEREF _Toc15042 \h </w:instrText>
      </w:r>
      <w:r>
        <w:fldChar w:fldCharType="separate"/>
      </w:r>
      <w:r>
        <w:t>18</w:t>
      </w:r>
      <w:r>
        <w:fldChar w:fldCharType="end"/>
      </w:r>
      <w:r>
        <w:rPr>
          <w:rFonts w:hint="eastAsia" w:ascii="宋体" w:hAnsi="宋体" w:cs="宋体"/>
          <w:color w:val="000000"/>
          <w:szCs w:val="21"/>
          <w:highlight w:val="none"/>
        </w:rPr>
        <w:fldChar w:fldCharType="end"/>
      </w:r>
    </w:p>
    <w:p w14:paraId="59FE4E10">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_Toc29358 </w:instrText>
      </w:r>
      <w:r>
        <w:rPr>
          <w:rFonts w:hint="eastAsia" w:ascii="宋体" w:hAnsi="宋体" w:cs="宋体"/>
          <w:szCs w:val="21"/>
          <w:highlight w:val="none"/>
        </w:rPr>
        <w:fldChar w:fldCharType="separate"/>
      </w:r>
      <w:r>
        <w:rPr>
          <w:rFonts w:hint="eastAsia" w:ascii="宋体" w:hAnsi="宋体" w:cs="宋体"/>
          <w:szCs w:val="21"/>
          <w:highlight w:val="none"/>
        </w:rPr>
        <w:t>32.信用查询</w:t>
      </w:r>
      <w:r>
        <w:tab/>
      </w:r>
      <w:r>
        <w:fldChar w:fldCharType="begin"/>
      </w:r>
      <w:r>
        <w:instrText xml:space="preserve"> PAGEREF _Toc29358 \h </w:instrText>
      </w:r>
      <w:r>
        <w:fldChar w:fldCharType="separate"/>
      </w:r>
      <w:r>
        <w:t>18</w:t>
      </w:r>
      <w:r>
        <w:fldChar w:fldCharType="end"/>
      </w:r>
      <w:r>
        <w:rPr>
          <w:rFonts w:hint="eastAsia" w:ascii="宋体" w:hAnsi="宋体" w:cs="宋体"/>
          <w:color w:val="000000"/>
          <w:szCs w:val="21"/>
          <w:highlight w:val="none"/>
        </w:rPr>
        <w:fldChar w:fldCharType="end"/>
      </w:r>
    </w:p>
    <w:p w14:paraId="210C3B77">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_Toc3011 </w:instrText>
      </w:r>
      <w:r>
        <w:rPr>
          <w:rFonts w:hint="eastAsia" w:ascii="宋体" w:hAnsi="宋体" w:cs="宋体"/>
          <w:szCs w:val="21"/>
          <w:highlight w:val="none"/>
        </w:rPr>
        <w:fldChar w:fldCharType="separate"/>
      </w:r>
      <w:r>
        <w:rPr>
          <w:rFonts w:hint="eastAsia" w:ascii="宋体" w:hAnsi="宋体" w:cs="宋体"/>
          <w:szCs w:val="21"/>
          <w:highlight w:val="none"/>
        </w:rPr>
        <w:t>33.中标公告及中标通知书</w:t>
      </w:r>
      <w:r>
        <w:tab/>
      </w:r>
      <w:r>
        <w:fldChar w:fldCharType="begin"/>
      </w:r>
      <w:r>
        <w:instrText xml:space="preserve"> PAGEREF _Toc3011 \h </w:instrText>
      </w:r>
      <w:r>
        <w:fldChar w:fldCharType="separate"/>
      </w:r>
      <w:r>
        <w:t>18</w:t>
      </w:r>
      <w:r>
        <w:fldChar w:fldCharType="end"/>
      </w:r>
      <w:r>
        <w:rPr>
          <w:rFonts w:hint="eastAsia" w:ascii="宋体" w:hAnsi="宋体" w:cs="宋体"/>
          <w:color w:val="000000"/>
          <w:szCs w:val="21"/>
          <w:highlight w:val="none"/>
        </w:rPr>
        <w:fldChar w:fldCharType="end"/>
      </w:r>
    </w:p>
    <w:p w14:paraId="78F35D00">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_Toc12713 </w:instrText>
      </w:r>
      <w:r>
        <w:rPr>
          <w:rFonts w:hint="eastAsia" w:ascii="宋体" w:hAnsi="宋体" w:cs="宋体"/>
          <w:szCs w:val="21"/>
          <w:highlight w:val="none"/>
        </w:rPr>
        <w:fldChar w:fldCharType="separate"/>
      </w:r>
      <w:r>
        <w:rPr>
          <w:rFonts w:hint="eastAsia" w:ascii="宋体" w:hAnsi="宋体" w:cs="宋体"/>
          <w:szCs w:val="28"/>
          <w:highlight w:val="none"/>
        </w:rPr>
        <w:t>七、履约保证金及签订合同</w:t>
      </w:r>
      <w:r>
        <w:tab/>
      </w:r>
      <w:r>
        <w:fldChar w:fldCharType="begin"/>
      </w:r>
      <w:r>
        <w:instrText xml:space="preserve"> PAGEREF _Toc12713 \h </w:instrText>
      </w:r>
      <w:r>
        <w:fldChar w:fldCharType="separate"/>
      </w:r>
      <w:r>
        <w:t>18</w:t>
      </w:r>
      <w:r>
        <w:fldChar w:fldCharType="end"/>
      </w:r>
      <w:r>
        <w:rPr>
          <w:rFonts w:hint="eastAsia" w:ascii="宋体" w:hAnsi="宋体" w:cs="宋体"/>
          <w:color w:val="000000"/>
          <w:szCs w:val="21"/>
          <w:highlight w:val="none"/>
        </w:rPr>
        <w:fldChar w:fldCharType="end"/>
      </w:r>
    </w:p>
    <w:p w14:paraId="4F687A2C">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_Toc4472 </w:instrText>
      </w:r>
      <w:r>
        <w:rPr>
          <w:rFonts w:hint="eastAsia" w:ascii="宋体" w:hAnsi="宋体" w:cs="宋体"/>
          <w:szCs w:val="21"/>
          <w:highlight w:val="none"/>
        </w:rPr>
        <w:fldChar w:fldCharType="separate"/>
      </w:r>
      <w:r>
        <w:rPr>
          <w:rFonts w:hint="eastAsia" w:ascii="宋体" w:hAnsi="宋体" w:cs="宋体"/>
          <w:szCs w:val="21"/>
          <w:highlight w:val="none"/>
        </w:rPr>
        <w:t>34.履约保证金</w:t>
      </w:r>
      <w:r>
        <w:tab/>
      </w:r>
      <w:r>
        <w:fldChar w:fldCharType="begin"/>
      </w:r>
      <w:r>
        <w:instrText xml:space="preserve"> PAGEREF _Toc4472 \h </w:instrText>
      </w:r>
      <w:r>
        <w:fldChar w:fldCharType="separate"/>
      </w:r>
      <w:r>
        <w:t>18</w:t>
      </w:r>
      <w:r>
        <w:fldChar w:fldCharType="end"/>
      </w:r>
      <w:r>
        <w:rPr>
          <w:rFonts w:hint="eastAsia" w:ascii="宋体" w:hAnsi="宋体" w:cs="宋体"/>
          <w:color w:val="000000"/>
          <w:szCs w:val="21"/>
          <w:highlight w:val="none"/>
        </w:rPr>
        <w:fldChar w:fldCharType="end"/>
      </w:r>
    </w:p>
    <w:p w14:paraId="33FBB7B5">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_Toc20148 </w:instrText>
      </w:r>
      <w:r>
        <w:rPr>
          <w:rFonts w:hint="eastAsia" w:ascii="宋体" w:hAnsi="宋体" w:cs="宋体"/>
          <w:szCs w:val="21"/>
          <w:highlight w:val="none"/>
        </w:rPr>
        <w:fldChar w:fldCharType="separate"/>
      </w:r>
      <w:r>
        <w:rPr>
          <w:rFonts w:hint="eastAsia" w:ascii="宋体" w:hAnsi="宋体" w:cs="宋体"/>
          <w:szCs w:val="21"/>
          <w:highlight w:val="none"/>
        </w:rPr>
        <w:t>35.签订合同</w:t>
      </w:r>
      <w:r>
        <w:tab/>
      </w:r>
      <w:r>
        <w:fldChar w:fldCharType="begin"/>
      </w:r>
      <w:r>
        <w:instrText xml:space="preserve"> PAGEREF _Toc20148 \h </w:instrText>
      </w:r>
      <w:r>
        <w:fldChar w:fldCharType="separate"/>
      </w:r>
      <w:r>
        <w:t>19</w:t>
      </w:r>
      <w:r>
        <w:fldChar w:fldCharType="end"/>
      </w:r>
      <w:r>
        <w:rPr>
          <w:rFonts w:hint="eastAsia" w:ascii="宋体" w:hAnsi="宋体" w:cs="宋体"/>
          <w:color w:val="000000"/>
          <w:szCs w:val="21"/>
          <w:highlight w:val="none"/>
        </w:rPr>
        <w:fldChar w:fldCharType="end"/>
      </w:r>
    </w:p>
    <w:p w14:paraId="3DB1281E">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_Toc19832 </w:instrText>
      </w:r>
      <w:r>
        <w:rPr>
          <w:rFonts w:hint="eastAsia" w:ascii="宋体" w:hAnsi="宋体" w:cs="宋体"/>
          <w:szCs w:val="21"/>
          <w:highlight w:val="none"/>
        </w:rPr>
        <w:fldChar w:fldCharType="separate"/>
      </w:r>
      <w:r>
        <w:rPr>
          <w:rFonts w:hint="eastAsia" w:ascii="宋体" w:hAnsi="宋体" w:cs="宋体"/>
          <w:szCs w:val="28"/>
          <w:highlight w:val="none"/>
        </w:rPr>
        <w:t>八、其他事项</w:t>
      </w:r>
      <w:r>
        <w:tab/>
      </w:r>
      <w:r>
        <w:fldChar w:fldCharType="begin"/>
      </w:r>
      <w:r>
        <w:instrText xml:space="preserve"> PAGEREF _Toc19832 \h </w:instrText>
      </w:r>
      <w:r>
        <w:fldChar w:fldCharType="separate"/>
      </w:r>
      <w:r>
        <w:t>19</w:t>
      </w:r>
      <w:r>
        <w:fldChar w:fldCharType="end"/>
      </w:r>
      <w:r>
        <w:rPr>
          <w:rFonts w:hint="eastAsia" w:ascii="宋体" w:hAnsi="宋体" w:cs="宋体"/>
          <w:color w:val="000000"/>
          <w:szCs w:val="21"/>
          <w:highlight w:val="none"/>
        </w:rPr>
        <w:fldChar w:fldCharType="end"/>
      </w:r>
    </w:p>
    <w:p w14:paraId="7BE032E3">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_Toc2166 </w:instrText>
      </w:r>
      <w:r>
        <w:rPr>
          <w:rFonts w:hint="eastAsia" w:ascii="宋体" w:hAnsi="宋体" w:cs="宋体"/>
          <w:szCs w:val="21"/>
          <w:highlight w:val="none"/>
        </w:rPr>
        <w:fldChar w:fldCharType="separate"/>
      </w:r>
      <w:r>
        <w:rPr>
          <w:rFonts w:hint="eastAsia" w:ascii="宋体" w:hAnsi="宋体" w:cs="宋体"/>
          <w:szCs w:val="21"/>
          <w:highlight w:val="none"/>
        </w:rPr>
        <w:t>36.招标代理服务费</w:t>
      </w:r>
      <w:r>
        <w:tab/>
      </w:r>
      <w:r>
        <w:fldChar w:fldCharType="begin"/>
      </w:r>
      <w:r>
        <w:instrText xml:space="preserve"> PAGEREF _Toc2166 \h </w:instrText>
      </w:r>
      <w:r>
        <w:fldChar w:fldCharType="separate"/>
      </w:r>
      <w:r>
        <w:t>19</w:t>
      </w:r>
      <w:r>
        <w:fldChar w:fldCharType="end"/>
      </w:r>
      <w:r>
        <w:rPr>
          <w:rFonts w:hint="eastAsia" w:ascii="宋体" w:hAnsi="宋体" w:cs="宋体"/>
          <w:color w:val="000000"/>
          <w:szCs w:val="21"/>
          <w:highlight w:val="none"/>
        </w:rPr>
        <w:fldChar w:fldCharType="end"/>
      </w:r>
    </w:p>
    <w:p w14:paraId="7F4AEEC6">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_Toc24971 </w:instrText>
      </w:r>
      <w:r>
        <w:rPr>
          <w:rFonts w:hint="eastAsia" w:ascii="宋体" w:hAnsi="宋体" w:cs="宋体"/>
          <w:szCs w:val="21"/>
          <w:highlight w:val="none"/>
        </w:rPr>
        <w:fldChar w:fldCharType="separate"/>
      </w:r>
      <w:r>
        <w:rPr>
          <w:rFonts w:hint="eastAsia" w:ascii="宋体" w:hAnsi="宋体" w:cs="宋体"/>
          <w:szCs w:val="21"/>
          <w:highlight w:val="none"/>
        </w:rPr>
        <w:t>37.</w:t>
      </w:r>
      <w:r>
        <w:rPr>
          <w:rFonts w:hint="eastAsia" w:ascii="宋体" w:hAnsi="宋体" w:cs="宋体"/>
          <w:szCs w:val="21"/>
          <w:highlight w:val="none"/>
          <w:lang w:eastAsia="zh-CN"/>
        </w:rPr>
        <w:t>编制依据</w:t>
      </w:r>
      <w:r>
        <w:tab/>
      </w:r>
      <w:r>
        <w:fldChar w:fldCharType="begin"/>
      </w:r>
      <w:r>
        <w:instrText xml:space="preserve"> PAGEREF _Toc24971 \h </w:instrText>
      </w:r>
      <w:r>
        <w:fldChar w:fldCharType="separate"/>
      </w:r>
      <w:r>
        <w:t>19</w:t>
      </w:r>
      <w:r>
        <w:fldChar w:fldCharType="end"/>
      </w:r>
      <w:r>
        <w:rPr>
          <w:rFonts w:hint="eastAsia" w:ascii="宋体" w:hAnsi="宋体" w:cs="宋体"/>
          <w:color w:val="000000"/>
          <w:szCs w:val="21"/>
          <w:highlight w:val="none"/>
        </w:rPr>
        <w:fldChar w:fldCharType="end"/>
      </w:r>
    </w:p>
    <w:p w14:paraId="233C5100">
      <w:pPr>
        <w:pStyle w:val="16"/>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_Toc26705 </w:instrText>
      </w:r>
      <w:r>
        <w:rPr>
          <w:rFonts w:hint="eastAsia" w:ascii="宋体" w:hAnsi="宋体" w:cs="宋体"/>
          <w:szCs w:val="21"/>
          <w:highlight w:val="none"/>
        </w:rPr>
        <w:fldChar w:fldCharType="separate"/>
      </w:r>
      <w:r>
        <w:rPr>
          <w:rFonts w:hint="eastAsia" w:ascii="宋体" w:hAnsi="宋体" w:cs="宋体"/>
          <w:szCs w:val="21"/>
          <w:highlight w:val="none"/>
        </w:rPr>
        <w:t>38.监督管理机构</w:t>
      </w:r>
      <w:r>
        <w:tab/>
      </w:r>
      <w:r>
        <w:fldChar w:fldCharType="begin"/>
      </w:r>
      <w:r>
        <w:instrText xml:space="preserve"> PAGEREF _Toc26705 \h </w:instrText>
      </w:r>
      <w:r>
        <w:fldChar w:fldCharType="separate"/>
      </w:r>
      <w:r>
        <w:t>19</w:t>
      </w:r>
      <w:r>
        <w:fldChar w:fldCharType="end"/>
      </w:r>
      <w:r>
        <w:rPr>
          <w:rFonts w:hint="eastAsia" w:ascii="宋体" w:hAnsi="宋体" w:cs="宋体"/>
          <w:color w:val="000000"/>
          <w:szCs w:val="21"/>
          <w:highlight w:val="none"/>
        </w:rPr>
        <w:fldChar w:fldCharType="end"/>
      </w:r>
    </w:p>
    <w:p w14:paraId="497F2AA8">
      <w:pPr>
        <w:pStyle w:val="21"/>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_Toc19808 </w:instrText>
      </w:r>
      <w:r>
        <w:rPr>
          <w:rFonts w:hint="eastAsia" w:ascii="宋体" w:hAnsi="宋体" w:cs="宋体"/>
          <w:szCs w:val="21"/>
          <w:highlight w:val="none"/>
        </w:rPr>
        <w:fldChar w:fldCharType="separate"/>
      </w:r>
      <w:r>
        <w:rPr>
          <w:rFonts w:hint="eastAsia"/>
          <w:szCs w:val="32"/>
          <w:highlight w:val="none"/>
        </w:rPr>
        <w:t>第三章采购需求</w:t>
      </w:r>
      <w:r>
        <w:tab/>
      </w:r>
      <w:r>
        <w:fldChar w:fldCharType="begin"/>
      </w:r>
      <w:r>
        <w:instrText xml:space="preserve"> PAGEREF _Toc19808 \h </w:instrText>
      </w:r>
      <w:r>
        <w:fldChar w:fldCharType="separate"/>
      </w:r>
      <w:r>
        <w:t>20</w:t>
      </w:r>
      <w:r>
        <w:fldChar w:fldCharType="end"/>
      </w:r>
      <w:r>
        <w:rPr>
          <w:rFonts w:hint="eastAsia" w:ascii="宋体" w:hAnsi="宋体" w:cs="宋体"/>
          <w:color w:val="000000"/>
          <w:szCs w:val="21"/>
          <w:highlight w:val="none"/>
        </w:rPr>
        <w:fldChar w:fldCharType="end"/>
      </w:r>
    </w:p>
    <w:p w14:paraId="5514DFB0">
      <w:pPr>
        <w:pStyle w:val="21"/>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_Toc25535 </w:instrText>
      </w:r>
      <w:r>
        <w:rPr>
          <w:rFonts w:hint="eastAsia" w:ascii="宋体" w:hAnsi="宋体" w:cs="宋体"/>
          <w:szCs w:val="21"/>
          <w:highlight w:val="none"/>
        </w:rPr>
        <w:fldChar w:fldCharType="separate"/>
      </w:r>
      <w:r>
        <w:rPr>
          <w:rFonts w:hint="eastAsia" w:ascii="宋体" w:hAnsi="宋体" w:cs="宋体"/>
          <w:szCs w:val="32"/>
          <w:highlight w:val="none"/>
        </w:rPr>
        <w:t>第四章评标办法</w:t>
      </w:r>
      <w:r>
        <w:tab/>
      </w:r>
      <w:r>
        <w:fldChar w:fldCharType="begin"/>
      </w:r>
      <w:r>
        <w:instrText xml:space="preserve"> PAGEREF _Toc25535 \h </w:instrText>
      </w:r>
      <w:r>
        <w:fldChar w:fldCharType="separate"/>
      </w:r>
      <w:r>
        <w:t>45</w:t>
      </w:r>
      <w:r>
        <w:fldChar w:fldCharType="end"/>
      </w:r>
      <w:r>
        <w:rPr>
          <w:rFonts w:hint="eastAsia" w:ascii="宋体" w:hAnsi="宋体" w:cs="宋体"/>
          <w:color w:val="000000"/>
          <w:szCs w:val="21"/>
          <w:highlight w:val="none"/>
        </w:rPr>
        <w:fldChar w:fldCharType="end"/>
      </w:r>
    </w:p>
    <w:p w14:paraId="4F9D322E">
      <w:pPr>
        <w:pStyle w:val="21"/>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_Toc31465 </w:instrText>
      </w:r>
      <w:r>
        <w:rPr>
          <w:rFonts w:hint="eastAsia" w:ascii="宋体" w:hAnsi="宋体" w:cs="宋体"/>
          <w:szCs w:val="21"/>
          <w:highlight w:val="none"/>
        </w:rPr>
        <w:fldChar w:fldCharType="separate"/>
      </w:r>
      <w:r>
        <w:rPr>
          <w:rFonts w:hint="eastAsia" w:ascii="宋体" w:hAnsi="宋体" w:cs="宋体"/>
          <w:bCs/>
          <w:szCs w:val="32"/>
          <w:highlight w:val="none"/>
        </w:rPr>
        <w:t>第五章采购合同（合同主要条款及格式）</w:t>
      </w:r>
      <w:r>
        <w:tab/>
      </w:r>
      <w:r>
        <w:fldChar w:fldCharType="begin"/>
      </w:r>
      <w:r>
        <w:instrText xml:space="preserve"> PAGEREF _Toc31465 \h </w:instrText>
      </w:r>
      <w:r>
        <w:fldChar w:fldCharType="separate"/>
      </w:r>
      <w:r>
        <w:t>54</w:t>
      </w:r>
      <w:r>
        <w:fldChar w:fldCharType="end"/>
      </w:r>
      <w:r>
        <w:rPr>
          <w:rFonts w:hint="eastAsia" w:ascii="宋体" w:hAnsi="宋体" w:cs="宋体"/>
          <w:color w:val="000000"/>
          <w:szCs w:val="21"/>
          <w:highlight w:val="none"/>
        </w:rPr>
        <w:fldChar w:fldCharType="end"/>
      </w:r>
    </w:p>
    <w:p w14:paraId="6C4E0064">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_Toc26058 </w:instrText>
      </w:r>
      <w:r>
        <w:rPr>
          <w:rFonts w:hint="eastAsia" w:ascii="宋体" w:hAnsi="宋体" w:cs="宋体"/>
          <w:szCs w:val="21"/>
          <w:highlight w:val="none"/>
        </w:rPr>
        <w:fldChar w:fldCharType="separate"/>
      </w:r>
      <w:r>
        <w:rPr>
          <w:rFonts w:hint="eastAsia" w:ascii="宋体" w:hAnsi="宋体" w:eastAsia="宋体" w:cs="宋体"/>
          <w:szCs w:val="21"/>
        </w:rPr>
        <w:t xml:space="preserve">第一条 </w:t>
      </w:r>
      <w:r>
        <w:rPr>
          <w:rFonts w:hint="eastAsia" w:ascii="宋体" w:hAnsi="宋体" w:eastAsia="宋体" w:cs="宋体"/>
          <w:szCs w:val="21"/>
          <w:highlight w:val="none"/>
        </w:rPr>
        <w:t>合同标的及合同金额</w:t>
      </w:r>
      <w:r>
        <w:tab/>
      </w:r>
      <w:r>
        <w:fldChar w:fldCharType="begin"/>
      </w:r>
      <w:r>
        <w:instrText xml:space="preserve"> PAGEREF _Toc26058 \h </w:instrText>
      </w:r>
      <w:r>
        <w:fldChar w:fldCharType="separate"/>
      </w:r>
      <w:r>
        <w:t>54</w:t>
      </w:r>
      <w:r>
        <w:fldChar w:fldCharType="end"/>
      </w:r>
      <w:r>
        <w:rPr>
          <w:rFonts w:hint="eastAsia" w:ascii="宋体" w:hAnsi="宋体" w:cs="宋体"/>
          <w:color w:val="000000"/>
          <w:szCs w:val="21"/>
          <w:highlight w:val="none"/>
        </w:rPr>
        <w:fldChar w:fldCharType="end"/>
      </w:r>
    </w:p>
    <w:p w14:paraId="7B48C224">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_Toc5756 </w:instrText>
      </w:r>
      <w:r>
        <w:rPr>
          <w:rFonts w:hint="eastAsia" w:ascii="宋体" w:hAnsi="宋体" w:cs="宋体"/>
          <w:szCs w:val="21"/>
          <w:highlight w:val="none"/>
        </w:rPr>
        <w:fldChar w:fldCharType="separate"/>
      </w:r>
      <w:r>
        <w:rPr>
          <w:rFonts w:hint="eastAsia" w:ascii="宋体" w:hAnsi="宋体" w:eastAsia="宋体" w:cs="宋体"/>
          <w:szCs w:val="21"/>
          <w:highlight w:val="none"/>
        </w:rPr>
        <w:t>第二条服务保证</w:t>
      </w:r>
      <w:r>
        <w:tab/>
      </w:r>
      <w:r>
        <w:fldChar w:fldCharType="begin"/>
      </w:r>
      <w:r>
        <w:instrText xml:space="preserve"> PAGEREF _Toc5756 \h </w:instrText>
      </w:r>
      <w:r>
        <w:fldChar w:fldCharType="separate"/>
      </w:r>
      <w:r>
        <w:t>54</w:t>
      </w:r>
      <w:r>
        <w:fldChar w:fldCharType="end"/>
      </w:r>
      <w:r>
        <w:rPr>
          <w:rFonts w:hint="eastAsia" w:ascii="宋体" w:hAnsi="宋体" w:cs="宋体"/>
          <w:color w:val="000000"/>
          <w:szCs w:val="21"/>
          <w:highlight w:val="none"/>
        </w:rPr>
        <w:fldChar w:fldCharType="end"/>
      </w:r>
    </w:p>
    <w:p w14:paraId="472FA2ED">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_Toc26900 </w:instrText>
      </w:r>
      <w:r>
        <w:rPr>
          <w:rFonts w:hint="eastAsia" w:ascii="宋体" w:hAnsi="宋体" w:cs="宋体"/>
          <w:szCs w:val="21"/>
          <w:highlight w:val="none"/>
        </w:rPr>
        <w:fldChar w:fldCharType="separate"/>
      </w:r>
      <w:r>
        <w:rPr>
          <w:rFonts w:hint="eastAsia" w:ascii="宋体" w:hAnsi="宋体" w:eastAsia="宋体" w:cs="宋体"/>
          <w:szCs w:val="21"/>
          <w:highlight w:val="none"/>
        </w:rPr>
        <w:t>第三条服务期限</w:t>
      </w:r>
      <w:r>
        <w:tab/>
      </w:r>
      <w:r>
        <w:fldChar w:fldCharType="begin"/>
      </w:r>
      <w:r>
        <w:instrText xml:space="preserve"> PAGEREF _Toc26900 \h </w:instrText>
      </w:r>
      <w:r>
        <w:fldChar w:fldCharType="separate"/>
      </w:r>
      <w:r>
        <w:t>54</w:t>
      </w:r>
      <w:r>
        <w:fldChar w:fldCharType="end"/>
      </w:r>
      <w:r>
        <w:rPr>
          <w:rFonts w:hint="eastAsia" w:ascii="宋体" w:hAnsi="宋体" w:cs="宋体"/>
          <w:color w:val="000000"/>
          <w:szCs w:val="21"/>
          <w:highlight w:val="none"/>
        </w:rPr>
        <w:fldChar w:fldCharType="end"/>
      </w:r>
    </w:p>
    <w:p w14:paraId="149884F8">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_Toc22837 </w:instrText>
      </w:r>
      <w:r>
        <w:rPr>
          <w:rFonts w:hint="eastAsia" w:ascii="宋体" w:hAnsi="宋体" w:cs="宋体"/>
          <w:szCs w:val="21"/>
          <w:highlight w:val="none"/>
        </w:rPr>
        <w:fldChar w:fldCharType="separate"/>
      </w:r>
      <w:r>
        <w:rPr>
          <w:rFonts w:hint="eastAsia" w:ascii="宋体" w:hAnsi="宋体" w:eastAsia="宋体" w:cs="宋体"/>
          <w:szCs w:val="21"/>
          <w:highlight w:val="none"/>
        </w:rPr>
        <w:t>第四条交付</w:t>
      </w:r>
      <w:r>
        <w:tab/>
      </w:r>
      <w:r>
        <w:fldChar w:fldCharType="begin"/>
      </w:r>
      <w:r>
        <w:instrText xml:space="preserve"> PAGEREF _Toc22837 \h </w:instrText>
      </w:r>
      <w:r>
        <w:fldChar w:fldCharType="separate"/>
      </w:r>
      <w:r>
        <w:t>54</w:t>
      </w:r>
      <w:r>
        <w:fldChar w:fldCharType="end"/>
      </w:r>
      <w:r>
        <w:rPr>
          <w:rFonts w:hint="eastAsia" w:ascii="宋体" w:hAnsi="宋体" w:cs="宋体"/>
          <w:color w:val="000000"/>
          <w:szCs w:val="21"/>
          <w:highlight w:val="none"/>
        </w:rPr>
        <w:fldChar w:fldCharType="end"/>
      </w:r>
    </w:p>
    <w:p w14:paraId="4DA3A8E1">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_Toc20294 </w:instrText>
      </w:r>
      <w:r>
        <w:rPr>
          <w:rFonts w:hint="eastAsia" w:ascii="宋体" w:hAnsi="宋体" w:cs="宋体"/>
          <w:szCs w:val="21"/>
          <w:highlight w:val="none"/>
        </w:rPr>
        <w:fldChar w:fldCharType="separate"/>
      </w:r>
      <w:r>
        <w:rPr>
          <w:rFonts w:hint="eastAsia" w:ascii="宋体" w:hAnsi="宋体" w:eastAsia="宋体" w:cs="宋体"/>
          <w:szCs w:val="21"/>
          <w:highlight w:val="none"/>
        </w:rPr>
        <w:t>第五条税费</w:t>
      </w:r>
      <w:r>
        <w:tab/>
      </w:r>
      <w:r>
        <w:fldChar w:fldCharType="begin"/>
      </w:r>
      <w:r>
        <w:instrText xml:space="preserve"> PAGEREF _Toc20294 \h </w:instrText>
      </w:r>
      <w:r>
        <w:fldChar w:fldCharType="separate"/>
      </w:r>
      <w:r>
        <w:t>54</w:t>
      </w:r>
      <w:r>
        <w:fldChar w:fldCharType="end"/>
      </w:r>
      <w:r>
        <w:rPr>
          <w:rFonts w:hint="eastAsia" w:ascii="宋体" w:hAnsi="宋体" w:cs="宋体"/>
          <w:color w:val="000000"/>
          <w:szCs w:val="21"/>
          <w:highlight w:val="none"/>
        </w:rPr>
        <w:fldChar w:fldCharType="end"/>
      </w:r>
    </w:p>
    <w:p w14:paraId="58674BA6">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_Toc24362 </w:instrText>
      </w:r>
      <w:r>
        <w:rPr>
          <w:rFonts w:hint="eastAsia" w:ascii="宋体" w:hAnsi="宋体" w:cs="宋体"/>
          <w:szCs w:val="21"/>
          <w:highlight w:val="none"/>
        </w:rPr>
        <w:fldChar w:fldCharType="separate"/>
      </w:r>
      <w:r>
        <w:rPr>
          <w:rFonts w:hint="eastAsia" w:ascii="宋体" w:hAnsi="宋体" w:eastAsia="宋体" w:cs="宋体"/>
          <w:szCs w:val="21"/>
          <w:highlight w:val="none"/>
          <w:lang w:val="en-US" w:eastAsia="zh-CN" w:bidi="ar-SA"/>
        </w:rPr>
        <w:t>第六条</w:t>
      </w:r>
      <w:r>
        <w:rPr>
          <w:rFonts w:hint="eastAsia" w:ascii="宋体" w:hAnsi="宋体" w:eastAsia="宋体" w:cs="宋体"/>
          <w:szCs w:val="21"/>
          <w:highlight w:val="none"/>
        </w:rPr>
        <w:t>付款方式</w:t>
      </w:r>
      <w:r>
        <w:tab/>
      </w:r>
      <w:r>
        <w:fldChar w:fldCharType="begin"/>
      </w:r>
      <w:r>
        <w:instrText xml:space="preserve"> PAGEREF _Toc24362 \h </w:instrText>
      </w:r>
      <w:r>
        <w:fldChar w:fldCharType="separate"/>
      </w:r>
      <w:r>
        <w:t>54</w:t>
      </w:r>
      <w:r>
        <w:fldChar w:fldCharType="end"/>
      </w:r>
      <w:r>
        <w:rPr>
          <w:rFonts w:hint="eastAsia" w:ascii="宋体" w:hAnsi="宋体" w:cs="宋体"/>
          <w:color w:val="000000"/>
          <w:szCs w:val="21"/>
          <w:highlight w:val="none"/>
        </w:rPr>
        <w:fldChar w:fldCharType="end"/>
      </w:r>
    </w:p>
    <w:p w14:paraId="4FE19ECA">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_Toc18662 </w:instrText>
      </w:r>
      <w:r>
        <w:rPr>
          <w:rFonts w:hint="eastAsia" w:ascii="宋体" w:hAnsi="宋体" w:cs="宋体"/>
          <w:szCs w:val="21"/>
          <w:highlight w:val="none"/>
        </w:rPr>
        <w:fldChar w:fldCharType="separate"/>
      </w:r>
      <w:r>
        <w:rPr>
          <w:rFonts w:hint="eastAsia" w:ascii="宋体" w:hAnsi="宋体" w:eastAsia="宋体" w:cs="宋体"/>
          <w:szCs w:val="21"/>
          <w:highlight w:val="none"/>
        </w:rPr>
        <w:t>第七条违约责任</w:t>
      </w:r>
      <w:r>
        <w:tab/>
      </w:r>
      <w:r>
        <w:fldChar w:fldCharType="begin"/>
      </w:r>
      <w:r>
        <w:instrText xml:space="preserve"> PAGEREF _Toc18662 \h </w:instrText>
      </w:r>
      <w:r>
        <w:fldChar w:fldCharType="separate"/>
      </w:r>
      <w:r>
        <w:t>54</w:t>
      </w:r>
      <w:r>
        <w:fldChar w:fldCharType="end"/>
      </w:r>
      <w:r>
        <w:rPr>
          <w:rFonts w:hint="eastAsia" w:ascii="宋体" w:hAnsi="宋体" w:cs="宋体"/>
          <w:color w:val="000000"/>
          <w:szCs w:val="21"/>
          <w:highlight w:val="none"/>
        </w:rPr>
        <w:fldChar w:fldCharType="end"/>
      </w:r>
    </w:p>
    <w:p w14:paraId="1DF2C04D">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_Toc12396 </w:instrText>
      </w:r>
      <w:r>
        <w:rPr>
          <w:rFonts w:hint="eastAsia" w:ascii="宋体" w:hAnsi="宋体" w:cs="宋体"/>
          <w:szCs w:val="21"/>
          <w:highlight w:val="none"/>
        </w:rPr>
        <w:fldChar w:fldCharType="separate"/>
      </w:r>
      <w:r>
        <w:rPr>
          <w:rFonts w:hint="eastAsia" w:ascii="宋体" w:hAnsi="宋体" w:eastAsia="宋体" w:cs="宋体"/>
          <w:szCs w:val="21"/>
          <w:highlight w:val="none"/>
        </w:rPr>
        <w:t>第八条不可抗力事件处理</w:t>
      </w:r>
      <w:r>
        <w:tab/>
      </w:r>
      <w:r>
        <w:fldChar w:fldCharType="begin"/>
      </w:r>
      <w:r>
        <w:instrText xml:space="preserve"> PAGEREF _Toc12396 \h </w:instrText>
      </w:r>
      <w:r>
        <w:fldChar w:fldCharType="separate"/>
      </w:r>
      <w:r>
        <w:t>54</w:t>
      </w:r>
      <w:r>
        <w:fldChar w:fldCharType="end"/>
      </w:r>
      <w:r>
        <w:rPr>
          <w:rFonts w:hint="eastAsia" w:ascii="宋体" w:hAnsi="宋体" w:cs="宋体"/>
          <w:color w:val="000000"/>
          <w:szCs w:val="21"/>
          <w:highlight w:val="none"/>
        </w:rPr>
        <w:fldChar w:fldCharType="end"/>
      </w:r>
    </w:p>
    <w:p w14:paraId="00C9BAE0">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_Toc30942 </w:instrText>
      </w:r>
      <w:r>
        <w:rPr>
          <w:rFonts w:hint="eastAsia" w:ascii="宋体" w:hAnsi="宋体" w:cs="宋体"/>
          <w:szCs w:val="21"/>
          <w:highlight w:val="none"/>
        </w:rPr>
        <w:fldChar w:fldCharType="separate"/>
      </w:r>
      <w:r>
        <w:rPr>
          <w:rFonts w:hint="eastAsia" w:ascii="宋体" w:hAnsi="宋体" w:eastAsia="宋体" w:cs="宋体"/>
          <w:szCs w:val="21"/>
          <w:highlight w:val="none"/>
        </w:rPr>
        <w:t>第九条合同争议解决</w:t>
      </w:r>
      <w:r>
        <w:tab/>
      </w:r>
      <w:r>
        <w:fldChar w:fldCharType="begin"/>
      </w:r>
      <w:r>
        <w:instrText xml:space="preserve"> PAGEREF _Toc30942 \h </w:instrText>
      </w:r>
      <w:r>
        <w:fldChar w:fldCharType="separate"/>
      </w:r>
      <w:r>
        <w:t>55</w:t>
      </w:r>
      <w:r>
        <w:fldChar w:fldCharType="end"/>
      </w:r>
      <w:r>
        <w:rPr>
          <w:rFonts w:hint="eastAsia" w:ascii="宋体" w:hAnsi="宋体" w:cs="宋体"/>
          <w:color w:val="000000"/>
          <w:szCs w:val="21"/>
          <w:highlight w:val="none"/>
        </w:rPr>
        <w:fldChar w:fldCharType="end"/>
      </w:r>
    </w:p>
    <w:p w14:paraId="05BDB0C0">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_Toc6894 </w:instrText>
      </w:r>
      <w:r>
        <w:rPr>
          <w:rFonts w:hint="eastAsia" w:ascii="宋体" w:hAnsi="宋体" w:cs="宋体"/>
          <w:szCs w:val="21"/>
          <w:highlight w:val="none"/>
        </w:rPr>
        <w:fldChar w:fldCharType="separate"/>
      </w:r>
      <w:r>
        <w:rPr>
          <w:rFonts w:hint="eastAsia" w:ascii="宋体" w:hAnsi="宋体" w:eastAsia="宋体" w:cs="宋体"/>
          <w:szCs w:val="21"/>
          <w:highlight w:val="none"/>
        </w:rPr>
        <w:t>第十条合同生效及其它</w:t>
      </w:r>
      <w:r>
        <w:tab/>
      </w:r>
      <w:r>
        <w:fldChar w:fldCharType="begin"/>
      </w:r>
      <w:r>
        <w:instrText xml:space="preserve"> PAGEREF _Toc6894 \h </w:instrText>
      </w:r>
      <w:r>
        <w:fldChar w:fldCharType="separate"/>
      </w:r>
      <w:r>
        <w:t>55</w:t>
      </w:r>
      <w:r>
        <w:fldChar w:fldCharType="end"/>
      </w:r>
      <w:r>
        <w:rPr>
          <w:rFonts w:hint="eastAsia" w:ascii="宋体" w:hAnsi="宋体" w:cs="宋体"/>
          <w:color w:val="000000"/>
          <w:szCs w:val="21"/>
          <w:highlight w:val="none"/>
        </w:rPr>
        <w:fldChar w:fldCharType="end"/>
      </w:r>
    </w:p>
    <w:p w14:paraId="1284422C">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_Toc6459 </w:instrText>
      </w:r>
      <w:r>
        <w:rPr>
          <w:rFonts w:hint="eastAsia" w:ascii="宋体" w:hAnsi="宋体" w:cs="宋体"/>
          <w:szCs w:val="21"/>
          <w:highlight w:val="none"/>
        </w:rPr>
        <w:fldChar w:fldCharType="separate"/>
      </w:r>
      <w:r>
        <w:rPr>
          <w:rFonts w:hint="eastAsia" w:ascii="宋体" w:hAnsi="宋体" w:eastAsia="宋体" w:cs="宋体"/>
          <w:szCs w:val="21"/>
          <w:highlight w:val="none"/>
        </w:rPr>
        <w:t>第十一条合同的变更、终止与转让</w:t>
      </w:r>
      <w:r>
        <w:tab/>
      </w:r>
      <w:r>
        <w:fldChar w:fldCharType="begin"/>
      </w:r>
      <w:r>
        <w:instrText xml:space="preserve"> PAGEREF _Toc6459 \h </w:instrText>
      </w:r>
      <w:r>
        <w:fldChar w:fldCharType="separate"/>
      </w:r>
      <w:r>
        <w:t>55</w:t>
      </w:r>
      <w:r>
        <w:fldChar w:fldCharType="end"/>
      </w:r>
      <w:r>
        <w:rPr>
          <w:rFonts w:hint="eastAsia" w:ascii="宋体" w:hAnsi="宋体" w:cs="宋体"/>
          <w:color w:val="000000"/>
          <w:szCs w:val="21"/>
          <w:highlight w:val="none"/>
        </w:rPr>
        <w:fldChar w:fldCharType="end"/>
      </w:r>
    </w:p>
    <w:p w14:paraId="3BAF65B9">
      <w:pPr>
        <w:pStyle w:val="2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_Toc11464 </w:instrText>
      </w:r>
      <w:r>
        <w:rPr>
          <w:rFonts w:hint="eastAsia" w:ascii="宋体" w:hAnsi="宋体" w:cs="宋体"/>
          <w:szCs w:val="21"/>
          <w:highlight w:val="none"/>
        </w:rPr>
        <w:fldChar w:fldCharType="separate"/>
      </w:r>
      <w:r>
        <w:rPr>
          <w:rFonts w:hint="eastAsia" w:ascii="宋体" w:hAnsi="宋体" w:eastAsia="宋体" w:cs="宋体"/>
          <w:szCs w:val="21"/>
          <w:highlight w:val="none"/>
        </w:rPr>
        <w:t>第十二条签订本合同依据</w:t>
      </w:r>
      <w:r>
        <w:tab/>
      </w:r>
      <w:r>
        <w:fldChar w:fldCharType="begin"/>
      </w:r>
      <w:r>
        <w:instrText xml:space="preserve"> PAGEREF _Toc11464 \h </w:instrText>
      </w:r>
      <w:r>
        <w:fldChar w:fldCharType="separate"/>
      </w:r>
      <w:r>
        <w:t>55</w:t>
      </w:r>
      <w:r>
        <w:fldChar w:fldCharType="end"/>
      </w:r>
      <w:r>
        <w:rPr>
          <w:rFonts w:hint="eastAsia" w:ascii="宋体" w:hAnsi="宋体" w:cs="宋体"/>
          <w:color w:val="000000"/>
          <w:szCs w:val="21"/>
          <w:highlight w:val="none"/>
        </w:rPr>
        <w:fldChar w:fldCharType="end"/>
      </w:r>
    </w:p>
    <w:p w14:paraId="101C85C6">
      <w:pPr>
        <w:pStyle w:val="21"/>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_Toc21235 </w:instrText>
      </w:r>
      <w:r>
        <w:rPr>
          <w:rFonts w:hint="eastAsia" w:ascii="宋体" w:hAnsi="宋体" w:cs="宋体"/>
          <w:szCs w:val="21"/>
          <w:highlight w:val="none"/>
        </w:rPr>
        <w:fldChar w:fldCharType="separate"/>
      </w:r>
      <w:r>
        <w:rPr>
          <w:rFonts w:hint="eastAsia" w:ascii="宋体" w:hAnsi="宋体" w:cs="宋体"/>
          <w:bCs/>
          <w:szCs w:val="32"/>
          <w:highlight w:val="none"/>
        </w:rPr>
        <w:t>第六章投标文件（格式）</w:t>
      </w:r>
      <w:r>
        <w:tab/>
      </w:r>
      <w:r>
        <w:fldChar w:fldCharType="begin"/>
      </w:r>
      <w:r>
        <w:instrText xml:space="preserve"> PAGEREF _Toc21235 \h </w:instrText>
      </w:r>
      <w:r>
        <w:fldChar w:fldCharType="separate"/>
      </w:r>
      <w:r>
        <w:t>56</w:t>
      </w:r>
      <w:r>
        <w:fldChar w:fldCharType="end"/>
      </w:r>
      <w:r>
        <w:rPr>
          <w:rFonts w:hint="eastAsia" w:ascii="宋体" w:hAnsi="宋体" w:cs="宋体"/>
          <w:color w:val="000000"/>
          <w:szCs w:val="21"/>
          <w:highlight w:val="none"/>
        </w:rPr>
        <w:fldChar w:fldCharType="end"/>
      </w:r>
    </w:p>
    <w:p w14:paraId="2C42215D">
      <w:pPr>
        <w:jc w:val="center"/>
        <w:outlineLvl w:val="0"/>
        <w:rPr>
          <w:rFonts w:ascii="宋体" w:hAnsi="宋体" w:cs="宋体"/>
          <w:color w:val="000000"/>
          <w:sz w:val="32"/>
          <w:szCs w:val="32"/>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1701" w:num="1"/>
        </w:sectPr>
      </w:pPr>
      <w:r>
        <w:rPr>
          <w:rFonts w:hint="eastAsia" w:ascii="宋体" w:hAnsi="宋体" w:cs="宋体"/>
          <w:color w:val="000000"/>
          <w:szCs w:val="21"/>
          <w:highlight w:val="none"/>
        </w:rPr>
        <w:fldChar w:fldCharType="end"/>
      </w:r>
    </w:p>
    <w:bookmarkEnd w:id="0"/>
    <w:bookmarkEnd w:id="1"/>
    <w:p w14:paraId="3CB782C9">
      <w:pPr>
        <w:pStyle w:val="192"/>
        <w:numPr>
          <w:ilvl w:val="0"/>
          <w:numId w:val="1"/>
        </w:numPr>
        <w:tabs>
          <w:tab w:val="left" w:pos="0"/>
          <w:tab w:val="left" w:pos="3165"/>
          <w:tab w:val="center" w:pos="4153"/>
        </w:tabs>
        <w:spacing w:before="0" w:after="0" w:line="440" w:lineRule="exact"/>
        <w:jc w:val="center"/>
        <w:rPr>
          <w:rFonts w:ascii="宋体" w:hAnsi="宋体" w:cs="宋体"/>
          <w:color w:val="000000"/>
          <w:sz w:val="32"/>
          <w:szCs w:val="32"/>
          <w:highlight w:val="none"/>
        </w:rPr>
      </w:pPr>
      <w:bookmarkStart w:id="2" w:name="_Toc4687"/>
      <w:bookmarkStart w:id="3" w:name="_Toc26764"/>
      <w:bookmarkStart w:id="4" w:name="_Toc8183"/>
      <w:bookmarkStart w:id="5" w:name="_Toc11443"/>
      <w:r>
        <w:rPr>
          <w:rFonts w:hint="eastAsia" w:ascii="宋体" w:hAnsi="宋体" w:cs="宋体"/>
          <w:color w:val="000000"/>
          <w:sz w:val="32"/>
          <w:szCs w:val="32"/>
          <w:highlight w:val="none"/>
        </w:rPr>
        <w:t>公开招标公告</w:t>
      </w:r>
      <w:bookmarkEnd w:id="2"/>
      <w:bookmarkEnd w:id="3"/>
      <w:bookmarkEnd w:id="4"/>
      <w:bookmarkEnd w:id="5"/>
    </w:p>
    <w:tbl>
      <w:tblPr>
        <w:tblStyle w:val="30"/>
        <w:tblpPr w:leftFromText="180" w:rightFromText="180" w:vertAnchor="text" w:tblpX="38" w:tblpY="134"/>
        <w:tblOverlap w:val="neve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5BA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9962" w:type="dxa"/>
            <w:tcBorders>
              <w:top w:val="single" w:color="auto" w:sz="4" w:space="0"/>
              <w:left w:val="single" w:color="auto" w:sz="4" w:space="0"/>
              <w:bottom w:val="single" w:color="auto" w:sz="4" w:space="0"/>
              <w:right w:val="single" w:color="auto" w:sz="4" w:space="0"/>
            </w:tcBorders>
            <w:noWrap w:val="0"/>
            <w:vAlign w:val="top"/>
          </w:tcPr>
          <w:p w14:paraId="1FCC5A7F">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项目概况</w:t>
            </w:r>
          </w:p>
          <w:p w14:paraId="6A7D2ECA">
            <w:pPr>
              <w:spacing w:line="380" w:lineRule="exact"/>
              <w:ind w:firstLine="48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桂林市政府集中采购中心受荔浦市荔浦中学委托，根据《中华人民共和国政府采购法》《中华人民共和国政府采购法实施条例》及《政府采购货物和服务招标投标管理办法》（财政部令第87号）等规定，现就</w:t>
            </w:r>
            <w:r>
              <w:rPr>
                <w:rFonts w:hint="eastAsia" w:ascii="宋体" w:hAnsi="宋体" w:cs="宋体"/>
                <w:color w:val="000000"/>
                <w:sz w:val="24"/>
                <w:highlight w:val="none"/>
                <w:u w:val="single"/>
                <w:lang w:val="en-US" w:eastAsia="zh-CN"/>
              </w:rPr>
              <w:t>荔浦市荔浦中学等114所学校教育城域网建设项目网络服务租用项目</w:t>
            </w:r>
            <w:r>
              <w:rPr>
                <w:rFonts w:hint="eastAsia" w:ascii="宋体" w:hAnsi="宋体" w:cs="宋体"/>
                <w:color w:val="000000"/>
                <w:sz w:val="24"/>
                <w:highlight w:val="none"/>
              </w:rPr>
              <w:t>进行公开招标，欢迎符合条件的供应商前来投标，并于</w:t>
            </w:r>
            <w:r>
              <w:rPr>
                <w:rFonts w:hint="eastAsia" w:ascii="宋体" w:hAnsi="宋体" w:cs="宋体"/>
                <w:color w:val="000000"/>
                <w:sz w:val="24"/>
                <w:highlight w:val="none"/>
                <w:lang w:eastAsia="zh-CN"/>
              </w:rPr>
              <w:t>202</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lang w:eastAsia="zh-CN"/>
              </w:rPr>
              <w:t>年</w:t>
            </w:r>
            <w:r>
              <w:rPr>
                <w:rFonts w:hint="eastAsia" w:ascii="宋体" w:hAnsi="宋体" w:cs="宋体"/>
                <w:color w:val="000000"/>
                <w:sz w:val="24"/>
                <w:highlight w:val="none"/>
                <w:lang w:val="en-US" w:eastAsia="zh-CN"/>
              </w:rPr>
              <w:t>07</w:t>
            </w:r>
            <w:r>
              <w:rPr>
                <w:rFonts w:hint="eastAsia" w:ascii="宋体" w:hAnsi="宋体" w:cs="宋体"/>
                <w:color w:val="000000"/>
                <w:sz w:val="24"/>
                <w:highlight w:val="none"/>
                <w:lang w:eastAsia="zh-CN"/>
              </w:rPr>
              <w:t>月</w:t>
            </w:r>
            <w:r>
              <w:rPr>
                <w:rFonts w:hint="eastAsia" w:ascii="宋体" w:hAnsi="宋体" w:cs="宋体"/>
                <w:color w:val="000000"/>
                <w:sz w:val="24"/>
                <w:highlight w:val="none"/>
                <w:lang w:val="en-US" w:eastAsia="zh-CN"/>
              </w:rPr>
              <w:t>21</w:t>
            </w:r>
            <w:r>
              <w:rPr>
                <w:rFonts w:hint="eastAsia" w:ascii="宋体" w:hAnsi="宋体" w:cs="宋体"/>
                <w:color w:val="000000"/>
                <w:sz w:val="24"/>
                <w:highlight w:val="none"/>
                <w:lang w:eastAsia="zh-CN"/>
              </w:rPr>
              <w:t>日上午</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lang w:eastAsia="zh-CN"/>
              </w:rPr>
              <w:t>时</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lang w:eastAsia="zh-CN"/>
              </w:rPr>
              <w:t>分</w:t>
            </w:r>
            <w:r>
              <w:rPr>
                <w:rFonts w:hint="eastAsia" w:ascii="宋体" w:hAnsi="宋体" w:cs="宋体"/>
                <w:color w:val="000000"/>
                <w:sz w:val="24"/>
                <w:highlight w:val="none"/>
              </w:rPr>
              <w:t>前递交投标文件。现将本次公开招标的有关事项公告如下：</w:t>
            </w:r>
          </w:p>
        </w:tc>
      </w:tr>
    </w:tbl>
    <w:p w14:paraId="2DA3E183">
      <w:pPr>
        <w:rPr>
          <w:rFonts w:ascii="宋体" w:hAnsi="宋体" w:cs="宋体"/>
          <w:color w:val="000000"/>
          <w:sz w:val="24"/>
          <w:highlight w:val="none"/>
        </w:rPr>
      </w:pPr>
    </w:p>
    <w:p w14:paraId="3D07B8AE">
      <w:pPr>
        <w:rPr>
          <w:rFonts w:ascii="宋体" w:hAnsi="宋体" w:cs="宋体"/>
          <w:color w:val="000000"/>
          <w:sz w:val="24"/>
          <w:highlight w:val="none"/>
        </w:rPr>
      </w:pPr>
      <w:bookmarkStart w:id="6" w:name="_Toc28359002"/>
      <w:bookmarkStart w:id="7" w:name="_Toc35393621"/>
      <w:bookmarkStart w:id="8" w:name="_Toc28359079"/>
      <w:bookmarkStart w:id="9" w:name="_Toc35393790"/>
      <w:bookmarkStart w:id="10" w:name="_Hlk24379207"/>
      <w:r>
        <w:rPr>
          <w:rFonts w:hint="eastAsia" w:ascii="宋体" w:hAnsi="宋体" w:cs="宋体"/>
          <w:color w:val="000000"/>
          <w:sz w:val="24"/>
          <w:highlight w:val="none"/>
        </w:rPr>
        <w:t>一、项目基本情况</w:t>
      </w:r>
      <w:bookmarkEnd w:id="6"/>
      <w:bookmarkEnd w:id="7"/>
      <w:bookmarkEnd w:id="8"/>
      <w:bookmarkEnd w:id="9"/>
    </w:p>
    <w:p w14:paraId="19780663">
      <w:pPr>
        <w:spacing w:line="380" w:lineRule="exact"/>
        <w:ind w:firstLine="480"/>
        <w:rPr>
          <w:rFonts w:hint="eastAsia" w:ascii="宋体" w:hAnsi="宋体" w:cs="宋体"/>
          <w:color w:val="000000"/>
          <w:sz w:val="24"/>
          <w:highlight w:val="none"/>
          <w:lang w:eastAsia="zh-CN"/>
        </w:rPr>
      </w:pPr>
      <w:r>
        <w:rPr>
          <w:rFonts w:hint="eastAsia" w:ascii="宋体" w:hAnsi="宋体" w:cs="宋体"/>
          <w:color w:val="000000"/>
          <w:sz w:val="24"/>
          <w:highlight w:val="none"/>
        </w:rPr>
        <w:t>项目编号：</w:t>
      </w:r>
      <w:r>
        <w:rPr>
          <w:rFonts w:hint="eastAsia" w:ascii="宋体" w:hAnsi="宋体" w:cs="宋体"/>
          <w:color w:val="000000"/>
          <w:sz w:val="24"/>
          <w:highlight w:val="none"/>
          <w:lang w:eastAsia="zh-CN"/>
        </w:rPr>
        <w:t>GLZC2026-G3-310022-GLSZ</w:t>
      </w:r>
    </w:p>
    <w:p w14:paraId="511B1E5F">
      <w:pPr>
        <w:spacing w:line="380" w:lineRule="exact"/>
        <w:ind w:firstLine="48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项目名称：</w:t>
      </w:r>
      <w:r>
        <w:rPr>
          <w:rFonts w:hint="eastAsia" w:ascii="宋体" w:hAnsi="宋体" w:cs="宋体"/>
          <w:color w:val="000000"/>
          <w:sz w:val="24"/>
          <w:highlight w:val="none"/>
          <w:lang w:val="en-US" w:eastAsia="zh-CN"/>
        </w:rPr>
        <w:t>荔浦市荔浦中学等114所学校教育城域网建设项目网络服务租用项目</w:t>
      </w:r>
      <w:bookmarkEnd w:id="10"/>
    </w:p>
    <w:p w14:paraId="084AC5F5">
      <w:pPr>
        <w:spacing w:line="380" w:lineRule="exact"/>
        <w:ind w:firstLine="480"/>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rPr>
        <w:t>预算金额：</w:t>
      </w:r>
      <w:r>
        <w:rPr>
          <w:rFonts w:hint="eastAsia" w:ascii="宋体" w:hAnsi="宋体" w:eastAsia="宋体" w:cs="宋体"/>
          <w:color w:val="000000"/>
          <w:sz w:val="24"/>
          <w:highlight w:val="none"/>
          <w:lang w:val="en-US" w:eastAsia="zh-CN"/>
        </w:rPr>
        <w:t>本项目预算金额为人民币</w:t>
      </w:r>
      <w:r>
        <w:rPr>
          <w:rFonts w:hint="eastAsia" w:ascii="宋体" w:hAnsi="宋体" w:cs="宋体"/>
          <w:color w:val="000000"/>
          <w:sz w:val="24"/>
          <w:highlight w:val="none"/>
          <w:lang w:val="en-US" w:eastAsia="zh-CN"/>
        </w:rPr>
        <w:t>叁佰</w:t>
      </w:r>
      <w:r>
        <w:rPr>
          <w:rFonts w:hint="eastAsia" w:ascii="宋体" w:hAnsi="宋体" w:eastAsia="宋体" w:cs="宋体"/>
          <w:color w:val="000000"/>
          <w:sz w:val="24"/>
          <w:highlight w:val="none"/>
          <w:lang w:val="en-US" w:eastAsia="zh-CN"/>
        </w:rPr>
        <w:t>万元整（¥</w:t>
      </w:r>
      <w:r>
        <w:rPr>
          <w:rFonts w:hint="eastAsia" w:ascii="宋体" w:hAnsi="宋体" w:cs="宋体"/>
          <w:color w:val="000000"/>
          <w:sz w:val="24"/>
          <w:highlight w:val="none"/>
          <w:lang w:val="en-US" w:eastAsia="zh-CN"/>
        </w:rPr>
        <w:t>3000000</w:t>
      </w:r>
      <w:r>
        <w:rPr>
          <w:rFonts w:hint="eastAsia" w:ascii="宋体" w:hAnsi="宋体" w:eastAsia="宋体" w:cs="宋体"/>
          <w:color w:val="000000"/>
          <w:sz w:val="24"/>
          <w:highlight w:val="none"/>
          <w:lang w:val="en-US" w:eastAsia="zh-CN"/>
        </w:rPr>
        <w:t>.00元）</w:t>
      </w:r>
      <w:r>
        <w:rPr>
          <w:rFonts w:hint="eastAsia" w:ascii="宋体" w:hAnsi="宋体" w:cs="宋体"/>
          <w:color w:val="000000"/>
          <w:sz w:val="24"/>
          <w:highlight w:val="none"/>
          <w:lang w:eastAsia="zh-CN"/>
        </w:rPr>
        <w:t>。</w:t>
      </w:r>
    </w:p>
    <w:p w14:paraId="1529DDE9">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采购需求：</w:t>
      </w:r>
    </w:p>
    <w:tbl>
      <w:tblPr>
        <w:tblStyle w:val="30"/>
        <w:tblpPr w:leftFromText="180" w:rightFromText="180" w:vertAnchor="text" w:horzAnchor="page" w:tblpX="1192" w:tblpY="172"/>
        <w:tblOverlap w:val="never"/>
        <w:tblW w:w="94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478"/>
        <w:gridCol w:w="872"/>
        <w:gridCol w:w="748"/>
        <w:gridCol w:w="3457"/>
      </w:tblGrid>
      <w:tr w14:paraId="046E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0866E8B6">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项号</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253EDDAD">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服务名称</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16440F73">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644DAF8">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3457" w:type="dxa"/>
            <w:tcBorders>
              <w:top w:val="single" w:color="auto" w:sz="4" w:space="0"/>
              <w:left w:val="single" w:color="auto" w:sz="4" w:space="0"/>
              <w:bottom w:val="single" w:color="auto" w:sz="4" w:space="0"/>
              <w:right w:val="single" w:color="auto" w:sz="4" w:space="0"/>
            </w:tcBorders>
            <w:noWrap w:val="0"/>
            <w:vAlign w:val="center"/>
          </w:tcPr>
          <w:p w14:paraId="4BC25581">
            <w:pPr>
              <w:spacing w:line="380" w:lineRule="exact"/>
              <w:ind w:firstLine="7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项目要求及技术需求</w:t>
            </w:r>
          </w:p>
        </w:tc>
      </w:tr>
      <w:tr w14:paraId="6F73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exact"/>
        </w:trPr>
        <w:tc>
          <w:tcPr>
            <w:tcW w:w="880" w:type="dxa"/>
            <w:tcBorders>
              <w:top w:val="single" w:color="auto" w:sz="4" w:space="0"/>
              <w:left w:val="single" w:color="auto" w:sz="4" w:space="0"/>
              <w:bottom w:val="single" w:color="auto" w:sz="4" w:space="0"/>
              <w:right w:val="single" w:color="auto" w:sz="4" w:space="0"/>
            </w:tcBorders>
            <w:noWrap w:val="0"/>
            <w:vAlign w:val="center"/>
          </w:tcPr>
          <w:p w14:paraId="07594FB6">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3137435F">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highlight w:val="none"/>
                <w:lang w:val="en-US" w:eastAsia="zh-CN"/>
              </w:rPr>
              <w:t>荔浦市荔浦中学等114所学校教育城域网建设项目网络服务租用项目</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4DB0D5E7">
            <w:pPr>
              <w:spacing w:line="380" w:lineRule="exact"/>
              <w:jc w:val="center"/>
              <w:rPr>
                <w:rFonts w:hint="eastAsia" w:ascii="宋体" w:hAnsi="宋体" w:eastAsia="宋体" w:cs="宋体"/>
                <w:color w:val="000000"/>
                <w:sz w:val="24"/>
                <w:szCs w:val="24"/>
                <w:highlight w:val="none"/>
              </w:rPr>
            </w:pPr>
            <w:r>
              <w:rPr>
                <w:rFonts w:hint="eastAsia" w:ascii="宋体" w:hAnsi="宋体" w:cs="宋体"/>
                <w:bCs/>
                <w:color w:val="000000"/>
                <w:sz w:val="24"/>
                <w:highlight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8AEB410">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w:t>
            </w:r>
          </w:p>
        </w:tc>
        <w:tc>
          <w:tcPr>
            <w:tcW w:w="3457" w:type="dxa"/>
            <w:tcBorders>
              <w:top w:val="single" w:color="auto" w:sz="4" w:space="0"/>
              <w:left w:val="single" w:color="auto" w:sz="4" w:space="0"/>
              <w:bottom w:val="single" w:color="auto" w:sz="4" w:space="0"/>
              <w:right w:val="single" w:color="auto" w:sz="4" w:space="0"/>
            </w:tcBorders>
            <w:noWrap w:val="0"/>
            <w:vAlign w:val="center"/>
          </w:tcPr>
          <w:p w14:paraId="0A6E7F2E">
            <w:pPr>
              <w:spacing w:line="380" w:lineRule="exact"/>
              <w:ind w:firstLine="96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详见招标文件</w:t>
            </w:r>
          </w:p>
        </w:tc>
      </w:tr>
    </w:tbl>
    <w:p w14:paraId="2C913AE0">
      <w:pPr>
        <w:spacing w:line="380" w:lineRule="exact"/>
        <w:ind w:firstLine="480"/>
        <w:rPr>
          <w:rFonts w:hint="eastAsia" w:ascii="宋体" w:hAnsi="宋体" w:cs="宋体"/>
          <w:color w:val="000000"/>
          <w:sz w:val="24"/>
          <w:highlight w:val="none"/>
        </w:rPr>
      </w:pPr>
      <w:bookmarkStart w:id="11" w:name="_Toc35393622"/>
      <w:bookmarkStart w:id="12" w:name="_Toc28359080"/>
      <w:bookmarkStart w:id="13" w:name="_Toc35393791"/>
      <w:bookmarkStart w:id="14" w:name="_Toc28359003"/>
      <w:r>
        <w:rPr>
          <w:rFonts w:hint="eastAsia" w:ascii="宋体" w:hAnsi="宋体" w:cs="宋体"/>
          <w:color w:val="000000"/>
          <w:sz w:val="24"/>
          <w:highlight w:val="none"/>
        </w:rPr>
        <w:t>采购需求的详细内容，详见招标文件。</w:t>
      </w:r>
    </w:p>
    <w:p w14:paraId="68F26732">
      <w:pPr>
        <w:spacing w:line="380" w:lineRule="exact"/>
        <w:ind w:firstLine="480"/>
        <w:rPr>
          <w:rFonts w:hint="eastAsia" w:ascii="宋体" w:hAnsi="宋体" w:cs="宋体"/>
          <w:color w:val="000000"/>
          <w:sz w:val="24"/>
          <w:highlight w:val="none"/>
          <w:u w:val="single"/>
        </w:rPr>
      </w:pPr>
      <w:r>
        <w:rPr>
          <w:rFonts w:hint="eastAsia" w:ascii="宋体" w:hAnsi="宋体" w:cs="宋体"/>
          <w:color w:val="000000"/>
          <w:sz w:val="24"/>
        </w:rPr>
        <w:t>合同履行期限：</w:t>
      </w:r>
      <w:r>
        <w:rPr>
          <w:rFonts w:hint="eastAsia" w:ascii="宋体" w:hAnsi="宋体" w:cs="宋体"/>
          <w:sz w:val="24"/>
        </w:rPr>
        <w:t>自合同签订之日起至</w:t>
      </w:r>
      <w:r>
        <w:rPr>
          <w:rFonts w:hint="eastAsia" w:ascii="宋体" w:hAnsi="宋体" w:eastAsia="宋体" w:cs="宋体"/>
          <w:color w:val="000000"/>
          <w:sz w:val="24"/>
        </w:rPr>
        <w:t>中标人承诺</w:t>
      </w:r>
      <w:r>
        <w:rPr>
          <w:rFonts w:hint="eastAsia" w:ascii="宋体" w:hAnsi="宋体" w:eastAsia="宋体" w:cs="宋体"/>
          <w:color w:val="000000"/>
          <w:sz w:val="24"/>
          <w:lang w:val="en-US" w:eastAsia="zh-CN"/>
        </w:rPr>
        <w:t>服务期</w:t>
      </w:r>
      <w:r>
        <w:rPr>
          <w:rFonts w:hint="eastAsia" w:ascii="宋体" w:hAnsi="宋体" w:eastAsia="宋体" w:cs="宋体"/>
          <w:color w:val="000000"/>
          <w:sz w:val="24"/>
        </w:rPr>
        <w:t>满</w:t>
      </w:r>
      <w:r>
        <w:rPr>
          <w:rFonts w:hint="eastAsia" w:ascii="宋体" w:hAnsi="宋体" w:cs="宋体"/>
          <w:sz w:val="24"/>
        </w:rPr>
        <w:t>。</w:t>
      </w:r>
    </w:p>
    <w:p w14:paraId="574B744B">
      <w:pPr>
        <w:rPr>
          <w:rFonts w:ascii="宋体" w:hAnsi="宋体" w:cs="宋体"/>
          <w:color w:val="000000"/>
          <w:sz w:val="24"/>
          <w:highlight w:val="none"/>
        </w:rPr>
      </w:pPr>
      <w:r>
        <w:rPr>
          <w:rFonts w:hint="eastAsia" w:ascii="宋体" w:hAnsi="宋体" w:cs="宋体"/>
          <w:color w:val="000000"/>
          <w:sz w:val="24"/>
          <w:highlight w:val="none"/>
        </w:rPr>
        <w:t>二、申请人的资格要求：</w:t>
      </w:r>
      <w:bookmarkEnd w:id="11"/>
      <w:bookmarkEnd w:id="12"/>
      <w:bookmarkEnd w:id="13"/>
      <w:bookmarkEnd w:id="14"/>
    </w:p>
    <w:p w14:paraId="6B7D2BB6">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1.满足《中华人民共和国政府采购法》第二十二条规定；</w:t>
      </w:r>
    </w:p>
    <w:p w14:paraId="3333A698">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2.对在“信用中国”网站（www.creditchina.gov.cn）、中国政府采购网（www.ccgp.gov.cn）等渠道列入失信被执行人、</w:t>
      </w:r>
      <w:r>
        <w:rPr>
          <w:rFonts w:hint="eastAsia" w:ascii="宋体" w:hAnsi="宋体" w:cs="宋体"/>
          <w:color w:val="000000"/>
          <w:sz w:val="24"/>
        </w:rPr>
        <w:t>重大税收违法案件当事人</w:t>
      </w:r>
      <w:r>
        <w:rPr>
          <w:rFonts w:hint="eastAsia" w:ascii="宋体" w:hAnsi="宋体" w:cs="宋体"/>
          <w:color w:val="000000"/>
          <w:sz w:val="24"/>
          <w:highlight w:val="none"/>
        </w:rPr>
        <w:t>名单、政府采购严重违法失信行为记录名单及其他不符合《中华人民共和国政府采购法》第二十二条规定条件的供应商，不得参与政府采购活动。</w:t>
      </w:r>
    </w:p>
    <w:p w14:paraId="73B045A5">
      <w:pPr>
        <w:spacing w:line="380" w:lineRule="exact"/>
        <w:ind w:firstLine="480"/>
        <w:rPr>
          <w:rFonts w:hint="eastAsia"/>
          <w:color w:val="000000"/>
          <w:highlight w:val="none"/>
        </w:rPr>
      </w:pPr>
      <w:bookmarkStart w:id="15" w:name="_Toc28359081"/>
      <w:bookmarkStart w:id="16" w:name="_Toc28359004"/>
      <w:r>
        <w:rPr>
          <w:rFonts w:hint="eastAsia" w:ascii="宋体" w:hAnsi="宋体" w:cs="宋体"/>
          <w:color w:val="000000"/>
          <w:sz w:val="24"/>
          <w:highlight w:val="none"/>
        </w:rPr>
        <w:t>3.落实政府采购政策需满足的资格要求：</w:t>
      </w:r>
      <w:r>
        <w:rPr>
          <w:rFonts w:hint="eastAsia" w:ascii="宋体" w:hAnsi="宋体" w:eastAsia="宋体" w:cs="宋体"/>
          <w:b/>
          <w:bCs/>
          <w:color w:val="000000"/>
          <w:sz w:val="24"/>
          <w:szCs w:val="24"/>
          <w:highlight w:val="none"/>
          <w:lang w:val="en-US" w:eastAsia="zh-CN"/>
        </w:rPr>
        <w:t>无</w:t>
      </w:r>
    </w:p>
    <w:p w14:paraId="19F76D3D">
      <w:pPr>
        <w:spacing w:line="380" w:lineRule="exact"/>
        <w:ind w:firstLine="480"/>
        <w:rPr>
          <w:rFonts w:hint="eastAsia" w:ascii="宋体" w:hAnsi="宋体" w:eastAsia="宋体" w:cs="宋体"/>
          <w:i/>
          <w:iCs/>
          <w:color w:val="000000"/>
          <w:sz w:val="24"/>
          <w:highlight w:val="none"/>
          <w:u w:val="single"/>
          <w:lang w:eastAsia="zh-CN"/>
        </w:rPr>
      </w:pPr>
      <w:r>
        <w:rPr>
          <w:rFonts w:hint="eastAsia" w:ascii="宋体" w:hAnsi="宋体" w:cs="宋体"/>
          <w:color w:val="000000"/>
          <w:sz w:val="24"/>
          <w:highlight w:val="none"/>
        </w:rPr>
        <w:t>4.本项目的特定资格要求：无。</w:t>
      </w:r>
    </w:p>
    <w:p w14:paraId="5EDE6B95">
      <w:pPr>
        <w:rPr>
          <w:rFonts w:ascii="宋体" w:hAnsi="宋体" w:cs="宋体"/>
          <w:color w:val="000000"/>
          <w:sz w:val="24"/>
          <w:highlight w:val="none"/>
        </w:rPr>
      </w:pPr>
      <w:bookmarkStart w:id="17" w:name="_Toc35393623"/>
      <w:bookmarkStart w:id="18" w:name="_Toc35393792"/>
      <w:r>
        <w:rPr>
          <w:rFonts w:hint="eastAsia" w:ascii="宋体" w:hAnsi="宋体" w:cs="宋体"/>
          <w:color w:val="000000"/>
          <w:sz w:val="24"/>
          <w:highlight w:val="none"/>
        </w:rPr>
        <w:t>三、获取招标文件</w:t>
      </w:r>
      <w:bookmarkEnd w:id="15"/>
      <w:bookmarkEnd w:id="16"/>
      <w:bookmarkEnd w:id="17"/>
      <w:bookmarkEnd w:id="18"/>
    </w:p>
    <w:p w14:paraId="636A4B5C">
      <w:pPr>
        <w:spacing w:line="38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1.招标文件获取时间：</w:t>
      </w:r>
      <w:r>
        <w:rPr>
          <w:rFonts w:hint="eastAsia" w:ascii="宋体" w:hAnsi="宋体" w:cs="宋体"/>
          <w:color w:val="000000"/>
          <w:sz w:val="24"/>
          <w:highlight w:val="none"/>
          <w:lang w:eastAsia="zh-CN"/>
        </w:rPr>
        <w:t>2026</w:t>
      </w:r>
      <w:r>
        <w:rPr>
          <w:rFonts w:hint="eastAsia" w:ascii="宋体" w:hAnsi="宋体" w:eastAsia="宋体" w:cs="宋体"/>
          <w:color w:val="000000"/>
          <w:sz w:val="24"/>
          <w:highlight w:val="none"/>
          <w:lang w:eastAsia="zh-CN"/>
        </w:rPr>
        <w:t>年</w:t>
      </w:r>
      <w:r>
        <w:rPr>
          <w:rFonts w:hint="eastAsia" w:ascii="宋体" w:hAnsi="宋体" w:cs="宋体"/>
          <w:color w:val="000000"/>
          <w:sz w:val="24"/>
          <w:highlight w:val="none"/>
          <w:lang w:val="en-US" w:eastAsia="zh-CN"/>
        </w:rPr>
        <w:t>07</w:t>
      </w:r>
      <w:r>
        <w:rPr>
          <w:rFonts w:hint="eastAsia" w:ascii="宋体" w:hAnsi="宋体" w:eastAsia="宋体" w:cs="宋体"/>
          <w:color w:val="000000"/>
          <w:sz w:val="24"/>
          <w:highlight w:val="none"/>
          <w:lang w:eastAsia="zh-CN"/>
        </w:rPr>
        <w:t>月</w:t>
      </w:r>
      <w:r>
        <w:rPr>
          <w:rFonts w:hint="eastAsia" w:ascii="宋体" w:hAnsi="宋体" w:cs="宋体"/>
          <w:color w:val="000000"/>
          <w:sz w:val="24"/>
          <w:highlight w:val="none"/>
          <w:lang w:val="en-US" w:eastAsia="zh-CN"/>
        </w:rPr>
        <w:t>01</w:t>
      </w:r>
      <w:r>
        <w:rPr>
          <w:rFonts w:hint="eastAsia" w:ascii="宋体" w:hAnsi="宋体" w:eastAsia="宋体" w:cs="宋体"/>
          <w:color w:val="000000"/>
          <w:sz w:val="24"/>
          <w:highlight w:val="none"/>
          <w:lang w:eastAsia="zh-CN"/>
        </w:rPr>
        <w:t>日</w:t>
      </w:r>
      <w:r>
        <w:rPr>
          <w:rFonts w:hint="eastAsia" w:ascii="宋体" w:hAnsi="宋体" w:eastAsia="宋体" w:cs="宋体"/>
          <w:color w:val="000000"/>
          <w:sz w:val="24"/>
          <w:highlight w:val="none"/>
        </w:rPr>
        <w:t>至</w:t>
      </w:r>
      <w:r>
        <w:rPr>
          <w:rFonts w:hint="eastAsia" w:ascii="宋体" w:hAnsi="宋体" w:cs="宋体"/>
          <w:color w:val="000000"/>
          <w:sz w:val="24"/>
          <w:highlight w:val="none"/>
          <w:lang w:eastAsia="zh-CN"/>
        </w:rPr>
        <w:t>2026</w:t>
      </w:r>
      <w:r>
        <w:rPr>
          <w:rFonts w:hint="eastAsia" w:ascii="宋体" w:hAnsi="宋体" w:eastAsia="宋体" w:cs="宋体"/>
          <w:color w:val="000000"/>
          <w:sz w:val="24"/>
          <w:highlight w:val="none"/>
          <w:lang w:eastAsia="zh-CN"/>
        </w:rPr>
        <w:t>年</w:t>
      </w:r>
      <w:r>
        <w:rPr>
          <w:rFonts w:hint="eastAsia" w:ascii="宋体" w:hAnsi="宋体" w:cs="宋体"/>
          <w:color w:val="000000"/>
          <w:sz w:val="24"/>
          <w:highlight w:val="none"/>
          <w:lang w:val="en-US" w:eastAsia="zh-CN"/>
        </w:rPr>
        <w:t>07</w:t>
      </w:r>
      <w:r>
        <w:rPr>
          <w:rFonts w:hint="eastAsia" w:ascii="宋体" w:hAnsi="宋体" w:eastAsia="宋体" w:cs="宋体"/>
          <w:color w:val="000000"/>
          <w:sz w:val="24"/>
          <w:highlight w:val="none"/>
          <w:lang w:eastAsia="zh-CN"/>
        </w:rPr>
        <w:t>月</w:t>
      </w:r>
      <w:r>
        <w:rPr>
          <w:rFonts w:hint="eastAsia" w:ascii="宋体" w:hAnsi="宋体" w:cs="宋体"/>
          <w:color w:val="000000"/>
          <w:sz w:val="24"/>
          <w:highlight w:val="none"/>
          <w:lang w:val="en-US" w:eastAsia="zh-CN"/>
        </w:rPr>
        <w:t>21</w:t>
      </w:r>
      <w:r>
        <w:rPr>
          <w:rFonts w:hint="eastAsia" w:ascii="宋体" w:hAnsi="宋体" w:eastAsia="宋体" w:cs="宋体"/>
          <w:color w:val="000000"/>
          <w:sz w:val="24"/>
          <w:highlight w:val="none"/>
          <w:lang w:eastAsia="zh-CN"/>
        </w:rPr>
        <w:t>日</w:t>
      </w: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rPr>
        <w:t>时</w:t>
      </w:r>
      <w:r>
        <w:rPr>
          <w:rFonts w:hint="eastAsia" w:ascii="宋体" w:hAnsi="宋体" w:eastAsia="宋体" w:cs="宋体"/>
          <w:color w:val="000000"/>
          <w:sz w:val="24"/>
          <w:highlight w:val="none"/>
          <w:lang w:val="en-US" w:eastAsia="zh-CN"/>
        </w:rPr>
        <w:t>30</w:t>
      </w:r>
      <w:r>
        <w:rPr>
          <w:rFonts w:hint="eastAsia" w:ascii="宋体" w:hAnsi="宋体" w:eastAsia="宋体" w:cs="宋体"/>
          <w:color w:val="000000"/>
          <w:sz w:val="24"/>
          <w:highlight w:val="none"/>
        </w:rPr>
        <w:t>分。</w:t>
      </w:r>
    </w:p>
    <w:p w14:paraId="21EE803B">
      <w:pPr>
        <w:spacing w:line="380" w:lineRule="exact"/>
        <w:ind w:firstLine="480"/>
        <w:rPr>
          <w:rFonts w:ascii="宋体" w:hAnsi="宋体" w:eastAsia="宋体" w:cs="宋体"/>
          <w:color w:val="000000"/>
          <w:sz w:val="24"/>
          <w:highlight w:val="none"/>
          <w:lang w:val="en-US" w:eastAsia="zh-CN"/>
        </w:rPr>
      </w:pPr>
      <w:r>
        <w:rPr>
          <w:rFonts w:hint="eastAsia" w:ascii="宋体" w:hAnsi="宋体" w:eastAsia="宋体" w:cs="宋体"/>
          <w:color w:val="000000"/>
          <w:sz w:val="24"/>
          <w:highlight w:val="none"/>
        </w:rPr>
        <w:t>2.地点及方式：潜在供应商请</w:t>
      </w:r>
      <w:r>
        <w:rPr>
          <w:rFonts w:hint="eastAsia" w:ascii="宋体" w:hAnsi="宋体" w:eastAsia="宋体" w:cs="宋体"/>
          <w:color w:val="000000"/>
          <w:sz w:val="24"/>
          <w:highlight w:val="none"/>
          <w:lang w:eastAsia="zh-CN"/>
        </w:rPr>
        <w:t>登录“广西政府采购云平台”获取该招标文件。</w:t>
      </w:r>
    </w:p>
    <w:p w14:paraId="70790C82">
      <w:pPr>
        <w:spacing w:line="38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3.招标文件售价：本项目招标文件不收取费用。</w:t>
      </w:r>
    </w:p>
    <w:p w14:paraId="11430B05">
      <w:pPr>
        <w:rPr>
          <w:rFonts w:ascii="宋体" w:hAnsi="宋体" w:cs="宋体"/>
          <w:color w:val="000000"/>
          <w:sz w:val="24"/>
          <w:highlight w:val="none"/>
        </w:rPr>
      </w:pPr>
      <w:bookmarkStart w:id="19" w:name="_Toc28359005"/>
      <w:bookmarkStart w:id="20" w:name="_Toc28359082"/>
      <w:bookmarkStart w:id="21" w:name="_Toc35393624"/>
      <w:bookmarkStart w:id="22" w:name="_Toc35393793"/>
      <w:r>
        <w:rPr>
          <w:rFonts w:hint="eastAsia" w:ascii="宋体" w:hAnsi="宋体" w:cs="宋体"/>
          <w:color w:val="000000"/>
          <w:sz w:val="24"/>
          <w:highlight w:val="none"/>
        </w:rPr>
        <w:t>四、提交投标文件</w:t>
      </w:r>
      <w:bookmarkEnd w:id="19"/>
      <w:bookmarkEnd w:id="20"/>
      <w:r>
        <w:rPr>
          <w:rFonts w:hint="eastAsia" w:ascii="宋体" w:hAnsi="宋体" w:cs="宋体"/>
          <w:color w:val="000000"/>
          <w:sz w:val="24"/>
          <w:highlight w:val="none"/>
        </w:rPr>
        <w:t>截止时间、开标时间和地点</w:t>
      </w:r>
      <w:bookmarkEnd w:id="21"/>
      <w:bookmarkEnd w:id="22"/>
    </w:p>
    <w:p w14:paraId="3553BC0B">
      <w:pPr>
        <w:spacing w:line="380" w:lineRule="exact"/>
        <w:ind w:firstLine="480"/>
        <w:rPr>
          <w:rFonts w:ascii="宋体" w:hAnsi="宋体" w:cs="宋体"/>
          <w:bCs/>
          <w:color w:val="000000"/>
          <w:sz w:val="24"/>
          <w:highlight w:val="none"/>
        </w:rPr>
      </w:pPr>
      <w:r>
        <w:rPr>
          <w:rFonts w:hint="eastAsia" w:ascii="宋体" w:hAnsi="宋体" w:cs="宋体"/>
          <w:bCs/>
          <w:color w:val="000000"/>
          <w:sz w:val="24"/>
          <w:highlight w:val="none"/>
        </w:rPr>
        <w:t>截止时间：</w:t>
      </w:r>
      <w:r>
        <w:rPr>
          <w:rFonts w:hint="eastAsia" w:ascii="宋体" w:hAnsi="宋体" w:cs="宋体"/>
          <w:color w:val="000000"/>
          <w:sz w:val="24"/>
          <w:highlight w:val="none"/>
          <w:u w:val="single"/>
          <w:lang w:eastAsia="zh-CN"/>
        </w:rPr>
        <w:t>2026年</w:t>
      </w:r>
      <w:r>
        <w:rPr>
          <w:rFonts w:hint="eastAsia" w:ascii="宋体" w:hAnsi="宋体" w:cs="宋体"/>
          <w:color w:val="000000"/>
          <w:sz w:val="24"/>
          <w:highlight w:val="none"/>
          <w:u w:val="single"/>
          <w:lang w:val="en-US" w:eastAsia="zh-CN"/>
        </w:rPr>
        <w:t>07</w:t>
      </w:r>
      <w:r>
        <w:rPr>
          <w:rFonts w:hint="eastAsia" w:ascii="宋体" w:hAnsi="宋体" w:cs="宋体"/>
          <w:color w:val="000000"/>
          <w:sz w:val="24"/>
          <w:highlight w:val="none"/>
          <w:u w:val="single"/>
          <w:lang w:eastAsia="zh-CN"/>
        </w:rPr>
        <w:t>月</w:t>
      </w:r>
      <w:r>
        <w:rPr>
          <w:rFonts w:hint="eastAsia" w:ascii="宋体" w:hAnsi="宋体" w:cs="宋体"/>
          <w:color w:val="000000"/>
          <w:sz w:val="24"/>
          <w:highlight w:val="none"/>
          <w:u w:val="single"/>
          <w:lang w:val="en-US" w:eastAsia="zh-CN"/>
        </w:rPr>
        <w:t>21</w:t>
      </w:r>
      <w:r>
        <w:rPr>
          <w:rFonts w:hint="eastAsia" w:ascii="宋体" w:hAnsi="宋体" w:cs="宋体"/>
          <w:color w:val="000000"/>
          <w:sz w:val="24"/>
          <w:highlight w:val="none"/>
          <w:u w:val="single"/>
          <w:lang w:eastAsia="zh-CN"/>
        </w:rPr>
        <w:t>日</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30</w:t>
      </w:r>
      <w:r>
        <w:rPr>
          <w:rFonts w:hint="eastAsia" w:ascii="宋体" w:hAnsi="宋体" w:cs="宋体"/>
          <w:color w:val="000000"/>
          <w:sz w:val="24"/>
          <w:highlight w:val="none"/>
          <w:u w:val="single"/>
        </w:rPr>
        <w:t>分</w:t>
      </w:r>
      <w:r>
        <w:rPr>
          <w:rFonts w:hint="eastAsia" w:ascii="宋体" w:hAnsi="宋体" w:cs="宋体"/>
          <w:bCs/>
          <w:color w:val="000000"/>
          <w:sz w:val="24"/>
          <w:highlight w:val="none"/>
        </w:rPr>
        <w:t>（北京时间）。</w:t>
      </w:r>
    </w:p>
    <w:p w14:paraId="246198AD">
      <w:pPr>
        <w:spacing w:line="380" w:lineRule="exact"/>
        <w:ind w:firstLine="480"/>
        <w:rPr>
          <w:rFonts w:ascii="宋体" w:hAnsi="宋体" w:cs="宋体"/>
          <w:color w:val="000000"/>
          <w:highlight w:val="none"/>
        </w:rPr>
      </w:pPr>
      <w:r>
        <w:rPr>
          <w:rFonts w:hint="eastAsia" w:ascii="宋体" w:hAnsi="宋体" w:cs="宋体"/>
          <w:color w:val="000000"/>
          <w:sz w:val="24"/>
          <w:highlight w:val="none"/>
        </w:rPr>
        <w:t>地点：通过</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实行在线投标。</w:t>
      </w:r>
    </w:p>
    <w:p w14:paraId="05763782">
      <w:pPr>
        <w:spacing w:line="380" w:lineRule="exact"/>
        <w:ind w:firstLine="480"/>
        <w:rPr>
          <w:rFonts w:ascii="宋体" w:hAnsi="宋体" w:cs="宋体"/>
          <w:bCs/>
          <w:color w:val="000000"/>
          <w:sz w:val="24"/>
          <w:highlight w:val="none"/>
          <w:u w:val="single"/>
        </w:rPr>
      </w:pPr>
      <w:r>
        <w:rPr>
          <w:rFonts w:hint="eastAsia" w:ascii="宋体" w:hAnsi="宋体" w:cs="宋体"/>
          <w:bCs/>
          <w:color w:val="000000"/>
          <w:sz w:val="24"/>
          <w:highlight w:val="none"/>
        </w:rPr>
        <w:t>开标时间：</w:t>
      </w:r>
      <w:r>
        <w:rPr>
          <w:rFonts w:hint="eastAsia" w:ascii="宋体" w:hAnsi="宋体" w:cs="宋体"/>
          <w:color w:val="000000"/>
          <w:sz w:val="24"/>
          <w:highlight w:val="none"/>
          <w:u w:val="single"/>
          <w:lang w:eastAsia="zh-CN"/>
        </w:rPr>
        <w:t>2026年</w:t>
      </w:r>
      <w:r>
        <w:rPr>
          <w:rFonts w:hint="eastAsia" w:ascii="宋体" w:hAnsi="宋体" w:cs="宋体"/>
          <w:color w:val="000000"/>
          <w:sz w:val="24"/>
          <w:highlight w:val="none"/>
          <w:u w:val="single"/>
          <w:lang w:val="en-US" w:eastAsia="zh-CN"/>
        </w:rPr>
        <w:t>07</w:t>
      </w:r>
      <w:r>
        <w:rPr>
          <w:rFonts w:hint="eastAsia" w:ascii="宋体" w:hAnsi="宋体" w:cs="宋体"/>
          <w:color w:val="000000"/>
          <w:sz w:val="24"/>
          <w:highlight w:val="none"/>
          <w:u w:val="single"/>
          <w:lang w:eastAsia="zh-CN"/>
        </w:rPr>
        <w:t>月</w:t>
      </w:r>
      <w:r>
        <w:rPr>
          <w:rFonts w:hint="eastAsia" w:ascii="宋体" w:hAnsi="宋体" w:cs="宋体"/>
          <w:color w:val="000000"/>
          <w:sz w:val="24"/>
          <w:highlight w:val="none"/>
          <w:u w:val="single"/>
          <w:lang w:val="en-US" w:eastAsia="zh-CN"/>
        </w:rPr>
        <w:t>21</w:t>
      </w:r>
      <w:r>
        <w:rPr>
          <w:rFonts w:hint="eastAsia" w:ascii="宋体" w:hAnsi="宋体" w:cs="宋体"/>
          <w:color w:val="000000"/>
          <w:sz w:val="24"/>
          <w:highlight w:val="none"/>
          <w:u w:val="single"/>
          <w:lang w:eastAsia="zh-CN"/>
        </w:rPr>
        <w:t>日</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30</w:t>
      </w:r>
      <w:r>
        <w:rPr>
          <w:rFonts w:hint="eastAsia" w:ascii="宋体" w:hAnsi="宋体" w:cs="宋体"/>
          <w:color w:val="000000"/>
          <w:sz w:val="24"/>
          <w:highlight w:val="none"/>
          <w:u w:val="single"/>
        </w:rPr>
        <w:t>分</w:t>
      </w:r>
      <w:r>
        <w:rPr>
          <w:rFonts w:hint="eastAsia" w:ascii="宋体" w:hAnsi="宋体" w:cs="宋体"/>
          <w:bCs/>
          <w:color w:val="000000"/>
          <w:sz w:val="24"/>
          <w:highlight w:val="none"/>
        </w:rPr>
        <w:t>（北京时间）</w:t>
      </w:r>
      <w:r>
        <w:rPr>
          <w:rFonts w:hint="eastAsia" w:ascii="宋体" w:hAnsi="宋体" w:cs="宋体"/>
          <w:color w:val="000000"/>
          <w:sz w:val="24"/>
          <w:highlight w:val="none"/>
        </w:rPr>
        <w:t>截标后。</w:t>
      </w:r>
    </w:p>
    <w:p w14:paraId="2EBFBC5D">
      <w:pPr>
        <w:spacing w:line="380" w:lineRule="exact"/>
        <w:ind w:firstLine="480"/>
        <w:rPr>
          <w:rFonts w:ascii="宋体" w:hAnsi="宋体" w:cs="宋体"/>
          <w:color w:val="000000"/>
          <w:highlight w:val="none"/>
        </w:rPr>
      </w:pPr>
      <w:r>
        <w:rPr>
          <w:rFonts w:hint="eastAsia" w:ascii="宋体" w:hAnsi="宋体" w:cs="宋体"/>
          <w:color w:val="000000"/>
          <w:sz w:val="24"/>
          <w:highlight w:val="none"/>
        </w:rPr>
        <w:t>地点：</w:t>
      </w:r>
      <w:r>
        <w:rPr>
          <w:rFonts w:hint="eastAsia" w:ascii="宋体" w:hAnsi="宋体" w:eastAsia="宋体" w:cs="宋体"/>
          <w:color w:val="000000"/>
          <w:sz w:val="24"/>
          <w:highlight w:val="none"/>
          <w:lang w:eastAsia="zh-CN"/>
        </w:rPr>
        <w:t>桂林市公共资源交易中心</w:t>
      </w:r>
      <w:r>
        <w:rPr>
          <w:rFonts w:hint="eastAsia" w:ascii="宋体" w:hAnsi="宋体" w:cs="宋体"/>
          <w:color w:val="000000"/>
          <w:sz w:val="24"/>
          <w:highlight w:val="none"/>
          <w:u w:val="single"/>
          <w:lang w:val="en-US" w:eastAsia="zh-CN"/>
        </w:rPr>
        <w:t>9号开标室3号政采开标仓</w:t>
      </w:r>
      <w:r>
        <w:rPr>
          <w:rFonts w:hint="eastAsia" w:ascii="宋体" w:hAnsi="宋体" w:eastAsia="宋体" w:cs="宋体"/>
          <w:color w:val="000000"/>
          <w:sz w:val="24"/>
          <w:highlight w:val="none"/>
        </w:rPr>
        <w:t>通过</w:t>
      </w:r>
      <w:r>
        <w:rPr>
          <w:rFonts w:hint="eastAsia" w:ascii="宋体" w:hAnsi="宋体" w:eastAsia="宋体" w:cs="宋体"/>
          <w:color w:val="000000"/>
          <w:sz w:val="24"/>
          <w:highlight w:val="none"/>
          <w:lang w:eastAsia="zh-CN"/>
        </w:rPr>
        <w:t>广西政府采购云平台</w:t>
      </w:r>
      <w:r>
        <w:rPr>
          <w:rFonts w:hint="eastAsia" w:ascii="宋体" w:hAnsi="宋体" w:eastAsia="宋体" w:cs="宋体"/>
          <w:color w:val="000000"/>
          <w:sz w:val="24"/>
          <w:highlight w:val="none"/>
        </w:rPr>
        <w:t>实行在线解密开启。</w:t>
      </w:r>
    </w:p>
    <w:p w14:paraId="4C592712">
      <w:pPr>
        <w:rPr>
          <w:rFonts w:ascii="宋体" w:hAnsi="宋体" w:cs="宋体"/>
          <w:color w:val="000000"/>
          <w:sz w:val="24"/>
          <w:highlight w:val="none"/>
        </w:rPr>
      </w:pPr>
      <w:bookmarkStart w:id="23" w:name="_Toc35393625"/>
      <w:bookmarkStart w:id="24" w:name="_Toc35393794"/>
      <w:bookmarkStart w:id="25" w:name="_Toc28359084"/>
      <w:bookmarkStart w:id="26" w:name="_Toc28359007"/>
      <w:r>
        <w:rPr>
          <w:rFonts w:hint="eastAsia" w:ascii="宋体" w:hAnsi="宋体" w:cs="宋体"/>
          <w:color w:val="000000"/>
          <w:sz w:val="24"/>
          <w:highlight w:val="none"/>
        </w:rPr>
        <w:t>五、公告期限</w:t>
      </w:r>
      <w:bookmarkEnd w:id="23"/>
      <w:bookmarkEnd w:id="24"/>
      <w:bookmarkEnd w:id="25"/>
      <w:bookmarkEnd w:id="26"/>
    </w:p>
    <w:p w14:paraId="307B9F90">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自本公告发布之日起5个工作日。</w:t>
      </w:r>
    </w:p>
    <w:p w14:paraId="2BA3CC29">
      <w:pPr>
        <w:rPr>
          <w:rFonts w:ascii="宋体" w:hAnsi="宋体" w:cs="宋体"/>
          <w:color w:val="000000"/>
          <w:sz w:val="24"/>
          <w:highlight w:val="none"/>
        </w:rPr>
      </w:pPr>
      <w:bookmarkStart w:id="27" w:name="_Toc35393795"/>
      <w:bookmarkStart w:id="28" w:name="_Toc35393626"/>
      <w:r>
        <w:rPr>
          <w:rFonts w:hint="eastAsia" w:ascii="宋体" w:hAnsi="宋体" w:cs="宋体"/>
          <w:color w:val="000000"/>
          <w:sz w:val="24"/>
          <w:highlight w:val="none"/>
        </w:rPr>
        <w:t>六、其他补充事宜</w:t>
      </w:r>
      <w:bookmarkEnd w:id="27"/>
      <w:bookmarkEnd w:id="28"/>
    </w:p>
    <w:p w14:paraId="109C8F96">
      <w:pPr>
        <w:numPr>
          <w:ilvl w:val="0"/>
          <w:numId w:val="2"/>
        </w:numPr>
        <w:spacing w:line="380" w:lineRule="exact"/>
        <w:ind w:firstLine="482"/>
        <w:rPr>
          <w:rFonts w:ascii="宋体" w:hAnsi="宋体" w:cs="宋体"/>
          <w:color w:val="000000"/>
          <w:sz w:val="24"/>
          <w:highlight w:val="none"/>
        </w:rPr>
      </w:pPr>
      <w:r>
        <w:rPr>
          <w:rFonts w:hint="eastAsia" w:ascii="宋体" w:hAnsi="宋体" w:cs="宋体"/>
          <w:b/>
          <w:bCs/>
          <w:color w:val="000000"/>
          <w:sz w:val="24"/>
          <w:highlight w:val="none"/>
        </w:rPr>
        <w:t>本项目无需缴纳投标保证金。</w:t>
      </w:r>
    </w:p>
    <w:p w14:paraId="067FC1E7">
      <w:pPr>
        <w:numPr>
          <w:ilvl w:val="0"/>
          <w:numId w:val="2"/>
        </w:num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投标人可视自身情况决定是否出席开标会议；如出席开标会议，可以由法定代表人、负责人、自然人或其委托代理人出席开标会议（出席代表需携带本人身份证原件，未携带身份证所造成一切后果，由其自行承担）。</w:t>
      </w:r>
    </w:p>
    <w:p w14:paraId="004E3973">
      <w:pPr>
        <w:numPr>
          <w:ilvl w:val="0"/>
          <w:numId w:val="2"/>
        </w:num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本项目信息发布媒体：</w:t>
      </w:r>
    </w:p>
    <w:p w14:paraId="36763502">
      <w:pPr>
        <w:spacing w:line="380" w:lineRule="exact"/>
        <w:ind w:firstLine="480"/>
        <w:rPr>
          <w:rFonts w:ascii="宋体" w:hAnsi="宋体" w:eastAsia="宋体" w:cs="宋体"/>
          <w:color w:val="000000"/>
          <w:sz w:val="24"/>
          <w:highlight w:val="none"/>
          <w:lang w:val="en-US" w:eastAsia="zh-CN"/>
        </w:rPr>
      </w:pPr>
      <w:r>
        <w:rPr>
          <w:rFonts w:hint="eastAsia" w:ascii="宋体" w:hAnsi="宋体" w:cs="宋体"/>
          <w:color w:val="000000"/>
          <w:sz w:val="24"/>
          <w:highlight w:val="none"/>
        </w:rPr>
        <w:t>桂林市政府采购网（zfcg.czj.guilin.gov.cn）</w:t>
      </w:r>
    </w:p>
    <w:p w14:paraId="2FCA1FEC">
      <w:pPr>
        <w:spacing w:line="380" w:lineRule="exact"/>
        <w:ind w:firstLine="480"/>
        <w:rPr>
          <w:highlight w:val="none"/>
        </w:rPr>
      </w:pPr>
      <w:r>
        <w:rPr>
          <w:rFonts w:hint="eastAsia" w:ascii="宋体" w:hAnsi="宋体" w:cs="宋体"/>
          <w:color w:val="000000"/>
          <w:sz w:val="24"/>
          <w:highlight w:val="none"/>
        </w:rPr>
        <w:t>广西壮族自治区政府采购网（www.ccgp-guangxi.gov.cn）</w:t>
      </w:r>
    </w:p>
    <w:p w14:paraId="7F7C9E08">
      <w:pPr>
        <w:pStyle w:val="39"/>
        <w:ind w:firstLine="480"/>
        <w:rPr>
          <w:highlight w:val="none"/>
          <w:lang w:val="en-US" w:eastAsia="zh-CN"/>
        </w:rPr>
      </w:pPr>
      <w:r>
        <w:rPr>
          <w:rFonts w:hint="eastAsia" w:ascii="宋体" w:hAnsi="宋体" w:eastAsia="宋体" w:cs="宋体"/>
          <w:color w:val="000000"/>
          <w:sz w:val="24"/>
          <w:highlight w:val="none"/>
          <w:lang w:val="en-US" w:eastAsia="zh-CN"/>
        </w:rPr>
        <w:t>中国政府采购网（www.ccgp.gov.cn/）</w:t>
      </w:r>
    </w:p>
    <w:p w14:paraId="22552E01">
      <w:pPr>
        <w:pStyle w:val="252"/>
        <w:numPr>
          <w:ilvl w:val="0"/>
          <w:numId w:val="2"/>
        </w:numPr>
        <w:ind w:firstLine="480"/>
        <w:rPr>
          <w:rFonts w:hint="eastAsia" w:ascii="宋体" w:hAnsi="宋体" w:eastAsia="宋体" w:cs="宋体"/>
          <w:color w:val="000000"/>
          <w:highlight w:val="none"/>
        </w:rPr>
      </w:pPr>
      <w:r>
        <w:rPr>
          <w:rFonts w:hint="eastAsia" w:ascii="宋体" w:hAnsi="宋体" w:eastAsia="宋体" w:cs="宋体"/>
          <w:color w:val="000000"/>
          <w:highlight w:val="none"/>
        </w:rPr>
        <w:t>投标文件解密时间：截标时间后</w:t>
      </w:r>
      <w:r>
        <w:rPr>
          <w:rFonts w:hint="eastAsia" w:ascii="宋体" w:hAnsi="宋体" w:eastAsia="宋体" w:cs="宋体"/>
          <w:color w:val="000000"/>
          <w:highlight w:val="none"/>
          <w:u w:val="single"/>
        </w:rPr>
        <w:t>30</w:t>
      </w:r>
      <w:r>
        <w:rPr>
          <w:rFonts w:hint="eastAsia" w:ascii="宋体" w:hAnsi="宋体" w:eastAsia="宋体" w:cs="宋体"/>
          <w:color w:val="000000"/>
          <w:highlight w:val="none"/>
        </w:rPr>
        <w:t>分钟内</w:t>
      </w:r>
      <w:r>
        <w:rPr>
          <w:rFonts w:hint="eastAsia" w:ascii="宋体" w:hAnsi="宋体" w:eastAsia="宋体" w:cs="宋体"/>
          <w:color w:val="000000"/>
          <w:highlight w:val="none"/>
          <w:lang w:eastAsia="zh-CN"/>
        </w:rPr>
        <w:t>（</w:t>
      </w:r>
      <w:r>
        <w:rPr>
          <w:rFonts w:hint="eastAsia" w:ascii="宋体" w:hAnsi="宋体" w:eastAsia="宋体" w:cs="宋体"/>
          <w:color w:val="000000"/>
          <w:u w:val="single"/>
          <w:lang w:eastAsia="zh-CN"/>
        </w:rPr>
        <w:t>2026年</w:t>
      </w:r>
      <w:r>
        <w:rPr>
          <w:rFonts w:hint="eastAsia" w:ascii="宋体" w:hAnsi="宋体" w:eastAsia="宋体" w:cs="宋体"/>
          <w:color w:val="000000"/>
          <w:u w:val="single"/>
          <w:lang w:val="en-US" w:eastAsia="zh-CN"/>
        </w:rPr>
        <w:t>07</w:t>
      </w:r>
      <w:r>
        <w:rPr>
          <w:rFonts w:hint="eastAsia" w:ascii="宋体" w:hAnsi="宋体" w:eastAsia="宋体" w:cs="宋体"/>
          <w:color w:val="000000"/>
          <w:u w:val="single"/>
          <w:lang w:eastAsia="zh-CN"/>
        </w:rPr>
        <w:t>月</w:t>
      </w:r>
      <w:r>
        <w:rPr>
          <w:rFonts w:hint="eastAsia" w:ascii="宋体" w:hAnsi="宋体" w:eastAsia="宋体" w:cs="宋体"/>
          <w:color w:val="000000"/>
          <w:u w:val="single"/>
          <w:lang w:val="en-US" w:eastAsia="zh-CN"/>
        </w:rPr>
        <w:t>21</w:t>
      </w:r>
      <w:r>
        <w:rPr>
          <w:rFonts w:hint="eastAsia" w:ascii="宋体" w:hAnsi="宋体" w:eastAsia="宋体" w:cs="宋体"/>
          <w:color w:val="000000"/>
          <w:u w:val="single"/>
          <w:lang w:eastAsia="zh-CN"/>
        </w:rPr>
        <w:t>日</w:t>
      </w:r>
      <w:r>
        <w:rPr>
          <w:rFonts w:hint="eastAsia" w:ascii="宋体" w:hAnsi="宋体" w:eastAsia="宋体" w:cs="宋体"/>
          <w:color w:val="000000"/>
          <w:u w:val="single"/>
        </w:rPr>
        <w:t>上午</w:t>
      </w:r>
      <w:r>
        <w:rPr>
          <w:rFonts w:hint="eastAsia" w:ascii="宋体" w:hAnsi="宋体" w:eastAsia="宋体" w:cs="宋体"/>
          <w:color w:val="000000"/>
          <w:u w:val="single"/>
          <w:lang w:val="en-US" w:eastAsia="zh-CN"/>
        </w:rPr>
        <w:t>9</w:t>
      </w:r>
      <w:r>
        <w:rPr>
          <w:rFonts w:hint="eastAsia" w:ascii="宋体" w:hAnsi="宋体" w:eastAsia="宋体" w:cs="宋体"/>
          <w:color w:val="000000"/>
          <w:u w:val="single"/>
        </w:rPr>
        <w:t>时</w:t>
      </w:r>
      <w:r>
        <w:rPr>
          <w:rFonts w:hint="eastAsia" w:ascii="宋体" w:hAnsi="宋体" w:eastAsia="宋体" w:cs="宋体"/>
          <w:color w:val="000000"/>
          <w:u w:val="single"/>
          <w:lang w:val="en-US" w:eastAsia="zh-CN"/>
        </w:rPr>
        <w:t>30</w:t>
      </w:r>
      <w:r>
        <w:rPr>
          <w:rFonts w:hint="eastAsia" w:ascii="宋体" w:hAnsi="宋体" w:eastAsia="宋体" w:cs="宋体"/>
          <w:color w:val="000000"/>
          <w:u w:val="single"/>
        </w:rPr>
        <w:t>分至</w:t>
      </w:r>
      <w:r>
        <w:rPr>
          <w:rFonts w:hint="eastAsia" w:ascii="宋体" w:hAnsi="宋体" w:eastAsia="宋体" w:cs="宋体"/>
          <w:color w:val="000000"/>
          <w:u w:val="single"/>
          <w:lang w:val="en-US" w:eastAsia="zh-CN"/>
        </w:rPr>
        <w:t>10</w:t>
      </w:r>
      <w:r>
        <w:rPr>
          <w:rFonts w:hint="eastAsia" w:ascii="宋体" w:hAnsi="宋体" w:eastAsia="宋体" w:cs="宋体"/>
          <w:color w:val="000000"/>
          <w:u w:val="single"/>
        </w:rPr>
        <w:t>时</w:t>
      </w:r>
      <w:r>
        <w:rPr>
          <w:rFonts w:hint="eastAsia" w:ascii="宋体" w:hAnsi="宋体" w:eastAsia="宋体" w:cs="宋体"/>
          <w:color w:val="000000"/>
          <w:u w:val="single"/>
          <w:lang w:val="en-US" w:eastAsia="zh-CN"/>
        </w:rPr>
        <w:t>00</w:t>
      </w:r>
      <w:r>
        <w:rPr>
          <w:rFonts w:hint="eastAsia" w:ascii="宋体" w:hAnsi="宋体" w:eastAsia="宋体" w:cs="宋体"/>
          <w:color w:val="000000"/>
          <w:u w:val="single"/>
        </w:rPr>
        <w:t>分</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投标人可以登录</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，用“项目采购-开标评标”功能进行解密投标文件。</w:t>
      </w:r>
    </w:p>
    <w:p w14:paraId="5FF87F60">
      <w:pPr>
        <w:pStyle w:val="252"/>
        <w:numPr>
          <w:ilvl w:val="0"/>
          <w:numId w:val="0"/>
        </w:numPr>
        <w:ind w:firstLine="482"/>
        <w:rPr>
          <w:rFonts w:ascii="宋体" w:hAnsi="宋体" w:eastAsia="宋体" w:cs="宋体"/>
          <w:color w:val="000000"/>
          <w:highlight w:val="none"/>
          <w:lang w:val="en-US"/>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w:t>
      </w:r>
      <w:r>
        <w:rPr>
          <w:rFonts w:hint="eastAsia" w:ascii="宋体" w:hAnsi="宋体" w:eastAsia="宋体" w:cs="宋体"/>
          <w:b/>
          <w:bCs/>
          <w:color w:val="000000"/>
          <w:szCs w:val="21"/>
          <w:lang w:val="en-US" w:eastAsia="zh-CN"/>
        </w:rPr>
        <w:t>我中心</w:t>
      </w:r>
      <w:r>
        <w:rPr>
          <w:rFonts w:hint="eastAsia" w:ascii="宋体" w:hAnsi="宋体" w:eastAsia="宋体" w:cs="宋体"/>
          <w:b/>
          <w:bCs/>
          <w:color w:val="000000"/>
          <w:szCs w:val="21"/>
          <w:highlight w:val="none"/>
          <w:lang w:val="en-US" w:eastAsia="zh-CN"/>
        </w:rPr>
        <w:t>开启已解密的投标文件。投标人超过解密时限未解密的，系统默认自动放弃，造成投标无效的后果由投标人自行承担。解密投标文件后，30分钟内在线签字确认，超过时间没有在线签字确认的系统将自动视为投标人认可。</w:t>
      </w:r>
    </w:p>
    <w:p w14:paraId="57F5D7B0">
      <w:pPr>
        <w:pStyle w:val="252"/>
        <w:rPr>
          <w:rFonts w:hint="eastAsia" w:ascii="宋体" w:hAnsi="宋体" w:eastAsia="宋体" w:cs="宋体"/>
          <w:color w:val="000000"/>
          <w:highlight w:val="none"/>
        </w:rPr>
      </w:pPr>
      <w:r>
        <w:rPr>
          <w:rFonts w:hint="eastAsia" w:ascii="宋体" w:hAnsi="宋体" w:eastAsia="宋体" w:cs="宋体"/>
          <w:color w:val="000000"/>
          <w:highlight w:val="none"/>
        </w:rPr>
        <w:t>七、在线投标（电子投标）说明</w:t>
      </w:r>
    </w:p>
    <w:p w14:paraId="6139510F">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1.本项目通过</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实行在线投标响应（电子投标），投标人需要先安装“</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电子交易客户端”，并按照本招标文件和</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的要求，通过“</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电子交易客户端”编制并加密投标文件。投标人未按规定编制并加密的投标文件，</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将予以拒收。</w:t>
      </w:r>
    </w:p>
    <w:p w14:paraId="52210209">
      <w:pPr>
        <w:pStyle w:val="252"/>
        <w:ind w:firstLine="480"/>
        <w:rPr>
          <w:rFonts w:hint="eastAsia" w:ascii="宋体" w:hAnsi="宋体" w:eastAsia="宋体" w:cs="宋体"/>
          <w:color w:val="000000"/>
          <w:highlight w:val="none"/>
        </w:rPr>
      </w:pPr>
      <w:r>
        <w:rPr>
          <w:rFonts w:hint="eastAsia" w:ascii="宋体" w:hAnsi="宋体" w:eastAsia="宋体" w:cs="宋体"/>
          <w:color w:val="000000"/>
          <w:highlight w:val="none"/>
        </w:rPr>
        <w:t>“</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电子交易客户端”请自行前往广西政府采购网下载并安装；电子投标具体操作流程参考《政府采购项目电子交易管理操作指南-供应商》；在使用</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投标客户端时，建议使用</w:t>
      </w:r>
      <w:r>
        <w:rPr>
          <w:rFonts w:hint="eastAsia" w:ascii="宋体" w:hAnsi="宋体" w:eastAsia="宋体" w:cs="宋体"/>
          <w:color w:val="000000"/>
        </w:rPr>
        <w:t>WIN7</w:t>
      </w:r>
      <w:r>
        <w:rPr>
          <w:rFonts w:hint="eastAsia" w:ascii="宋体" w:hAnsi="宋体" w:eastAsia="宋体" w:cs="宋体"/>
          <w:color w:val="000000"/>
          <w:highlight w:val="none"/>
        </w:rPr>
        <w:t>及以上操作系统</w:t>
      </w:r>
      <w:r>
        <w:rPr>
          <w:rFonts w:hint="eastAsia" w:ascii="宋体" w:hAnsi="宋体" w:eastAsia="宋体" w:cs="宋体"/>
          <w:color w:val="000000"/>
          <w:lang w:eastAsia="zh-CN"/>
        </w:rPr>
        <w:t>，</w:t>
      </w:r>
      <w:r>
        <w:rPr>
          <w:rFonts w:hint="eastAsia" w:ascii="宋体" w:hAnsi="宋体" w:eastAsia="宋体" w:cs="宋体"/>
          <w:color w:val="000000"/>
          <w:highlight w:val="none"/>
        </w:rPr>
        <w:t>通过</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参与在线投标时如遇平台技术问题详询</w:t>
      </w:r>
      <w:r>
        <w:rPr>
          <w:rFonts w:hint="eastAsia" w:ascii="宋体" w:hAnsi="宋体" w:eastAsia="宋体" w:cs="宋体"/>
          <w:color w:val="000000"/>
          <w:highlight w:val="none"/>
          <w:lang w:eastAsia="zh-CN"/>
        </w:rPr>
        <w:t>95763</w:t>
      </w:r>
      <w:r>
        <w:rPr>
          <w:rFonts w:hint="eastAsia" w:ascii="宋体" w:hAnsi="宋体" w:eastAsia="宋体" w:cs="宋体"/>
          <w:color w:val="000000"/>
          <w:highlight w:val="none"/>
        </w:rPr>
        <w:t>。</w:t>
      </w:r>
    </w:p>
    <w:p w14:paraId="3CE593C3">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2.为确保网上操作合法、有效和安全，投标人应当在投标截止时间前完成在</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的身份认证，确保在电子投标过程中能够对相关数据电子文件进行加密和使用电子签章。使用“</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电子交易客户端”需要提前申领CA数字证书，申领流程请自行前往</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网站进行查阅；</w:t>
      </w:r>
      <w:r>
        <w:rPr>
          <w:rFonts w:hint="eastAsia" w:ascii="宋体" w:hAnsi="宋体" w:cs="宋体"/>
          <w:b/>
          <w:bCs/>
          <w:color w:val="000000"/>
          <w:sz w:val="24"/>
          <w:highlight w:val="none"/>
        </w:rPr>
        <w:t>（完成CA数字证书办理预计一周左右，建议供应商获取投标文件后立即办理）</w:t>
      </w:r>
    </w:p>
    <w:p w14:paraId="18064514">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3.投标人应当在投标截止时间前，将生成的“投标文件”上传递交至</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。投标文件递交截止时间前可以撤回电子投标文件。补充或者修改电子投标文件的，应当先行撤回原文件，补充、修改后重新传输递交，投标文件递交截止时间前未完成传输的，视为撤回投标文件。</w:t>
      </w:r>
    </w:p>
    <w:p w14:paraId="2EF79826">
      <w:pPr>
        <w:pStyle w:val="252"/>
        <w:ind w:firstLine="480"/>
        <w:rPr>
          <w:color w:val="000000"/>
          <w:highlight w:val="none"/>
        </w:rPr>
      </w:pPr>
      <w:r>
        <w:rPr>
          <w:rFonts w:hint="eastAsia" w:ascii="宋体" w:hAnsi="宋体" w:eastAsia="宋体" w:cs="宋体"/>
          <w:color w:val="000000"/>
          <w:highlight w:val="none"/>
        </w:rPr>
        <w:t>4.本采购项目为</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全流程电子化操作，参与投标的供应商需自备计算机和网络设备（设备需可视频通话和读取</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CA数字证书），确保投标过程顺利进行；因供应商自身设备或网络原因造成的一切后果，由供应商自行承担。</w:t>
      </w:r>
    </w:p>
    <w:p w14:paraId="11CE9C49">
      <w:pPr>
        <w:rPr>
          <w:rFonts w:ascii="宋体" w:hAnsi="宋体" w:cs="宋体"/>
          <w:color w:val="000000"/>
          <w:sz w:val="24"/>
          <w:highlight w:val="none"/>
        </w:rPr>
      </w:pPr>
      <w:r>
        <w:rPr>
          <w:rFonts w:hint="eastAsia" w:ascii="宋体" w:hAnsi="宋体" w:cs="宋体"/>
          <w:color w:val="000000"/>
          <w:sz w:val="24"/>
          <w:highlight w:val="none"/>
        </w:rPr>
        <w:t>八、对本次招标提出询问，请按以下方式联系。</w:t>
      </w:r>
    </w:p>
    <w:p w14:paraId="2CD21018">
      <w:pPr>
        <w:widowControl/>
        <w:spacing w:line="380" w:lineRule="exact"/>
        <w:ind w:left="0" w:firstLine="420"/>
        <w:jc w:val="left"/>
        <w:rPr>
          <w:rFonts w:ascii="宋体" w:hAnsi="宋体" w:cs="宋体"/>
          <w:color w:val="000000"/>
          <w:sz w:val="24"/>
          <w:highlight w:val="none"/>
        </w:rPr>
      </w:pPr>
      <w:r>
        <w:rPr>
          <w:rFonts w:hint="eastAsia" w:ascii="宋体" w:hAnsi="宋体" w:cs="宋体"/>
          <w:color w:val="000000"/>
          <w:sz w:val="24"/>
          <w:highlight w:val="none"/>
        </w:rPr>
        <w:t>1.采购人信息</w:t>
      </w:r>
    </w:p>
    <w:p w14:paraId="150F9D37">
      <w:pPr>
        <w:spacing w:line="380" w:lineRule="exact"/>
        <w:ind w:left="0" w:firstLine="420"/>
        <w:jc w:val="left"/>
        <w:rPr>
          <w:rFonts w:ascii="宋体" w:hAnsi="宋体" w:eastAsia="宋体" w:cs="宋体"/>
          <w:color w:val="000000"/>
          <w:sz w:val="24"/>
          <w:highlight w:val="none"/>
          <w:lang w:val="en-US" w:eastAsia="zh-CN"/>
        </w:rPr>
      </w:pPr>
      <w:r>
        <w:rPr>
          <w:rFonts w:hint="eastAsia" w:ascii="宋体" w:hAnsi="宋体" w:cs="宋体"/>
          <w:color w:val="000000"/>
          <w:sz w:val="24"/>
          <w:highlight w:val="none"/>
        </w:rPr>
        <w:t>名称：</w:t>
      </w:r>
      <w:r>
        <w:rPr>
          <w:rFonts w:hint="eastAsia" w:ascii="宋体" w:hAnsi="宋体" w:cs="宋体"/>
          <w:color w:val="000000"/>
          <w:sz w:val="24"/>
          <w:highlight w:val="none"/>
          <w:u w:val="single"/>
        </w:rPr>
        <w:t>荔浦市荔浦中学</w:t>
      </w:r>
    </w:p>
    <w:p w14:paraId="0A083021">
      <w:pPr>
        <w:spacing w:line="380" w:lineRule="exact"/>
        <w:ind w:left="0" w:firstLine="420"/>
        <w:jc w:val="left"/>
        <w:rPr>
          <w:rFonts w:ascii="宋体" w:hAnsi="宋体" w:eastAsia="宋体" w:cs="宋体"/>
          <w:color w:val="000000"/>
          <w:sz w:val="24"/>
          <w:highlight w:val="none"/>
          <w:u w:val="single"/>
          <w:lang w:val="en-US" w:eastAsia="zh-CN"/>
        </w:rPr>
      </w:pPr>
      <w:bookmarkStart w:id="29" w:name="_Toc28359009"/>
      <w:bookmarkStart w:id="30" w:name="_Toc28359086"/>
      <w:r>
        <w:rPr>
          <w:rFonts w:hint="eastAsia" w:ascii="宋体" w:hAnsi="宋体" w:cs="宋体"/>
          <w:color w:val="000000"/>
          <w:sz w:val="24"/>
          <w:highlight w:val="none"/>
        </w:rPr>
        <w:t>地址：</w:t>
      </w:r>
      <w:r>
        <w:rPr>
          <w:rFonts w:hint="eastAsia" w:ascii="宋体" w:hAnsi="宋体" w:cs="宋体"/>
          <w:color w:val="auto"/>
          <w:sz w:val="24"/>
          <w:highlight w:val="none"/>
          <w:u w:val="single"/>
        </w:rPr>
        <w:t>荔浦市荔城镇滨江南路13号</w:t>
      </w:r>
    </w:p>
    <w:p w14:paraId="16128362">
      <w:pPr>
        <w:spacing w:line="380" w:lineRule="exact"/>
        <w:ind w:left="0" w:firstLine="420"/>
        <w:jc w:val="left"/>
        <w:rPr>
          <w:rFonts w:hint="eastAsia" w:ascii="宋体" w:hAnsi="宋体" w:cs="宋体"/>
          <w:color w:val="000000"/>
          <w:sz w:val="24"/>
          <w:highlight w:val="none"/>
          <w:u w:val="single"/>
          <w:lang w:val="en-US" w:eastAsia="zh-CN"/>
        </w:rPr>
      </w:pPr>
      <w:r>
        <w:rPr>
          <w:rFonts w:hint="eastAsia" w:ascii="宋体" w:hAnsi="宋体" w:cs="宋体"/>
          <w:color w:val="000000"/>
          <w:sz w:val="24"/>
          <w:highlight w:val="none"/>
        </w:rPr>
        <w:t>联系方式：</w:t>
      </w:r>
      <w:r>
        <w:rPr>
          <w:rFonts w:hint="eastAsia" w:ascii="宋体" w:hAnsi="宋体" w:cs="宋体"/>
          <w:color w:val="000000"/>
          <w:sz w:val="24"/>
          <w:highlight w:val="none"/>
          <w:u w:val="single"/>
          <w:lang w:val="en-US" w:eastAsia="zh-CN"/>
        </w:rPr>
        <w:t>何老师   0773-7220609</w:t>
      </w:r>
    </w:p>
    <w:p w14:paraId="25C59F57">
      <w:pPr>
        <w:spacing w:line="380" w:lineRule="exact"/>
        <w:ind w:left="0" w:firstLine="420"/>
        <w:jc w:val="left"/>
        <w:rPr>
          <w:rFonts w:ascii="宋体" w:hAnsi="宋体" w:cs="宋体"/>
          <w:color w:val="000000"/>
          <w:sz w:val="24"/>
          <w:highlight w:val="none"/>
        </w:rPr>
      </w:pPr>
      <w:r>
        <w:rPr>
          <w:rFonts w:hint="eastAsia" w:ascii="宋体" w:hAnsi="宋体" w:cs="宋体"/>
          <w:color w:val="000000"/>
          <w:sz w:val="24"/>
          <w:highlight w:val="none"/>
        </w:rPr>
        <w:t>2.采购代理机构信息</w:t>
      </w:r>
    </w:p>
    <w:p w14:paraId="63A56A98">
      <w:pPr>
        <w:spacing w:line="380" w:lineRule="exact"/>
        <w:ind w:left="0" w:firstLine="420"/>
        <w:rPr>
          <w:rFonts w:ascii="宋体" w:hAnsi="宋体" w:cs="宋体"/>
          <w:color w:val="000000"/>
          <w:sz w:val="24"/>
          <w:highlight w:val="none"/>
          <w:u w:val="single"/>
        </w:rPr>
      </w:pPr>
      <w:r>
        <w:rPr>
          <w:rFonts w:hint="eastAsia" w:ascii="宋体" w:hAnsi="宋体" w:cs="宋体"/>
          <w:color w:val="000000"/>
          <w:sz w:val="24"/>
          <w:highlight w:val="none"/>
        </w:rPr>
        <w:t>名称：</w:t>
      </w:r>
      <w:r>
        <w:rPr>
          <w:rFonts w:hint="eastAsia" w:ascii="宋体" w:hAnsi="宋体" w:cs="宋体"/>
          <w:color w:val="000000"/>
          <w:sz w:val="24"/>
          <w:highlight w:val="none"/>
          <w:u w:val="single"/>
        </w:rPr>
        <w:t>桂林市政府集中采购中心　</w:t>
      </w:r>
    </w:p>
    <w:p w14:paraId="0FB88CDE">
      <w:pPr>
        <w:spacing w:line="380" w:lineRule="exact"/>
        <w:ind w:left="0" w:firstLine="420"/>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桂林市临桂区西城中路69号创业大厦西辅楼5楼</w:t>
      </w:r>
    </w:p>
    <w:p w14:paraId="11ABA896">
      <w:pPr>
        <w:spacing w:line="380" w:lineRule="exact"/>
        <w:ind w:left="0" w:firstLine="420"/>
        <w:rPr>
          <w:rFonts w:ascii="宋体" w:hAnsi="宋体" w:cs="宋体"/>
          <w:color w:val="000000"/>
          <w:sz w:val="24"/>
          <w:highlight w:val="none"/>
        </w:rPr>
      </w:pPr>
      <w:r>
        <w:rPr>
          <w:rFonts w:hint="eastAsia" w:ascii="宋体" w:hAnsi="宋体" w:cs="宋体"/>
          <w:color w:val="000000"/>
          <w:sz w:val="24"/>
          <w:highlight w:val="none"/>
        </w:rPr>
        <w:t>联系方式：</w:t>
      </w:r>
      <w:r>
        <w:rPr>
          <w:rFonts w:hint="eastAsia" w:ascii="宋体" w:hAnsi="宋体" w:cs="宋体"/>
          <w:color w:val="000000"/>
          <w:sz w:val="24"/>
          <w:highlight w:val="none"/>
          <w:u w:val="single"/>
          <w:lang w:val="en-US" w:eastAsia="zh-CN"/>
        </w:rPr>
        <w:t>0773-5625143</w:t>
      </w:r>
      <w:r>
        <w:rPr>
          <w:rFonts w:hint="eastAsia" w:ascii="宋体" w:hAnsi="宋体" w:cs="宋体"/>
          <w:color w:val="000000"/>
          <w:sz w:val="24"/>
          <w:highlight w:val="none"/>
          <w:u w:val="single"/>
        </w:rPr>
        <w:t>　</w:t>
      </w:r>
    </w:p>
    <w:p w14:paraId="4120B968">
      <w:pPr>
        <w:spacing w:line="380" w:lineRule="exact"/>
        <w:ind w:left="0" w:firstLine="420"/>
        <w:rPr>
          <w:rFonts w:ascii="宋体" w:hAnsi="宋体" w:cs="宋体"/>
          <w:color w:val="000000"/>
          <w:sz w:val="24"/>
          <w:highlight w:val="none"/>
          <w:u w:val="single"/>
        </w:rPr>
      </w:pPr>
      <w:r>
        <w:rPr>
          <w:rFonts w:hint="eastAsia" w:ascii="宋体" w:hAnsi="宋体" w:cs="宋体"/>
          <w:color w:val="000000"/>
          <w:sz w:val="24"/>
          <w:highlight w:val="none"/>
        </w:rPr>
        <w:t>3.项目联系方式</w:t>
      </w:r>
    </w:p>
    <w:p w14:paraId="65AF6282">
      <w:pPr>
        <w:pStyle w:val="214"/>
        <w:spacing w:line="380" w:lineRule="exact"/>
        <w:ind w:left="0" w:firstLine="420"/>
        <w:rPr>
          <w:rFonts w:hAnsi="宋体" w:eastAsia="宋体" w:cs="宋体"/>
          <w:color w:val="000000"/>
          <w:sz w:val="24"/>
          <w:szCs w:val="24"/>
          <w:highlight w:val="none"/>
          <w:lang w:val="en-US" w:eastAsia="zh-CN"/>
        </w:rPr>
      </w:pPr>
      <w:r>
        <w:rPr>
          <w:rFonts w:hint="eastAsia" w:hAnsi="宋体" w:cs="宋体"/>
          <w:color w:val="000000"/>
          <w:sz w:val="24"/>
          <w:szCs w:val="24"/>
          <w:highlight w:val="none"/>
        </w:rPr>
        <w:t>项目联系人：</w:t>
      </w:r>
      <w:r>
        <w:rPr>
          <w:rFonts w:hint="eastAsia" w:hAnsi="宋体" w:cs="宋体"/>
          <w:color w:val="000000"/>
          <w:sz w:val="24"/>
          <w:szCs w:val="24"/>
          <w:highlight w:val="none"/>
          <w:u w:val="single"/>
          <w:lang w:val="en-US" w:eastAsia="zh-CN"/>
        </w:rPr>
        <w:t>廖伟杰</w:t>
      </w:r>
    </w:p>
    <w:p w14:paraId="75B4DCA8">
      <w:pPr>
        <w:spacing w:line="380" w:lineRule="exact"/>
        <w:ind w:left="0" w:firstLine="420"/>
        <w:rPr>
          <w:rFonts w:ascii="宋体" w:hAnsi="宋体" w:cs="宋体"/>
          <w:color w:val="000000"/>
          <w:sz w:val="24"/>
          <w:highlight w:val="none"/>
          <w:u w:val="single"/>
          <w:lang w:val="en-US" w:eastAsia="zh-CN"/>
        </w:rPr>
      </w:pPr>
      <w:r>
        <w:rPr>
          <w:rFonts w:hint="eastAsia" w:ascii="宋体" w:hAnsi="宋体" w:cs="宋体"/>
          <w:color w:val="000000"/>
          <w:sz w:val="24"/>
          <w:highlight w:val="none"/>
        </w:rPr>
        <w:t>电　话：</w:t>
      </w:r>
      <w:r>
        <w:rPr>
          <w:rFonts w:hint="eastAsia" w:ascii="宋体" w:hAnsi="宋体" w:cs="宋体"/>
          <w:color w:val="000000"/>
          <w:sz w:val="24"/>
          <w:highlight w:val="none"/>
          <w:u w:val="single"/>
          <w:lang w:val="en-US" w:eastAsia="zh-CN"/>
        </w:rPr>
        <w:t>0773-5625166</w:t>
      </w:r>
    </w:p>
    <w:p w14:paraId="56951690">
      <w:pPr>
        <w:spacing w:line="380" w:lineRule="exact"/>
        <w:ind w:left="0" w:firstLine="420"/>
        <w:rPr>
          <w:rFonts w:ascii="宋体" w:hAnsi="宋体" w:cs="宋体"/>
          <w:color w:val="000000"/>
          <w:sz w:val="24"/>
          <w:highlight w:val="none"/>
        </w:rPr>
      </w:pPr>
      <w:r>
        <w:rPr>
          <w:rFonts w:hint="eastAsia" w:ascii="宋体" w:hAnsi="宋体" w:cs="宋体"/>
          <w:color w:val="000000"/>
          <w:sz w:val="24"/>
          <w:highlight w:val="none"/>
        </w:rPr>
        <w:t>4.政府采购监督管理机构</w:t>
      </w:r>
    </w:p>
    <w:p w14:paraId="64E193E4">
      <w:pPr>
        <w:spacing w:line="380" w:lineRule="exact"/>
        <w:ind w:left="0" w:firstLine="420"/>
        <w:rPr>
          <w:rFonts w:ascii="宋体" w:hAnsi="宋体" w:eastAsia="宋体" w:cs="宋体"/>
          <w:color w:val="auto"/>
          <w:sz w:val="24"/>
          <w:highlight w:val="none"/>
          <w:lang w:val="en-US" w:eastAsia="zh-CN"/>
        </w:rPr>
      </w:pPr>
      <w:r>
        <w:rPr>
          <w:rFonts w:hint="eastAsia" w:ascii="宋体" w:hAnsi="宋体" w:cs="宋体"/>
          <w:color w:val="000000"/>
          <w:sz w:val="24"/>
          <w:highlight w:val="none"/>
        </w:rPr>
        <w:t>名称：</w:t>
      </w:r>
      <w:r>
        <w:rPr>
          <w:rFonts w:hint="eastAsia" w:ascii="宋体" w:hAnsi="宋体" w:cs="宋体"/>
          <w:color w:val="000000"/>
          <w:sz w:val="24"/>
          <w:highlight w:val="none"/>
          <w:lang w:val="en-US" w:eastAsia="zh-CN"/>
        </w:rPr>
        <w:t>荔</w:t>
      </w:r>
      <w:r>
        <w:rPr>
          <w:rFonts w:hint="eastAsia" w:ascii="宋体" w:hAnsi="宋体" w:cs="宋体"/>
          <w:color w:val="auto"/>
          <w:sz w:val="24"/>
          <w:highlight w:val="none"/>
          <w:lang w:val="en-US" w:eastAsia="zh-CN"/>
        </w:rPr>
        <w:t>浦</w:t>
      </w:r>
      <w:r>
        <w:rPr>
          <w:rFonts w:hint="eastAsia" w:ascii="宋体" w:hAnsi="宋体" w:cs="宋体"/>
          <w:color w:val="auto"/>
          <w:sz w:val="24"/>
          <w:highlight w:val="none"/>
          <w:u w:val="single"/>
          <w:lang w:val="en-US" w:eastAsia="zh-CN"/>
        </w:rPr>
        <w:t>市财政局</w:t>
      </w:r>
    </w:p>
    <w:p w14:paraId="3A48210F">
      <w:pPr>
        <w:spacing w:line="380" w:lineRule="exact"/>
        <w:ind w:left="0" w:firstLine="420"/>
        <w:rPr>
          <w:rFonts w:ascii="宋体" w:hAnsi="宋体" w:eastAsia="宋体" w:cs="宋体"/>
          <w:color w:val="auto"/>
          <w:sz w:val="24"/>
          <w:highlight w:val="none"/>
          <w:lang w:val="en-US" w:eastAsia="zh-CN"/>
        </w:rPr>
      </w:pPr>
      <w:r>
        <w:rPr>
          <w:rFonts w:hint="eastAsia" w:ascii="宋体" w:hAnsi="宋体" w:cs="宋体"/>
          <w:color w:val="auto"/>
          <w:sz w:val="24"/>
          <w:highlight w:val="none"/>
        </w:rPr>
        <w:t>联系方式：</w:t>
      </w:r>
      <w:bookmarkEnd w:id="29"/>
      <w:bookmarkEnd w:id="30"/>
      <w:r>
        <w:rPr>
          <w:rFonts w:hint="eastAsia" w:ascii="宋体" w:hAnsi="宋体" w:cs="宋体"/>
          <w:color w:val="auto"/>
          <w:sz w:val="24"/>
          <w:highlight w:val="none"/>
          <w:u w:val="single"/>
          <w:lang w:eastAsia="zh-CN"/>
        </w:rPr>
        <w:t>0773-7233366</w:t>
      </w:r>
    </w:p>
    <w:p w14:paraId="48375BD2">
      <w:pPr>
        <w:spacing w:line="380" w:lineRule="exact"/>
        <w:ind w:firstLine="720"/>
        <w:rPr>
          <w:rFonts w:ascii="宋体" w:hAnsi="宋体" w:eastAsia="宋体" w:cs="宋体"/>
          <w:color w:val="000000"/>
          <w:sz w:val="24"/>
          <w:highlight w:val="none"/>
          <w:lang w:val="en-US" w:eastAsia="zh-CN"/>
        </w:rPr>
      </w:pPr>
    </w:p>
    <w:p w14:paraId="1A8856E5">
      <w:pPr>
        <w:jc w:val="center"/>
        <w:outlineLvl w:val="0"/>
        <w:rPr>
          <w:rFonts w:ascii="宋体" w:hAnsi="宋体" w:cs="宋体"/>
          <w:color w:val="000000"/>
          <w:sz w:val="32"/>
          <w:szCs w:val="32"/>
          <w:highlight w:val="none"/>
        </w:rPr>
      </w:pPr>
      <w:r>
        <w:rPr>
          <w:rFonts w:hint="eastAsia" w:ascii="宋体" w:hAnsi="宋体" w:cs="宋体"/>
          <w:color w:val="000000"/>
          <w:sz w:val="32"/>
          <w:szCs w:val="32"/>
          <w:highlight w:val="none"/>
        </w:rPr>
        <w:br w:type="page" w:clear="all"/>
      </w:r>
      <w:bookmarkStart w:id="31" w:name="_Toc19831"/>
      <w:bookmarkStart w:id="32" w:name="_Toc20656"/>
      <w:bookmarkStart w:id="33" w:name="_Toc495841754"/>
      <w:bookmarkStart w:id="34" w:name="_Toc3679"/>
      <w:r>
        <w:rPr>
          <w:rFonts w:hint="eastAsia" w:ascii="宋体" w:hAnsi="宋体" w:cs="宋体"/>
          <w:b/>
          <w:bCs/>
          <w:color w:val="000000"/>
          <w:sz w:val="32"/>
          <w:szCs w:val="32"/>
          <w:highlight w:val="none"/>
        </w:rPr>
        <w:t>第二章投标人须知</w:t>
      </w:r>
      <w:bookmarkEnd w:id="31"/>
      <w:bookmarkEnd w:id="32"/>
    </w:p>
    <w:p w14:paraId="00B1F644">
      <w:pPr>
        <w:tabs>
          <w:tab w:val="left" w:pos="1065"/>
          <w:tab w:val="center" w:pos="4411"/>
        </w:tabs>
        <w:spacing w:line="440" w:lineRule="exact"/>
        <w:jc w:val="center"/>
        <w:outlineLvl w:val="1"/>
        <w:rPr>
          <w:rFonts w:ascii="宋体" w:hAnsi="宋体" w:cs="宋体"/>
          <w:b/>
          <w:color w:val="000000"/>
          <w:sz w:val="24"/>
          <w:highlight w:val="none"/>
        </w:rPr>
      </w:pPr>
      <w:bookmarkStart w:id="35" w:name="_Toc14750"/>
      <w:bookmarkStart w:id="36" w:name="_Toc495841753"/>
      <w:bookmarkStart w:id="37" w:name="_Toc9149"/>
      <w:bookmarkStart w:id="38" w:name="_Toc19933"/>
      <w:bookmarkStart w:id="39" w:name="_Toc14222"/>
      <w:bookmarkStart w:id="40" w:name="_Toc8058"/>
      <w:r>
        <w:rPr>
          <w:rFonts w:hint="eastAsia" w:ascii="宋体" w:hAnsi="宋体" w:cs="宋体"/>
          <w:b/>
          <w:color w:val="000000"/>
          <w:sz w:val="24"/>
          <w:highlight w:val="none"/>
        </w:rPr>
        <w:t>投标人须知前附表</w:t>
      </w:r>
      <w:bookmarkEnd w:id="35"/>
      <w:bookmarkEnd w:id="36"/>
      <w:bookmarkEnd w:id="37"/>
      <w:bookmarkEnd w:id="38"/>
      <w:bookmarkEnd w:id="39"/>
      <w:bookmarkEnd w:id="40"/>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3"/>
        <w:gridCol w:w="1587"/>
        <w:gridCol w:w="7011"/>
      </w:tblGrid>
      <w:tr w14:paraId="5AB7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45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D014E15">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8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9B4FF74">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条款号</w:t>
            </w:r>
          </w:p>
        </w:tc>
        <w:tc>
          <w:tcPr>
            <w:tcW w:w="158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01741DD">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条款名称</w:t>
            </w:r>
          </w:p>
        </w:tc>
        <w:tc>
          <w:tcPr>
            <w:tcW w:w="701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358C1CD">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内容、要求</w:t>
            </w:r>
          </w:p>
        </w:tc>
      </w:tr>
      <w:tr w14:paraId="41D1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77A9C20">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E44630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FFF7968">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项目名称及项目编号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C330924">
            <w:pPr>
              <w:spacing w:line="34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项目名称：</w:t>
            </w:r>
            <w:r>
              <w:rPr>
                <w:rFonts w:hint="eastAsia" w:ascii="宋体" w:hAnsi="宋体" w:cs="宋体"/>
                <w:color w:val="000000"/>
                <w:szCs w:val="21"/>
                <w:highlight w:val="none"/>
                <w:lang w:val="en-US" w:eastAsia="zh-CN"/>
              </w:rPr>
              <w:t>荔浦市荔浦中学等114所学校教育城域网建设项目网络服务租用项目</w:t>
            </w:r>
          </w:p>
          <w:p w14:paraId="340F9BC5">
            <w:pPr>
              <w:spacing w:line="34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项目编号：</w:t>
            </w:r>
            <w:r>
              <w:rPr>
                <w:rFonts w:hint="eastAsia" w:ascii="宋体" w:hAnsi="宋体" w:cs="宋体"/>
                <w:color w:val="000000"/>
                <w:highlight w:val="none"/>
                <w:lang w:eastAsia="zh-CN"/>
              </w:rPr>
              <w:t>GLZC2026-G3-310022-GLSZ</w:t>
            </w:r>
          </w:p>
        </w:tc>
      </w:tr>
      <w:tr w14:paraId="5687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E0D0A71">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814ED5B">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874021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投标人资格</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D1A95A0">
            <w:pPr>
              <w:spacing w:line="400" w:lineRule="exact"/>
              <w:rPr>
                <w:rFonts w:hint="eastAsia"/>
                <w:color w:val="000000"/>
                <w:highlight w:val="none"/>
              </w:rPr>
            </w:pPr>
            <w:r>
              <w:rPr>
                <w:rFonts w:hint="eastAsia"/>
                <w:color w:val="000000"/>
                <w:highlight w:val="none"/>
              </w:rPr>
              <w:t>5.1符合《中华人民共和国政府采购法》第二十二条和《政府采购法实施条例》第十八条规定，并且在国内注册或登记、具备合法资格，提供本次采购货物或服务的供应商。</w:t>
            </w:r>
          </w:p>
          <w:p w14:paraId="3C0AE9C2">
            <w:pPr>
              <w:spacing w:line="400" w:lineRule="exact"/>
              <w:rPr>
                <w:color w:val="000000"/>
                <w:highlight w:val="none"/>
              </w:rPr>
            </w:pPr>
            <w:r>
              <w:rPr>
                <w:rFonts w:hint="eastAsia"/>
                <w:color w:val="000000"/>
                <w:highlight w:val="none"/>
              </w:rPr>
              <w:t>5.2本项目不接受联合体投标。</w:t>
            </w:r>
          </w:p>
          <w:p w14:paraId="628FFA23">
            <w:pPr>
              <w:spacing w:line="400" w:lineRule="exact"/>
              <w:rPr>
                <w:rFonts w:hint="eastAsia"/>
                <w:color w:val="000000"/>
                <w:highlight w:val="none"/>
              </w:rPr>
            </w:pPr>
            <w:r>
              <w:rPr>
                <w:rFonts w:hint="eastAsia"/>
                <w:color w:val="000000"/>
                <w:highlight w:val="none"/>
              </w:rPr>
              <w:t>5.3对在“信用中国”网站</w:t>
            </w:r>
            <w:r>
              <w:rPr>
                <w:rFonts w:hint="eastAsia" w:ascii="宋体" w:hAnsi="宋体" w:eastAsia="宋体" w:cs="宋体"/>
                <w:color w:val="000000"/>
                <w:highlight w:val="none"/>
              </w:rPr>
              <w:t>（www.creditchina.gov.cn）、中国政府采购网（www.ccgp.gov.cn）</w:t>
            </w:r>
            <w:r>
              <w:rPr>
                <w:rFonts w:hint="eastAsia"/>
                <w:color w:val="000000"/>
                <w:highlight w:val="none"/>
              </w:rPr>
              <w:t>等渠道列入失信被执行人、</w:t>
            </w:r>
            <w:r>
              <w:rPr>
                <w:rFonts w:hint="eastAsia"/>
                <w:color w:val="000000"/>
              </w:rPr>
              <w:t>重大税收违法案件当事人</w:t>
            </w:r>
            <w:r>
              <w:rPr>
                <w:rFonts w:hint="eastAsia"/>
                <w:color w:val="000000"/>
                <w:highlight w:val="none"/>
              </w:rPr>
              <w:t>名单、政府采购严重违法失信行为记录名单及其他不符合《中华人民共和国政府采购法》第二十二条规定条件的供应商，不得参与政府采购活动。</w:t>
            </w:r>
          </w:p>
          <w:p w14:paraId="24F31562">
            <w:pPr>
              <w:pStyle w:val="252"/>
              <w:rPr>
                <w:rFonts w:hint="eastAsia" w:ascii="Calibri" w:eastAsia="Calibri" w:cs="Times New Roman"/>
                <w:b/>
                <w:bCs/>
                <w:color w:val="000000"/>
                <w:sz w:val="21"/>
                <w:highlight w:val="none"/>
              </w:rPr>
            </w:pPr>
            <w:r>
              <w:rPr>
                <w:rFonts w:hint="eastAsia" w:ascii="Calibri" w:eastAsia="Calibri" w:cs="Times New Roman"/>
                <w:b/>
                <w:bCs/>
                <w:color w:val="000000"/>
                <w:sz w:val="21"/>
                <w:highlight w:val="none"/>
              </w:rPr>
              <w:t>5.4落实政府采购政策需满足的资格要求：</w:t>
            </w:r>
            <w:r>
              <w:rPr>
                <w:rFonts w:hint="eastAsia" w:ascii="Calibri" w:eastAsia="Calibri" w:cs="Times New Roman"/>
                <w:b/>
                <w:bCs/>
                <w:color w:val="000000"/>
                <w:sz w:val="21"/>
                <w:highlight w:val="none"/>
                <w:lang w:val="en-US" w:eastAsia="zh-CN"/>
              </w:rPr>
              <w:t>无</w:t>
            </w:r>
          </w:p>
          <w:p w14:paraId="379FD61E">
            <w:pPr>
              <w:pStyle w:val="252"/>
              <w:rPr>
                <w:color w:val="000000"/>
                <w:highlight w:val="none"/>
              </w:rPr>
            </w:pPr>
            <w:r>
              <w:rPr>
                <w:rFonts w:hint="eastAsia" w:ascii="Calibri" w:eastAsia="Calibri" w:cs="Times New Roman"/>
                <w:b/>
                <w:bCs/>
                <w:color w:val="000000"/>
                <w:sz w:val="21"/>
                <w:highlight w:val="none"/>
              </w:rPr>
              <w:t>5.5本项目的特定资格要求：无。</w:t>
            </w:r>
          </w:p>
        </w:tc>
      </w:tr>
      <w:tr w14:paraId="4C34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D2370B8">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3AF237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F10715F">
            <w:pPr>
              <w:spacing w:line="40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投标费用</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EA58D32">
            <w:pPr>
              <w:spacing w:line="400" w:lineRule="exact"/>
              <w:rPr>
                <w:rFonts w:ascii="宋体" w:hAnsi="宋体" w:cs="宋体"/>
                <w:color w:val="000000"/>
                <w:szCs w:val="21"/>
                <w:highlight w:val="none"/>
              </w:rPr>
            </w:pPr>
            <w:r>
              <w:rPr>
                <w:rFonts w:hint="eastAsia" w:ascii="宋体" w:hAnsi="宋体" w:cs="宋体"/>
                <w:color w:val="000000"/>
                <w:szCs w:val="21"/>
                <w:highlight w:val="none"/>
              </w:rPr>
              <w:t>不论投标结果如何，投标人均应自行承担所有与投标有关的全部费用。</w:t>
            </w:r>
          </w:p>
        </w:tc>
      </w:tr>
      <w:tr w14:paraId="7E8E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F3E0F8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C59FC41">
            <w:pPr>
              <w:spacing w:line="360" w:lineRule="exact"/>
              <w:jc w:val="center"/>
              <w:rPr>
                <w:rFonts w:ascii="宋体" w:hAnsi="宋体" w:cs="宋体"/>
                <w:color w:val="000000"/>
                <w:position w:val="-2"/>
                <w:szCs w:val="21"/>
                <w:highlight w:val="none"/>
              </w:rPr>
            </w:pPr>
            <w:r>
              <w:rPr>
                <w:rFonts w:hint="eastAsia" w:ascii="宋体" w:hAnsi="宋体" w:cs="宋体"/>
                <w:color w:val="000000"/>
                <w:position w:val="-2"/>
                <w:szCs w:val="21"/>
                <w:highlight w:val="none"/>
              </w:rPr>
              <w:t>15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E8FCCD4">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采购预算金额及投标报价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8AC7107">
            <w:pPr>
              <w:spacing w:line="360" w:lineRule="exact"/>
              <w:rPr>
                <w:rFonts w:ascii="宋体" w:hAnsi="宋体" w:cs="宋体"/>
                <w:color w:val="000000"/>
                <w:szCs w:val="21"/>
                <w:highlight w:val="none"/>
              </w:rPr>
            </w:pPr>
            <w:r>
              <w:rPr>
                <w:rFonts w:hint="eastAsia" w:ascii="宋体" w:hAnsi="宋体" w:cs="宋体"/>
                <w:color w:val="000000"/>
                <w:szCs w:val="21"/>
                <w:highlight w:val="none"/>
              </w:rPr>
              <w:t>15.1投标报价应按招标文件中第六章“投标文件（格式）”填写，本项目采购预算金额：</w:t>
            </w:r>
            <w:r>
              <w:rPr>
                <w:rFonts w:hint="eastAsia" w:ascii="宋体" w:hAnsi="宋体" w:cs="宋体"/>
                <w:color w:val="000000"/>
                <w:szCs w:val="21"/>
                <w:highlight w:val="none"/>
                <w:lang w:val="en-US" w:eastAsia="zh-CN"/>
              </w:rPr>
              <w:t>本项目预算金额为人民币叁佰万元整（¥3000000.00元）</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投标报价超过采购预算金额的，投标文件按无效处理。</w:t>
            </w:r>
          </w:p>
          <w:p w14:paraId="5A8BE15F">
            <w:pPr>
              <w:spacing w:line="360" w:lineRule="exact"/>
              <w:rPr>
                <w:rFonts w:ascii="宋体" w:hAnsi="宋体" w:cs="宋体"/>
                <w:color w:val="000000"/>
                <w:szCs w:val="21"/>
                <w:highlight w:val="none"/>
              </w:rPr>
            </w:pPr>
            <w:r>
              <w:rPr>
                <w:rFonts w:hint="eastAsia" w:ascii="宋体" w:hAnsi="宋体" w:cs="宋体"/>
                <w:color w:val="000000"/>
                <w:szCs w:val="21"/>
                <w:highlight w:val="none"/>
              </w:rPr>
              <w:t>15.2投标人必须就“</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”中所投分标内容作完整唯一报价，否则，其投标将被拒绝；投标文件只允许有一个报价，有选择的或有条件的报价将不予接受。</w:t>
            </w:r>
          </w:p>
        </w:tc>
      </w:tr>
      <w:tr w14:paraId="3111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67341DAE">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46A8AE5">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16.1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0EA3B47">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投标有效期</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94DCDDF">
            <w:pPr>
              <w:spacing w:line="400" w:lineRule="exact"/>
              <w:rPr>
                <w:rFonts w:ascii="宋体" w:hAnsi="宋体" w:cs="宋体"/>
                <w:color w:val="000000"/>
                <w:szCs w:val="21"/>
                <w:highlight w:val="none"/>
              </w:rPr>
            </w:pPr>
            <w:r>
              <w:rPr>
                <w:rFonts w:hint="eastAsia" w:ascii="宋体" w:hAnsi="宋体" w:cs="宋体"/>
                <w:color w:val="000000"/>
                <w:szCs w:val="21"/>
                <w:highlight w:val="none"/>
              </w:rPr>
              <w:t>投标截止时间之日起90天。</w:t>
            </w:r>
          </w:p>
        </w:tc>
      </w:tr>
      <w:tr w14:paraId="7ED1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724D04A">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90238ED">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6491E17">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投标保证金</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7657290F">
            <w:pPr>
              <w:spacing w:line="400" w:lineRule="exact"/>
              <w:rPr>
                <w:rFonts w:ascii="宋体" w:hAnsi="宋体" w:cs="宋体"/>
                <w:color w:val="000000"/>
                <w:szCs w:val="21"/>
                <w:highlight w:val="none"/>
              </w:rPr>
            </w:pPr>
            <w:r>
              <w:rPr>
                <w:rFonts w:hint="eastAsia" w:ascii="宋体" w:hAnsi="宋体" w:cs="宋体"/>
                <w:b/>
                <w:bCs/>
                <w:color w:val="000000"/>
                <w:szCs w:val="21"/>
                <w:highlight w:val="none"/>
              </w:rPr>
              <w:t>本项目无需缴纳投标保证金</w:t>
            </w:r>
            <w:r>
              <w:rPr>
                <w:rFonts w:hint="eastAsia" w:ascii="宋体" w:hAnsi="宋体" w:cs="宋体"/>
                <w:color w:val="000000"/>
                <w:szCs w:val="21"/>
                <w:highlight w:val="none"/>
              </w:rPr>
              <w:t>。</w:t>
            </w:r>
          </w:p>
        </w:tc>
      </w:tr>
      <w:tr w14:paraId="799D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ABFD2C9">
            <w:pPr>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63012B8">
            <w:pPr>
              <w:spacing w:line="400" w:lineRule="exact"/>
              <w:jc w:val="center"/>
              <w:rPr>
                <w:rFonts w:ascii="宋体" w:hAnsi="宋体" w:cs="宋体"/>
                <w:color w:val="000000"/>
                <w:position w:val="10"/>
                <w:szCs w:val="21"/>
                <w:highlight w:val="none"/>
              </w:rPr>
            </w:pPr>
            <w:r>
              <w:rPr>
                <w:rFonts w:hint="eastAsia" w:ascii="宋体" w:hAnsi="宋体" w:cs="宋体"/>
                <w:color w:val="000000"/>
                <w:szCs w:val="21"/>
                <w:highlight w:val="none"/>
              </w:rPr>
              <w:t>18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095898B">
            <w:pPr>
              <w:spacing w:line="400" w:lineRule="exact"/>
              <w:jc w:val="center"/>
              <w:rPr>
                <w:rFonts w:ascii="宋体" w:hAnsi="宋体" w:cs="宋体"/>
                <w:color w:val="000000"/>
                <w:position w:val="10"/>
                <w:szCs w:val="21"/>
                <w:highlight w:val="none"/>
              </w:rPr>
            </w:pPr>
            <w:r>
              <w:rPr>
                <w:rFonts w:hint="eastAsia" w:ascii="宋体" w:hAnsi="宋体" w:cs="宋体"/>
                <w:color w:val="000000"/>
                <w:szCs w:val="21"/>
                <w:highlight w:val="none"/>
              </w:rPr>
              <w:t>投标文件的制作</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F7D271A">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18.1电子投标文件中须加盖供应商公章部分均采用CA签章，并根据“政府采购项目电子交易管理操作指南-供应商”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w:t>
            </w:r>
            <w:r>
              <w:rPr>
                <w:rFonts w:hint="eastAsia" w:ascii="宋体" w:hAnsi="宋体" w:cs="宋体"/>
                <w:color w:val="000000"/>
                <w:szCs w:val="21"/>
              </w:rPr>
              <w:t>内容不完整</w:t>
            </w:r>
            <w:r>
              <w:rPr>
                <w:rFonts w:hint="eastAsia" w:ascii="宋体" w:hAnsi="宋体" w:cs="宋体"/>
                <w:color w:val="000000"/>
                <w:szCs w:val="21"/>
                <w:highlight w:val="none"/>
              </w:rPr>
              <w:t>、编排混乱导致投标文件被误读、漏读，或者在按招标文件规定的部位查找不到相关内容的，由供应商自行承担。</w:t>
            </w:r>
          </w:p>
          <w:p w14:paraId="0CCEBBDC">
            <w:pPr>
              <w:spacing w:line="36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18.2供应商法人（负责人）或授权代表持有</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个人CA签章的，应在投标文件中涉及到签字的位置使用个人CA签章，没有办理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个人CA签章的可在投标文件中涉及到签字的位置手写签字</w:t>
            </w:r>
            <w:r>
              <w:rPr>
                <w:rFonts w:hint="eastAsia" w:ascii="宋体" w:hAnsi="宋体" w:cs="宋体"/>
                <w:color w:val="000000"/>
                <w:szCs w:val="21"/>
                <w:highlight w:val="none"/>
                <w:lang w:eastAsia="zh-CN"/>
              </w:rPr>
              <w:t>或盖章</w:t>
            </w:r>
            <w:r>
              <w:rPr>
                <w:rFonts w:hint="eastAsia" w:ascii="宋体" w:hAnsi="宋体" w:cs="宋体"/>
                <w:color w:val="000000"/>
                <w:szCs w:val="21"/>
                <w:highlight w:val="none"/>
              </w:rPr>
              <w:t>后扫描或者拍照做成PDF的格式上传即可。</w:t>
            </w:r>
          </w:p>
          <w:p w14:paraId="64E7AC75">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18.3投标文件不得涂改，若有修改错漏处，须法定代表人（负责人）或授权委托人签字（或个人CA签章）。投标文件因字迹潦草或表达不清所引起的后果由供应商负责。</w:t>
            </w:r>
          </w:p>
          <w:p w14:paraId="6A178FA6">
            <w:pPr>
              <w:spacing w:line="36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18.4评审前准备</w:t>
            </w:r>
          </w:p>
          <w:p w14:paraId="561BF530">
            <w:pPr>
              <w:spacing w:line="36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18.4.1本项目实行网上评审，采用电子投标文件；若供应商参与投标，自行承担投标一切费用。</w:t>
            </w:r>
          </w:p>
          <w:p w14:paraId="7DF163DF">
            <w:pPr>
              <w:spacing w:line="36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18.4.2各供应商在截标前应确保成为</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正式注册入库供应商，并完成CA数字证书申领。因未注册入库、未办理CA数字证书等原因造成无法投标或投标失败等后果由供应商自行承担。</w:t>
            </w:r>
          </w:p>
          <w:p w14:paraId="284031FE">
            <w:pPr>
              <w:spacing w:line="360" w:lineRule="exact"/>
              <w:rPr>
                <w:rFonts w:ascii="宋体" w:hAnsi="宋体" w:cs="宋体"/>
                <w:color w:val="000000"/>
                <w:szCs w:val="21"/>
                <w:highlight w:val="none"/>
              </w:rPr>
            </w:pPr>
            <w:r>
              <w:rPr>
                <w:rFonts w:hint="eastAsia" w:ascii="宋体" w:hAnsi="宋体" w:cs="宋体"/>
                <w:color w:val="000000"/>
                <w:szCs w:val="21"/>
                <w:highlight w:val="none"/>
              </w:rPr>
              <w:t>18.4.3供应商将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电子交易客户端下载、安装完成后，可通过账号密码或CA登录客户端进行投标文件制作。客户端请至网站下载专区查看，如有问题可拨打</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客户服务热线</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进行咨询。</w:t>
            </w:r>
          </w:p>
        </w:tc>
      </w:tr>
      <w:tr w14:paraId="53B4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center"/>
          </w:tcPr>
          <w:p w14:paraId="5AE4C293">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2232859">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19.1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660B8EE">
            <w:pPr>
              <w:spacing w:line="360" w:lineRule="exact"/>
              <w:rPr>
                <w:rFonts w:ascii="宋体" w:hAnsi="宋体" w:cs="宋体"/>
                <w:color w:val="000000"/>
                <w:szCs w:val="21"/>
                <w:highlight w:val="none"/>
              </w:rPr>
            </w:pPr>
            <w:r>
              <w:rPr>
                <w:rFonts w:hint="eastAsia" w:ascii="宋体" w:hAnsi="宋体" w:cs="宋体"/>
                <w:color w:val="000000"/>
                <w:szCs w:val="21"/>
                <w:highlight w:val="none"/>
              </w:rPr>
              <w:t>投标文件的补充、修改和撤回</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E844530">
            <w:pPr>
              <w:spacing w:line="360" w:lineRule="exact"/>
              <w:rPr>
                <w:rFonts w:ascii="宋体" w:hAnsi="宋体" w:cs="宋体"/>
                <w:color w:val="000000"/>
                <w:szCs w:val="21"/>
                <w:highlight w:val="none"/>
              </w:rPr>
            </w:pPr>
            <w:r>
              <w:rPr>
                <w:rFonts w:hint="eastAsia" w:ascii="宋体" w:hAnsi="宋体" w:cs="宋体"/>
                <w:color w:val="000000"/>
                <w:szCs w:val="21"/>
                <w:highlight w:val="none"/>
              </w:rPr>
              <w:t>19.1投标文件递交截止时间前可以撤回电子投标文件。补充或者修改电子投标文件的，应当先行撤回原文件，补充、修改后重新传输递交，投标文件递交截止时间前未完成传输的，视为撤回投标文件。</w:t>
            </w:r>
          </w:p>
        </w:tc>
      </w:tr>
      <w:tr w14:paraId="096E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9E46549">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36B705F">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4D02903">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投标文件递交</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F8C9F48">
            <w:pPr>
              <w:spacing w:line="360" w:lineRule="exact"/>
              <w:rPr>
                <w:rFonts w:ascii="宋体" w:hAnsi="宋体" w:cs="宋体"/>
                <w:color w:val="000000"/>
                <w:szCs w:val="21"/>
                <w:highlight w:val="yellow"/>
              </w:rPr>
            </w:pPr>
            <w:r>
              <w:rPr>
                <w:rFonts w:hint="eastAsia" w:ascii="宋体" w:hAnsi="宋体" w:cs="宋体"/>
                <w:color w:val="000000"/>
                <w:szCs w:val="21"/>
                <w:highlight w:val="none"/>
              </w:rPr>
              <w:t>20.1</w:t>
            </w:r>
            <w:r>
              <w:rPr>
                <w:rFonts w:hint="eastAsia" w:ascii="宋体" w:hAnsi="宋体"/>
                <w:color w:val="000000"/>
                <w:szCs w:val="21"/>
                <w:highlight w:val="none"/>
              </w:rPr>
              <w:t>投标文件递交截止时间：于</w:t>
            </w:r>
            <w:r>
              <w:rPr>
                <w:rFonts w:hint="eastAsia" w:ascii="宋体" w:hAnsi="宋体" w:cs="宋体"/>
                <w:color w:val="000000"/>
                <w:szCs w:val="21"/>
                <w:highlight w:val="none"/>
                <w:u w:val="single"/>
                <w:lang w:eastAsia="zh-CN"/>
              </w:rPr>
              <w:t>2026年</w:t>
            </w:r>
            <w:r>
              <w:rPr>
                <w:rFonts w:hint="eastAsia" w:ascii="宋体" w:hAnsi="宋体" w:cs="宋体"/>
                <w:color w:val="000000"/>
                <w:szCs w:val="21"/>
                <w:highlight w:val="none"/>
                <w:u w:val="single"/>
                <w:lang w:val="en-US" w:eastAsia="zh-CN"/>
              </w:rPr>
              <w:t>07</w:t>
            </w:r>
            <w:r>
              <w:rPr>
                <w:rFonts w:hint="eastAsia" w:ascii="宋体" w:hAnsi="宋体" w:cs="宋体"/>
                <w:color w:val="000000"/>
                <w:szCs w:val="21"/>
                <w:highlight w:val="none"/>
                <w:u w:val="single"/>
                <w:lang w:eastAsia="zh-CN"/>
              </w:rPr>
              <w:t>月</w:t>
            </w:r>
            <w:r>
              <w:rPr>
                <w:rFonts w:hint="eastAsia" w:ascii="宋体" w:hAnsi="宋体" w:cs="宋体"/>
                <w:color w:val="000000"/>
                <w:szCs w:val="21"/>
                <w:highlight w:val="none"/>
                <w:u w:val="single"/>
                <w:lang w:val="en-US" w:eastAsia="zh-CN"/>
              </w:rPr>
              <w:t>21</w:t>
            </w:r>
            <w:r>
              <w:rPr>
                <w:rFonts w:hint="eastAsia" w:ascii="宋体" w:hAnsi="宋体" w:cs="宋体"/>
                <w:color w:val="000000"/>
                <w:szCs w:val="21"/>
                <w:highlight w:val="none"/>
                <w:u w:val="single"/>
                <w:lang w:eastAsia="zh-CN"/>
              </w:rPr>
              <w:t>日</w:t>
            </w:r>
            <w:r>
              <w:rPr>
                <w:rFonts w:hint="eastAsia" w:ascii="宋体" w:hAnsi="宋体" w:cs="宋体"/>
                <w:color w:val="000000"/>
                <w:szCs w:val="21"/>
                <w:highlight w:val="none"/>
                <w:u w:val="single"/>
              </w:rPr>
              <w:t>上午</w:t>
            </w:r>
            <w:r>
              <w:rPr>
                <w:rFonts w:hint="eastAsia" w:ascii="宋体" w:hAnsi="宋体" w:cs="宋体"/>
                <w:color w:val="000000"/>
                <w:szCs w:val="21"/>
                <w:highlight w:val="none"/>
                <w:u w:val="single"/>
                <w:lang w:val="en-US" w:eastAsia="zh-CN"/>
              </w:rPr>
              <w:t>9</w:t>
            </w:r>
            <w:r>
              <w:rPr>
                <w:rFonts w:hint="eastAsia" w:ascii="宋体" w:hAnsi="宋体" w:cs="宋体"/>
                <w:color w:val="000000"/>
                <w:szCs w:val="21"/>
                <w:highlight w:val="none"/>
                <w:u w:val="single"/>
              </w:rPr>
              <w:t>时</w:t>
            </w:r>
            <w:r>
              <w:rPr>
                <w:rFonts w:hint="eastAsia" w:ascii="宋体" w:hAnsi="宋体" w:cs="宋体"/>
                <w:color w:val="000000"/>
                <w:szCs w:val="21"/>
                <w:highlight w:val="none"/>
                <w:u w:val="single"/>
                <w:lang w:val="en-US" w:eastAsia="zh-CN"/>
              </w:rPr>
              <w:t>30</w:t>
            </w:r>
            <w:r>
              <w:rPr>
                <w:rFonts w:hint="eastAsia" w:ascii="宋体" w:hAnsi="宋体" w:cs="宋体"/>
                <w:color w:val="000000"/>
                <w:szCs w:val="21"/>
                <w:highlight w:val="none"/>
                <w:u w:val="single"/>
              </w:rPr>
              <w:t>分</w:t>
            </w:r>
            <w:r>
              <w:rPr>
                <w:rFonts w:hint="eastAsia" w:ascii="宋体" w:hAnsi="宋体" w:cs="宋体"/>
                <w:color w:val="000000"/>
                <w:szCs w:val="21"/>
                <w:highlight w:val="none"/>
              </w:rPr>
              <w:t>之前将电子投标文件上传到</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。应按照本项目招标文件和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的要求编制、加密传输投标文件。供应商在使用系统进行投标的过程中遇到涉及平台使用的任何问题，可致电</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技术支持热线咨询，联系方式：</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w:t>
            </w:r>
          </w:p>
        </w:tc>
      </w:tr>
      <w:tr w14:paraId="3D8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CECB912">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43A242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EEACB07">
            <w:pPr>
              <w:spacing w:line="360" w:lineRule="exact"/>
              <w:rPr>
                <w:rFonts w:ascii="宋体" w:hAnsi="宋体" w:cs="宋体"/>
                <w:color w:val="000000"/>
                <w:szCs w:val="21"/>
                <w:highlight w:val="none"/>
              </w:rPr>
            </w:pPr>
            <w:r>
              <w:rPr>
                <w:rFonts w:hint="eastAsia" w:ascii="宋体" w:hAnsi="宋体" w:cs="宋体"/>
                <w:color w:val="000000"/>
                <w:szCs w:val="21"/>
                <w:highlight w:val="none"/>
              </w:rPr>
              <w:t>投标文件解密</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9751A4E">
            <w:pPr>
              <w:spacing w:line="360" w:lineRule="exact"/>
              <w:rPr>
                <w:rFonts w:hint="eastAsia" w:ascii="宋体" w:hAnsi="宋体" w:cs="宋体"/>
                <w:color w:val="000000"/>
                <w:highlight w:val="none"/>
              </w:rPr>
            </w:pPr>
            <w:r>
              <w:rPr>
                <w:rFonts w:hint="eastAsia" w:ascii="宋体" w:hAnsi="宋体" w:cs="宋体"/>
                <w:color w:val="000000"/>
                <w:szCs w:val="21"/>
                <w:highlight w:val="none"/>
              </w:rPr>
              <w:t>20.2</w:t>
            </w:r>
            <w:r>
              <w:rPr>
                <w:rFonts w:hint="eastAsia" w:ascii="宋体" w:hAnsi="宋体" w:cs="宋体"/>
                <w:color w:val="000000"/>
                <w:highlight w:val="none"/>
              </w:rPr>
              <w:t>投标文件解密时间：截标时间后</w:t>
            </w:r>
            <w:r>
              <w:rPr>
                <w:rFonts w:hint="eastAsia" w:ascii="宋体" w:hAnsi="宋体" w:cs="宋体"/>
                <w:color w:val="000000"/>
                <w:highlight w:val="none"/>
                <w:u w:val="single"/>
              </w:rPr>
              <w:t>30</w:t>
            </w:r>
            <w:r>
              <w:rPr>
                <w:rFonts w:hint="eastAsia" w:ascii="宋体" w:hAnsi="宋体" w:cs="宋体"/>
                <w:color w:val="000000"/>
                <w:highlight w:val="none"/>
              </w:rPr>
              <w:t>分钟内（</w:t>
            </w:r>
            <w:r>
              <w:rPr>
                <w:rFonts w:hint="eastAsia" w:ascii="宋体" w:hAnsi="宋体" w:cs="宋体"/>
                <w:color w:val="000000"/>
                <w:highlight w:val="none"/>
                <w:u w:val="single"/>
                <w:lang w:eastAsia="zh-CN"/>
              </w:rPr>
              <w:t>2026年</w:t>
            </w:r>
            <w:r>
              <w:rPr>
                <w:rFonts w:hint="eastAsia" w:ascii="宋体" w:hAnsi="宋体" w:cs="宋体"/>
                <w:color w:val="000000"/>
                <w:highlight w:val="none"/>
                <w:u w:val="single"/>
                <w:lang w:val="en-US" w:eastAsia="zh-CN"/>
              </w:rPr>
              <w:t>07</w:t>
            </w:r>
            <w:r>
              <w:rPr>
                <w:rFonts w:hint="eastAsia" w:ascii="宋体" w:hAnsi="宋体" w:cs="宋体"/>
                <w:color w:val="000000"/>
                <w:highlight w:val="none"/>
                <w:u w:val="single"/>
                <w:lang w:eastAsia="zh-CN"/>
              </w:rPr>
              <w:t>月</w:t>
            </w:r>
            <w:r>
              <w:rPr>
                <w:rFonts w:hint="eastAsia" w:ascii="宋体" w:hAnsi="宋体" w:cs="宋体"/>
                <w:color w:val="000000"/>
                <w:highlight w:val="none"/>
                <w:u w:val="single"/>
                <w:lang w:val="en-US" w:eastAsia="zh-CN"/>
              </w:rPr>
              <w:t>21</w:t>
            </w:r>
            <w:r>
              <w:rPr>
                <w:rFonts w:hint="eastAsia" w:ascii="宋体" w:hAnsi="宋体" w:cs="宋体"/>
                <w:color w:val="000000"/>
                <w:highlight w:val="none"/>
                <w:u w:val="single"/>
                <w:lang w:eastAsia="zh-CN"/>
              </w:rPr>
              <w:t>日</w:t>
            </w:r>
            <w:r>
              <w:rPr>
                <w:rFonts w:hint="eastAsia" w:ascii="宋体" w:hAnsi="宋体" w:cs="宋体"/>
                <w:color w:val="000000"/>
                <w:highlight w:val="none"/>
                <w:u w:val="single"/>
              </w:rPr>
              <w:t>上午</w:t>
            </w:r>
            <w:r>
              <w:rPr>
                <w:rFonts w:hint="eastAsia" w:ascii="宋体" w:hAnsi="宋体" w:cs="宋体"/>
                <w:color w:val="000000"/>
                <w:highlight w:val="none"/>
                <w:u w:val="single"/>
                <w:lang w:val="en-US" w:eastAsia="zh-CN"/>
              </w:rPr>
              <w:t>9</w:t>
            </w:r>
            <w:r>
              <w:rPr>
                <w:rFonts w:hint="eastAsia" w:ascii="宋体" w:hAnsi="宋体" w:cs="宋体"/>
                <w:color w:val="000000"/>
                <w:highlight w:val="none"/>
                <w:u w:val="single"/>
              </w:rPr>
              <w:t>时</w:t>
            </w:r>
            <w:r>
              <w:rPr>
                <w:rFonts w:hint="eastAsia" w:ascii="宋体" w:hAnsi="宋体" w:cs="宋体"/>
                <w:color w:val="000000"/>
                <w:highlight w:val="none"/>
                <w:u w:val="single"/>
                <w:lang w:val="en-US" w:eastAsia="zh-CN"/>
              </w:rPr>
              <w:t>30</w:t>
            </w:r>
            <w:r>
              <w:rPr>
                <w:rFonts w:hint="eastAsia" w:ascii="宋体" w:hAnsi="宋体" w:cs="宋体"/>
                <w:color w:val="000000"/>
                <w:highlight w:val="none"/>
                <w:u w:val="single"/>
              </w:rPr>
              <w:t>分至</w:t>
            </w:r>
            <w:r>
              <w:rPr>
                <w:rFonts w:hint="eastAsia" w:ascii="宋体" w:hAnsi="宋体" w:cs="宋体"/>
                <w:color w:val="000000"/>
                <w:highlight w:val="none"/>
                <w:u w:val="single"/>
                <w:lang w:val="en-US" w:eastAsia="zh-CN"/>
              </w:rPr>
              <w:t>10</w:t>
            </w:r>
            <w:r>
              <w:rPr>
                <w:rFonts w:hint="eastAsia" w:ascii="宋体" w:hAnsi="宋体" w:cs="宋体"/>
                <w:color w:val="000000"/>
                <w:highlight w:val="none"/>
                <w:u w:val="single"/>
              </w:rPr>
              <w:t>时</w:t>
            </w:r>
            <w:r>
              <w:rPr>
                <w:rFonts w:hint="eastAsia" w:ascii="宋体" w:hAnsi="宋体" w:cs="宋体"/>
                <w:color w:val="000000"/>
                <w:highlight w:val="none"/>
                <w:u w:val="single"/>
                <w:lang w:val="en-US" w:eastAsia="zh-CN"/>
              </w:rPr>
              <w:t>00</w:t>
            </w:r>
            <w:r>
              <w:rPr>
                <w:rFonts w:hint="eastAsia" w:ascii="宋体" w:hAnsi="宋体" w:cs="宋体"/>
                <w:color w:val="000000"/>
                <w:highlight w:val="none"/>
                <w:u w:val="single"/>
              </w:rPr>
              <w:t>分</w:t>
            </w:r>
            <w:r>
              <w:rPr>
                <w:rFonts w:hint="eastAsia" w:ascii="宋体" w:hAnsi="宋体" w:cs="宋体"/>
                <w:color w:val="000000"/>
                <w:highlight w:val="none"/>
              </w:rPr>
              <w:t>)投标人可以登录</w:t>
            </w:r>
            <w:r>
              <w:rPr>
                <w:rFonts w:hint="eastAsia" w:ascii="宋体" w:hAnsi="宋体" w:cs="宋体"/>
                <w:color w:val="000000"/>
                <w:highlight w:val="none"/>
                <w:lang w:eastAsia="zh-CN"/>
              </w:rPr>
              <w:t>广西政府采购云平台</w:t>
            </w:r>
            <w:r>
              <w:rPr>
                <w:rFonts w:hint="eastAsia" w:ascii="宋体" w:hAnsi="宋体" w:cs="宋体"/>
                <w:color w:val="000000"/>
                <w:highlight w:val="none"/>
              </w:rPr>
              <w:t>，用“项目采购-开标评标”功能进行解密投标文件。</w:t>
            </w:r>
          </w:p>
          <w:p w14:paraId="39AF34D0">
            <w:pPr>
              <w:spacing w:line="360" w:lineRule="exact"/>
              <w:rPr>
                <w:rFonts w:ascii="宋体" w:hAnsi="宋体" w:cs="宋体"/>
                <w:color w:val="000000"/>
                <w:szCs w:val="21"/>
                <w:highlight w:val="yellow"/>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w:t>
            </w:r>
            <w:r>
              <w:rPr>
                <w:rFonts w:hint="eastAsia" w:ascii="宋体" w:hAnsi="宋体" w:eastAsia="宋体" w:cs="宋体"/>
                <w:b/>
                <w:bCs/>
                <w:color w:val="000000"/>
                <w:szCs w:val="21"/>
                <w:lang w:val="en-US" w:eastAsia="zh-CN"/>
              </w:rPr>
              <w:t>我中心</w:t>
            </w:r>
            <w:r>
              <w:rPr>
                <w:rFonts w:hint="eastAsia" w:ascii="宋体" w:hAnsi="宋体" w:eastAsia="宋体" w:cs="宋体"/>
                <w:b/>
                <w:bCs/>
                <w:color w:val="000000"/>
                <w:szCs w:val="21"/>
                <w:highlight w:val="none"/>
                <w:lang w:val="en-US" w:eastAsia="zh-CN"/>
              </w:rPr>
              <w:t>开启已解密的投标文件。投标人超过解密时限未解密的，系统默认自动放弃，造成投标无效的后果由投标人自行承担。解密投标文件后，30分钟内在线签字确认，超过时间没有在线签字确认的系统将自动视为</w:t>
            </w:r>
            <w:r>
              <w:rPr>
                <w:rFonts w:hint="eastAsia" w:ascii="宋体" w:hAnsi="宋体" w:cs="宋体"/>
                <w:b/>
                <w:bCs/>
                <w:color w:val="000000"/>
                <w:szCs w:val="21"/>
                <w:highlight w:val="none"/>
                <w:lang w:val="en-US" w:eastAsia="zh-CN"/>
              </w:rPr>
              <w:t>投标人</w:t>
            </w:r>
            <w:r>
              <w:rPr>
                <w:rFonts w:hint="eastAsia" w:ascii="宋体" w:hAnsi="宋体" w:eastAsia="宋体" w:cs="宋体"/>
                <w:b/>
                <w:bCs/>
                <w:color w:val="000000"/>
                <w:szCs w:val="21"/>
                <w:highlight w:val="none"/>
                <w:lang w:val="en-US" w:eastAsia="zh-CN"/>
              </w:rPr>
              <w:t>认可。</w:t>
            </w:r>
          </w:p>
        </w:tc>
      </w:tr>
      <w:tr w14:paraId="2741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590E3A2">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B3FE4CA">
            <w:pPr>
              <w:spacing w:line="36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21.1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47182BE">
            <w:pPr>
              <w:spacing w:line="36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开标时间及地点</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5B60DAEF">
            <w:pPr>
              <w:spacing w:line="400" w:lineRule="exact"/>
              <w:rPr>
                <w:rFonts w:ascii="宋体" w:hAnsi="宋体" w:cs="宋体"/>
                <w:color w:val="000000"/>
                <w:szCs w:val="21"/>
                <w:highlight w:val="none"/>
              </w:rPr>
            </w:pPr>
            <w:r>
              <w:rPr>
                <w:rFonts w:hint="eastAsia" w:ascii="宋体" w:hAnsi="宋体" w:cs="宋体"/>
                <w:color w:val="000000"/>
                <w:szCs w:val="21"/>
                <w:highlight w:val="none"/>
              </w:rPr>
              <w:t>开标时间：</w:t>
            </w:r>
            <w:r>
              <w:rPr>
                <w:rFonts w:hint="eastAsia" w:ascii="宋体" w:hAnsi="宋体" w:cs="宋体"/>
                <w:color w:val="000000"/>
                <w:szCs w:val="21"/>
                <w:highlight w:val="none"/>
                <w:lang w:eastAsia="zh-CN"/>
              </w:rPr>
              <w:t>2026年</w:t>
            </w:r>
            <w:r>
              <w:rPr>
                <w:rFonts w:hint="eastAsia" w:ascii="宋体" w:hAnsi="宋体" w:cs="宋体"/>
                <w:color w:val="000000"/>
                <w:szCs w:val="21"/>
                <w:highlight w:val="none"/>
                <w:lang w:val="en-US" w:eastAsia="zh-CN"/>
              </w:rPr>
              <w:t>07</w:t>
            </w:r>
            <w:r>
              <w:rPr>
                <w:rFonts w:hint="eastAsia" w:ascii="宋体" w:hAnsi="宋体" w:cs="宋体"/>
                <w:color w:val="000000"/>
                <w:szCs w:val="21"/>
                <w:highlight w:val="none"/>
                <w:lang w:eastAsia="zh-CN"/>
              </w:rPr>
              <w:t>月</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lang w:eastAsia="zh-CN"/>
              </w:rPr>
              <w:t>日</w:t>
            </w:r>
            <w:r>
              <w:rPr>
                <w:rFonts w:hint="eastAsia" w:ascii="宋体" w:hAnsi="宋体" w:cs="宋体"/>
                <w:color w:val="000000"/>
                <w:szCs w:val="21"/>
                <w:highlight w:val="none"/>
                <w:lang w:val="en-US" w:eastAsia="zh-CN"/>
              </w:rPr>
              <w:t>9时30</w:t>
            </w:r>
            <w:r>
              <w:rPr>
                <w:rFonts w:hint="eastAsia" w:ascii="宋体" w:hAnsi="宋体" w:cs="宋体"/>
                <w:color w:val="000000"/>
                <w:szCs w:val="21"/>
                <w:highlight w:val="none"/>
              </w:rPr>
              <w:t>分（北京时间）截标后。地点：</w:t>
            </w:r>
            <w:r>
              <w:rPr>
                <w:rFonts w:hint="eastAsia" w:ascii="宋体" w:hAnsi="宋体" w:eastAsia="宋体" w:cs="宋体"/>
                <w:color w:val="000000"/>
                <w:sz w:val="21"/>
                <w:szCs w:val="21"/>
                <w:highlight w:val="none"/>
                <w:lang w:eastAsia="zh-CN"/>
              </w:rPr>
              <w:t>桂林市公共资源交易中心</w:t>
            </w:r>
            <w:r>
              <w:rPr>
                <w:rFonts w:hint="eastAsia" w:ascii="宋体" w:hAnsi="宋体" w:cs="宋体"/>
                <w:color w:val="000000"/>
                <w:sz w:val="21"/>
                <w:szCs w:val="21"/>
                <w:highlight w:val="none"/>
                <w:u w:val="single"/>
                <w:lang w:val="en-US" w:eastAsia="zh-CN"/>
              </w:rPr>
              <w:t>9号开标室3号政采开标仓</w:t>
            </w:r>
            <w:r>
              <w:rPr>
                <w:rFonts w:hint="eastAsia" w:ascii="宋体" w:hAnsi="宋体" w:eastAsia="宋体" w:cs="宋体"/>
                <w:color w:val="000000"/>
                <w:sz w:val="21"/>
                <w:szCs w:val="21"/>
                <w:highlight w:val="none"/>
              </w:rPr>
              <w:t>通过</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实行在线解密开启。</w:t>
            </w:r>
          </w:p>
        </w:tc>
      </w:tr>
      <w:tr w14:paraId="59C5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25B9565">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BAE0077">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9A7576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评标委员会组成</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3CD8F57">
            <w:pPr>
              <w:spacing w:line="360" w:lineRule="exact"/>
              <w:rPr>
                <w:rFonts w:ascii="宋体" w:hAnsi="宋体" w:cs="宋体"/>
                <w:color w:val="000000"/>
                <w:szCs w:val="21"/>
                <w:highlight w:val="none"/>
              </w:rPr>
            </w:pPr>
            <w:r>
              <w:rPr>
                <w:rFonts w:hint="eastAsia" w:ascii="宋体" w:hAnsi="宋体" w:cs="宋体"/>
                <w:color w:val="000000"/>
                <w:szCs w:val="21"/>
                <w:highlight w:val="none"/>
              </w:rPr>
              <w:t>评标委员会由采购人代表和有关方面的专家组成，成员人数共</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人，其中采购人代表</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评审</w:t>
            </w:r>
            <w:r>
              <w:rPr>
                <w:rFonts w:hint="eastAsia" w:ascii="宋体" w:hAnsi="宋体" w:cs="宋体"/>
                <w:color w:val="000000"/>
                <w:szCs w:val="21"/>
                <w:highlight w:val="none"/>
              </w:rPr>
              <w:t>专家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人。</w:t>
            </w:r>
          </w:p>
        </w:tc>
      </w:tr>
      <w:tr w14:paraId="2BF6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3F51B1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B3AE0E7">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010382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评标办法</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D34D493">
            <w:pPr>
              <w:spacing w:line="360" w:lineRule="exact"/>
              <w:rPr>
                <w:rFonts w:ascii="宋体" w:hAnsi="宋体" w:cs="宋体"/>
                <w:color w:val="000000"/>
                <w:szCs w:val="21"/>
                <w:highlight w:val="none"/>
              </w:rPr>
            </w:pPr>
            <w:r>
              <w:rPr>
                <w:rFonts w:hint="eastAsia" w:ascii="宋体" w:hAnsi="宋体" w:cs="宋体"/>
                <w:color w:val="000000"/>
                <w:szCs w:val="21"/>
                <w:highlight w:val="none"/>
              </w:rPr>
              <w:t>综合评分法，具体评标内容及标准详见第四章。</w:t>
            </w:r>
          </w:p>
        </w:tc>
      </w:tr>
      <w:tr w14:paraId="7E7B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D9D57D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5058A2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6E51086">
            <w:pPr>
              <w:tabs>
                <w:tab w:val="left" w:pos="1140"/>
              </w:tabs>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信用查询</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F51092B">
            <w:pPr>
              <w:spacing w:line="340" w:lineRule="exact"/>
              <w:rPr>
                <w:rFonts w:ascii="宋体" w:hAnsi="宋体" w:cs="宋体"/>
                <w:color w:val="000000"/>
                <w:szCs w:val="21"/>
                <w:highlight w:val="none"/>
              </w:rPr>
            </w:pPr>
            <w:r>
              <w:rPr>
                <w:rFonts w:hint="eastAsia" w:ascii="宋体" w:hAnsi="宋体" w:cs="宋体"/>
                <w:color w:val="000000"/>
                <w:szCs w:val="21"/>
                <w:highlight w:val="none"/>
              </w:rPr>
              <w:t>根据《关于做好政府采购有关信用主体标识码登记及在政府采购活动中查询使用信用记录有关问题的通知》（桂财采〔2016〕37号），由采购代理机构对第一中标候选供应商进行信用查询：</w:t>
            </w:r>
          </w:p>
          <w:p w14:paraId="7E92CC21">
            <w:pPr>
              <w:spacing w:line="340" w:lineRule="exact"/>
              <w:rPr>
                <w:rFonts w:ascii="宋体" w:hAnsi="宋体" w:cs="宋体"/>
                <w:color w:val="000000"/>
                <w:szCs w:val="21"/>
                <w:highlight w:val="none"/>
              </w:rPr>
            </w:pPr>
            <w:r>
              <w:rPr>
                <w:rFonts w:hint="eastAsia" w:ascii="宋体" w:hAnsi="宋体" w:cs="宋体"/>
                <w:color w:val="000000"/>
                <w:szCs w:val="21"/>
                <w:highlight w:val="none"/>
              </w:rPr>
              <w:t>⑴查询渠道：“信用中国”网站(www.creditchina.gov.cn)、中国政府采购网(www.ccgp.gov.cn)等；</w:t>
            </w:r>
          </w:p>
          <w:p w14:paraId="139CA2CE">
            <w:pPr>
              <w:spacing w:line="340" w:lineRule="exact"/>
              <w:rPr>
                <w:rFonts w:ascii="宋体" w:hAnsi="宋体" w:cs="宋体"/>
                <w:color w:val="000000"/>
                <w:szCs w:val="21"/>
                <w:highlight w:val="none"/>
              </w:rPr>
            </w:pPr>
            <w:r>
              <w:rPr>
                <w:rFonts w:hint="eastAsia" w:ascii="宋体" w:hAnsi="宋体" w:cs="宋体"/>
                <w:color w:val="000000"/>
                <w:szCs w:val="21"/>
                <w:highlight w:val="none"/>
              </w:rPr>
              <w:t>⑵查询时间：中标通知书发出前；</w:t>
            </w:r>
          </w:p>
          <w:p w14:paraId="71D1FAF5">
            <w:pPr>
              <w:spacing w:line="340" w:lineRule="exact"/>
              <w:rPr>
                <w:rFonts w:ascii="宋体" w:hAnsi="宋体" w:cs="宋体"/>
                <w:color w:val="000000"/>
                <w:szCs w:val="21"/>
                <w:highlight w:val="none"/>
              </w:rPr>
            </w:pPr>
            <w:r>
              <w:rPr>
                <w:rFonts w:hint="eastAsia" w:ascii="宋体" w:hAnsi="宋体" w:cs="宋体"/>
                <w:color w:val="000000"/>
                <w:szCs w:val="21"/>
                <w:highlight w:val="none"/>
              </w:rPr>
              <w:t>⑶信用信息查询记录和证据留存方式：在查询网站中直接打印查询记录，打印材料作为采购活动资料保存；</w:t>
            </w:r>
          </w:p>
          <w:p w14:paraId="7217CE60">
            <w:pPr>
              <w:spacing w:line="340" w:lineRule="exact"/>
              <w:rPr>
                <w:rFonts w:ascii="宋体" w:hAnsi="宋体" w:cs="宋体"/>
                <w:color w:val="000000"/>
                <w:szCs w:val="21"/>
                <w:highlight w:val="none"/>
              </w:rPr>
            </w:pPr>
            <w:r>
              <w:rPr>
                <w:rFonts w:hint="eastAsia" w:ascii="宋体" w:hAnsi="宋体" w:cs="宋体"/>
                <w:color w:val="000000"/>
                <w:szCs w:val="21"/>
                <w:highlight w:val="none"/>
              </w:rPr>
              <w:t>⑷信用信息使用规则：对在“信用中国”网站(www.creditchina.gov.cn)、中国政府采购网(www.ccgp.gov.cn)等渠道列入失信被执行人、</w:t>
            </w:r>
            <w:r>
              <w:rPr>
                <w:rFonts w:hint="eastAsia" w:ascii="宋体" w:hAnsi="宋体" w:cs="宋体"/>
                <w:color w:val="000000"/>
                <w:szCs w:val="21"/>
              </w:rPr>
              <w:t>重大税收违法案件当事人</w:t>
            </w:r>
            <w:r>
              <w:rPr>
                <w:rFonts w:hint="eastAsia" w:ascii="宋体" w:hAnsi="宋体" w:cs="宋体"/>
                <w:color w:val="000000"/>
                <w:szCs w:val="21"/>
                <w:highlight w:val="none"/>
              </w:rPr>
              <w:t>名单、政府采购严重违法失信行为记录名单及其他不符合《中华人民共和国政府采购法》第二十二条规定条件的供应商，取消其中标候选供应商资格。</w:t>
            </w:r>
          </w:p>
          <w:p w14:paraId="6106900F">
            <w:pPr>
              <w:spacing w:line="340" w:lineRule="exact"/>
              <w:rPr>
                <w:rFonts w:ascii="宋体" w:hAnsi="宋体" w:cs="宋体"/>
                <w:color w:val="000000"/>
                <w:szCs w:val="21"/>
                <w:highlight w:val="none"/>
              </w:rPr>
            </w:pPr>
            <w:r>
              <w:rPr>
                <w:rFonts w:hint="eastAsia" w:ascii="宋体" w:hAnsi="宋体" w:cs="宋体"/>
                <w:color w:val="000000"/>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3E06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11B454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B9A21D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33</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87E395F">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中标公告及中标通知书</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4951625">
            <w:pPr>
              <w:tabs>
                <w:tab w:val="left" w:pos="455"/>
              </w:tabs>
              <w:spacing w:line="360" w:lineRule="exact"/>
              <w:rPr>
                <w:rFonts w:ascii="宋体" w:hAnsi="宋体" w:cs="宋体"/>
                <w:color w:val="000000"/>
                <w:szCs w:val="21"/>
                <w:highlight w:val="none"/>
              </w:rPr>
            </w:pPr>
            <w:r>
              <w:rPr>
                <w:rFonts w:hint="eastAsia" w:ascii="宋体" w:hAnsi="宋体" w:cs="宋体"/>
                <w:color w:val="000000"/>
                <w:szCs w:val="21"/>
                <w:highlight w:val="none"/>
              </w:rPr>
              <w:t>33.1采购代理机构于评标结束后两个工作日内将评标报告送交采购人，采购人应当自收到评标报告五个工作日内在评标报告推荐的中标候选供应商中按顺序确定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；采购代理机构在</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确定之日起两个工作日内在指定媒体上公告中标结果，中标公告期限为一个工作日。</w:t>
            </w:r>
          </w:p>
          <w:p w14:paraId="6A4F87E4">
            <w:pPr>
              <w:spacing w:line="360" w:lineRule="exact"/>
              <w:rPr>
                <w:rFonts w:ascii="宋体" w:hAnsi="宋体" w:cs="宋体"/>
                <w:color w:val="000000"/>
                <w:szCs w:val="21"/>
                <w:highlight w:val="none"/>
              </w:rPr>
            </w:pPr>
            <w:r>
              <w:rPr>
                <w:rFonts w:hint="eastAsia" w:ascii="宋体" w:hAnsi="宋体" w:cs="宋体"/>
                <w:color w:val="000000"/>
                <w:szCs w:val="21"/>
                <w:highlight w:val="none"/>
              </w:rPr>
              <w:t>33.2</w:t>
            </w:r>
            <w:r>
              <w:rPr>
                <w:rFonts w:hint="eastAsia" w:ascii="宋体" w:hAnsi="宋体" w:cs="宋体"/>
                <w:szCs w:val="21"/>
                <w:lang w:eastAsia="zh-CN"/>
              </w:rPr>
              <w:t>中标公告发布的同时，采购代理机构在线向中标供应商发出电子中标通知书</w:t>
            </w:r>
            <w:r>
              <w:rPr>
                <w:rFonts w:hint="eastAsia" w:ascii="宋体" w:hAnsi="宋体" w:cs="宋体"/>
                <w:color w:val="000000"/>
                <w:szCs w:val="21"/>
                <w:highlight w:val="none"/>
              </w:rPr>
              <w:t>。</w:t>
            </w:r>
          </w:p>
        </w:tc>
      </w:tr>
      <w:tr w14:paraId="13BA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963237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88645D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A2CE6D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履约保证金</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90BE707">
            <w:pPr>
              <w:pStyle w:val="214"/>
              <w:spacing w:line="360" w:lineRule="exact"/>
              <w:rPr>
                <w:rFonts w:hint="eastAsia" w:hAnsi="宋体" w:eastAsia="宋体" w:cs="宋体"/>
                <w:color w:val="000000"/>
                <w:szCs w:val="21"/>
                <w:highlight w:val="none"/>
                <w:lang w:val="en-US" w:eastAsia="zh-CN"/>
              </w:rPr>
            </w:pPr>
            <w:r>
              <w:rPr>
                <w:rFonts w:hint="eastAsia" w:hAnsi="宋体" w:cs="宋体"/>
                <w:color w:val="000000"/>
                <w:szCs w:val="21"/>
                <w:highlight w:val="none"/>
              </w:rPr>
              <w:t>本项目无需缴纳履约保证金</w:t>
            </w:r>
            <w:r>
              <w:rPr>
                <w:rFonts w:hint="eastAsia" w:hAnsi="宋体" w:cs="宋体"/>
                <w:color w:val="000000"/>
                <w:szCs w:val="21"/>
                <w:highlight w:val="none"/>
                <w:lang w:eastAsia="zh-CN"/>
              </w:rPr>
              <w:t>。</w:t>
            </w:r>
          </w:p>
        </w:tc>
      </w:tr>
      <w:tr w14:paraId="44FA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C2ACB8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17B1D04">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4FD2307">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签订合同时间</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38997E8">
            <w:pPr>
              <w:spacing w:line="360" w:lineRule="exact"/>
              <w:rPr>
                <w:rFonts w:hAnsi="宋体" w:cs="宋体"/>
                <w:color w:val="000000"/>
                <w:szCs w:val="21"/>
                <w:highlight w:val="none"/>
              </w:rPr>
            </w:pPr>
            <w:r>
              <w:rPr>
                <w:rFonts w:hint="eastAsia" w:ascii="宋体" w:hAnsi="宋体" w:cs="宋体"/>
                <w:color w:val="000000"/>
                <w:szCs w:val="21"/>
                <w:highlight w:val="none"/>
                <w:lang w:eastAsia="zh-CN"/>
              </w:rPr>
              <w:t>中标通知书发出之日起八个工作日内</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中标人收到中标通知书后，应按规定与采购人在“广西政府采购云平台”上在线签订电子合同。</w:t>
            </w:r>
          </w:p>
        </w:tc>
      </w:tr>
      <w:tr w14:paraId="183F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C12D14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C38887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35.4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FC7AAF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合同备案存档</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CECCD84">
            <w:pPr>
              <w:spacing w:line="360" w:lineRule="exact"/>
              <w:rPr>
                <w:rFonts w:ascii="宋体" w:hAnsi="宋体" w:cs="宋体"/>
                <w:color w:val="000000"/>
                <w:szCs w:val="21"/>
                <w:highlight w:val="none"/>
              </w:rPr>
            </w:pPr>
            <w:r>
              <w:rPr>
                <w:rFonts w:hint="eastAsia" w:ascii="宋体" w:hAnsi="宋体" w:cs="宋体"/>
                <w:color w:val="000000"/>
                <w:szCs w:val="21"/>
                <w:highlight w:val="none"/>
              </w:rPr>
              <w:t>政府采购合同双方自签订之日起</w:t>
            </w:r>
            <w:r>
              <w:rPr>
                <w:rFonts w:hint="eastAsia" w:ascii="宋体" w:hAnsi="宋体" w:cs="宋体"/>
                <w:color w:val="000000"/>
                <w:szCs w:val="21"/>
                <w:highlight w:val="none"/>
                <w:lang w:eastAsia="zh-CN"/>
              </w:rPr>
              <w:t>将自动存档于“广西政府采购云平台”上</w:t>
            </w:r>
            <w:r>
              <w:rPr>
                <w:rFonts w:hint="eastAsia" w:ascii="宋体" w:hAnsi="宋体" w:cs="宋体"/>
                <w:color w:val="000000"/>
                <w:szCs w:val="21"/>
                <w:highlight w:val="none"/>
              </w:rPr>
              <w:t>，采购人于合同签订之日起七个工作日内将一份合同</w:t>
            </w:r>
            <w:r>
              <w:rPr>
                <w:rFonts w:hint="eastAsia" w:ascii="宋体" w:hAnsi="宋体" w:cs="宋体"/>
                <w:color w:val="000000"/>
                <w:szCs w:val="21"/>
              </w:rPr>
              <w:t>原件</w:t>
            </w:r>
            <w:r>
              <w:rPr>
                <w:rFonts w:hint="eastAsia" w:ascii="宋体" w:hAnsi="宋体" w:cs="宋体"/>
                <w:color w:val="000000"/>
                <w:szCs w:val="21"/>
                <w:highlight w:val="none"/>
              </w:rPr>
              <w:t>送本级财政部门备案。</w:t>
            </w:r>
          </w:p>
        </w:tc>
      </w:tr>
      <w:tr w14:paraId="2A06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10098A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532E5B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E14C222">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招标代理服务费</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A58124B">
            <w:pPr>
              <w:spacing w:line="360" w:lineRule="exact"/>
              <w:rPr>
                <w:rFonts w:ascii="宋体" w:hAnsi="宋体" w:cs="宋体"/>
                <w:color w:val="000000"/>
                <w:szCs w:val="21"/>
                <w:highlight w:val="none"/>
              </w:rPr>
            </w:pPr>
            <w:r>
              <w:rPr>
                <w:rFonts w:hint="eastAsia" w:ascii="宋体" w:hAnsi="宋体" w:cs="宋体"/>
                <w:color w:val="000000"/>
                <w:szCs w:val="21"/>
                <w:highlight w:val="none"/>
              </w:rPr>
              <w:t>本项目</w:t>
            </w:r>
            <w:r>
              <w:rPr>
                <w:rFonts w:hint="eastAsia" w:ascii="宋体" w:hAnsi="宋体" w:cs="宋体"/>
                <w:color w:val="000000"/>
                <w:szCs w:val="21"/>
              </w:rPr>
              <w:t>免收</w:t>
            </w:r>
            <w:r>
              <w:rPr>
                <w:rFonts w:hint="eastAsia" w:ascii="宋体" w:hAnsi="宋体" w:cs="宋体"/>
                <w:color w:val="000000"/>
                <w:szCs w:val="21"/>
                <w:highlight w:val="none"/>
              </w:rPr>
              <w:t>代理服务费。</w:t>
            </w:r>
          </w:p>
        </w:tc>
      </w:tr>
      <w:tr w14:paraId="2812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E2FD514">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4568D2D">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9ABF48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lang w:eastAsia="zh-CN"/>
              </w:rPr>
              <w:t>编制依据</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644C2FC">
            <w:pPr>
              <w:spacing w:line="360" w:lineRule="exact"/>
              <w:rPr>
                <w:rFonts w:ascii="宋体" w:hAnsi="宋体" w:cs="宋体"/>
                <w:color w:val="000000"/>
                <w:szCs w:val="21"/>
                <w:highlight w:val="none"/>
              </w:rPr>
            </w:pPr>
            <w:r>
              <w:rPr>
                <w:rFonts w:hint="eastAsia" w:ascii="宋体" w:hAnsi="宋体" w:cs="宋体"/>
                <w:color w:val="000000"/>
                <w:szCs w:val="21"/>
                <w:highlight w:val="none"/>
              </w:rPr>
              <w:t>本招标文件是根据《中华人民共和国政府采购法》《中华人民共和国政府采购法实施条例》及《政府采购货物和服务招标投标管理办法》（财政部令第87号）等相关规定编制。</w:t>
            </w:r>
          </w:p>
        </w:tc>
      </w:tr>
      <w:tr w14:paraId="3502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91D05D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422CCCD">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D396A17">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监督管理机构</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1868462F">
            <w:pPr>
              <w:spacing w:line="360" w:lineRule="exact"/>
              <w:rPr>
                <w:rFonts w:ascii="宋体" w:hAnsi="宋体" w:cs="宋体"/>
                <w:color w:val="000000"/>
                <w:szCs w:val="21"/>
                <w:highlight w:val="none"/>
              </w:rPr>
            </w:pPr>
            <w:r>
              <w:rPr>
                <w:rFonts w:hint="eastAsia" w:ascii="宋体" w:hAnsi="宋体" w:cs="宋体"/>
                <w:color w:val="000000"/>
                <w:szCs w:val="21"/>
                <w:highlight w:val="none"/>
                <w:lang w:val="en-US" w:eastAsia="zh-CN"/>
              </w:rPr>
              <w:t>荔浦市财政局</w:t>
            </w:r>
            <w:r>
              <w:rPr>
                <w:rFonts w:hint="eastAsia" w:ascii="宋体" w:hAnsi="宋体" w:cs="宋体"/>
                <w:color w:val="000000"/>
                <w:szCs w:val="21"/>
                <w:highlight w:val="none"/>
              </w:rPr>
              <w:t>电话：</w:t>
            </w:r>
            <w:r>
              <w:rPr>
                <w:rFonts w:hint="eastAsia" w:ascii="宋体" w:hAnsi="宋体" w:cs="宋体"/>
                <w:color w:val="000000"/>
                <w:szCs w:val="21"/>
                <w:highlight w:val="none"/>
                <w:lang w:eastAsia="zh-CN"/>
              </w:rPr>
              <w:t>0773-7233366</w:t>
            </w:r>
          </w:p>
        </w:tc>
      </w:tr>
    </w:tbl>
    <w:p w14:paraId="5E8410AB">
      <w:pPr>
        <w:spacing w:line="360" w:lineRule="auto"/>
        <w:jc w:val="center"/>
        <w:outlineLvl w:val="1"/>
        <w:rPr>
          <w:rFonts w:ascii="宋体" w:hAnsi="宋体" w:cs="宋体"/>
          <w:b/>
          <w:color w:val="000000"/>
          <w:sz w:val="28"/>
          <w:szCs w:val="28"/>
          <w:highlight w:val="none"/>
        </w:rPr>
      </w:pPr>
      <w:r>
        <w:rPr>
          <w:rFonts w:hint="eastAsia" w:ascii="宋体" w:hAnsi="宋体" w:cs="宋体"/>
          <w:b/>
          <w:color w:val="000000"/>
          <w:sz w:val="28"/>
          <w:szCs w:val="28"/>
          <w:highlight w:val="none"/>
        </w:rPr>
        <w:br w:type="page" w:clear="all"/>
      </w:r>
      <w:bookmarkEnd w:id="33"/>
      <w:bookmarkEnd w:id="34"/>
      <w:bookmarkStart w:id="41" w:name="_Toc4032"/>
      <w:bookmarkStart w:id="42" w:name="_Toc7996"/>
      <w:bookmarkStart w:id="43" w:name="_Toc27450"/>
      <w:bookmarkStart w:id="44" w:name="_Toc21946"/>
      <w:bookmarkStart w:id="45" w:name="_Toc23297"/>
      <w:r>
        <w:rPr>
          <w:rFonts w:hint="eastAsia" w:ascii="宋体" w:hAnsi="宋体" w:cs="宋体"/>
          <w:b/>
          <w:color w:val="000000"/>
          <w:sz w:val="28"/>
          <w:szCs w:val="28"/>
          <w:highlight w:val="none"/>
        </w:rPr>
        <w:t>一、总则</w:t>
      </w:r>
      <w:bookmarkEnd w:id="41"/>
      <w:bookmarkEnd w:id="42"/>
      <w:bookmarkEnd w:id="43"/>
      <w:bookmarkEnd w:id="44"/>
    </w:p>
    <w:p w14:paraId="5437404B">
      <w:pPr>
        <w:spacing w:line="400" w:lineRule="exact"/>
        <w:ind w:firstLine="413"/>
        <w:outlineLvl w:val="2"/>
        <w:rPr>
          <w:rFonts w:ascii="宋体" w:hAnsi="宋体" w:cs="宋体"/>
          <w:b/>
          <w:color w:val="000000"/>
          <w:szCs w:val="21"/>
          <w:highlight w:val="none"/>
        </w:rPr>
      </w:pPr>
      <w:bookmarkStart w:id="46" w:name="_Toc6598"/>
      <w:bookmarkStart w:id="47" w:name="_Toc6156"/>
      <w:bookmarkStart w:id="48" w:name="_Toc25182"/>
      <w:bookmarkStart w:id="49" w:name="_Toc23807"/>
      <w:bookmarkStart w:id="50" w:name="_Toc14024"/>
      <w:r>
        <w:rPr>
          <w:rFonts w:hint="eastAsia" w:ascii="宋体" w:hAnsi="宋体" w:cs="宋体"/>
          <w:b/>
          <w:color w:val="000000"/>
          <w:szCs w:val="21"/>
          <w:highlight w:val="none"/>
        </w:rPr>
        <w:t>1.项目名称及项目编号</w:t>
      </w:r>
      <w:bookmarkEnd w:id="46"/>
      <w:bookmarkEnd w:id="47"/>
      <w:bookmarkEnd w:id="48"/>
      <w:bookmarkEnd w:id="49"/>
      <w:bookmarkEnd w:id="50"/>
    </w:p>
    <w:p w14:paraId="18A8D04E">
      <w:pPr>
        <w:spacing w:line="340" w:lineRule="exact"/>
        <w:ind w:firstLine="420"/>
        <w:rPr>
          <w:rFonts w:hint="eastAsia" w:ascii="宋体" w:hAnsi="宋体" w:cs="宋体"/>
          <w:color w:val="000000"/>
          <w:szCs w:val="21"/>
          <w:highlight w:val="none"/>
        </w:rPr>
      </w:pPr>
      <w:bookmarkStart w:id="51" w:name="_Toc11983"/>
      <w:bookmarkStart w:id="52" w:name="_Toc340"/>
      <w:r>
        <w:rPr>
          <w:rFonts w:hint="eastAsia" w:ascii="宋体" w:hAnsi="宋体" w:cs="宋体"/>
          <w:color w:val="000000"/>
          <w:szCs w:val="21"/>
          <w:highlight w:val="none"/>
        </w:rPr>
        <w:t>项目名称：</w:t>
      </w:r>
      <w:r>
        <w:rPr>
          <w:rFonts w:hint="eastAsia" w:ascii="宋体" w:hAnsi="宋体" w:cs="宋体"/>
          <w:color w:val="000000"/>
          <w:highlight w:val="none"/>
          <w:lang w:val="en-US" w:eastAsia="zh-CN"/>
        </w:rPr>
        <w:t>荔浦市荔浦中学等114所学校教育城域网建设项目网络服务租用项目</w:t>
      </w:r>
    </w:p>
    <w:p w14:paraId="685C2F93">
      <w:pPr>
        <w:spacing w:line="400" w:lineRule="exact"/>
        <w:ind w:firstLine="411"/>
        <w:outlineLvl w:val="2"/>
        <w:rPr>
          <w:rFonts w:hint="eastAsia" w:ascii="宋体" w:hAnsi="宋体" w:cs="宋体"/>
          <w:color w:val="000000"/>
          <w:highlight w:val="none"/>
          <w:lang w:eastAsia="zh-CN"/>
        </w:rPr>
      </w:pPr>
      <w:bookmarkStart w:id="53" w:name="_Toc8531"/>
      <w:bookmarkStart w:id="54" w:name="_Toc5240"/>
      <w:bookmarkStart w:id="55" w:name="_Toc6601"/>
      <w:bookmarkStart w:id="56" w:name="_Toc27214"/>
      <w:bookmarkStart w:id="57" w:name="_Toc4756"/>
      <w:bookmarkStart w:id="58" w:name="_Toc32432"/>
      <w:r>
        <w:rPr>
          <w:rFonts w:hint="eastAsia" w:ascii="宋体" w:hAnsi="宋体" w:cs="宋体"/>
          <w:color w:val="000000"/>
          <w:szCs w:val="21"/>
          <w:highlight w:val="none"/>
        </w:rPr>
        <w:t>项目编号：</w:t>
      </w:r>
      <w:bookmarkEnd w:id="51"/>
      <w:bookmarkEnd w:id="52"/>
      <w:bookmarkEnd w:id="53"/>
      <w:bookmarkEnd w:id="54"/>
      <w:r>
        <w:rPr>
          <w:rFonts w:hint="eastAsia" w:ascii="宋体" w:hAnsi="宋体" w:cs="宋体"/>
          <w:color w:val="000000"/>
          <w:highlight w:val="none"/>
          <w:lang w:eastAsia="zh-CN"/>
        </w:rPr>
        <w:t>GLZC2026-G3-310022-GLSZ</w:t>
      </w:r>
      <w:bookmarkEnd w:id="55"/>
      <w:bookmarkEnd w:id="56"/>
    </w:p>
    <w:p w14:paraId="636F4A86">
      <w:pPr>
        <w:spacing w:line="400" w:lineRule="exact"/>
        <w:ind w:firstLine="413"/>
        <w:outlineLvl w:val="2"/>
        <w:rPr>
          <w:rFonts w:ascii="宋体" w:hAnsi="宋体" w:cs="宋体"/>
          <w:b/>
          <w:color w:val="000000"/>
          <w:szCs w:val="21"/>
          <w:highlight w:val="none"/>
        </w:rPr>
      </w:pPr>
      <w:bookmarkStart w:id="59" w:name="_Toc909"/>
      <w:bookmarkStart w:id="60" w:name="_Toc25246"/>
      <w:bookmarkStart w:id="61" w:name="_Toc19943"/>
      <w:r>
        <w:rPr>
          <w:rFonts w:hint="eastAsia" w:ascii="宋体" w:hAnsi="宋体" w:cs="宋体"/>
          <w:b/>
          <w:color w:val="000000"/>
          <w:szCs w:val="21"/>
          <w:highlight w:val="none"/>
        </w:rPr>
        <w:t>2.</w:t>
      </w:r>
      <w:r>
        <w:rPr>
          <w:rFonts w:hint="eastAsia" w:ascii="宋体" w:hAnsi="宋体" w:cs="宋体"/>
          <w:b/>
          <w:color w:val="000000"/>
          <w:szCs w:val="21"/>
        </w:rPr>
        <w:t>适</w:t>
      </w:r>
      <w:r>
        <w:rPr>
          <w:rFonts w:hint="eastAsia" w:ascii="宋体" w:hAnsi="宋体" w:cs="宋体"/>
          <w:b/>
          <w:color w:val="000000"/>
          <w:szCs w:val="21"/>
          <w:lang w:eastAsia="zh-CN"/>
        </w:rPr>
        <w:t>用</w:t>
      </w:r>
      <w:r>
        <w:rPr>
          <w:rFonts w:hint="eastAsia" w:ascii="宋体" w:hAnsi="宋体" w:cs="宋体"/>
          <w:b/>
          <w:color w:val="000000"/>
          <w:szCs w:val="21"/>
        </w:rPr>
        <w:t>范围</w:t>
      </w:r>
      <w:bookmarkEnd w:id="57"/>
      <w:bookmarkEnd w:id="58"/>
      <w:bookmarkEnd w:id="59"/>
      <w:bookmarkEnd w:id="60"/>
      <w:bookmarkEnd w:id="61"/>
    </w:p>
    <w:p w14:paraId="2043DA30">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本招标文件适用本招标采购项目的招标、投标、评标、合同履约、验收、付款等行为（法律、法规另有规定的，从其规定）。</w:t>
      </w:r>
    </w:p>
    <w:p w14:paraId="635F5AB9">
      <w:pPr>
        <w:spacing w:line="400" w:lineRule="exact"/>
        <w:ind w:firstLine="413"/>
        <w:outlineLvl w:val="2"/>
        <w:rPr>
          <w:rFonts w:ascii="宋体" w:hAnsi="宋体" w:cs="宋体"/>
          <w:b/>
          <w:color w:val="000000"/>
          <w:szCs w:val="21"/>
          <w:highlight w:val="none"/>
        </w:rPr>
      </w:pPr>
      <w:bookmarkStart w:id="62" w:name="_Toc11360"/>
      <w:bookmarkStart w:id="63" w:name="_Toc1895"/>
      <w:bookmarkStart w:id="64" w:name="_Toc163"/>
      <w:bookmarkStart w:id="65" w:name="_Toc15831"/>
      <w:bookmarkStart w:id="66" w:name="_Toc10715"/>
      <w:r>
        <w:rPr>
          <w:rFonts w:hint="eastAsia" w:ascii="宋体" w:hAnsi="宋体" w:cs="宋体"/>
          <w:b/>
          <w:color w:val="000000"/>
          <w:szCs w:val="21"/>
          <w:highlight w:val="none"/>
        </w:rPr>
        <w:t>3.定义</w:t>
      </w:r>
      <w:bookmarkEnd w:id="62"/>
      <w:bookmarkEnd w:id="63"/>
      <w:bookmarkEnd w:id="64"/>
      <w:bookmarkEnd w:id="65"/>
      <w:bookmarkEnd w:id="66"/>
    </w:p>
    <w:p w14:paraId="567F255D">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3.1“投标人”系指响应招标、参加投标竞争的法人、其他组织或者自然人。</w:t>
      </w:r>
    </w:p>
    <w:p w14:paraId="71CA6D37">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3.2“货物”系指按招标文件规定，投标人须向采购人提供的一切设备、保险、税金、备品备件、工具、手册及其它有关技术资料和材料。</w:t>
      </w:r>
    </w:p>
    <w:p w14:paraId="34453D5B">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3.3“服务”系指按招标文件规定，投标人须承担的安装、调试、技术协助、校准、培训、技术指导以及其他类似的义务。</w:t>
      </w:r>
    </w:p>
    <w:p w14:paraId="001E8CC6">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3.4“项目”系指投标人按招标文件规定向采购人提供的货物和服务。</w:t>
      </w:r>
    </w:p>
    <w:p w14:paraId="0EF68F75">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3.5“书面形式”包括信函、传真、电报等。</w:t>
      </w:r>
    </w:p>
    <w:p w14:paraId="3550CBF9">
      <w:pPr>
        <w:spacing w:line="400" w:lineRule="exact"/>
        <w:ind w:firstLine="435"/>
        <w:rPr>
          <w:rFonts w:hint="eastAsia" w:ascii="宋体" w:hAnsi="宋体" w:cs="宋体"/>
          <w:b/>
          <w:color w:val="000000"/>
          <w:szCs w:val="21"/>
          <w:highlight w:val="none"/>
        </w:rPr>
      </w:pPr>
      <w:r>
        <w:rPr>
          <w:rFonts w:hint="eastAsia" w:ascii="宋体" w:hAnsi="宋体" w:cs="宋体"/>
          <w:b/>
          <w:color w:val="000000"/>
          <w:szCs w:val="21"/>
          <w:highlight w:val="none"/>
        </w:rPr>
        <w:t>3.6实质性要求：</w:t>
      </w:r>
      <w:r>
        <w:rPr>
          <w:rFonts w:hint="eastAsia" w:asciiTheme="minorEastAsia" w:hAnsiTheme="minorEastAsia" w:cstheme="minorEastAsia"/>
          <w:b/>
          <w:bCs/>
          <w:color w:val="auto"/>
          <w:szCs w:val="21"/>
          <w:highlight w:val="none"/>
          <w:lang w:eastAsia="zh-CN"/>
        </w:rPr>
        <w:t>本项目</w:t>
      </w:r>
      <w:r>
        <w:rPr>
          <w:rFonts w:hint="eastAsia" w:asciiTheme="minorEastAsia" w:hAnsiTheme="minorEastAsia" w:eastAsiaTheme="minorEastAsia" w:cstheme="minorEastAsia"/>
          <w:b/>
          <w:bCs/>
          <w:color w:val="auto"/>
          <w:szCs w:val="21"/>
          <w:highlight w:val="none"/>
        </w:rPr>
        <w:t>“采购需求”中除</w:t>
      </w:r>
      <w:r>
        <w:rPr>
          <w:rFonts w:hint="eastAsia" w:asciiTheme="minorEastAsia" w:hAnsiTheme="minorEastAsia" w:cstheme="minorEastAsia"/>
          <w:b/>
          <w:bCs/>
          <w:color w:val="auto"/>
          <w:szCs w:val="21"/>
          <w:highlight w:val="none"/>
          <w:lang w:eastAsia="zh-CN"/>
        </w:rPr>
        <w:t>标注</w:t>
      </w:r>
      <w:r>
        <w:rPr>
          <w:rFonts w:hint="eastAsia" w:asciiTheme="minorEastAsia" w:hAnsiTheme="minorEastAsia" w:eastAsiaTheme="minorEastAsia" w:cstheme="minorEastAsia"/>
          <w:b/>
          <w:bCs/>
          <w:color w:val="auto"/>
          <w:spacing w:val="0"/>
          <w:sz w:val="21"/>
          <w:szCs w:val="21"/>
          <w:highlight w:val="none"/>
          <w:lang w:val="en-US" w:eastAsia="zh-CN" w:bidi="ar-SA"/>
        </w:rPr>
        <w:t>▲号的</w:t>
      </w:r>
      <w:r>
        <w:rPr>
          <w:rFonts w:hint="eastAsia" w:asciiTheme="minorEastAsia" w:hAnsiTheme="minorEastAsia" w:cstheme="minorEastAsia"/>
          <w:b/>
          <w:bCs/>
          <w:color w:val="auto"/>
          <w:szCs w:val="21"/>
          <w:highlight w:val="none"/>
          <w:lang w:eastAsia="zh-CN"/>
        </w:rPr>
        <w:t>内容</w:t>
      </w:r>
      <w:r>
        <w:rPr>
          <w:rFonts w:hint="eastAsia" w:asciiTheme="minorEastAsia" w:hAnsiTheme="minorEastAsia" w:eastAsiaTheme="minorEastAsia" w:cstheme="minorEastAsia"/>
          <w:b/>
          <w:bCs/>
          <w:color w:val="auto"/>
          <w:szCs w:val="21"/>
          <w:highlight w:val="none"/>
        </w:rPr>
        <w:t>外</w:t>
      </w:r>
      <w:r>
        <w:rPr>
          <w:rFonts w:hint="eastAsia" w:asciiTheme="minorEastAsia" w:hAnsiTheme="minorEastAsia" w:eastAsiaTheme="minorEastAsia" w:cstheme="minorEastAsia"/>
          <w:b/>
          <w:bCs/>
          <w:color w:val="auto"/>
          <w:szCs w:val="21"/>
          <w:highlight w:val="none"/>
          <w:lang w:eastAsia="zh-CN"/>
        </w:rPr>
        <w:t>，其他</w:t>
      </w:r>
      <w:r>
        <w:rPr>
          <w:rFonts w:hint="eastAsia" w:asciiTheme="minorEastAsia" w:hAnsiTheme="minorEastAsia" w:eastAsiaTheme="minorEastAsia" w:cstheme="minorEastAsia"/>
          <w:b/>
          <w:bCs/>
          <w:color w:val="auto"/>
          <w:szCs w:val="21"/>
          <w:highlight w:val="none"/>
        </w:rPr>
        <w:t>均为实质性要求，不允许负偏离，否则</w:t>
      </w:r>
      <w:r>
        <w:rPr>
          <w:rFonts w:hint="eastAsia" w:asciiTheme="minorEastAsia" w:hAnsiTheme="minorEastAsia" w:cstheme="minorEastAsia"/>
          <w:b/>
          <w:bCs/>
          <w:color w:val="auto"/>
          <w:szCs w:val="21"/>
          <w:highlight w:val="none"/>
          <w:lang w:eastAsia="zh-CN"/>
        </w:rPr>
        <w:t>投标无效；标注▲号的内容不作为实质性要求，仅作为评审依据。</w:t>
      </w:r>
    </w:p>
    <w:p w14:paraId="056731F1">
      <w:pPr>
        <w:spacing w:line="400" w:lineRule="exact"/>
        <w:ind w:firstLine="413"/>
        <w:outlineLvl w:val="2"/>
        <w:rPr>
          <w:rFonts w:ascii="宋体" w:hAnsi="宋体" w:cs="宋体"/>
          <w:b/>
          <w:color w:val="000000"/>
          <w:szCs w:val="21"/>
          <w:highlight w:val="none"/>
        </w:rPr>
      </w:pPr>
      <w:bookmarkStart w:id="67" w:name="_Toc24020"/>
      <w:bookmarkStart w:id="68" w:name="_Toc28906"/>
      <w:bookmarkStart w:id="69" w:name="_Toc15873"/>
      <w:bookmarkStart w:id="70" w:name="_Toc935"/>
      <w:bookmarkStart w:id="71" w:name="_Toc29003"/>
      <w:r>
        <w:rPr>
          <w:rFonts w:hint="eastAsia" w:ascii="宋体" w:hAnsi="宋体" w:cs="宋体"/>
          <w:b/>
          <w:color w:val="000000"/>
          <w:szCs w:val="21"/>
          <w:highlight w:val="none"/>
        </w:rPr>
        <w:t>4.招标方式、评分办法</w:t>
      </w:r>
      <w:bookmarkEnd w:id="67"/>
      <w:bookmarkEnd w:id="68"/>
      <w:bookmarkEnd w:id="69"/>
      <w:bookmarkEnd w:id="70"/>
      <w:bookmarkEnd w:id="71"/>
    </w:p>
    <w:p w14:paraId="7BABB1A5">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公开招标、综合评分法</w:t>
      </w:r>
    </w:p>
    <w:p w14:paraId="76BC85DF">
      <w:pPr>
        <w:spacing w:line="400" w:lineRule="exact"/>
        <w:ind w:firstLine="413"/>
        <w:outlineLvl w:val="2"/>
        <w:rPr>
          <w:rFonts w:ascii="宋体" w:hAnsi="宋体" w:cs="宋体"/>
          <w:b/>
          <w:color w:val="000000"/>
          <w:szCs w:val="21"/>
          <w:highlight w:val="none"/>
        </w:rPr>
      </w:pPr>
      <w:bookmarkStart w:id="72" w:name="_Toc5820"/>
      <w:bookmarkStart w:id="73" w:name="_Toc15345"/>
      <w:bookmarkStart w:id="74" w:name="_Toc598"/>
      <w:bookmarkStart w:id="75" w:name="_Toc1317"/>
      <w:bookmarkStart w:id="76" w:name="_Toc19854"/>
      <w:r>
        <w:rPr>
          <w:rFonts w:hint="eastAsia" w:ascii="宋体" w:hAnsi="宋体" w:cs="宋体"/>
          <w:b/>
          <w:color w:val="000000"/>
          <w:szCs w:val="21"/>
          <w:highlight w:val="none"/>
        </w:rPr>
        <w:t>5.投标人资格</w:t>
      </w:r>
      <w:bookmarkEnd w:id="72"/>
      <w:bookmarkEnd w:id="73"/>
      <w:bookmarkEnd w:id="74"/>
      <w:bookmarkEnd w:id="75"/>
      <w:bookmarkEnd w:id="76"/>
    </w:p>
    <w:p w14:paraId="57A6B39D">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5.1符合《中华人民共和国政府采购法》第二十二条和《政府采购法实施条例》第十八条规定，并且在国内注册或登记、具备合法资格，提供本次采购货物或服务的供应商。</w:t>
      </w:r>
    </w:p>
    <w:p w14:paraId="7DF0D15D">
      <w:pPr>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5.2本项目不接受联合体投标。</w:t>
      </w:r>
    </w:p>
    <w:p w14:paraId="1AC227DC">
      <w:pPr>
        <w:spacing w:line="40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5.3对在“信用中国”网站（www.creditchina.gov.cn）、中国政府采购网（www.ccgp.gov.cn）等渠道列入失信被执行人、</w:t>
      </w:r>
      <w:r>
        <w:rPr>
          <w:rFonts w:hint="eastAsia" w:ascii="宋体" w:hAnsi="宋体" w:cs="宋体"/>
          <w:color w:val="000000"/>
          <w:szCs w:val="21"/>
        </w:rPr>
        <w:t>重大税收违法案件当事人</w:t>
      </w:r>
      <w:r>
        <w:rPr>
          <w:rFonts w:hint="eastAsia" w:ascii="宋体" w:hAnsi="宋体" w:cs="宋体"/>
          <w:color w:val="000000"/>
          <w:szCs w:val="21"/>
          <w:highlight w:val="none"/>
        </w:rPr>
        <w:t>名单、政府采购严重违法失信行为记录名单及其他不符合《中华人民共和国政府采购法》第二十二条规定条件的供应商，不得参与政府采购活动。</w:t>
      </w:r>
    </w:p>
    <w:p w14:paraId="3BAFB6A0">
      <w:pPr>
        <w:spacing w:line="400" w:lineRule="exact"/>
        <w:ind w:firstLine="435"/>
        <w:rPr>
          <w:rFonts w:hint="eastAsia"/>
          <w:b/>
          <w:bCs/>
          <w:color w:val="000000"/>
          <w:highlight w:val="none"/>
        </w:rPr>
      </w:pPr>
      <w:r>
        <w:rPr>
          <w:rFonts w:hint="eastAsia" w:ascii="宋体" w:hAnsi="宋体" w:cs="宋体"/>
          <w:b/>
          <w:bCs/>
          <w:color w:val="000000"/>
          <w:highlight w:val="none"/>
        </w:rPr>
        <w:t>5.4</w:t>
      </w:r>
      <w:r>
        <w:rPr>
          <w:rFonts w:hint="eastAsia"/>
          <w:b/>
          <w:bCs/>
          <w:color w:val="000000"/>
          <w:highlight w:val="none"/>
        </w:rPr>
        <w:t>落实政府采购政策需满足的资格要求：</w:t>
      </w:r>
      <w:r>
        <w:rPr>
          <w:rFonts w:hint="eastAsia" w:ascii="宋体" w:hAnsi="宋体" w:cs="宋体"/>
          <w:b/>
          <w:bCs/>
          <w:color w:val="000000"/>
          <w:szCs w:val="21"/>
          <w:highlight w:val="none"/>
          <w:lang w:val="en-US" w:eastAsia="zh-CN"/>
        </w:rPr>
        <w:t>无</w:t>
      </w:r>
    </w:p>
    <w:p w14:paraId="0CBC0186">
      <w:pPr>
        <w:spacing w:line="400" w:lineRule="exact"/>
        <w:ind w:firstLine="435"/>
        <w:rPr>
          <w:color w:val="000000"/>
          <w:highlight w:val="none"/>
        </w:rPr>
      </w:pPr>
      <w:r>
        <w:rPr>
          <w:rFonts w:hint="eastAsia" w:ascii="宋体" w:hAnsi="宋体" w:cs="宋体"/>
          <w:b/>
          <w:bCs/>
          <w:color w:val="000000"/>
          <w:szCs w:val="21"/>
          <w:highlight w:val="none"/>
        </w:rPr>
        <w:t>5.5本项目的特定资格要求：</w:t>
      </w:r>
      <w:r>
        <w:rPr>
          <w:rFonts w:hint="eastAsia"/>
          <w:b/>
          <w:bCs/>
          <w:color w:val="000000"/>
          <w:highlight w:val="none"/>
        </w:rPr>
        <w:t>无。</w:t>
      </w:r>
    </w:p>
    <w:p w14:paraId="1C62CCE6">
      <w:pPr>
        <w:spacing w:line="400" w:lineRule="exact"/>
        <w:ind w:firstLine="413"/>
        <w:outlineLvl w:val="2"/>
        <w:rPr>
          <w:rFonts w:ascii="宋体" w:hAnsi="宋体" w:cs="宋体"/>
          <w:b/>
          <w:color w:val="000000"/>
          <w:szCs w:val="21"/>
          <w:highlight w:val="none"/>
        </w:rPr>
      </w:pPr>
      <w:bookmarkStart w:id="77" w:name="_Toc32616"/>
      <w:bookmarkStart w:id="78" w:name="_Toc14174"/>
      <w:bookmarkStart w:id="79" w:name="_Toc24742"/>
      <w:bookmarkStart w:id="80" w:name="_Toc25975"/>
      <w:bookmarkStart w:id="81" w:name="_Toc30836"/>
      <w:r>
        <w:rPr>
          <w:rFonts w:hint="eastAsia" w:ascii="宋体" w:hAnsi="宋体" w:cs="宋体"/>
          <w:b/>
          <w:color w:val="000000"/>
          <w:szCs w:val="21"/>
          <w:highlight w:val="none"/>
        </w:rPr>
        <w:t>6.投标费用</w:t>
      </w:r>
      <w:bookmarkEnd w:id="77"/>
      <w:bookmarkEnd w:id="78"/>
      <w:bookmarkEnd w:id="79"/>
      <w:bookmarkEnd w:id="80"/>
      <w:bookmarkEnd w:id="81"/>
    </w:p>
    <w:p w14:paraId="11E61702">
      <w:pPr>
        <w:spacing w:line="400" w:lineRule="exact"/>
        <w:ind w:firstLine="435"/>
        <w:rPr>
          <w:rFonts w:ascii="宋体" w:hAnsi="宋体" w:cs="宋体"/>
          <w:b/>
          <w:color w:val="000000"/>
          <w:szCs w:val="21"/>
          <w:highlight w:val="none"/>
        </w:rPr>
      </w:pPr>
      <w:r>
        <w:rPr>
          <w:rFonts w:hint="eastAsia" w:ascii="宋体" w:hAnsi="宋体" w:cs="宋体"/>
          <w:color w:val="000000"/>
          <w:szCs w:val="21"/>
          <w:highlight w:val="none"/>
        </w:rPr>
        <w:t>不论投标结果如何，投标人均应自行承担所有与投标有关的全部费用。</w:t>
      </w:r>
    </w:p>
    <w:p w14:paraId="195B940C">
      <w:pPr>
        <w:spacing w:line="400" w:lineRule="exact"/>
        <w:ind w:firstLine="413"/>
        <w:outlineLvl w:val="2"/>
        <w:rPr>
          <w:rFonts w:ascii="宋体" w:hAnsi="宋体" w:cs="宋体"/>
          <w:b/>
          <w:color w:val="000000"/>
          <w:szCs w:val="21"/>
          <w:highlight w:val="none"/>
        </w:rPr>
      </w:pPr>
      <w:bookmarkStart w:id="82" w:name="_Toc25901"/>
      <w:bookmarkStart w:id="83" w:name="_Toc6562"/>
      <w:bookmarkStart w:id="84" w:name="_Toc31803"/>
      <w:bookmarkStart w:id="85" w:name="_Toc28126"/>
      <w:bookmarkStart w:id="86" w:name="_Toc22702"/>
      <w:r>
        <w:rPr>
          <w:rFonts w:hint="eastAsia" w:ascii="宋体" w:hAnsi="宋体" w:cs="宋体"/>
          <w:b/>
          <w:color w:val="000000"/>
          <w:szCs w:val="21"/>
          <w:highlight w:val="none"/>
        </w:rPr>
        <w:t>7.联合体投标要求</w:t>
      </w:r>
      <w:bookmarkEnd w:id="82"/>
      <w:bookmarkEnd w:id="83"/>
      <w:bookmarkEnd w:id="84"/>
      <w:bookmarkEnd w:id="85"/>
      <w:bookmarkEnd w:id="86"/>
    </w:p>
    <w:p w14:paraId="7A137BB2">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本项目不接受联合体投标。</w:t>
      </w:r>
    </w:p>
    <w:p w14:paraId="418E6A6F">
      <w:pPr>
        <w:spacing w:line="400" w:lineRule="exact"/>
        <w:ind w:firstLine="413"/>
        <w:outlineLvl w:val="2"/>
        <w:rPr>
          <w:rFonts w:ascii="宋体" w:hAnsi="宋体" w:cs="宋体"/>
          <w:b/>
          <w:color w:val="000000"/>
          <w:szCs w:val="21"/>
          <w:highlight w:val="none"/>
        </w:rPr>
      </w:pPr>
      <w:bookmarkStart w:id="87" w:name="_Toc32330"/>
      <w:bookmarkStart w:id="88" w:name="_Toc24292"/>
      <w:bookmarkStart w:id="89" w:name="_Toc20140"/>
      <w:bookmarkStart w:id="90" w:name="_Toc6046"/>
      <w:bookmarkStart w:id="91" w:name="_Toc23917"/>
      <w:r>
        <w:rPr>
          <w:rFonts w:hint="eastAsia" w:ascii="宋体" w:hAnsi="宋体" w:cs="宋体"/>
          <w:b/>
          <w:color w:val="000000"/>
          <w:szCs w:val="21"/>
          <w:highlight w:val="none"/>
        </w:rPr>
        <w:t>8.转包与分包</w:t>
      </w:r>
      <w:bookmarkEnd w:id="87"/>
      <w:bookmarkEnd w:id="88"/>
      <w:bookmarkEnd w:id="89"/>
      <w:bookmarkEnd w:id="90"/>
      <w:bookmarkEnd w:id="91"/>
    </w:p>
    <w:p w14:paraId="41CACF7A">
      <w:pPr>
        <w:tabs>
          <w:tab w:val="left" w:pos="163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8.1本项目不允许转包。</w:t>
      </w:r>
    </w:p>
    <w:p w14:paraId="1F87258E">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8.2本项目不可以分包。</w:t>
      </w:r>
    </w:p>
    <w:p w14:paraId="1D147FF6">
      <w:pPr>
        <w:spacing w:line="400" w:lineRule="exact"/>
        <w:ind w:firstLine="413"/>
        <w:outlineLvl w:val="2"/>
        <w:rPr>
          <w:rFonts w:ascii="宋体" w:hAnsi="宋体" w:cs="宋体"/>
          <w:b/>
          <w:color w:val="000000"/>
          <w:szCs w:val="21"/>
          <w:highlight w:val="none"/>
        </w:rPr>
      </w:pPr>
      <w:bookmarkStart w:id="92" w:name="_Toc5739"/>
      <w:bookmarkStart w:id="93" w:name="_Toc1504"/>
      <w:bookmarkStart w:id="94" w:name="_Toc13630"/>
      <w:bookmarkStart w:id="95" w:name="_Toc24350"/>
      <w:bookmarkStart w:id="96" w:name="_Toc7140"/>
      <w:r>
        <w:rPr>
          <w:rFonts w:hint="eastAsia" w:ascii="宋体" w:hAnsi="宋体" w:cs="宋体"/>
          <w:b/>
          <w:color w:val="000000"/>
          <w:szCs w:val="21"/>
          <w:highlight w:val="none"/>
        </w:rPr>
        <w:t>9.特别说明</w:t>
      </w:r>
      <w:bookmarkEnd w:id="92"/>
      <w:bookmarkEnd w:id="93"/>
      <w:bookmarkEnd w:id="94"/>
      <w:bookmarkEnd w:id="95"/>
      <w:bookmarkEnd w:id="96"/>
    </w:p>
    <w:p w14:paraId="6F4E255C">
      <w:pPr>
        <w:tabs>
          <w:tab w:val="left" w:pos="163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9.1提供相同品牌产品且通过资格审查、符合性审查的不同投标人参加同一合同项下投标的，按一家投标人计算，评审后得分最高的同品牌投标人获得</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推荐资格；评审得分相同的，评标价最低的同品牌投标人获得</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推荐资格；评标价也相同的，由评标委员会以</w:t>
      </w:r>
      <w:r>
        <w:rPr>
          <w:rFonts w:hint="eastAsia" w:ascii="宋体" w:hAnsi="宋体" w:cs="宋体"/>
          <w:color w:val="000000"/>
          <w:szCs w:val="21"/>
        </w:rPr>
        <w:t>抽签</w:t>
      </w:r>
      <w:r>
        <w:rPr>
          <w:rFonts w:hint="eastAsia" w:ascii="宋体" w:hAnsi="宋体" w:cs="宋体"/>
          <w:color w:val="000000"/>
          <w:szCs w:val="21"/>
          <w:highlight w:val="none"/>
        </w:rPr>
        <w:t>方式确定中标候选供应商。其他同品牌投标人不作为中标候选供应商。</w:t>
      </w:r>
    </w:p>
    <w:p w14:paraId="69903756">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多家投标人提供的核心产品品牌相同的，按前款规定处理。</w:t>
      </w:r>
    </w:p>
    <w:p w14:paraId="0AA53BCE">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9.2关联供应商不得参加同一合同项下政府采购活动，否则投标文件将被视为无效：</w:t>
      </w:r>
    </w:p>
    <w:p w14:paraId="0805DFE9">
      <w:pPr>
        <w:tabs>
          <w:tab w:val="left" w:pos="163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（1）单位负责人为同一人或者存在直接控股、管理关系的不同供应商，不得参加同一合同项下的政府采购活动。</w:t>
      </w:r>
    </w:p>
    <w:p w14:paraId="49EFC7A7">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（2）为本采购项目提供整体设计、规范编制或者项目管理、监理、检测等服务的供应商，不得再参加本次采购活动。</w:t>
      </w:r>
    </w:p>
    <w:p w14:paraId="13FC63A1">
      <w:pPr>
        <w:tabs>
          <w:tab w:val="left" w:pos="1635"/>
        </w:tabs>
        <w:spacing w:line="400" w:lineRule="exact"/>
        <w:ind w:firstLine="435"/>
        <w:rPr>
          <w:rFonts w:ascii="宋体" w:hAnsi="宋体" w:cs="宋体"/>
          <w:color w:val="000000"/>
          <w:szCs w:val="21"/>
          <w:highlight w:val="none"/>
        </w:rPr>
      </w:pPr>
      <w:r>
        <w:rPr>
          <w:rFonts w:hint="eastAsia" w:ascii="宋体" w:hAnsi="宋体" w:cs="宋体"/>
          <w:color w:val="000000"/>
          <w:szCs w:val="21"/>
          <w:highlight w:val="none"/>
        </w:rPr>
        <w:t>9.3投标人应仔细阅读招标文件的所有内容，按照招标文件的要求提交投标文件，并对所提供的全部资料的真实性承担法律责任。</w:t>
      </w:r>
    </w:p>
    <w:p w14:paraId="68D71A16">
      <w:pPr>
        <w:tabs>
          <w:tab w:val="left" w:pos="1635"/>
        </w:tabs>
        <w:spacing w:line="400" w:lineRule="exact"/>
        <w:ind w:firstLine="435"/>
        <w:rPr>
          <w:rFonts w:ascii="宋体" w:hAnsi="宋体" w:cs="宋体"/>
          <w:b/>
          <w:color w:val="000000"/>
          <w:szCs w:val="21"/>
          <w:highlight w:val="none"/>
        </w:rPr>
      </w:pPr>
      <w:r>
        <w:rPr>
          <w:rFonts w:hint="eastAsia" w:ascii="宋体" w:hAnsi="宋体" w:cs="宋体"/>
          <w:color w:val="000000"/>
          <w:szCs w:val="21"/>
          <w:highlight w:val="none"/>
        </w:rPr>
        <w:t>9.4投标人在投标活动中提供任何虚假材料，其投标无效，并报监管部门查处；中标后发现的，</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须依照《中华人民共和国消费者权益保护法》赔偿采购人，且民事赔偿并不免除违法投标人的行政与刑事责任。</w:t>
      </w:r>
    </w:p>
    <w:p w14:paraId="53EC60D7">
      <w:pPr>
        <w:spacing w:line="400" w:lineRule="exact"/>
        <w:ind w:firstLine="413"/>
        <w:outlineLvl w:val="2"/>
        <w:rPr>
          <w:rFonts w:ascii="宋体" w:hAnsi="宋体" w:cs="宋体"/>
          <w:b/>
          <w:color w:val="000000"/>
          <w:szCs w:val="21"/>
          <w:highlight w:val="none"/>
        </w:rPr>
      </w:pPr>
      <w:bookmarkStart w:id="97" w:name="_Toc14499"/>
      <w:bookmarkStart w:id="98" w:name="_Toc24335"/>
      <w:bookmarkStart w:id="99" w:name="_Toc6489"/>
      <w:bookmarkStart w:id="100" w:name="_Toc29184"/>
      <w:bookmarkStart w:id="101" w:name="_Toc18629"/>
      <w:r>
        <w:rPr>
          <w:rFonts w:hint="eastAsia" w:ascii="宋体" w:hAnsi="宋体" w:cs="宋体"/>
          <w:b/>
          <w:color w:val="000000"/>
          <w:szCs w:val="21"/>
          <w:highlight w:val="none"/>
        </w:rPr>
        <w:t>10.质疑和投诉</w:t>
      </w:r>
      <w:bookmarkEnd w:id="97"/>
      <w:bookmarkEnd w:id="98"/>
      <w:bookmarkEnd w:id="99"/>
      <w:bookmarkEnd w:id="100"/>
      <w:bookmarkEnd w:id="101"/>
    </w:p>
    <w:p w14:paraId="1AFB4226">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10.1供应商认为招标文件使自己的合法权益受到损害的，应当在本项目招标公告期限届满之日起七个工作日内以书面形式向采购人或桂林市政府集中采购中心提出质疑。供应商认为招标过程或中标结果使自己的合法权益受到损害的，应当在采购程序环节结束之日或中标公告期限届满之日起七个工作日内，以书面形式向采购人或桂林市政府集中采购中心提出质疑。</w:t>
      </w:r>
    </w:p>
    <w:p w14:paraId="434B97F8">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接收质疑函方式：以书面形式（原件）提交。</w:t>
      </w:r>
    </w:p>
    <w:p w14:paraId="00884CF5">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质疑联系人：桂林市政府集中采购中心，联系电话：0773-5625162</w:t>
      </w:r>
    </w:p>
    <w:p w14:paraId="24B41556">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通讯地址：桂林市临桂区西城中路69号创业大厦西辅楼5楼574室</w:t>
      </w:r>
    </w:p>
    <w:p w14:paraId="5C13435F">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10.2收到供应商书面质疑函后，采购人应当在七个工作日内对质疑事项作出答复（答复内容不得涉及商业秘密），并委托采购代理机构以书面形式通知质疑供应商，在财政部门指定的媒体发布质疑答复公告。</w:t>
      </w:r>
    </w:p>
    <w:p w14:paraId="248522FC">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10.3供应商对采购人或采购代理机构的答复不满意，或者采购人或采购代理机构未在规定的时间内作出答复的，可以在答复期满后十五个工作日内向本级财政部门投诉。</w:t>
      </w:r>
    </w:p>
    <w:p w14:paraId="3B034B3F">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10.4质疑、投诉应当采用书面形式，质疑书、投诉书实行实名制，均应明确阐述招标文件、招标过程或中标结果中使自己合法权益受到损害的实质性内容，并提供必要的证明材料。</w:t>
      </w:r>
    </w:p>
    <w:p w14:paraId="4C790F49">
      <w:pPr>
        <w:tabs>
          <w:tab w:val="left" w:pos="1635"/>
        </w:tabs>
        <w:spacing w:line="400" w:lineRule="exact"/>
        <w:ind w:firstLine="435"/>
        <w:rPr>
          <w:rFonts w:hint="eastAsia" w:ascii="宋体" w:hAnsi="宋体" w:cs="宋体"/>
          <w:b w:val="0"/>
          <w:bCs/>
          <w:szCs w:val="21"/>
        </w:rPr>
      </w:pPr>
      <w:r>
        <w:rPr>
          <w:rFonts w:hint="eastAsia" w:ascii="宋体" w:hAnsi="宋体" w:cs="宋体"/>
          <w:b w:val="0"/>
          <w:bCs/>
          <w:szCs w:val="21"/>
        </w:rPr>
        <w:t>10.5供应商在法定质疑期内应当一次性提出针对同一采购程序环节的质疑。</w:t>
      </w:r>
    </w:p>
    <w:p w14:paraId="73744D33">
      <w:pPr>
        <w:tabs>
          <w:tab w:val="left" w:pos="1635"/>
        </w:tabs>
        <w:spacing w:line="400" w:lineRule="exact"/>
        <w:ind w:firstLine="435"/>
        <w:rPr>
          <w:rFonts w:hint="eastAsia" w:ascii="宋体" w:hAnsi="宋体" w:eastAsia="宋体" w:cs="宋体"/>
          <w:b/>
          <w:color w:val="000000"/>
          <w:sz w:val="28"/>
          <w:szCs w:val="28"/>
          <w:highlight w:val="none"/>
        </w:rPr>
      </w:pPr>
      <w:r>
        <w:rPr>
          <w:rFonts w:hint="eastAsia" w:ascii="宋体" w:hAnsi="宋体" w:cs="宋体"/>
          <w:b w:val="0"/>
          <w:bCs/>
          <w:szCs w:val="21"/>
        </w:rPr>
        <w:t>10.6不在法定质疑期内提出的质疑函可以拒收。不符合要求的质疑函在法定质疑期内及时补充完整，否则作质疑不成立处理</w:t>
      </w:r>
      <w:r>
        <w:rPr>
          <w:rFonts w:hint="eastAsia" w:ascii="宋体" w:hAnsi="宋体" w:cs="宋体"/>
          <w:szCs w:val="21"/>
        </w:rPr>
        <w:t>。</w:t>
      </w:r>
    </w:p>
    <w:p w14:paraId="234C567A">
      <w:pPr>
        <w:tabs>
          <w:tab w:val="left" w:pos="2190"/>
        </w:tabs>
        <w:spacing w:line="400" w:lineRule="exact"/>
        <w:ind w:firstLine="435"/>
        <w:rPr>
          <w:rFonts w:ascii="宋体" w:hAnsi="宋体" w:cs="宋体"/>
          <w:b/>
          <w:color w:val="000000"/>
          <w:sz w:val="28"/>
          <w:szCs w:val="28"/>
          <w:highlight w:val="none"/>
        </w:rPr>
      </w:pPr>
    </w:p>
    <w:p w14:paraId="2182FA35">
      <w:pPr>
        <w:spacing w:line="360" w:lineRule="auto"/>
        <w:jc w:val="center"/>
        <w:outlineLvl w:val="1"/>
        <w:rPr>
          <w:rFonts w:ascii="宋体" w:hAnsi="宋体" w:cs="宋体"/>
          <w:b/>
          <w:color w:val="000000"/>
          <w:sz w:val="28"/>
          <w:szCs w:val="28"/>
          <w:highlight w:val="none"/>
        </w:rPr>
      </w:pPr>
      <w:bookmarkStart w:id="102" w:name="_Toc24509"/>
      <w:bookmarkStart w:id="103" w:name="_Toc6682"/>
      <w:bookmarkStart w:id="104" w:name="_Toc26849"/>
      <w:bookmarkStart w:id="105" w:name="_Toc495841755"/>
      <w:bookmarkStart w:id="106" w:name="_Toc28824"/>
      <w:bookmarkStart w:id="107" w:name="_Toc6710"/>
      <w:r>
        <w:rPr>
          <w:rFonts w:hint="eastAsia" w:ascii="宋体" w:hAnsi="宋体" w:cs="宋体"/>
          <w:b/>
          <w:color w:val="000000"/>
          <w:sz w:val="28"/>
          <w:szCs w:val="28"/>
          <w:highlight w:val="none"/>
        </w:rPr>
        <w:t>二、招标文件</w:t>
      </w:r>
      <w:bookmarkEnd w:id="102"/>
      <w:bookmarkEnd w:id="103"/>
      <w:bookmarkEnd w:id="104"/>
      <w:bookmarkEnd w:id="105"/>
      <w:bookmarkEnd w:id="106"/>
      <w:bookmarkEnd w:id="107"/>
    </w:p>
    <w:p w14:paraId="31643D59">
      <w:pPr>
        <w:spacing w:line="400" w:lineRule="exact"/>
        <w:ind w:firstLine="413"/>
        <w:outlineLvl w:val="2"/>
        <w:rPr>
          <w:rFonts w:ascii="宋体" w:hAnsi="宋体" w:cs="宋体"/>
          <w:b/>
          <w:color w:val="000000"/>
          <w:szCs w:val="21"/>
          <w:highlight w:val="none"/>
        </w:rPr>
      </w:pPr>
      <w:bookmarkStart w:id="108" w:name="_Toc25814"/>
      <w:bookmarkStart w:id="109" w:name="_Toc27965"/>
      <w:bookmarkStart w:id="110" w:name="_Toc6714"/>
      <w:bookmarkStart w:id="111" w:name="_Toc7321"/>
      <w:bookmarkStart w:id="112" w:name="_Toc3397"/>
      <w:r>
        <w:rPr>
          <w:rFonts w:hint="eastAsia" w:ascii="宋体" w:hAnsi="宋体" w:cs="宋体"/>
          <w:b/>
          <w:color w:val="000000"/>
          <w:szCs w:val="21"/>
          <w:highlight w:val="none"/>
        </w:rPr>
        <w:t>11.招标文件的构成</w:t>
      </w:r>
      <w:bookmarkEnd w:id="108"/>
      <w:bookmarkEnd w:id="109"/>
      <w:bookmarkEnd w:id="110"/>
      <w:bookmarkEnd w:id="111"/>
      <w:bookmarkEnd w:id="112"/>
    </w:p>
    <w:p w14:paraId="28DC5708">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（1）招标公告；</w:t>
      </w:r>
    </w:p>
    <w:p w14:paraId="2F4E2C03">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（2）投标人须知；</w:t>
      </w:r>
    </w:p>
    <w:p w14:paraId="49AED559">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w:t>
      </w:r>
    </w:p>
    <w:p w14:paraId="031FF562">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（4）评标办法；</w:t>
      </w:r>
    </w:p>
    <w:p w14:paraId="4427C1E2">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（5）采购合同（合同主要条款及格式）；</w:t>
      </w:r>
    </w:p>
    <w:p w14:paraId="0112AC93">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（6）投标文件（格式）。</w:t>
      </w:r>
    </w:p>
    <w:p w14:paraId="1838E2A2">
      <w:pPr>
        <w:spacing w:line="400" w:lineRule="exact"/>
        <w:ind w:firstLine="413"/>
        <w:outlineLvl w:val="2"/>
        <w:rPr>
          <w:rFonts w:ascii="宋体" w:hAnsi="宋体" w:cs="宋体"/>
          <w:b/>
          <w:color w:val="000000"/>
          <w:szCs w:val="21"/>
          <w:highlight w:val="none"/>
        </w:rPr>
      </w:pPr>
      <w:bookmarkStart w:id="113" w:name="_Toc29818"/>
      <w:bookmarkStart w:id="114" w:name="_Toc24191"/>
      <w:bookmarkStart w:id="115" w:name="_Toc15179"/>
      <w:bookmarkStart w:id="116" w:name="_Toc8452"/>
      <w:bookmarkStart w:id="117" w:name="_Toc2160"/>
      <w:r>
        <w:rPr>
          <w:rFonts w:hint="eastAsia" w:ascii="宋体" w:hAnsi="宋体" w:cs="宋体"/>
          <w:b/>
          <w:color w:val="000000"/>
          <w:szCs w:val="21"/>
          <w:highlight w:val="none"/>
        </w:rPr>
        <w:t>12.招标文件的澄清与修改</w:t>
      </w:r>
      <w:bookmarkEnd w:id="113"/>
      <w:bookmarkEnd w:id="114"/>
      <w:bookmarkEnd w:id="115"/>
      <w:bookmarkEnd w:id="116"/>
      <w:bookmarkEnd w:id="117"/>
    </w:p>
    <w:p w14:paraId="2236B923">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12.1投标人应认真阅读招标文件，发现其中有误或有不合理要求的，投标人必须在招标公告期限届满之日起七个工作日内以书面形式要求采购代理机构澄清。</w:t>
      </w:r>
    </w:p>
    <w:p w14:paraId="2D36486A">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68FD5667">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12.3</w:t>
      </w:r>
      <w:r>
        <w:rPr>
          <w:rFonts w:hint="eastAsia" w:ascii="宋体" w:hAnsi="宋体" w:cs="宋体"/>
          <w:b/>
          <w:color w:val="000000"/>
          <w:szCs w:val="21"/>
          <w:highlight w:val="none"/>
        </w:rPr>
        <w:t>投标人下载招标文件后应实时关注相关网站了解澄清、修改等与项目有关的内容，如因投标人未及时登录相关网站了解澄清、修改等与项目有关的内容，从而导致投标无效的，由投标人自行承担责任。</w:t>
      </w:r>
    </w:p>
    <w:p w14:paraId="5369192B">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12.4必要的澄清、修改的内容为招标文件的组成部分。当澄清、修改通知就同一内容的表述不一致时，以最后发出的书面文件为准。</w:t>
      </w:r>
    </w:p>
    <w:p w14:paraId="65D6148D">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12.5招标文件的澄清、修改都应该通过采购代理机构以法定形式发布，采购人非通过本机构，不得擅自澄清、修改招标文件。</w:t>
      </w:r>
    </w:p>
    <w:p w14:paraId="6D090B7E">
      <w:pPr>
        <w:tabs>
          <w:tab w:val="left" w:pos="2190"/>
        </w:tabs>
        <w:spacing w:line="400" w:lineRule="exact"/>
        <w:ind w:firstLine="435"/>
        <w:rPr>
          <w:rFonts w:ascii="宋体" w:hAnsi="宋体" w:cs="宋体"/>
          <w:color w:val="000000"/>
          <w:szCs w:val="21"/>
          <w:highlight w:val="none"/>
        </w:rPr>
      </w:pPr>
    </w:p>
    <w:p w14:paraId="1C3216CD">
      <w:pPr>
        <w:spacing w:line="360" w:lineRule="auto"/>
        <w:jc w:val="center"/>
        <w:outlineLvl w:val="1"/>
        <w:rPr>
          <w:rFonts w:ascii="宋体" w:hAnsi="宋体" w:cs="宋体"/>
          <w:b/>
          <w:color w:val="000000"/>
          <w:sz w:val="28"/>
          <w:szCs w:val="28"/>
          <w:highlight w:val="none"/>
        </w:rPr>
      </w:pPr>
      <w:bookmarkStart w:id="118" w:name="_Toc21786"/>
      <w:bookmarkStart w:id="119" w:name="_Toc495841756"/>
      <w:bookmarkStart w:id="120" w:name="_Toc21553"/>
      <w:bookmarkStart w:id="121" w:name="_Toc17958"/>
      <w:bookmarkStart w:id="122" w:name="_Toc22791"/>
      <w:bookmarkStart w:id="123" w:name="_Toc7631"/>
      <w:r>
        <w:rPr>
          <w:rFonts w:hint="eastAsia" w:ascii="宋体" w:hAnsi="宋体" w:cs="宋体"/>
          <w:b/>
          <w:color w:val="000000"/>
          <w:sz w:val="28"/>
          <w:szCs w:val="28"/>
          <w:highlight w:val="none"/>
        </w:rPr>
        <w:t>三、投标文件的编制</w:t>
      </w:r>
      <w:bookmarkEnd w:id="118"/>
      <w:bookmarkEnd w:id="119"/>
      <w:bookmarkEnd w:id="120"/>
      <w:bookmarkEnd w:id="121"/>
      <w:bookmarkEnd w:id="122"/>
      <w:bookmarkEnd w:id="123"/>
    </w:p>
    <w:p w14:paraId="2E3DDDA1">
      <w:pPr>
        <w:spacing w:line="400" w:lineRule="exact"/>
        <w:ind w:firstLine="413"/>
        <w:outlineLvl w:val="2"/>
        <w:rPr>
          <w:rFonts w:hint="eastAsia" w:ascii="宋体" w:hAnsi="宋体" w:cs="宋体"/>
          <w:b/>
          <w:color w:val="000000"/>
          <w:szCs w:val="21"/>
          <w:highlight w:val="none"/>
        </w:rPr>
      </w:pPr>
      <w:bookmarkStart w:id="124" w:name="_Toc1236"/>
      <w:bookmarkStart w:id="125" w:name="_Toc18258"/>
      <w:bookmarkStart w:id="126" w:name="_Toc1414"/>
      <w:bookmarkStart w:id="127" w:name="_Toc8677"/>
      <w:bookmarkStart w:id="128" w:name="_Toc15443"/>
      <w:r>
        <w:rPr>
          <w:rFonts w:hint="eastAsia" w:ascii="宋体" w:hAnsi="宋体" w:cs="宋体"/>
          <w:b/>
          <w:color w:val="000000"/>
          <w:szCs w:val="21"/>
          <w:highlight w:val="none"/>
        </w:rPr>
        <w:t>13.投标文件的组成及要求</w:t>
      </w:r>
      <w:bookmarkEnd w:id="124"/>
      <w:bookmarkEnd w:id="125"/>
      <w:bookmarkEnd w:id="126"/>
      <w:bookmarkEnd w:id="127"/>
      <w:bookmarkEnd w:id="128"/>
    </w:p>
    <w:p w14:paraId="0EF833A9">
      <w:pPr>
        <w:spacing w:line="360" w:lineRule="auto"/>
        <w:ind w:firstLine="422"/>
        <w:rPr>
          <w:rFonts w:ascii="宋体" w:hAnsi="宋体" w:cs="宋体"/>
          <w:b/>
          <w:bCs/>
          <w:color w:val="000000"/>
          <w:szCs w:val="21"/>
          <w:highlight w:val="none"/>
        </w:rPr>
      </w:pPr>
      <w:r>
        <w:rPr>
          <w:rFonts w:hint="eastAsia" w:ascii="宋体" w:hAnsi="宋体" w:cs="宋体"/>
          <w:b/>
          <w:bCs/>
          <w:color w:val="000000"/>
          <w:szCs w:val="21"/>
          <w:highlight w:val="none"/>
        </w:rPr>
        <w:t>13</w:t>
      </w:r>
      <w:r>
        <w:rPr>
          <w:rFonts w:ascii="宋体" w:hAnsi="宋体" w:cs="宋体"/>
          <w:b/>
          <w:bCs/>
          <w:color w:val="000000"/>
          <w:szCs w:val="21"/>
          <w:highlight w:val="none"/>
        </w:rPr>
        <w:t>.1本项目实行电子投标，供应商应准备电子</w:t>
      </w:r>
      <w:r>
        <w:rPr>
          <w:rFonts w:hint="eastAsia" w:ascii="宋体" w:hAnsi="宋体" w:cs="宋体"/>
          <w:b/>
          <w:bCs/>
          <w:color w:val="000000"/>
          <w:szCs w:val="21"/>
          <w:highlight w:val="none"/>
        </w:rPr>
        <w:t>投标</w:t>
      </w:r>
      <w:r>
        <w:rPr>
          <w:rFonts w:ascii="宋体" w:hAnsi="宋体" w:cs="宋体"/>
          <w:b/>
          <w:bCs/>
          <w:color w:val="000000"/>
          <w:szCs w:val="21"/>
          <w:highlight w:val="none"/>
        </w:rPr>
        <w:t>文件</w:t>
      </w:r>
      <w:r>
        <w:rPr>
          <w:rFonts w:hint="eastAsia" w:ascii="宋体" w:hAnsi="宋体" w:cs="宋体"/>
          <w:b/>
          <w:bCs/>
          <w:color w:val="000000"/>
          <w:szCs w:val="21"/>
          <w:highlight w:val="none"/>
        </w:rPr>
        <w:t>：</w:t>
      </w:r>
    </w:p>
    <w:p w14:paraId="4578C7F5">
      <w:pPr>
        <w:spacing w:line="360" w:lineRule="auto"/>
        <w:ind w:firstLine="422"/>
        <w:rPr>
          <w:rFonts w:hint="eastAsia" w:eastAsia="宋体"/>
          <w:color w:val="000000"/>
          <w:highlight w:val="none"/>
          <w:lang w:eastAsia="zh-CN"/>
        </w:rPr>
      </w:pPr>
      <w:r>
        <w:rPr>
          <w:rFonts w:hint="eastAsia" w:ascii="宋体" w:hAnsi="宋体" w:cs="宋体"/>
          <w:b/>
          <w:bCs/>
          <w:color w:val="000000"/>
          <w:szCs w:val="21"/>
          <w:highlight w:val="none"/>
        </w:rPr>
        <w:t>13</w:t>
      </w:r>
      <w:r>
        <w:rPr>
          <w:rFonts w:ascii="宋体" w:hAnsi="宋体" w:cs="宋体"/>
          <w:b/>
          <w:bCs/>
          <w:color w:val="000000"/>
          <w:szCs w:val="21"/>
          <w:highlight w:val="none"/>
        </w:rPr>
        <w:t>.1.1电子</w:t>
      </w:r>
      <w:r>
        <w:rPr>
          <w:rFonts w:hint="eastAsia" w:ascii="宋体" w:hAnsi="宋体" w:cs="宋体"/>
          <w:b/>
          <w:bCs/>
          <w:color w:val="000000"/>
          <w:szCs w:val="21"/>
          <w:highlight w:val="none"/>
        </w:rPr>
        <w:t>投标</w:t>
      </w:r>
      <w:r>
        <w:rPr>
          <w:rFonts w:ascii="宋体" w:hAnsi="宋体" w:cs="宋体"/>
          <w:b/>
          <w:bCs/>
          <w:color w:val="000000"/>
          <w:szCs w:val="21"/>
          <w:highlight w:val="none"/>
        </w:rPr>
        <w:t>文件按</w:t>
      </w:r>
      <w:r>
        <w:rPr>
          <w:rFonts w:hint="eastAsia" w:ascii="宋体" w:hAnsi="宋体" w:cs="宋体"/>
          <w:b/>
          <w:bCs/>
          <w:color w:val="000000"/>
          <w:szCs w:val="21"/>
          <w:highlight w:val="none"/>
          <w:lang w:eastAsia="zh-CN"/>
        </w:rPr>
        <w:t>广西政府采购云平台</w:t>
      </w:r>
      <w:r>
        <w:rPr>
          <w:rFonts w:ascii="宋体" w:hAnsi="宋体" w:cs="宋体"/>
          <w:b/>
          <w:bCs/>
          <w:color w:val="000000"/>
          <w:szCs w:val="21"/>
          <w:highlight w:val="none"/>
        </w:rPr>
        <w:t>要求及本</w:t>
      </w:r>
      <w:r>
        <w:rPr>
          <w:rFonts w:hint="eastAsia" w:ascii="宋体" w:hAnsi="宋体" w:cs="宋体"/>
          <w:b/>
          <w:bCs/>
          <w:color w:val="000000"/>
          <w:szCs w:val="21"/>
          <w:highlight w:val="none"/>
        </w:rPr>
        <w:t>招标</w:t>
      </w:r>
      <w:r>
        <w:rPr>
          <w:rFonts w:ascii="宋体" w:hAnsi="宋体" w:cs="宋体"/>
          <w:b/>
          <w:bCs/>
          <w:color w:val="000000"/>
          <w:szCs w:val="21"/>
          <w:highlight w:val="none"/>
        </w:rPr>
        <w:t>文件要求制作、加密并递交。具体操作流程可参考《政府采购项目电子交易管理操作指南-供应商》</w:t>
      </w:r>
      <w:r>
        <w:rPr>
          <w:rFonts w:hint="eastAsia" w:ascii="宋体" w:hAnsi="宋体" w:cs="宋体"/>
          <w:b/>
          <w:bCs/>
          <w:color w:val="000000"/>
          <w:szCs w:val="21"/>
          <w:highlight w:val="none"/>
        </w:rPr>
        <w:t>，</w:t>
      </w:r>
      <w:r>
        <w:rPr>
          <w:rFonts w:ascii="宋体" w:hAnsi="宋体" w:cs="宋体"/>
          <w:b/>
          <w:bCs/>
          <w:color w:val="000000"/>
          <w:szCs w:val="21"/>
          <w:highlight w:val="none"/>
        </w:rPr>
        <w:t>指南可在“</w:t>
      </w:r>
      <w:r>
        <w:rPr>
          <w:rFonts w:hint="eastAsia" w:ascii="宋体" w:hAnsi="宋体" w:cs="宋体"/>
          <w:b/>
          <w:bCs/>
          <w:color w:val="000000"/>
          <w:szCs w:val="21"/>
          <w:highlight w:val="none"/>
          <w:lang w:eastAsia="zh-CN"/>
        </w:rPr>
        <w:t>广西政府采购云平台</w:t>
      </w:r>
      <w:r>
        <w:rPr>
          <w:rFonts w:ascii="宋体" w:hAnsi="宋体" w:cs="宋体"/>
          <w:b/>
          <w:bCs/>
          <w:color w:val="000000"/>
          <w:szCs w:val="21"/>
          <w:highlight w:val="none"/>
        </w:rPr>
        <w:t>”下载。</w:t>
      </w:r>
    </w:p>
    <w:p w14:paraId="3EEF2414">
      <w:pPr>
        <w:tabs>
          <w:tab w:val="left" w:pos="2190"/>
        </w:tabs>
        <w:spacing w:line="400" w:lineRule="exact"/>
        <w:ind w:firstLine="435"/>
        <w:rPr>
          <w:rFonts w:ascii="宋体" w:hAnsi="宋体" w:cs="宋体"/>
          <w:b/>
          <w:color w:val="000000"/>
          <w:szCs w:val="21"/>
          <w:highlight w:val="none"/>
        </w:rPr>
      </w:pPr>
      <w:r>
        <w:rPr>
          <w:rFonts w:hint="eastAsia" w:ascii="宋体" w:hAnsi="宋体" w:cs="宋体"/>
          <w:b/>
          <w:bCs/>
          <w:color w:val="000000"/>
          <w:szCs w:val="21"/>
          <w:highlight w:val="none"/>
        </w:rPr>
        <w:t>13.2</w:t>
      </w:r>
      <w:r>
        <w:rPr>
          <w:rFonts w:hint="eastAsia" w:ascii="宋体" w:hAnsi="宋体" w:cs="宋体"/>
          <w:b/>
          <w:color w:val="000000"/>
          <w:szCs w:val="21"/>
          <w:highlight w:val="none"/>
        </w:rPr>
        <w:t>投标文件组成【格式见第六章“投标文件（格式）”】</w:t>
      </w:r>
    </w:p>
    <w:p w14:paraId="7A195FF8">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13.2.1资格性响应证明材料：</w:t>
      </w:r>
    </w:p>
    <w:p w14:paraId="605CFB29">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（1）投标人相应的法定代表人、负责人、自然人身份证正反面</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r>
        <w:rPr>
          <w:rFonts w:hint="eastAsia" w:ascii="宋体" w:hAnsi="宋体" w:cs="宋体"/>
          <w:color w:val="000000"/>
          <w:szCs w:val="21"/>
          <w:highlight w:val="none"/>
        </w:rPr>
        <w:t>；</w:t>
      </w:r>
    </w:p>
    <w:p w14:paraId="0C92D31B">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（2）投标人的授权委托书原件、委托代理人身份证正反面</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以及由县级以上（含县级）社会养老保险经办机构出具的投标人为委托代理人交纳的开标截止时间前</w:t>
      </w:r>
      <w:r>
        <w:rPr>
          <w:rFonts w:hint="eastAsia" w:ascii="宋体" w:hAnsi="宋体" w:cs="宋体"/>
          <w:color w:val="000000"/>
          <w:szCs w:val="21"/>
          <w:highlight w:val="none"/>
          <w:lang w:eastAsia="zh-CN"/>
        </w:rPr>
        <w:t>三个月内任意一个月</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，除投标人为以下</w:t>
      </w:r>
      <w:r>
        <w:rPr>
          <w:rFonts w:hint="eastAsia" w:ascii="宋体" w:hAnsi="宋体" w:cs="宋体"/>
          <w:color w:val="000000"/>
          <w:szCs w:val="21"/>
          <w:highlight w:val="none"/>
          <w:lang w:val="en-US" w:eastAsia="zh-CN"/>
        </w:rPr>
        <w:t>四</w:t>
      </w:r>
      <w:r>
        <w:rPr>
          <w:rFonts w:hint="eastAsia" w:ascii="宋体" w:hAnsi="宋体" w:cs="宋体"/>
          <w:color w:val="000000"/>
          <w:szCs w:val="21"/>
          <w:highlight w:val="none"/>
        </w:rPr>
        <w:t>种情形的：</w:t>
      </w:r>
    </w:p>
    <w:p w14:paraId="4C60D2E8">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①如投标人为截标时间前60日以内成立的公司，可以提供投标人与委托代理人签订的劳动合同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38646F36">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②如投标人为事业单位，可以提供事业单位机构编制管理证</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或事业单位机构为其发放工资的工资条</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5B21139B">
      <w:pPr>
        <w:spacing w:line="400" w:lineRule="exact"/>
        <w:ind w:firstLine="411"/>
        <w:rPr>
          <w:rFonts w:hint="eastAsia" w:ascii="宋体" w:hAnsi="宋体" w:cs="宋体"/>
          <w:color w:val="000000"/>
          <w:szCs w:val="21"/>
          <w:highlight w:val="none"/>
        </w:rPr>
      </w:pPr>
      <w:r>
        <w:rPr>
          <w:rFonts w:hint="eastAsia" w:ascii="宋体" w:hAnsi="宋体" w:cs="宋体"/>
          <w:color w:val="000000"/>
          <w:szCs w:val="21"/>
          <w:highlight w:val="none"/>
        </w:rPr>
        <w:t>③如委托代理人为免缴纳社保人员，提供免缴纳社保的证明材料</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及投标人与委托代理人签订的劳动合同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3071A3A4">
      <w:pPr>
        <w:pStyle w:val="39"/>
        <w:ind w:firstLine="420"/>
      </w:pPr>
      <w:r>
        <w:rPr>
          <w:rFonts w:hint="eastAsia" w:ascii="宋体" w:hAnsi="宋体" w:eastAsia="宋体" w:cs="宋体"/>
          <w:sz w:val="21"/>
          <w:szCs w:val="21"/>
          <w:lang w:val="en-US" w:eastAsia="zh-CN" w:bidi="ar-SA"/>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12343138">
      <w:pPr>
        <w:spacing w:line="400" w:lineRule="exact"/>
        <w:ind w:firstLine="413"/>
        <w:rPr>
          <w:rFonts w:ascii="宋体" w:hAnsi="宋体" w:cs="宋体"/>
          <w:color w:val="000000"/>
          <w:szCs w:val="21"/>
          <w:highlight w:val="none"/>
        </w:rPr>
      </w:pPr>
      <w:r>
        <w:rPr>
          <w:rFonts w:hint="eastAsia" w:ascii="宋体" w:hAnsi="宋体" w:cs="宋体"/>
          <w:b/>
          <w:bCs/>
          <w:color w:val="000000"/>
          <w:szCs w:val="21"/>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Cs w:val="21"/>
          <w:highlight w:val="none"/>
          <w:lang w:eastAsia="zh-CN"/>
        </w:rPr>
        <w:t>三个月内任意一个月</w:t>
      </w:r>
      <w:r>
        <w:rPr>
          <w:rFonts w:hint="eastAsia" w:ascii="宋体" w:hAnsi="宋体" w:cs="宋体"/>
          <w:b/>
          <w:bCs/>
          <w:color w:val="000000"/>
          <w:szCs w:val="21"/>
          <w:highlight w:val="none"/>
          <w:lang w:val="en-US" w:eastAsia="zh-CN"/>
        </w:rPr>
        <w:t>养老保险</w:t>
      </w:r>
      <w:r>
        <w:rPr>
          <w:rFonts w:hint="eastAsia" w:ascii="宋体" w:hAnsi="宋体" w:cs="宋体"/>
          <w:b/>
          <w:bCs/>
          <w:color w:val="000000"/>
          <w:szCs w:val="21"/>
          <w:highlight w:val="none"/>
        </w:rPr>
        <w:t>证明</w:t>
      </w:r>
      <w:r>
        <w:rPr>
          <w:rFonts w:hint="eastAsia" w:ascii="宋体" w:hAnsi="宋体" w:cs="宋体"/>
          <w:b/>
          <w:bCs/>
          <w:color w:val="000000"/>
          <w:szCs w:val="21"/>
          <w:highlight w:val="none"/>
          <w:lang w:eastAsia="zh-CN"/>
        </w:rPr>
        <w:t>扫描件</w:t>
      </w:r>
      <w:r>
        <w:rPr>
          <w:rFonts w:hint="eastAsia" w:ascii="宋体" w:hAnsi="宋体" w:cs="宋体"/>
          <w:b/>
          <w:bCs/>
          <w:szCs w:val="21"/>
          <w:lang w:eastAsia="zh-CN"/>
        </w:rPr>
        <w:t>。</w:t>
      </w:r>
      <w:r>
        <w:rPr>
          <w:rFonts w:hint="eastAsia" w:ascii="宋体" w:hAnsi="宋体" w:cs="宋体"/>
          <w:b/>
          <w:bCs/>
          <w:szCs w:val="21"/>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Cs w:val="21"/>
          <w:highlight w:val="none"/>
        </w:rPr>
        <w:t>】</w:t>
      </w:r>
      <w:r>
        <w:rPr>
          <w:rFonts w:hint="eastAsia" w:ascii="宋体" w:hAnsi="宋体" w:cs="宋体"/>
          <w:b/>
          <w:color w:val="000000"/>
          <w:szCs w:val="21"/>
          <w:highlight w:val="none"/>
        </w:rPr>
        <w:t>（委托代理时必须提供；</w:t>
      </w:r>
      <w:r>
        <w:rPr>
          <w:rFonts w:hint="eastAsia" w:ascii="宋体" w:hAnsi="宋体" w:cs="宋体"/>
          <w:b/>
          <w:bCs/>
          <w:color w:val="000000"/>
          <w:szCs w:val="21"/>
          <w:highlight w:val="none"/>
        </w:rPr>
        <w:t>如为联合体的，授权委托书原件须由牵头人出具</w:t>
      </w:r>
      <w:r>
        <w:rPr>
          <w:rFonts w:hint="eastAsia" w:ascii="宋体" w:hAnsi="宋体" w:cs="宋体"/>
          <w:b/>
          <w:color w:val="000000"/>
          <w:szCs w:val="21"/>
          <w:highlight w:val="none"/>
        </w:rPr>
        <w:t>）；</w:t>
      </w:r>
    </w:p>
    <w:p w14:paraId="3E3683FD">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（3）投标人的法人或者其他组织营业执照等证明文件</w:t>
      </w:r>
      <w:r>
        <w:rPr>
          <w:rFonts w:hint="eastAsia" w:ascii="宋体" w:hAnsi="宋体" w:cs="宋体"/>
          <w:color w:val="000000"/>
          <w:szCs w:val="21"/>
          <w:highlight w:val="none"/>
          <w:lang w:eastAsia="zh-CN"/>
        </w:rPr>
        <w:t>扫描件</w:t>
      </w:r>
      <w:r>
        <w:rPr>
          <w:rFonts w:hint="eastAsia" w:ascii="宋体" w:hAnsi="宋体" w:cs="宋体"/>
          <w:b/>
          <w:color w:val="000000"/>
          <w:szCs w:val="21"/>
          <w:highlight w:val="none"/>
        </w:rPr>
        <w:t>（必须提供，自然人除外）</w:t>
      </w:r>
      <w:r>
        <w:rPr>
          <w:rFonts w:hint="eastAsia" w:ascii="宋体" w:hAnsi="宋体" w:cs="宋体"/>
          <w:color w:val="000000"/>
          <w:szCs w:val="21"/>
          <w:highlight w:val="none"/>
        </w:rPr>
        <w:t>；</w:t>
      </w:r>
    </w:p>
    <w:p w14:paraId="00A0F5FA">
      <w:pPr>
        <w:tabs>
          <w:tab w:val="left" w:pos="1305"/>
        </w:tabs>
        <w:spacing w:line="400" w:lineRule="exact"/>
        <w:ind w:firstLine="422"/>
        <w:rPr>
          <w:rFonts w:ascii="宋体" w:hAnsi="宋体" w:cs="宋体"/>
          <w:color w:val="000000"/>
          <w:szCs w:val="21"/>
          <w:highlight w:val="none"/>
          <w:u w:val="single"/>
        </w:rPr>
      </w:pPr>
      <w:r>
        <w:rPr>
          <w:rFonts w:hint="eastAsia" w:ascii="宋体" w:hAnsi="宋体" w:cs="宋体"/>
          <w:b/>
          <w:color w:val="000000"/>
          <w:szCs w:val="21"/>
          <w:highlight w:val="none"/>
          <w:u w:val="single"/>
        </w:rPr>
        <w:t>注：供应商为企业（包括合伙企业），应提供</w:t>
      </w:r>
      <w:r>
        <w:rPr>
          <w:rFonts w:hint="eastAsia" w:ascii="宋体" w:hAnsi="宋体" w:cs="宋体"/>
          <w:b/>
          <w:color w:val="000000"/>
          <w:szCs w:val="21"/>
          <w:highlight w:val="none"/>
          <w:u w:val="single"/>
          <w:lang w:eastAsia="zh-CN"/>
        </w:rPr>
        <w:t>市场监管部门（登记机关）</w:t>
      </w:r>
      <w:r>
        <w:rPr>
          <w:rFonts w:hint="eastAsia" w:ascii="宋体" w:hAnsi="宋体" w:cs="宋体"/>
          <w:b/>
          <w:color w:val="000000"/>
          <w:szCs w:val="21"/>
          <w:highlight w:val="none"/>
          <w:u w:val="singl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cs="宋体"/>
          <w:b/>
          <w:color w:val="000000"/>
          <w:szCs w:val="21"/>
          <w:highlight w:val="none"/>
          <w:u w:val="single"/>
          <w:lang w:eastAsia="zh-CN"/>
        </w:rPr>
        <w:t>扫描件</w:t>
      </w:r>
      <w:r>
        <w:rPr>
          <w:rFonts w:hint="eastAsia" w:ascii="宋体" w:hAnsi="宋体" w:cs="宋体"/>
          <w:b/>
          <w:color w:val="000000"/>
          <w:szCs w:val="21"/>
          <w:highlight w:val="none"/>
          <w:u w:val="single"/>
        </w:rPr>
        <w:t>）</w:t>
      </w:r>
    </w:p>
    <w:p w14:paraId="6D0F8DE9">
      <w:pPr>
        <w:numPr>
          <w:ilvl w:val="0"/>
          <w:numId w:val="0"/>
        </w:numPr>
        <w:spacing w:line="400" w:lineRule="exact"/>
        <w:ind w:left="9" w:firstLine="411"/>
        <w:rPr>
          <w:rFonts w:ascii="宋体" w:hAnsi="宋体" w:cs="宋体"/>
          <w:color w:val="000000"/>
          <w:szCs w:val="21"/>
          <w:highlight w:val="none"/>
        </w:rPr>
      </w:pPr>
      <w:r>
        <w:rPr>
          <w:rFonts w:ascii="宋体" w:hAnsi="宋体" w:cs="宋体"/>
          <w:color w:val="000000"/>
          <w:sz w:val="21"/>
          <w:szCs w:val="21"/>
          <w:lang w:val="en-US" w:eastAsia="zh-CN" w:bidi="ar-SA"/>
        </w:rPr>
        <w:t>（4）</w:t>
      </w:r>
      <w:r>
        <w:rPr>
          <w:rFonts w:hint="eastAsia" w:ascii="宋体" w:hAnsi="宋体" w:cs="宋体"/>
          <w:color w:val="000000"/>
          <w:szCs w:val="21"/>
          <w:highlight w:val="none"/>
        </w:rPr>
        <w:t>财务状况报告</w:t>
      </w:r>
      <w:r>
        <w:rPr>
          <w:rFonts w:hint="eastAsia" w:ascii="宋体" w:hAnsi="宋体" w:cs="宋体"/>
          <w:b/>
          <w:bCs/>
          <w:szCs w:val="21"/>
          <w:lang w:eastAsia="zh-CN"/>
        </w:rPr>
        <w:t>（格式自拟，必须提供）</w:t>
      </w:r>
      <w:r>
        <w:rPr>
          <w:rFonts w:hint="eastAsia" w:ascii="宋体" w:hAnsi="宋体" w:cs="宋体"/>
          <w:b/>
          <w:bCs/>
          <w:color w:val="000000"/>
          <w:szCs w:val="21"/>
          <w:highlight w:val="none"/>
        </w:rPr>
        <w:t>；</w:t>
      </w:r>
    </w:p>
    <w:p w14:paraId="4D29382F">
      <w:pPr>
        <w:numPr>
          <w:ilvl w:val="0"/>
          <w:numId w:val="0"/>
        </w:numPr>
        <w:spacing w:line="400" w:lineRule="exact"/>
        <w:ind w:left="9" w:firstLine="411"/>
        <w:rPr>
          <w:rFonts w:hint="eastAsia" w:ascii="宋体" w:hAnsi="宋体" w:cs="宋体"/>
          <w:color w:val="000000"/>
          <w:szCs w:val="21"/>
          <w:highlight w:val="none"/>
        </w:rPr>
      </w:pPr>
      <w:r>
        <w:rPr>
          <w:rFonts w:ascii="宋体" w:hAnsi="宋体" w:cs="宋体"/>
          <w:color w:val="000000"/>
          <w:sz w:val="21"/>
          <w:szCs w:val="21"/>
          <w:lang w:val="en-US" w:eastAsia="zh-CN" w:bidi="ar-SA"/>
        </w:rPr>
        <w:t>（5）</w:t>
      </w:r>
      <w:r>
        <w:rPr>
          <w:rFonts w:hint="eastAsia" w:ascii="宋体" w:hAnsi="宋体" w:cs="宋体"/>
          <w:color w:val="000000"/>
          <w:szCs w:val="21"/>
          <w:highlight w:val="none"/>
          <w:lang w:eastAsia="zh-CN"/>
        </w:rPr>
        <w:t>投标人参加政府采购活动前3年内在经营活动中没有重大违法记录及有关信用信息的书面声明或专项信用报告</w:t>
      </w:r>
      <w:r>
        <w:rPr>
          <w:rFonts w:hint="eastAsia" w:ascii="宋体" w:hAnsi="宋体" w:cs="宋体"/>
          <w:b/>
          <w:color w:val="000000"/>
          <w:szCs w:val="21"/>
          <w:highlight w:val="none"/>
        </w:rPr>
        <w:t>（必须提供）</w:t>
      </w:r>
      <w:r>
        <w:rPr>
          <w:rFonts w:hint="eastAsia" w:ascii="宋体" w:hAnsi="宋体" w:cs="宋体"/>
          <w:color w:val="000000"/>
          <w:szCs w:val="21"/>
          <w:highlight w:val="none"/>
        </w:rPr>
        <w:t>；</w:t>
      </w:r>
    </w:p>
    <w:p w14:paraId="7A1DB4A1">
      <w:pPr>
        <w:pStyle w:val="39"/>
        <w:rPr>
          <w:rFonts w:eastAsia="宋体"/>
          <w:lang w:val="en-US" w:eastAsia="zh-CN"/>
        </w:rPr>
      </w:pPr>
      <w:r>
        <w:rPr>
          <w:rFonts w:hint="eastAsia" w:ascii="宋体" w:hAnsi="宋体" w:eastAsia="宋体" w:cs="宋体"/>
          <w:b/>
          <w:color w:val="000000"/>
          <w:sz w:val="21"/>
          <w:szCs w:val="21"/>
          <w:highlight w:val="none"/>
          <w:u w:val="single"/>
          <w:lang w:val="en-US" w:eastAsia="zh-CN" w:bidi="ar-SA"/>
        </w:rPr>
        <w:t>注：供应商为广西经营主体的，可通过信用中国(广西)网站(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p>
    <w:p w14:paraId="52EA390D">
      <w:pPr>
        <w:numPr>
          <w:ilvl w:val="0"/>
          <w:numId w:val="0"/>
        </w:numPr>
        <w:spacing w:line="400" w:lineRule="exact"/>
        <w:ind w:left="9" w:firstLine="411"/>
        <w:rPr>
          <w:color w:val="000000"/>
          <w:highlight w:val="none"/>
        </w:rPr>
      </w:pPr>
      <w:r>
        <w:rPr>
          <w:rFonts w:hint="eastAsia" w:ascii="宋体" w:hAnsi="宋体" w:eastAsia="宋体" w:cs="宋体"/>
          <w:color w:val="000000"/>
          <w:sz w:val="21"/>
          <w:szCs w:val="21"/>
          <w:lang w:val="en-US" w:eastAsia="zh-CN" w:bidi="ar-SA"/>
        </w:rPr>
        <w:t>（6）投标人开标截标日期前近半年内任意</w:t>
      </w:r>
      <w:r>
        <w:rPr>
          <w:rFonts w:hint="eastAsia" w:ascii="宋体" w:hAnsi="宋体" w:eastAsia="宋体" w:cs="宋体"/>
          <w:color w:val="000000"/>
          <w:szCs w:val="21"/>
          <w:highlight w:val="none"/>
        </w:rPr>
        <w:t>一个月或任一季度依法缴纳税收的证明材料【增值税发票(税收完税证明)或企业所得税完税证明或税</w:t>
      </w:r>
      <w:r>
        <w:rPr>
          <w:rFonts w:hint="eastAsia" w:ascii="宋体" w:hAnsi="宋体" w:cs="宋体"/>
          <w:color w:val="000000"/>
          <w:szCs w:val="21"/>
          <w:highlight w:val="none"/>
        </w:rPr>
        <w:t>务部门出具的免税证明</w:t>
      </w:r>
      <w:r>
        <w:rPr>
          <w:rFonts w:hint="eastAsia" w:ascii="宋体" w:hAnsi="宋体" w:cs="宋体"/>
          <w:szCs w:val="21"/>
          <w:lang w:eastAsia="zh-CN"/>
        </w:rPr>
        <w:t>或税务部门出具的无欠税证明</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r>
        <w:rPr>
          <w:rFonts w:hint="eastAsia" w:ascii="宋体" w:hAnsi="宋体" w:cs="宋体"/>
          <w:color w:val="000000"/>
          <w:sz w:val="21"/>
          <w:szCs w:val="21"/>
          <w:highlight w:val="none"/>
          <w:lang w:eastAsia="zh-CN"/>
        </w:rPr>
        <w:t>；</w:t>
      </w:r>
    </w:p>
    <w:p w14:paraId="13CE62F1">
      <w:pPr>
        <w:tabs>
          <w:tab w:val="left" w:pos="1305"/>
        </w:tabs>
        <w:spacing w:line="360" w:lineRule="auto"/>
        <w:ind w:firstLine="422"/>
        <w:rPr>
          <w:rFonts w:hint="eastAsia" w:ascii="宋体" w:hAnsi="宋体" w:cs="宋体"/>
          <w:b/>
          <w:color w:val="000000"/>
          <w:szCs w:val="21"/>
          <w:highlight w:val="none"/>
        </w:rPr>
      </w:pPr>
      <w:r>
        <w:rPr>
          <w:rFonts w:hint="eastAsia" w:ascii="宋体" w:hAnsi="宋体" w:cs="宋体"/>
          <w:b/>
          <w:bCs/>
          <w:color w:val="000000"/>
          <w:szCs w:val="21"/>
          <w:highlight w:val="none"/>
        </w:rPr>
        <w:t>13.2.2</w:t>
      </w:r>
      <w:r>
        <w:rPr>
          <w:rFonts w:hint="eastAsia" w:ascii="宋体" w:hAnsi="宋体" w:cs="宋体"/>
          <w:b/>
          <w:color w:val="000000"/>
          <w:szCs w:val="21"/>
          <w:highlight w:val="none"/>
        </w:rPr>
        <w:t>商务、技术性响应及其他证明材料：</w:t>
      </w:r>
    </w:p>
    <w:p w14:paraId="5E456437">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（1）</w:t>
      </w:r>
      <w:r>
        <w:rPr>
          <w:rFonts w:hint="eastAsia" w:ascii="宋体" w:hAnsi="宋体" w:eastAsia="宋体" w:cs="宋体"/>
          <w:color w:val="000000"/>
          <w:szCs w:val="21"/>
          <w:highlight w:val="none"/>
          <w:lang w:val="en-US" w:eastAsia="zh-CN"/>
        </w:rPr>
        <w:t>投标报价表</w:t>
      </w:r>
      <w:r>
        <w:rPr>
          <w:rFonts w:hint="eastAsia" w:ascii="宋体" w:hAnsi="宋体" w:eastAsia="宋体" w:cs="宋体"/>
          <w:color w:val="000000"/>
          <w:szCs w:val="21"/>
          <w:highlight w:val="none"/>
        </w:rPr>
        <w:t>（格式见附件）</w:t>
      </w:r>
      <w:r>
        <w:rPr>
          <w:rFonts w:hint="eastAsia" w:ascii="宋体" w:hAnsi="宋体" w:eastAsia="宋体" w:cs="宋体"/>
          <w:b/>
          <w:bCs/>
          <w:color w:val="000000"/>
          <w:szCs w:val="21"/>
          <w:highlight w:val="none"/>
        </w:rPr>
        <w:t>（必须提供）</w:t>
      </w:r>
      <w:r>
        <w:rPr>
          <w:rFonts w:hint="eastAsia" w:ascii="宋体" w:hAnsi="宋体" w:eastAsia="宋体" w:cs="宋体"/>
          <w:b/>
          <w:bCs/>
          <w:color w:val="000000"/>
          <w:szCs w:val="21"/>
          <w:highlight w:val="none"/>
          <w:lang w:eastAsia="zh-CN"/>
        </w:rPr>
        <w:t>；</w:t>
      </w:r>
    </w:p>
    <w:p w14:paraId="0C58DD14">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（2）</w:t>
      </w:r>
      <w:r>
        <w:rPr>
          <w:rFonts w:hint="eastAsia" w:ascii="宋体" w:hAnsi="宋体" w:eastAsia="宋体" w:cs="宋体"/>
          <w:color w:val="000000"/>
          <w:szCs w:val="21"/>
          <w:highlight w:val="none"/>
          <w:lang w:eastAsia="zh-CN"/>
        </w:rPr>
        <w:t>服务响应表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7AD989BD">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（3）</w:t>
      </w:r>
      <w:r>
        <w:rPr>
          <w:rFonts w:hint="eastAsia" w:ascii="宋体" w:hAnsi="宋体" w:eastAsia="宋体" w:cs="宋体"/>
          <w:color w:val="000000"/>
          <w:szCs w:val="21"/>
          <w:highlight w:val="none"/>
        </w:rPr>
        <w:t>商务响应表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bCs/>
          <w:color w:val="000000"/>
          <w:szCs w:val="21"/>
          <w:highlight w:val="none"/>
        </w:rPr>
        <w:t>；</w:t>
      </w:r>
    </w:p>
    <w:p w14:paraId="032A1922">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ascii="宋体" w:hAnsi="宋体" w:eastAsia="宋体" w:cs="宋体"/>
          <w:b w:val="0"/>
          <w:bCs w:val="0"/>
          <w:color w:val="000000"/>
          <w:sz w:val="21"/>
          <w:szCs w:val="21"/>
          <w:lang w:val="en-US" w:eastAsia="zh-CN" w:bidi="ar-SA"/>
        </w:rPr>
        <w:t>（4）</w:t>
      </w:r>
      <w:r>
        <w:rPr>
          <w:rFonts w:hint="eastAsia" w:ascii="宋体" w:hAnsi="宋体" w:eastAsia="宋体" w:cs="宋体"/>
          <w:color w:val="000000"/>
          <w:szCs w:val="21"/>
          <w:highlight w:val="none"/>
        </w:rPr>
        <w:t>“采购需求”需提供的有效证明文件</w:t>
      </w:r>
      <w:r>
        <w:rPr>
          <w:rFonts w:hint="eastAsia" w:ascii="宋体" w:hAnsi="宋体" w:eastAsia="宋体" w:cs="宋体"/>
          <w:b/>
          <w:color w:val="000000"/>
          <w:szCs w:val="21"/>
          <w:highlight w:val="none"/>
        </w:rPr>
        <w:t>（按其要求提供）</w:t>
      </w:r>
      <w:r>
        <w:rPr>
          <w:rFonts w:hint="eastAsia" w:ascii="宋体" w:hAnsi="宋体" w:eastAsia="宋体" w:cs="宋体"/>
          <w:color w:val="000000"/>
          <w:szCs w:val="21"/>
          <w:highlight w:val="none"/>
        </w:rPr>
        <w:t>；</w:t>
      </w:r>
    </w:p>
    <w:p w14:paraId="76740109">
      <w:pPr>
        <w:numPr>
          <w:ilvl w:val="0"/>
          <w:numId w:val="0"/>
        </w:numPr>
        <w:tabs>
          <w:tab w:val="left" w:pos="1305"/>
        </w:tabs>
        <w:spacing w:line="400" w:lineRule="exact"/>
        <w:ind w:firstLine="420"/>
        <w:rPr>
          <w:rFonts w:hint="eastAsia" w:ascii="宋体" w:hAnsi="宋体" w:eastAsia="宋体" w:cs="宋体"/>
          <w:color w:val="000000"/>
          <w:highlight w:val="none"/>
        </w:rPr>
      </w:pPr>
      <w:r>
        <w:rPr>
          <w:rFonts w:ascii="宋体" w:hAnsi="宋体" w:eastAsia="宋体" w:cs="宋体"/>
          <w:b w:val="0"/>
          <w:bCs w:val="0"/>
          <w:color w:val="000000"/>
          <w:sz w:val="21"/>
          <w:szCs w:val="24"/>
          <w:lang w:val="en-US" w:eastAsia="zh-CN" w:bidi="ar-SA"/>
        </w:rPr>
        <w:t>（5）</w:t>
      </w:r>
      <w:r>
        <w:rPr>
          <w:rFonts w:hint="eastAsia" w:ascii="宋体" w:hAnsi="宋体" w:eastAsia="宋体" w:cs="宋体"/>
          <w:color w:val="000000"/>
          <w:szCs w:val="21"/>
          <w:highlight w:val="none"/>
          <w:lang w:eastAsia="zh-CN"/>
        </w:rPr>
        <w:t>服务承诺书（由供应商根据本项目采购需求、特点及供应商自身的处理能力自行编写）</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5D1206F7">
      <w:pPr>
        <w:tabs>
          <w:tab w:val="left" w:pos="1305"/>
        </w:tabs>
        <w:spacing w:line="400" w:lineRule="exact"/>
        <w:ind w:firstLine="42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eastAsia="zh-CN"/>
        </w:rPr>
        <w:t>针对本项目的服务方案</w:t>
      </w:r>
      <w:r>
        <w:rPr>
          <w:rFonts w:hint="eastAsia" w:ascii="宋体" w:hAnsi="宋体" w:eastAsia="宋体" w:cs="宋体"/>
          <w:b/>
          <w:bCs/>
          <w:color w:val="000000"/>
          <w:szCs w:val="21"/>
          <w:highlight w:val="none"/>
        </w:rPr>
        <w:t>（</w:t>
      </w:r>
      <w:r>
        <w:rPr>
          <w:rFonts w:hint="eastAsia" w:ascii="宋体" w:hAnsi="宋体" w:eastAsia="宋体" w:cs="宋体"/>
          <w:b/>
          <w:color w:val="000000"/>
          <w:szCs w:val="21"/>
          <w:highlight w:val="none"/>
        </w:rPr>
        <w:t>必须提供</w:t>
      </w:r>
      <w:r>
        <w:rPr>
          <w:rFonts w:hint="eastAsia" w:ascii="宋体" w:hAnsi="宋体" w:eastAsia="宋体" w:cs="宋体"/>
          <w:b/>
          <w:bCs/>
          <w:color w:val="000000"/>
          <w:szCs w:val="21"/>
          <w:highlight w:val="none"/>
        </w:rPr>
        <w:t>）</w:t>
      </w:r>
      <w:r>
        <w:rPr>
          <w:rFonts w:hint="eastAsia" w:ascii="宋体" w:hAnsi="宋体" w:eastAsia="宋体" w:cs="宋体"/>
          <w:b/>
          <w:bCs/>
          <w:color w:val="000000"/>
          <w:szCs w:val="21"/>
          <w:highlight w:val="none"/>
          <w:lang w:eastAsia="zh-CN"/>
        </w:rPr>
        <w:t>；</w:t>
      </w:r>
    </w:p>
    <w:p w14:paraId="2786C1FE">
      <w:pPr>
        <w:numPr>
          <w:ilvl w:val="0"/>
          <w:numId w:val="0"/>
        </w:numPr>
        <w:tabs>
          <w:tab w:val="left" w:pos="1305"/>
        </w:tabs>
        <w:spacing w:line="400" w:lineRule="exact"/>
        <w:ind w:firstLine="42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自</w:t>
      </w:r>
      <w:r>
        <w:rPr>
          <w:rFonts w:hint="eastAsia" w:ascii="宋体" w:hAnsi="宋体" w:eastAsia="宋体" w:cs="宋体"/>
          <w:color w:val="000000"/>
          <w:szCs w:val="21"/>
          <w:highlight w:val="none"/>
          <w:lang w:val="en-US" w:eastAsia="zh-CN"/>
        </w:rPr>
        <w:t>202</w:t>
      </w: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lang w:val="en-US" w:eastAsia="zh-CN"/>
        </w:rPr>
        <w:t>年1月1日以来</w:t>
      </w:r>
      <w:r>
        <w:rPr>
          <w:rFonts w:hint="eastAsia" w:ascii="宋体" w:hAnsi="宋体" w:eastAsia="宋体" w:cs="宋体"/>
          <w:color w:val="000000"/>
          <w:highlight w:val="none"/>
          <w:lang w:eastAsia="zh-CN"/>
        </w:rPr>
        <w:t>同类业绩</w:t>
      </w:r>
      <w:r>
        <w:rPr>
          <w:rFonts w:hint="eastAsia" w:ascii="宋体" w:hAnsi="宋体" w:eastAsia="宋体" w:cs="宋体"/>
          <w:color w:val="000000"/>
          <w:highlight w:val="none"/>
        </w:rPr>
        <w:t>的相关证明材料</w:t>
      </w:r>
      <w:r>
        <w:rPr>
          <w:rFonts w:hint="eastAsia" w:ascii="宋体" w:hAnsi="宋体" w:eastAsia="宋体" w:cs="宋体"/>
          <w:color w:val="000000"/>
          <w:szCs w:val="21"/>
          <w:highlight w:val="none"/>
        </w:rPr>
        <w:t>（以中标、成交通知书或签订的采购合同</w:t>
      </w:r>
      <w:r>
        <w:rPr>
          <w:rFonts w:hint="eastAsia" w:ascii="宋体" w:hAnsi="宋体" w:eastAsia="宋体" w:cs="宋体"/>
          <w:color w:val="000000"/>
          <w:szCs w:val="21"/>
          <w:highlight w:val="none"/>
          <w:lang w:eastAsia="zh-CN"/>
        </w:rPr>
        <w:t>扫描件</w:t>
      </w:r>
      <w:r>
        <w:rPr>
          <w:rFonts w:hint="eastAsia" w:ascii="宋体" w:hAnsi="宋体" w:eastAsia="宋体" w:cs="宋体"/>
          <w:color w:val="000000"/>
          <w:szCs w:val="21"/>
          <w:highlight w:val="none"/>
        </w:rPr>
        <w:t>为准，并能清晰反映所</w:t>
      </w:r>
      <w:r>
        <w:rPr>
          <w:rFonts w:hint="eastAsia" w:ascii="宋体" w:hAnsi="宋体" w:eastAsia="宋体" w:cs="宋体"/>
          <w:color w:val="000000"/>
          <w:szCs w:val="21"/>
          <w:highlight w:val="none"/>
          <w:lang w:val="en-US" w:eastAsia="zh-CN"/>
        </w:rPr>
        <w:t>提供</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val="en-US" w:eastAsia="zh-CN"/>
        </w:rPr>
        <w:t>服务类型</w:t>
      </w:r>
      <w:r>
        <w:rPr>
          <w:rFonts w:hint="eastAsia" w:ascii="宋体" w:hAnsi="宋体" w:eastAsia="宋体" w:cs="宋体"/>
          <w:color w:val="000000"/>
          <w:szCs w:val="21"/>
          <w:highlight w:val="none"/>
        </w:rPr>
        <w:t>、种类、金额</w:t>
      </w:r>
      <w:r>
        <w:rPr>
          <w:rFonts w:hint="eastAsia" w:ascii="宋体" w:hAnsi="宋体" w:eastAsia="宋体" w:cs="宋体"/>
          <w:color w:val="000000"/>
          <w:highlight w:val="none"/>
        </w:rPr>
        <w:t>）</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lang w:val="en-US" w:eastAsia="zh-CN"/>
        </w:rPr>
        <w:t>；</w:t>
      </w:r>
    </w:p>
    <w:p w14:paraId="524F9049">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）项目</w:t>
      </w:r>
      <w:r>
        <w:rPr>
          <w:rFonts w:hint="eastAsia" w:ascii="宋体" w:hAnsi="宋体" w:eastAsia="宋体" w:cs="宋体"/>
          <w:color w:val="000000"/>
          <w:szCs w:val="21"/>
          <w:highlight w:val="none"/>
          <w:lang w:eastAsia="zh-CN"/>
        </w:rPr>
        <w:t>实施</w:t>
      </w:r>
      <w:r>
        <w:rPr>
          <w:rFonts w:hint="eastAsia" w:ascii="宋体" w:hAnsi="宋体" w:eastAsia="宋体" w:cs="宋体"/>
          <w:color w:val="000000"/>
          <w:szCs w:val="21"/>
          <w:highlight w:val="none"/>
        </w:rPr>
        <w:t>人员一览表</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rPr>
        <w:t>；</w:t>
      </w:r>
    </w:p>
    <w:p w14:paraId="4A1A24A1">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投标人相关获奖证书、认证证书等</w:t>
      </w:r>
      <w:r>
        <w:rPr>
          <w:rFonts w:hint="eastAsia" w:ascii="宋体" w:hAnsi="宋体" w:eastAsia="宋体" w:cs="宋体"/>
          <w:color w:val="000000"/>
          <w:szCs w:val="21"/>
          <w:highlight w:val="none"/>
          <w:lang w:eastAsia="zh-CN"/>
        </w:rPr>
        <w:t>扫描件</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013EB736">
      <w:pPr>
        <w:tabs>
          <w:tab w:val="left" w:pos="1305"/>
        </w:tabs>
        <w:spacing w:line="400" w:lineRule="exact"/>
        <w:ind w:firstLine="420"/>
        <w:rPr>
          <w:rFonts w:hint="eastAsia" w:ascii="宋体" w:hAnsi="宋体" w:cs="宋体"/>
          <w:color w:val="000000"/>
        </w:rPr>
      </w:pPr>
      <w:r>
        <w:rPr>
          <w:rFonts w:hint="eastAsia" w:ascii="宋体" w:hAnsi="宋体" w:eastAsia="宋体" w:cs="宋体"/>
          <w:color w:val="000000"/>
          <w:szCs w:val="21"/>
          <w:lang w:val="en-US" w:eastAsia="zh-CN"/>
        </w:rPr>
        <w:t>（10</w:t>
      </w:r>
      <w:r>
        <w:rPr>
          <w:rFonts w:hint="eastAsia" w:ascii="宋体" w:hAnsi="宋体" w:eastAsia="宋体" w:cs="宋体"/>
          <w:color w:val="000000"/>
          <w:szCs w:val="21"/>
          <w:lang w:eastAsia="zh-CN"/>
        </w:rPr>
        <w:t>）</w:t>
      </w:r>
      <w:r>
        <w:rPr>
          <w:rFonts w:hint="eastAsia" w:ascii="宋体" w:hAnsi="宋体" w:cs="宋体"/>
          <w:color w:val="000000"/>
        </w:rPr>
        <w:t>如所提供服务的</w:t>
      </w:r>
      <w:r>
        <w:rPr>
          <w:rFonts w:hint="eastAsia" w:ascii="宋体" w:hAnsi="宋体" w:cs="宋体"/>
          <w:color w:val="000000"/>
          <w:szCs w:val="21"/>
        </w:rPr>
        <w:t>供应商</w:t>
      </w:r>
      <w:r>
        <w:rPr>
          <w:rFonts w:hint="eastAsia" w:ascii="宋体" w:hAnsi="宋体" w:cs="宋体"/>
          <w:color w:val="000000"/>
        </w:rPr>
        <w:t>属于小型、微型企业【中小微型企业划分标准按照《国家统计局关于印发&lt;统计上大中小微型企业划分办法〔2017〕&gt;的通知》（国统字〔2017〕213号）执行，具体划分标准见第四章评标办法中附表《统计上大中小微型企业划分标准》】，以提供的《中小企业声明函》（见附件）为准</w:t>
      </w:r>
      <w:r>
        <w:rPr>
          <w:rFonts w:hint="eastAsia" w:ascii="宋体" w:hAnsi="宋体" w:cs="宋体"/>
          <w:b/>
          <w:bCs/>
          <w:color w:val="000000"/>
        </w:rPr>
        <w:t>（如有，请提供）</w:t>
      </w:r>
      <w:r>
        <w:rPr>
          <w:rFonts w:hint="eastAsia" w:ascii="宋体" w:hAnsi="宋体" w:cs="宋体"/>
          <w:color w:val="000000"/>
        </w:rPr>
        <w:t>；</w:t>
      </w:r>
    </w:p>
    <w:p w14:paraId="337CF1E6">
      <w:pPr>
        <w:tabs>
          <w:tab w:val="left" w:pos="1305"/>
        </w:tabs>
        <w:spacing w:line="400" w:lineRule="exact"/>
        <w:ind w:firstLine="420"/>
        <w:rPr>
          <w:rFonts w:hint="eastAsia" w:ascii="宋体" w:hAnsi="宋体" w:cs="宋体"/>
          <w:color w:val="000000"/>
          <w:szCs w:val="21"/>
        </w:rPr>
      </w:pPr>
      <w:r>
        <w:rPr>
          <w:rFonts w:hint="eastAsia" w:ascii="宋体" w:hAnsi="宋体" w:cs="宋体"/>
          <w:color w:val="000000"/>
          <w:lang w:eastAsia="zh-CN"/>
        </w:rPr>
        <w:t>（</w:t>
      </w:r>
      <w:r>
        <w:rPr>
          <w:rFonts w:hint="eastAsia" w:ascii="宋体" w:hAnsi="宋体" w:cs="宋体"/>
          <w:color w:val="000000"/>
          <w:lang w:val="en-US" w:eastAsia="zh-CN"/>
        </w:rPr>
        <w:t>11</w:t>
      </w:r>
      <w:r>
        <w:rPr>
          <w:rFonts w:hint="eastAsia" w:ascii="宋体" w:hAnsi="宋体" w:cs="宋体"/>
          <w:color w:val="000000"/>
          <w:lang w:eastAsia="zh-CN"/>
        </w:rPr>
        <w:t>）</w:t>
      </w:r>
      <w:r>
        <w:rPr>
          <w:rFonts w:hint="eastAsia" w:ascii="宋体" w:hAnsi="宋体" w:cs="宋体"/>
          <w:color w:val="000000"/>
          <w:szCs w:val="21"/>
        </w:rPr>
        <w:t>如提供服务的供应商属于监狱企业的，应当提供由省级以上监狱管理局、戒毒管理局等（含新疆生产建设兵团）出具的属于监狱企业的证明文件</w:t>
      </w:r>
      <w:r>
        <w:rPr>
          <w:rFonts w:hint="eastAsia" w:ascii="宋体" w:hAnsi="宋体" w:cs="宋体"/>
          <w:color w:val="000000"/>
          <w:sz w:val="24"/>
        </w:rPr>
        <w:t>（</w:t>
      </w:r>
      <w:r>
        <w:rPr>
          <w:rFonts w:hint="eastAsia" w:ascii="宋体" w:hAnsi="宋体" w:cs="宋体"/>
          <w:b/>
          <w:color w:val="000000"/>
        </w:rPr>
        <w:t>如有，请提供</w:t>
      </w:r>
      <w:r>
        <w:rPr>
          <w:rFonts w:hint="eastAsia" w:ascii="宋体" w:hAnsi="宋体" w:cs="宋体"/>
          <w:color w:val="000000"/>
          <w:sz w:val="24"/>
        </w:rPr>
        <w:t>）；</w:t>
      </w:r>
    </w:p>
    <w:p w14:paraId="1DA522B3">
      <w:pPr>
        <w:tabs>
          <w:tab w:val="left" w:pos="1305"/>
        </w:tabs>
        <w:spacing w:line="400" w:lineRule="exact"/>
        <w:ind w:firstLine="420"/>
        <w:rPr>
          <w:rFonts w:hint="eastAsia" w:ascii="宋体" w:hAnsi="宋体" w:eastAsia="宋体" w:cs="宋体"/>
          <w:b/>
          <w:bCs/>
          <w:sz w:val="21"/>
        </w:rPr>
      </w:pPr>
      <w:r>
        <w:rPr>
          <w:rFonts w:hint="eastAsia" w:ascii="宋体" w:hAnsi="宋体" w:eastAsia="宋体" w:cs="宋体"/>
          <w:sz w:val="21"/>
          <w:lang w:eastAsia="zh-CN"/>
        </w:rPr>
        <w:t>（</w:t>
      </w:r>
      <w:r>
        <w:rPr>
          <w:rFonts w:hint="eastAsia" w:ascii="宋体" w:hAnsi="宋体" w:eastAsia="宋体" w:cs="宋体"/>
          <w:sz w:val="21"/>
          <w:lang w:val="en-US" w:eastAsia="zh-CN"/>
        </w:rPr>
        <w:t>12</w:t>
      </w:r>
      <w:r>
        <w:rPr>
          <w:rFonts w:hint="eastAsia" w:ascii="宋体" w:hAnsi="宋体" w:eastAsia="宋体" w:cs="宋体"/>
          <w:sz w:val="21"/>
          <w:lang w:eastAsia="zh-CN"/>
        </w:rPr>
        <w:t>）</w:t>
      </w:r>
      <w:r>
        <w:rPr>
          <w:rFonts w:hint="eastAsia" w:ascii="宋体" w:hAnsi="宋体" w:eastAsia="宋体" w:cs="宋体"/>
          <w:sz w:val="21"/>
          <w:szCs w:val="21"/>
        </w:rPr>
        <w:t>符合条件的残疾人福利性单位在参加政府采购活动时，应当提供《残疾人福利性单位声明函》，并对声明的真实性负责</w:t>
      </w:r>
      <w:r>
        <w:rPr>
          <w:rFonts w:hint="eastAsia" w:ascii="宋体" w:hAnsi="宋体" w:eastAsia="宋体" w:cs="宋体"/>
          <w:sz w:val="21"/>
        </w:rPr>
        <w:t>（见附件）</w:t>
      </w:r>
      <w:r>
        <w:rPr>
          <w:rFonts w:hint="eastAsia" w:ascii="宋体" w:hAnsi="宋体" w:eastAsia="宋体" w:cs="宋体"/>
          <w:b/>
          <w:bCs/>
          <w:sz w:val="21"/>
        </w:rPr>
        <w:t>（如有，请提供）</w:t>
      </w:r>
    </w:p>
    <w:p w14:paraId="4AF40CA6">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13</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投标人可结合本项目的评标办法视自身情况自行提交相关证明材料</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50DDE33D">
      <w:pPr>
        <w:spacing w:line="400" w:lineRule="exact"/>
        <w:ind w:firstLine="420"/>
        <w:rPr>
          <w:rFonts w:hint="eastAsia" w:ascii="宋体" w:hAnsi="宋体" w:cs="宋体"/>
          <w:b/>
          <w:bCs/>
          <w:color w:val="000000"/>
          <w:highlight w:val="none"/>
        </w:rPr>
      </w:pPr>
      <w:r>
        <w:rPr>
          <w:rFonts w:hint="eastAsia" w:ascii="宋体" w:hAnsi="宋体" w:cs="宋体"/>
          <w:b/>
          <w:bCs/>
          <w:color w:val="000000"/>
          <w:highlight w:val="none"/>
        </w:rPr>
        <w:t>投标人提供的以上相关证明材料属于“必须提供”的文件应加盖投标人公章（CA签章）/自然人签字或加盖个人CA签章，否则投标无效。</w:t>
      </w:r>
    </w:p>
    <w:p w14:paraId="69F0927B">
      <w:pPr>
        <w:spacing w:line="400" w:lineRule="exact"/>
        <w:ind w:firstLine="420"/>
        <w:rPr>
          <w:rFonts w:ascii="宋体" w:hAnsi="宋体" w:cs="宋体"/>
          <w:color w:val="000000"/>
          <w:highlight w:val="none"/>
        </w:rPr>
      </w:pPr>
      <w:r>
        <w:rPr>
          <w:rFonts w:hint="eastAsia" w:ascii="宋体" w:hAnsi="宋体" w:cs="宋体"/>
          <w:color w:val="000000"/>
          <w:szCs w:val="21"/>
          <w:highlight w:val="none"/>
        </w:rPr>
        <w:t>13.3</w:t>
      </w:r>
      <w:r>
        <w:rPr>
          <w:rFonts w:hint="eastAsia" w:ascii="宋体" w:hAnsi="宋体" w:cs="宋体"/>
          <w:color w:val="000000"/>
          <w:highlight w:val="none"/>
        </w:rPr>
        <w:t>投标人应按招标文件第六章“投标文件（格式）”编制投标文件。</w:t>
      </w:r>
    </w:p>
    <w:p w14:paraId="1E7D6711">
      <w:pPr>
        <w:spacing w:line="400" w:lineRule="exact"/>
        <w:ind w:firstLine="420"/>
        <w:rPr>
          <w:rFonts w:hint="eastAsia" w:ascii="宋体" w:hAnsi="宋体" w:cs="宋体"/>
          <w:color w:val="000000"/>
          <w:highlight w:val="none"/>
        </w:rPr>
      </w:pPr>
      <w:r>
        <w:rPr>
          <w:rFonts w:hint="eastAsia" w:ascii="宋体" w:hAnsi="宋体" w:cs="宋体"/>
          <w:color w:val="000000"/>
          <w:highlight w:val="none"/>
        </w:rPr>
        <w:t>13.4投标文件应当对招标文件提出的要求和条件作出明确响应。</w:t>
      </w:r>
    </w:p>
    <w:p w14:paraId="2E06C55E">
      <w:pPr>
        <w:spacing w:line="400" w:lineRule="exact"/>
        <w:ind w:firstLine="420"/>
        <w:rPr>
          <w:rFonts w:hint="eastAsia" w:ascii="宋体" w:hAnsi="宋体" w:cs="宋体"/>
          <w:b/>
          <w:bCs/>
          <w:color w:val="000000"/>
          <w:highlight w:val="none"/>
        </w:rPr>
      </w:pPr>
      <w:r>
        <w:rPr>
          <w:rFonts w:hint="eastAsia" w:ascii="宋体" w:hAnsi="宋体" w:cs="宋体"/>
          <w:b/>
          <w:bCs/>
          <w:color w:val="000000"/>
          <w:highlight w:val="none"/>
        </w:rPr>
        <w:t>特别说明：</w:t>
      </w:r>
    </w:p>
    <w:p w14:paraId="756C6133">
      <w:pPr>
        <w:tabs>
          <w:tab w:val="left" w:pos="1305"/>
        </w:tabs>
        <w:spacing w:line="400" w:lineRule="exact"/>
        <w:ind w:firstLine="422"/>
        <w:rPr>
          <w:rFonts w:hint="eastAsia" w:ascii="宋体" w:hAnsi="宋体" w:cs="宋体"/>
          <w:b/>
          <w:bCs/>
          <w:color w:val="000000"/>
          <w:szCs w:val="21"/>
          <w:highlight w:val="none"/>
        </w:rPr>
      </w:pPr>
      <w:bookmarkStart w:id="129" w:name="_Toc11037"/>
      <w:r>
        <w:rPr>
          <w:rFonts w:hint="eastAsia" w:ascii="宋体" w:hAnsi="宋体" w:cs="宋体"/>
          <w:b/>
          <w:bCs/>
          <w:color w:val="000000"/>
          <w:szCs w:val="21"/>
          <w:highlight w:val="none"/>
        </w:rPr>
        <w:t>（1）投标文件（电子投标文件），其中电子投标文件中所须加盖公章部分均采用CA签章。若投标文件中有专门标注的某关联点，并要求供应商在电子投标系统中作出投标响应的，如供应商未对关联点进行响应或者在投标文件其它内容中进行描述，造成电子评审不能查询的责任由供应商自行承担。</w:t>
      </w:r>
    </w:p>
    <w:p w14:paraId="51C1DC9C">
      <w:pPr>
        <w:spacing w:line="400" w:lineRule="exact"/>
        <w:ind w:firstLine="413"/>
        <w:rPr>
          <w:rFonts w:hint="eastAsia" w:ascii="宋体" w:hAnsi="宋体" w:cs="宋体"/>
          <w:b/>
          <w:bCs/>
          <w:color w:val="000000"/>
          <w:szCs w:val="21"/>
          <w:highlight w:val="none"/>
        </w:rPr>
      </w:pPr>
      <w:bookmarkStart w:id="130" w:name="_Toc2599"/>
      <w:r>
        <w:rPr>
          <w:rFonts w:hint="eastAsia" w:ascii="宋体" w:hAnsi="宋体" w:cs="宋体"/>
          <w:b/>
          <w:bCs/>
          <w:color w:val="000000"/>
          <w:szCs w:val="21"/>
          <w:highlight w:val="none"/>
        </w:rPr>
        <w:t>（2）招标文件要求法定代表人（负责人）或委托代理人签字的部分必须签字然后扫描或者拍照做成pdf格式上传（或加盖个人CA签章），无签字的视为投标无效。</w:t>
      </w:r>
      <w:bookmarkEnd w:id="129"/>
    </w:p>
    <w:p w14:paraId="625B27B4">
      <w:pPr>
        <w:spacing w:line="400" w:lineRule="exact"/>
        <w:ind w:firstLine="413"/>
        <w:outlineLvl w:val="2"/>
        <w:rPr>
          <w:rFonts w:ascii="宋体" w:hAnsi="宋体" w:cs="宋体"/>
          <w:b/>
          <w:color w:val="000000"/>
          <w:szCs w:val="21"/>
          <w:highlight w:val="none"/>
        </w:rPr>
      </w:pPr>
      <w:bookmarkStart w:id="131" w:name="_Toc8048"/>
      <w:bookmarkStart w:id="132" w:name="_Toc18002"/>
      <w:bookmarkStart w:id="133" w:name="_Toc5474"/>
      <w:bookmarkStart w:id="134" w:name="_Toc16416"/>
      <w:r>
        <w:rPr>
          <w:rFonts w:hint="eastAsia" w:ascii="宋体" w:hAnsi="宋体" w:cs="宋体"/>
          <w:b/>
          <w:color w:val="000000"/>
          <w:szCs w:val="21"/>
          <w:highlight w:val="none"/>
        </w:rPr>
        <w:t>14.投标文件的语言及计量</w:t>
      </w:r>
      <w:bookmarkEnd w:id="130"/>
      <w:bookmarkEnd w:id="131"/>
      <w:bookmarkEnd w:id="132"/>
      <w:bookmarkEnd w:id="133"/>
      <w:bookmarkEnd w:id="134"/>
    </w:p>
    <w:p w14:paraId="697327C3">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w:t>
      </w:r>
      <w:r>
        <w:rPr>
          <w:rFonts w:hint="eastAsia" w:ascii="宋体" w:hAnsi="宋体" w:cs="宋体"/>
          <w:color w:val="000000"/>
          <w:szCs w:val="21"/>
        </w:rPr>
        <w:t>中文翻译文本为主</w:t>
      </w:r>
      <w:r>
        <w:rPr>
          <w:rFonts w:hint="eastAsia" w:ascii="宋体" w:hAnsi="宋体" w:cs="宋体"/>
          <w:color w:val="000000"/>
          <w:szCs w:val="21"/>
          <w:highlight w:val="none"/>
        </w:rPr>
        <w:t>。</w:t>
      </w:r>
    </w:p>
    <w:p w14:paraId="42957E7A">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14.2投标计量单位，招标文件已有明确规定的，使用招标文件规定的计量单位；招标文件没有规定的，应采用中华人民共和国法定计量单位（货币单位：元人民币），否则视同未响应。</w:t>
      </w:r>
    </w:p>
    <w:p w14:paraId="4EA0E759">
      <w:pPr>
        <w:numPr>
          <w:ilvl w:val="0"/>
          <w:numId w:val="3"/>
        </w:numPr>
        <w:spacing w:line="400" w:lineRule="exact"/>
        <w:ind w:firstLine="413"/>
        <w:outlineLvl w:val="2"/>
        <w:rPr>
          <w:rFonts w:ascii="宋体" w:hAnsi="宋体" w:cs="宋体"/>
          <w:b/>
          <w:color w:val="000000"/>
          <w:szCs w:val="21"/>
          <w:highlight w:val="none"/>
        </w:rPr>
      </w:pPr>
      <w:bookmarkStart w:id="135" w:name="_Toc8372"/>
      <w:bookmarkStart w:id="136" w:name="_Toc29756"/>
      <w:bookmarkStart w:id="137" w:name="_Toc10499"/>
      <w:bookmarkStart w:id="138" w:name="_Toc11509"/>
      <w:bookmarkStart w:id="139" w:name="_Toc9350"/>
      <w:r>
        <w:rPr>
          <w:rFonts w:hint="eastAsia" w:ascii="宋体" w:hAnsi="宋体" w:cs="宋体"/>
          <w:b/>
          <w:color w:val="000000"/>
          <w:szCs w:val="21"/>
          <w:highlight w:val="none"/>
        </w:rPr>
        <w:t>投标报价</w:t>
      </w:r>
      <w:bookmarkEnd w:id="135"/>
      <w:bookmarkEnd w:id="136"/>
      <w:bookmarkEnd w:id="137"/>
      <w:bookmarkEnd w:id="138"/>
      <w:bookmarkEnd w:id="139"/>
    </w:p>
    <w:p w14:paraId="14416D5A">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15.1投标报价应按招标文件中第六章“投标文件（格式）”填写，本项目采购预算金额：</w:t>
      </w:r>
      <w:r>
        <w:rPr>
          <w:rFonts w:hint="eastAsia" w:ascii="宋体" w:hAnsi="宋体" w:cs="宋体"/>
          <w:color w:val="000000"/>
          <w:szCs w:val="21"/>
          <w:highlight w:val="none"/>
          <w:lang w:val="en-US" w:eastAsia="zh-CN"/>
        </w:rPr>
        <w:t>本项目预算金额为人民币叁佰万元整（¥3000000.00元）</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投标报价超过采购预算金额的，投标文件按无效处理。</w:t>
      </w:r>
    </w:p>
    <w:p w14:paraId="7C1B4BE1">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15.2投标人必须就“</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”中所投分标内容作完整唯一报价，否则，其投标将被拒绝；投标文件只允许有一个报价，有选择的或有条件的报价将不予接受。</w:t>
      </w:r>
    </w:p>
    <w:p w14:paraId="7377D7CC">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15.3投标报价应包括本次招标采购范围内</w:t>
      </w:r>
      <w:r>
        <w:rPr>
          <w:rFonts w:hint="eastAsia" w:ascii="宋体" w:hAnsi="宋体" w:eastAsia="宋体" w:cs="宋体"/>
          <w:highlight w:val="none"/>
        </w:rPr>
        <w:t>所需服务的人员工资及社保、服装、工具、管理、培训、加班费、节假日奖金、税费及其他成本等所有费用</w:t>
      </w:r>
      <w:r>
        <w:rPr>
          <w:rFonts w:hint="eastAsia" w:ascii="宋体" w:hAnsi="宋体" w:eastAsia="宋体" w:cs="宋体"/>
          <w:highlight w:val="none"/>
          <w:lang w:eastAsia="zh-CN"/>
        </w:rPr>
        <w:t>，供应商</w:t>
      </w:r>
      <w:r>
        <w:rPr>
          <w:rFonts w:hint="eastAsia" w:ascii="宋体" w:hAnsi="宋体" w:eastAsia="宋体" w:cs="宋体"/>
          <w:highlight w:val="none"/>
        </w:rPr>
        <w:t>综合考虑在报价中</w:t>
      </w:r>
      <w:r>
        <w:rPr>
          <w:rFonts w:hint="eastAsia" w:ascii="宋体" w:hAnsi="宋体" w:cs="宋体"/>
          <w:color w:val="000000"/>
          <w:highlight w:val="none"/>
        </w:rPr>
        <w:t>。</w:t>
      </w:r>
      <w:r>
        <w:t>﻿</w:t>
      </w:r>
    </w:p>
    <w:p w14:paraId="42AEBD24">
      <w:pPr>
        <w:spacing w:line="400" w:lineRule="exact"/>
        <w:ind w:firstLine="413"/>
        <w:outlineLvl w:val="2"/>
        <w:rPr>
          <w:rFonts w:ascii="宋体" w:hAnsi="宋体" w:cs="宋体"/>
          <w:b/>
          <w:color w:val="000000"/>
          <w:szCs w:val="21"/>
          <w:highlight w:val="none"/>
        </w:rPr>
      </w:pPr>
      <w:bookmarkStart w:id="140" w:name="_Toc18209"/>
      <w:bookmarkStart w:id="141" w:name="_Toc4702"/>
      <w:bookmarkStart w:id="142" w:name="_Toc28536"/>
      <w:bookmarkStart w:id="143" w:name="_Toc15158"/>
      <w:bookmarkStart w:id="144" w:name="_Toc22333"/>
      <w:r>
        <w:rPr>
          <w:rFonts w:hint="eastAsia" w:ascii="宋体" w:hAnsi="宋体" w:cs="宋体"/>
          <w:b/>
          <w:color w:val="000000"/>
          <w:szCs w:val="21"/>
          <w:highlight w:val="none"/>
        </w:rPr>
        <w:t>16.投标有效期</w:t>
      </w:r>
      <w:bookmarkEnd w:id="140"/>
      <w:bookmarkEnd w:id="141"/>
      <w:bookmarkEnd w:id="142"/>
      <w:bookmarkEnd w:id="143"/>
      <w:bookmarkEnd w:id="144"/>
    </w:p>
    <w:p w14:paraId="4EE855EA">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16.1投标有效期：</w:t>
      </w:r>
      <w:r>
        <w:rPr>
          <w:rFonts w:hint="eastAsia" w:ascii="宋体" w:hAnsi="宋体" w:cs="宋体"/>
          <w:color w:val="000000"/>
          <w:highlight w:val="none"/>
        </w:rPr>
        <w:t>投标截止时间之日起90天</w:t>
      </w:r>
      <w:r>
        <w:rPr>
          <w:rFonts w:hint="eastAsia" w:ascii="宋体" w:hAnsi="宋体" w:cs="宋体"/>
          <w:color w:val="000000"/>
          <w:sz w:val="22"/>
          <w:szCs w:val="22"/>
          <w:highlight w:val="none"/>
        </w:rPr>
        <w:t>。</w:t>
      </w:r>
    </w:p>
    <w:p w14:paraId="129B114A">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16.2出现特殊情况下，需要延长投标有效期的，采购代理机构以书面形式通知投标人延长投标有效期。投标人同意延长的，原投标文件继续有效。投标人拒绝延长的，其投标无效。</w:t>
      </w:r>
    </w:p>
    <w:p w14:paraId="67443ECC">
      <w:pPr>
        <w:spacing w:line="400" w:lineRule="exact"/>
        <w:ind w:firstLine="413"/>
        <w:outlineLvl w:val="2"/>
        <w:rPr>
          <w:rFonts w:ascii="宋体" w:hAnsi="宋体" w:cs="宋体"/>
          <w:b/>
          <w:color w:val="000000"/>
          <w:szCs w:val="21"/>
          <w:highlight w:val="none"/>
        </w:rPr>
      </w:pPr>
      <w:bookmarkStart w:id="145" w:name="_Toc5668"/>
      <w:bookmarkStart w:id="146" w:name="_Toc25708"/>
      <w:bookmarkStart w:id="147" w:name="_Toc21047"/>
      <w:bookmarkStart w:id="148" w:name="_Toc5124"/>
      <w:bookmarkStart w:id="149" w:name="_Toc31528"/>
      <w:r>
        <w:rPr>
          <w:rFonts w:hint="eastAsia" w:ascii="宋体" w:hAnsi="宋体" w:cs="宋体"/>
          <w:b/>
          <w:color w:val="000000"/>
          <w:szCs w:val="21"/>
          <w:highlight w:val="none"/>
        </w:rPr>
        <w:t>17.投标保证金</w:t>
      </w:r>
      <w:bookmarkEnd w:id="145"/>
      <w:bookmarkEnd w:id="146"/>
      <w:bookmarkEnd w:id="147"/>
      <w:bookmarkEnd w:id="148"/>
      <w:bookmarkEnd w:id="149"/>
    </w:p>
    <w:p w14:paraId="06FE060A">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本项目无需缴纳投标保证金。</w:t>
      </w:r>
    </w:p>
    <w:p w14:paraId="5796447A">
      <w:pPr>
        <w:spacing w:line="400" w:lineRule="exact"/>
        <w:ind w:firstLine="413"/>
        <w:outlineLvl w:val="2"/>
        <w:rPr>
          <w:rFonts w:ascii="宋体" w:hAnsi="宋体" w:cs="宋体"/>
          <w:b/>
          <w:color w:val="000000"/>
          <w:szCs w:val="21"/>
          <w:highlight w:val="none"/>
        </w:rPr>
      </w:pPr>
      <w:bookmarkStart w:id="150" w:name="_Toc30873"/>
      <w:bookmarkStart w:id="151" w:name="_Toc17461"/>
      <w:bookmarkStart w:id="152" w:name="_Toc6809"/>
      <w:bookmarkStart w:id="153" w:name="_Toc16349"/>
      <w:bookmarkStart w:id="154" w:name="_Toc2439"/>
      <w:bookmarkStart w:id="155" w:name="_Toc14142"/>
      <w:bookmarkStart w:id="156" w:name="_Toc17872"/>
      <w:bookmarkStart w:id="157" w:name="_Toc24490"/>
      <w:r>
        <w:rPr>
          <w:rFonts w:hint="eastAsia" w:ascii="宋体" w:hAnsi="宋体" w:cs="宋体"/>
          <w:b/>
          <w:color w:val="000000"/>
          <w:szCs w:val="21"/>
          <w:highlight w:val="none"/>
        </w:rPr>
        <w:t>18.投标文件的</w:t>
      </w:r>
      <w:bookmarkEnd w:id="150"/>
      <w:bookmarkEnd w:id="151"/>
      <w:bookmarkEnd w:id="152"/>
      <w:r>
        <w:rPr>
          <w:rFonts w:hint="eastAsia" w:ascii="宋体" w:hAnsi="宋体" w:cs="宋体"/>
          <w:b/>
          <w:color w:val="000000"/>
          <w:szCs w:val="21"/>
          <w:highlight w:val="none"/>
        </w:rPr>
        <w:t>制作</w:t>
      </w:r>
      <w:bookmarkEnd w:id="153"/>
      <w:bookmarkEnd w:id="154"/>
      <w:bookmarkEnd w:id="155"/>
      <w:bookmarkEnd w:id="156"/>
    </w:p>
    <w:p w14:paraId="0851D324">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18.1电子投标文件中须加盖供应商公章部分均采用CA签章，并根据“政府采购项目电子交易管理操作指南-供应商”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w:t>
      </w:r>
      <w:r>
        <w:rPr>
          <w:rFonts w:hint="eastAsia" w:ascii="宋体" w:hAnsi="宋体" w:cs="宋体"/>
          <w:color w:val="000000"/>
          <w:szCs w:val="21"/>
        </w:rPr>
        <w:t>内容不完整</w:t>
      </w:r>
      <w:r>
        <w:rPr>
          <w:rFonts w:hint="eastAsia" w:ascii="宋体" w:hAnsi="宋体" w:cs="宋体"/>
          <w:color w:val="000000"/>
          <w:szCs w:val="21"/>
          <w:highlight w:val="none"/>
        </w:rPr>
        <w:t>、编排混乱导致投标文件被误读、漏读，或者在按招标文件规定的部位查找不到相关内容的，由供应商自行承担。</w:t>
      </w:r>
    </w:p>
    <w:p w14:paraId="5F086A83">
      <w:pPr>
        <w:spacing w:line="360" w:lineRule="auto"/>
        <w:ind w:firstLine="42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18.2供应商法人（负责人）或授权代表持有</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个人CA签章的，应在投标文件中涉及到签字的位置使用个人CA签章，没有办理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个人CA签章的可在投标文件中涉及到签字的位置手写签字或盖章后扫描或者拍照做成PDF的格式上传即可。</w:t>
      </w:r>
    </w:p>
    <w:p w14:paraId="74540517">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18.3投标文件不得涂改，若有修改错漏处，须法定代表人（负责人）或授权委托人签字（或个人CA签章）。投标文件因字迹潦草或表达不清所引起的后果由供应商负责。</w:t>
      </w:r>
    </w:p>
    <w:p w14:paraId="60841F16">
      <w:pPr>
        <w:spacing w:line="360" w:lineRule="auto"/>
        <w:ind w:firstLine="42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18.4评审前准备</w:t>
      </w:r>
    </w:p>
    <w:p w14:paraId="47A0143F">
      <w:pPr>
        <w:spacing w:line="360" w:lineRule="auto"/>
        <w:ind w:firstLine="42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18.4.1本项目实行网上评审，采用电子投标文件；若供应商参与投标，自行承担投标一切费用。</w:t>
      </w:r>
    </w:p>
    <w:p w14:paraId="2323BAAE">
      <w:pPr>
        <w:spacing w:line="360" w:lineRule="auto"/>
        <w:ind w:firstLine="42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18.4.2各供应商在截标前应确保成为</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正式注册入库供应商，并完成CA数字证书申领。因未注册入库、未办理CA数字证书等原因造成无法投标或投标失败等后果由供应商自行承担。</w:t>
      </w:r>
    </w:p>
    <w:p w14:paraId="4AEC1AD0">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18.4.3供应商将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电子交易客户端下载、安装完成后，可通过账号密码或CA登录客户端进行投标文件制作。客户端请至网站下载专区查看，如有问题可拨打</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客户服务热线</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进行咨询。</w:t>
      </w:r>
      <w:bookmarkEnd w:id="157"/>
    </w:p>
    <w:p w14:paraId="5604CEA3">
      <w:pPr>
        <w:spacing w:line="400" w:lineRule="exact"/>
        <w:ind w:firstLine="413"/>
        <w:outlineLvl w:val="2"/>
        <w:rPr>
          <w:rFonts w:ascii="宋体" w:hAnsi="宋体" w:cs="宋体"/>
          <w:b/>
          <w:color w:val="000000"/>
          <w:szCs w:val="21"/>
          <w:highlight w:val="none"/>
        </w:rPr>
      </w:pPr>
      <w:bookmarkStart w:id="158" w:name="_Toc15098"/>
      <w:bookmarkStart w:id="159" w:name="_Toc1890"/>
      <w:bookmarkStart w:id="160" w:name="_Toc6946"/>
      <w:bookmarkStart w:id="161" w:name="_Toc14206"/>
      <w:bookmarkStart w:id="162" w:name="_Toc14188"/>
      <w:bookmarkStart w:id="163" w:name="_Toc12348"/>
      <w:bookmarkStart w:id="164" w:name="_Toc31572"/>
      <w:r>
        <w:rPr>
          <w:rFonts w:hint="eastAsia" w:ascii="宋体" w:hAnsi="宋体" w:cs="宋体"/>
          <w:b/>
          <w:color w:val="000000"/>
          <w:szCs w:val="21"/>
          <w:highlight w:val="none"/>
        </w:rPr>
        <w:t>19.投标文件的补充、修改和撤回</w:t>
      </w:r>
      <w:bookmarkEnd w:id="158"/>
      <w:bookmarkEnd w:id="159"/>
      <w:bookmarkEnd w:id="160"/>
      <w:bookmarkEnd w:id="161"/>
      <w:bookmarkEnd w:id="162"/>
      <w:bookmarkEnd w:id="163"/>
    </w:p>
    <w:p w14:paraId="0F9B25C9">
      <w:pPr>
        <w:spacing w:line="360" w:lineRule="auto"/>
        <w:ind w:firstLine="420"/>
        <w:rPr>
          <w:rFonts w:hint="eastAsia" w:ascii="宋体" w:hAns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9</w:t>
      </w:r>
      <w:r>
        <w:rPr>
          <w:rFonts w:ascii="宋体" w:hAnsi="宋体" w:cs="宋体"/>
          <w:color w:val="000000"/>
          <w:szCs w:val="21"/>
          <w:highlight w:val="none"/>
        </w:rPr>
        <w:t>.1</w:t>
      </w:r>
      <w:r>
        <w:rPr>
          <w:rFonts w:hint="eastAsia" w:ascii="宋体" w:hAnsi="宋体" w:cs="宋体"/>
          <w:color w:val="000000"/>
          <w:szCs w:val="21"/>
          <w:highlight w:val="none"/>
        </w:rPr>
        <w:t>投标文件递交截止时间前可以撤回电子投标文件。补充或者修改电子投标文件的，应当先行撤回原文件，补充、修改后重新传输递交，投标文件递交截止时间前未完成传输的，视为撤回投标文件。</w:t>
      </w:r>
    </w:p>
    <w:p w14:paraId="4C9FD907">
      <w:pPr>
        <w:spacing w:line="360" w:lineRule="auto"/>
        <w:ind w:firstLine="420"/>
        <w:rPr>
          <w:rFonts w:asci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9</w:t>
      </w:r>
      <w:r>
        <w:rPr>
          <w:rFonts w:ascii="宋体" w:hAnsi="宋体" w:cs="宋体"/>
          <w:color w:val="000000"/>
          <w:szCs w:val="21"/>
          <w:highlight w:val="none"/>
        </w:rPr>
        <w:t>.2</w:t>
      </w:r>
      <w:r>
        <w:rPr>
          <w:rFonts w:hint="eastAsia" w:ascii="宋体" w:hAnsi="宋体" w:cs="宋体"/>
          <w:color w:val="000000"/>
          <w:szCs w:val="21"/>
          <w:highlight w:val="none"/>
        </w:rPr>
        <w:t>在投标文件递交截止时间后的投标文件有效期内，供应商不得撤回其投标文件。</w:t>
      </w:r>
      <w:bookmarkEnd w:id="164"/>
    </w:p>
    <w:p w14:paraId="1F4C548B">
      <w:pPr>
        <w:spacing w:line="400" w:lineRule="exact"/>
        <w:ind w:firstLine="413"/>
        <w:outlineLvl w:val="2"/>
        <w:rPr>
          <w:rFonts w:ascii="宋体" w:hAnsi="宋体" w:cs="宋体"/>
          <w:b/>
          <w:color w:val="000000"/>
          <w:szCs w:val="21"/>
          <w:highlight w:val="none"/>
        </w:rPr>
      </w:pPr>
      <w:bookmarkStart w:id="165" w:name="_Toc13713"/>
      <w:bookmarkStart w:id="166" w:name="_Toc23302"/>
      <w:bookmarkStart w:id="167" w:name="_Toc8898"/>
      <w:bookmarkStart w:id="168" w:name="_Toc7910"/>
      <w:bookmarkStart w:id="169" w:name="_Toc16777"/>
      <w:bookmarkStart w:id="170" w:name="_Toc22868"/>
      <w:r>
        <w:rPr>
          <w:rFonts w:hint="eastAsia" w:ascii="宋体" w:hAnsi="宋体" w:cs="宋体"/>
          <w:b/>
          <w:color w:val="000000"/>
          <w:szCs w:val="21"/>
          <w:highlight w:val="none"/>
        </w:rPr>
        <w:t>20.投标文件的递交</w:t>
      </w:r>
      <w:bookmarkEnd w:id="165"/>
      <w:r>
        <w:rPr>
          <w:rFonts w:hint="eastAsia" w:ascii="宋体" w:hAnsi="宋体" w:cs="宋体"/>
          <w:b/>
          <w:color w:val="000000"/>
          <w:szCs w:val="21"/>
          <w:highlight w:val="none"/>
        </w:rPr>
        <w:t>和解密</w:t>
      </w:r>
      <w:bookmarkEnd w:id="166"/>
      <w:bookmarkEnd w:id="167"/>
      <w:bookmarkEnd w:id="168"/>
      <w:bookmarkEnd w:id="169"/>
      <w:bookmarkEnd w:id="170"/>
    </w:p>
    <w:p w14:paraId="3A1BADD5">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20.1</w:t>
      </w:r>
      <w:r>
        <w:rPr>
          <w:rFonts w:hint="eastAsia" w:ascii="宋体" w:hAnsi="宋体"/>
          <w:color w:val="000000"/>
          <w:szCs w:val="21"/>
          <w:highlight w:val="none"/>
        </w:rPr>
        <w:t>投标文件递交截止时间：于</w:t>
      </w:r>
      <w:r>
        <w:rPr>
          <w:rFonts w:hint="eastAsia" w:ascii="宋体" w:hAnsi="宋体" w:cs="宋体"/>
          <w:color w:val="000000"/>
          <w:szCs w:val="21"/>
          <w:highlight w:val="none"/>
          <w:u w:val="single"/>
          <w:lang w:eastAsia="zh-CN"/>
        </w:rPr>
        <w:t>2026年</w:t>
      </w:r>
      <w:r>
        <w:rPr>
          <w:rFonts w:hint="eastAsia" w:ascii="宋体" w:hAnsi="宋体" w:cs="宋体"/>
          <w:color w:val="000000"/>
          <w:szCs w:val="21"/>
          <w:highlight w:val="none"/>
          <w:u w:val="single"/>
          <w:lang w:val="en-US" w:eastAsia="zh-CN"/>
        </w:rPr>
        <w:t>07</w:t>
      </w:r>
      <w:r>
        <w:rPr>
          <w:rFonts w:hint="eastAsia" w:ascii="宋体" w:hAnsi="宋体" w:cs="宋体"/>
          <w:color w:val="000000"/>
          <w:szCs w:val="21"/>
          <w:highlight w:val="none"/>
          <w:u w:val="single"/>
          <w:lang w:eastAsia="zh-CN"/>
        </w:rPr>
        <w:t>月</w:t>
      </w:r>
      <w:r>
        <w:rPr>
          <w:rFonts w:hint="eastAsia" w:ascii="宋体" w:hAnsi="宋体" w:cs="宋体"/>
          <w:color w:val="000000"/>
          <w:szCs w:val="21"/>
          <w:highlight w:val="none"/>
          <w:u w:val="single"/>
          <w:lang w:val="en-US" w:eastAsia="zh-CN"/>
        </w:rPr>
        <w:t>21</w:t>
      </w:r>
      <w:r>
        <w:rPr>
          <w:rFonts w:hint="eastAsia" w:ascii="宋体" w:hAnsi="宋体" w:cs="宋体"/>
          <w:color w:val="000000"/>
          <w:szCs w:val="21"/>
          <w:highlight w:val="none"/>
          <w:u w:val="single"/>
          <w:lang w:eastAsia="zh-CN"/>
        </w:rPr>
        <w:t>日</w:t>
      </w:r>
      <w:r>
        <w:rPr>
          <w:rFonts w:hint="eastAsia" w:ascii="宋体" w:hAnsi="宋体" w:cs="宋体"/>
          <w:color w:val="000000"/>
          <w:szCs w:val="21"/>
          <w:highlight w:val="none"/>
          <w:u w:val="single"/>
        </w:rPr>
        <w:t>上午</w:t>
      </w:r>
      <w:r>
        <w:rPr>
          <w:rFonts w:hint="eastAsia" w:ascii="宋体" w:hAnsi="宋体" w:cs="宋体"/>
          <w:color w:val="000000"/>
          <w:szCs w:val="21"/>
          <w:highlight w:val="none"/>
          <w:u w:val="single"/>
          <w:lang w:val="en-US" w:eastAsia="zh-CN"/>
        </w:rPr>
        <w:t>9</w:t>
      </w:r>
      <w:r>
        <w:rPr>
          <w:rFonts w:hint="eastAsia" w:ascii="宋体" w:hAnsi="宋体" w:cs="宋体"/>
          <w:color w:val="000000"/>
          <w:szCs w:val="21"/>
          <w:highlight w:val="none"/>
          <w:u w:val="single"/>
        </w:rPr>
        <w:t>时</w:t>
      </w:r>
      <w:r>
        <w:rPr>
          <w:rFonts w:hint="eastAsia" w:ascii="宋体" w:hAnsi="宋体" w:cs="宋体"/>
          <w:color w:val="000000"/>
          <w:szCs w:val="21"/>
          <w:highlight w:val="none"/>
          <w:u w:val="single"/>
          <w:lang w:val="en-US" w:eastAsia="zh-CN"/>
        </w:rPr>
        <w:t>30</w:t>
      </w:r>
      <w:r>
        <w:rPr>
          <w:rFonts w:hint="eastAsia" w:ascii="宋体" w:hAnsi="宋体" w:cs="宋体"/>
          <w:color w:val="000000"/>
          <w:szCs w:val="21"/>
          <w:highlight w:val="none"/>
          <w:u w:val="single"/>
        </w:rPr>
        <w:t>分</w:t>
      </w:r>
      <w:r>
        <w:rPr>
          <w:rFonts w:hint="eastAsia" w:ascii="宋体" w:hAnsi="宋体" w:cs="宋体"/>
          <w:color w:val="000000"/>
          <w:szCs w:val="21"/>
          <w:highlight w:val="none"/>
        </w:rPr>
        <w:t>之前将电子投标文件上传到</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。应按照本项目招标文件和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的要求编制、加密传输投标文件。供应商在使用系统进行投标的过程中遇到涉及平台使用的任何问题，可致电</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技术支持热线咨询，联系方式：</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w:t>
      </w:r>
    </w:p>
    <w:p w14:paraId="48EF1CC0">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20.2投标文件解密时间：截标时间后</w:t>
      </w:r>
      <w:r>
        <w:rPr>
          <w:rFonts w:hint="eastAsia" w:ascii="宋体" w:hAnsi="宋体" w:cs="宋体"/>
          <w:color w:val="000000"/>
          <w:szCs w:val="21"/>
          <w:highlight w:val="none"/>
          <w:u w:val="single"/>
        </w:rPr>
        <w:t>30</w:t>
      </w:r>
      <w:r>
        <w:rPr>
          <w:rFonts w:hint="eastAsia" w:ascii="宋体" w:hAnsi="宋体" w:cs="宋体"/>
          <w:color w:val="000000"/>
          <w:szCs w:val="21"/>
          <w:highlight w:val="none"/>
        </w:rPr>
        <w:t>分钟内（</w:t>
      </w:r>
      <w:r>
        <w:rPr>
          <w:rFonts w:hint="eastAsia" w:ascii="宋体" w:hAnsi="宋体" w:cs="宋体"/>
          <w:color w:val="000000"/>
          <w:szCs w:val="21"/>
          <w:highlight w:val="none"/>
          <w:u w:val="single"/>
          <w:lang w:eastAsia="zh-CN"/>
        </w:rPr>
        <w:t>2026年</w:t>
      </w:r>
      <w:r>
        <w:rPr>
          <w:rFonts w:hint="eastAsia" w:ascii="宋体" w:hAnsi="宋体" w:cs="宋体"/>
          <w:color w:val="000000"/>
          <w:szCs w:val="21"/>
          <w:highlight w:val="none"/>
          <w:u w:val="single"/>
          <w:lang w:val="en-US" w:eastAsia="zh-CN"/>
        </w:rPr>
        <w:t>07</w:t>
      </w:r>
      <w:r>
        <w:rPr>
          <w:rFonts w:hint="eastAsia" w:ascii="宋体" w:hAnsi="宋体" w:cs="宋体"/>
          <w:color w:val="000000"/>
          <w:szCs w:val="21"/>
          <w:highlight w:val="none"/>
          <w:u w:val="single"/>
          <w:lang w:eastAsia="zh-CN"/>
        </w:rPr>
        <w:t>月</w:t>
      </w:r>
      <w:r>
        <w:rPr>
          <w:rFonts w:hint="eastAsia" w:ascii="宋体" w:hAnsi="宋体" w:cs="宋体"/>
          <w:color w:val="000000"/>
          <w:szCs w:val="21"/>
          <w:highlight w:val="none"/>
          <w:u w:val="single"/>
          <w:lang w:val="en-US" w:eastAsia="zh-CN"/>
        </w:rPr>
        <w:t>21</w:t>
      </w:r>
      <w:r>
        <w:rPr>
          <w:rFonts w:hint="eastAsia" w:ascii="宋体" w:hAnsi="宋体" w:cs="宋体"/>
          <w:color w:val="000000"/>
          <w:szCs w:val="21"/>
          <w:highlight w:val="none"/>
          <w:u w:val="single"/>
          <w:lang w:eastAsia="zh-CN"/>
        </w:rPr>
        <w:t>日</w:t>
      </w:r>
      <w:r>
        <w:rPr>
          <w:rFonts w:hint="eastAsia" w:ascii="宋体" w:hAnsi="宋体" w:cs="宋体"/>
          <w:color w:val="000000"/>
          <w:szCs w:val="21"/>
          <w:highlight w:val="none"/>
          <w:u w:val="single"/>
        </w:rPr>
        <w:t>上午</w:t>
      </w:r>
      <w:r>
        <w:rPr>
          <w:rFonts w:hint="eastAsia" w:ascii="宋体" w:hAnsi="宋体" w:cs="宋体"/>
          <w:color w:val="000000"/>
          <w:szCs w:val="21"/>
          <w:highlight w:val="none"/>
          <w:u w:val="single"/>
          <w:lang w:val="en-US" w:eastAsia="zh-CN"/>
        </w:rPr>
        <w:t>9</w:t>
      </w:r>
      <w:r>
        <w:rPr>
          <w:rFonts w:hint="eastAsia" w:ascii="宋体" w:hAnsi="宋体" w:cs="宋体"/>
          <w:color w:val="000000"/>
          <w:szCs w:val="21"/>
          <w:highlight w:val="none"/>
          <w:u w:val="single"/>
        </w:rPr>
        <w:t>时</w:t>
      </w:r>
      <w:r>
        <w:rPr>
          <w:rFonts w:hint="eastAsia" w:ascii="宋体" w:hAnsi="宋体" w:cs="宋体"/>
          <w:color w:val="000000"/>
          <w:szCs w:val="21"/>
          <w:highlight w:val="none"/>
          <w:u w:val="single"/>
          <w:lang w:val="en-US" w:eastAsia="zh-CN"/>
        </w:rPr>
        <w:t>30</w:t>
      </w:r>
      <w:r>
        <w:rPr>
          <w:rFonts w:hint="eastAsia" w:ascii="宋体" w:hAnsi="宋体" w:cs="宋体"/>
          <w:color w:val="000000"/>
          <w:szCs w:val="21"/>
          <w:highlight w:val="none"/>
          <w:u w:val="single"/>
        </w:rPr>
        <w:t>分至</w:t>
      </w:r>
      <w:r>
        <w:rPr>
          <w:rFonts w:hint="eastAsia" w:ascii="宋体" w:hAnsi="宋体" w:cs="宋体"/>
          <w:color w:val="000000"/>
          <w:szCs w:val="21"/>
          <w:highlight w:val="none"/>
          <w:u w:val="single"/>
          <w:lang w:val="en-US" w:eastAsia="zh-CN"/>
        </w:rPr>
        <w:t>10</w:t>
      </w:r>
      <w:r>
        <w:rPr>
          <w:rFonts w:hint="eastAsia" w:ascii="宋体" w:hAnsi="宋体" w:cs="宋体"/>
          <w:color w:val="000000"/>
          <w:szCs w:val="21"/>
          <w:highlight w:val="none"/>
          <w:u w:val="single"/>
        </w:rPr>
        <w:t>时</w:t>
      </w:r>
      <w:r>
        <w:rPr>
          <w:rFonts w:hint="eastAsia" w:ascii="宋体" w:hAnsi="宋体" w:cs="宋体"/>
          <w:color w:val="000000"/>
          <w:szCs w:val="21"/>
          <w:highlight w:val="none"/>
          <w:u w:val="single"/>
          <w:lang w:val="en-US" w:eastAsia="zh-CN"/>
        </w:rPr>
        <w:t>00</w:t>
      </w:r>
      <w:r>
        <w:rPr>
          <w:rFonts w:hint="eastAsia" w:ascii="宋体" w:hAnsi="宋体" w:cs="宋体"/>
          <w:color w:val="000000"/>
          <w:szCs w:val="21"/>
          <w:highlight w:val="none"/>
          <w:u w:val="single"/>
        </w:rPr>
        <w:t>分</w:t>
      </w:r>
      <w:r>
        <w:rPr>
          <w:rFonts w:hint="eastAsia" w:ascii="宋体" w:hAnsi="宋体" w:cs="宋体"/>
          <w:color w:val="000000"/>
          <w:szCs w:val="21"/>
          <w:highlight w:val="none"/>
        </w:rPr>
        <w:t>)投标人可以登录</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，用“项目采购-开标评标”功能进行解密投标文件。</w:t>
      </w:r>
    </w:p>
    <w:p w14:paraId="5173EA99">
      <w:pPr>
        <w:spacing w:line="360" w:lineRule="auto"/>
        <w:ind w:firstLine="422"/>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w:t>
      </w:r>
      <w:r>
        <w:rPr>
          <w:rFonts w:hint="eastAsia" w:ascii="宋体" w:hAnsi="宋体" w:eastAsia="宋体" w:cs="宋体"/>
          <w:b/>
          <w:bCs/>
          <w:color w:val="000000"/>
          <w:szCs w:val="21"/>
          <w:lang w:val="en-US" w:eastAsia="zh-CN"/>
        </w:rPr>
        <w:t>我中心</w:t>
      </w:r>
      <w:r>
        <w:rPr>
          <w:rFonts w:hint="eastAsia" w:ascii="宋体" w:hAnsi="宋体" w:eastAsia="宋体" w:cs="宋体"/>
          <w:b/>
          <w:bCs/>
          <w:color w:val="000000"/>
          <w:szCs w:val="21"/>
          <w:highlight w:val="none"/>
          <w:lang w:val="en-US" w:eastAsia="zh-CN"/>
        </w:rPr>
        <w:t>开启已解密的投标文件。投标人超过解密时限未解密的，系统默认自动放弃，造成投标无效的后果由投标人自行承担。解密投标文件后，30分钟内在线签字确认，超过时间没有在线签字确认的系统将自动视为</w:t>
      </w:r>
      <w:r>
        <w:rPr>
          <w:rFonts w:hint="eastAsia" w:ascii="宋体" w:hAnsi="宋体" w:cs="宋体"/>
          <w:b/>
          <w:bCs/>
          <w:color w:val="000000"/>
          <w:szCs w:val="21"/>
          <w:highlight w:val="none"/>
          <w:lang w:val="en-US" w:eastAsia="zh-CN"/>
        </w:rPr>
        <w:t>投标人</w:t>
      </w:r>
      <w:r>
        <w:rPr>
          <w:rFonts w:hint="eastAsia" w:ascii="宋体" w:hAnsi="宋体" w:eastAsia="宋体" w:cs="宋体"/>
          <w:b/>
          <w:bCs/>
          <w:color w:val="000000"/>
          <w:szCs w:val="21"/>
          <w:highlight w:val="none"/>
          <w:lang w:val="en-US" w:eastAsia="zh-CN"/>
        </w:rPr>
        <w:t>认可。</w:t>
      </w:r>
    </w:p>
    <w:p w14:paraId="530C1654">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20.3除招标文件另有规定外，供应商所递交的投标文件不予退还。</w:t>
      </w:r>
    </w:p>
    <w:p w14:paraId="25CAF606">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20.4电子投标文件的相关说明</w:t>
      </w:r>
    </w:p>
    <w:p w14:paraId="410F668F">
      <w:pPr>
        <w:spacing w:line="360" w:lineRule="auto"/>
        <w:ind w:firstLine="42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（1）供应商进行电子投标应安装客户端软件，并按照采购文件和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的要求编制并加密投标文件。供应商未按规定加密的投标文件，</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将拒收。</w:t>
      </w:r>
    </w:p>
    <w:p w14:paraId="52072881">
      <w:pPr>
        <w:spacing w:line="360" w:lineRule="auto"/>
        <w:ind w:firstLine="420"/>
        <w:rPr>
          <w:color w:val="000000"/>
          <w:highlight w:val="none"/>
        </w:rPr>
      </w:pPr>
      <w:r>
        <w:rPr>
          <w:rFonts w:hint="eastAsia" w:ascii="宋体" w:hAnsi="宋体" w:cs="宋体"/>
          <w:color w:val="000000"/>
          <w:szCs w:val="21"/>
          <w:highlight w:val="none"/>
        </w:rPr>
        <w:t>（2）如有特殊情况，采购代理机构延长截止时间和开标时间，采购代理机构和供应商的权利和义务将受到新的截止时间和开标时间的约束。</w:t>
      </w:r>
    </w:p>
    <w:p w14:paraId="6FD25E3C">
      <w:pPr>
        <w:pStyle w:val="252"/>
        <w:rPr>
          <w:color w:val="000000"/>
          <w:highlight w:val="none"/>
        </w:rPr>
      </w:pPr>
    </w:p>
    <w:p w14:paraId="2264EF76">
      <w:pPr>
        <w:spacing w:line="360" w:lineRule="auto"/>
        <w:jc w:val="center"/>
        <w:outlineLvl w:val="1"/>
        <w:rPr>
          <w:rFonts w:ascii="宋体" w:hAnsi="宋体" w:cs="宋体"/>
          <w:b/>
          <w:color w:val="000000"/>
          <w:sz w:val="28"/>
          <w:szCs w:val="28"/>
          <w:highlight w:val="none"/>
        </w:rPr>
      </w:pPr>
      <w:bookmarkStart w:id="171" w:name="_Toc3772"/>
      <w:bookmarkStart w:id="172" w:name="_Toc29243"/>
      <w:bookmarkStart w:id="173" w:name="_Toc16788"/>
      <w:bookmarkStart w:id="174" w:name="_Toc307"/>
      <w:bookmarkStart w:id="175" w:name="_Toc10608"/>
      <w:bookmarkStart w:id="176" w:name="_Toc495841757"/>
      <w:r>
        <w:rPr>
          <w:rFonts w:hint="eastAsia" w:ascii="宋体" w:hAnsi="宋体" w:cs="宋体"/>
          <w:b/>
          <w:color w:val="000000"/>
          <w:sz w:val="28"/>
          <w:szCs w:val="28"/>
          <w:highlight w:val="none"/>
        </w:rPr>
        <w:t>四、开标</w:t>
      </w:r>
      <w:bookmarkEnd w:id="171"/>
      <w:bookmarkEnd w:id="172"/>
      <w:bookmarkEnd w:id="173"/>
      <w:bookmarkEnd w:id="174"/>
      <w:bookmarkEnd w:id="175"/>
      <w:bookmarkEnd w:id="176"/>
    </w:p>
    <w:p w14:paraId="617DD486">
      <w:pPr>
        <w:spacing w:line="400" w:lineRule="exact"/>
        <w:ind w:firstLine="413"/>
        <w:outlineLvl w:val="2"/>
        <w:rPr>
          <w:rFonts w:ascii="宋体" w:hAnsi="宋体" w:cs="宋体"/>
          <w:b/>
          <w:color w:val="000000"/>
          <w:szCs w:val="21"/>
          <w:highlight w:val="none"/>
        </w:rPr>
      </w:pPr>
      <w:bookmarkStart w:id="177" w:name="_Toc19384"/>
      <w:bookmarkStart w:id="178" w:name="_Toc23614"/>
      <w:bookmarkStart w:id="179" w:name="_Toc5456"/>
      <w:bookmarkStart w:id="180" w:name="_Toc26865"/>
      <w:bookmarkStart w:id="181" w:name="_Toc25198"/>
      <w:bookmarkStart w:id="182" w:name="_Toc17073"/>
      <w:bookmarkStart w:id="183" w:name="_Toc16550"/>
      <w:bookmarkStart w:id="184" w:name="_Toc13013"/>
      <w:bookmarkStart w:id="185" w:name="_Toc495841758"/>
      <w:r>
        <w:rPr>
          <w:rFonts w:hint="eastAsia" w:ascii="宋体" w:hAnsi="宋体" w:cs="宋体"/>
          <w:b/>
          <w:color w:val="000000"/>
          <w:szCs w:val="21"/>
          <w:highlight w:val="none"/>
        </w:rPr>
        <w:t>21.开标时间及地点</w:t>
      </w:r>
      <w:bookmarkEnd w:id="177"/>
      <w:bookmarkEnd w:id="178"/>
      <w:bookmarkEnd w:id="179"/>
      <w:bookmarkEnd w:id="180"/>
      <w:bookmarkEnd w:id="181"/>
      <w:bookmarkEnd w:id="182"/>
      <w:bookmarkEnd w:id="183"/>
    </w:p>
    <w:p w14:paraId="0B9FF8A0">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21.1开标时间及地点：</w:t>
      </w:r>
    </w:p>
    <w:p w14:paraId="6EF9C894">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开标时间：</w:t>
      </w:r>
      <w:r>
        <w:rPr>
          <w:rFonts w:hint="eastAsia" w:ascii="宋体" w:hAnsi="宋体" w:cs="宋体"/>
          <w:color w:val="000000"/>
          <w:szCs w:val="21"/>
          <w:highlight w:val="none"/>
          <w:lang w:eastAsia="zh-CN"/>
        </w:rPr>
        <w:t>2026年</w:t>
      </w:r>
      <w:r>
        <w:rPr>
          <w:rFonts w:hint="eastAsia" w:ascii="宋体" w:hAnsi="宋体" w:cs="宋体"/>
          <w:color w:val="000000"/>
          <w:szCs w:val="21"/>
          <w:highlight w:val="none"/>
          <w:lang w:val="en-US" w:eastAsia="zh-CN"/>
        </w:rPr>
        <w:t>07</w:t>
      </w:r>
      <w:r>
        <w:rPr>
          <w:rFonts w:hint="eastAsia" w:ascii="宋体" w:hAnsi="宋体" w:cs="宋体"/>
          <w:color w:val="000000"/>
          <w:szCs w:val="21"/>
          <w:highlight w:val="none"/>
          <w:lang w:eastAsia="zh-CN"/>
        </w:rPr>
        <w:t>月</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lang w:eastAsia="zh-CN"/>
        </w:rPr>
        <w:t>日</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时</w:t>
      </w: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分（北京时间）截标后。</w:t>
      </w:r>
    </w:p>
    <w:p w14:paraId="6E0B6A24">
      <w:pPr>
        <w:spacing w:line="360" w:lineRule="auto"/>
        <w:ind w:firstLine="420"/>
        <w:rPr>
          <w:rFonts w:hint="eastAsia" w:ascii="宋体" w:hAnsi="宋体" w:cs="宋体"/>
          <w:color w:val="000000"/>
          <w:sz w:val="21"/>
          <w:szCs w:val="21"/>
          <w:highlight w:val="none"/>
        </w:rPr>
      </w:pPr>
      <w:r>
        <w:rPr>
          <w:rFonts w:hint="eastAsia" w:ascii="宋体" w:hAnsi="宋体" w:cs="宋体"/>
          <w:color w:val="000000"/>
          <w:szCs w:val="21"/>
          <w:highlight w:val="none"/>
        </w:rPr>
        <w:t>地点：</w:t>
      </w:r>
      <w:r>
        <w:rPr>
          <w:rFonts w:hint="eastAsia" w:ascii="宋体" w:hAnsi="宋体" w:eastAsia="宋体" w:cs="宋体"/>
          <w:color w:val="000000"/>
          <w:sz w:val="21"/>
          <w:szCs w:val="21"/>
          <w:highlight w:val="none"/>
          <w:lang w:eastAsia="zh-CN"/>
        </w:rPr>
        <w:t>桂林市公共资源交易中心</w:t>
      </w:r>
      <w:r>
        <w:rPr>
          <w:rFonts w:hint="eastAsia" w:ascii="宋体" w:hAnsi="宋体" w:cs="宋体"/>
          <w:color w:val="000000"/>
          <w:sz w:val="21"/>
          <w:szCs w:val="21"/>
          <w:highlight w:val="none"/>
          <w:u w:val="single"/>
          <w:lang w:val="en-US" w:eastAsia="zh-CN"/>
        </w:rPr>
        <w:t>9号开标室3号政采开标仓</w:t>
      </w:r>
      <w:r>
        <w:rPr>
          <w:rFonts w:hint="eastAsia" w:ascii="宋体" w:hAnsi="宋体" w:eastAsia="宋体" w:cs="宋体"/>
          <w:color w:val="000000"/>
          <w:sz w:val="21"/>
          <w:szCs w:val="21"/>
          <w:highlight w:val="none"/>
        </w:rPr>
        <w:t>通过</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实行在线解密开启。</w:t>
      </w:r>
    </w:p>
    <w:p w14:paraId="1B95B0CA">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21.2投标人不足3家的，不得开标，采购人或者采购代理机构应当重新组织采购。</w:t>
      </w:r>
    </w:p>
    <w:p w14:paraId="6BBD932E">
      <w:pPr>
        <w:spacing w:line="400" w:lineRule="exact"/>
        <w:ind w:firstLine="413"/>
        <w:outlineLvl w:val="2"/>
        <w:rPr>
          <w:rFonts w:hint="eastAsia" w:ascii="宋体" w:hAnsi="宋体" w:cs="宋体"/>
          <w:b/>
          <w:bCs/>
          <w:color w:val="000000"/>
          <w:szCs w:val="21"/>
          <w:highlight w:val="none"/>
        </w:rPr>
      </w:pPr>
      <w:bookmarkStart w:id="186" w:name="_Toc8462"/>
      <w:bookmarkStart w:id="187" w:name="_Toc11217"/>
      <w:bookmarkStart w:id="188" w:name="_Toc15515"/>
      <w:bookmarkStart w:id="189" w:name="_Toc27420"/>
      <w:bookmarkStart w:id="190" w:name="_Toc30965"/>
      <w:bookmarkStart w:id="191" w:name="_Toc6557"/>
      <w:bookmarkStart w:id="192" w:name="_Toc20854"/>
      <w:r>
        <w:rPr>
          <w:rFonts w:hint="eastAsia" w:ascii="宋体" w:hAnsi="宋体" w:cs="宋体"/>
          <w:b/>
          <w:bCs/>
          <w:color w:val="000000"/>
          <w:szCs w:val="21"/>
          <w:highlight w:val="none"/>
        </w:rPr>
        <w:t>22.开标程序</w:t>
      </w:r>
      <w:bookmarkEnd w:id="184"/>
      <w:bookmarkEnd w:id="185"/>
      <w:bookmarkEnd w:id="186"/>
      <w:bookmarkEnd w:id="187"/>
      <w:bookmarkEnd w:id="188"/>
      <w:bookmarkEnd w:id="189"/>
      <w:bookmarkEnd w:id="190"/>
      <w:bookmarkEnd w:id="191"/>
    </w:p>
    <w:p w14:paraId="1E92BE36">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22.1开标准备</w:t>
      </w:r>
    </w:p>
    <w:p w14:paraId="1B358614">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22.1.1.开标的准备工作由本中心负责落实；</w:t>
      </w:r>
    </w:p>
    <w:p w14:paraId="619AF167">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22.1.2.本中心将按照招标文件规定的时间通过</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组织开标、开启投标文件，所有供应商均应当准时在线参加。</w:t>
      </w:r>
      <w:r>
        <w:rPr>
          <w:rFonts w:hint="eastAsia" w:ascii="宋体" w:hAnsi="宋体" w:cs="宋体"/>
          <w:color w:val="000000"/>
          <w:szCs w:val="21"/>
        </w:rPr>
        <w:t>投标供应商</w:t>
      </w:r>
      <w:r>
        <w:rPr>
          <w:rFonts w:hint="eastAsia" w:ascii="宋体" w:hAnsi="宋体" w:cs="宋体"/>
          <w:color w:val="000000"/>
          <w:szCs w:val="21"/>
          <w:highlight w:val="none"/>
        </w:rPr>
        <w:t>如不参加开标会的，视同认可开标结果，事后不得对采购相关人员、开标过程和开标结果提出异议，同时</w:t>
      </w:r>
      <w:r>
        <w:rPr>
          <w:rFonts w:hint="eastAsia" w:ascii="宋体" w:hAnsi="宋体" w:cs="宋体"/>
          <w:color w:val="000000"/>
          <w:szCs w:val="21"/>
        </w:rPr>
        <w:t>投标供应商</w:t>
      </w:r>
      <w:r>
        <w:rPr>
          <w:rFonts w:hint="eastAsia" w:ascii="宋体" w:hAnsi="宋体" w:cs="宋体"/>
          <w:color w:val="000000"/>
          <w:szCs w:val="21"/>
          <w:highlight w:val="none"/>
        </w:rPr>
        <w:t>因未在线参加开标而导致投标文件无法按时解密等一切后果由供应商自己承担。</w:t>
      </w:r>
    </w:p>
    <w:p w14:paraId="6B939796">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22.2开标程序</w:t>
      </w:r>
    </w:p>
    <w:p w14:paraId="2ED0CCDB">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22.2.1.向各</w:t>
      </w:r>
      <w:r>
        <w:rPr>
          <w:rFonts w:hint="eastAsia" w:ascii="宋体" w:hAnsi="宋体" w:cs="宋体"/>
          <w:b/>
          <w:bCs/>
          <w:color w:val="000000"/>
          <w:szCs w:val="21"/>
        </w:rPr>
        <w:t>投标供应商</w:t>
      </w:r>
      <w:r>
        <w:rPr>
          <w:rFonts w:hint="eastAsia" w:ascii="宋体" w:hAnsi="宋体" w:cs="宋体"/>
          <w:b/>
          <w:bCs/>
          <w:color w:val="000000"/>
          <w:szCs w:val="21"/>
          <w:highlight w:val="none"/>
        </w:rPr>
        <w:t>发出电子加密投标文件【开始解密】通知，由供应商按招标文件规定的时间内自行进行投标文件解密。</w:t>
      </w:r>
      <w:r>
        <w:rPr>
          <w:rFonts w:hint="eastAsia" w:ascii="宋体" w:hAnsi="宋体" w:cs="宋体"/>
          <w:b/>
          <w:bCs/>
          <w:color w:val="000000"/>
          <w:szCs w:val="21"/>
        </w:rPr>
        <w:t>投标供应商</w:t>
      </w:r>
      <w:r>
        <w:rPr>
          <w:rFonts w:hint="eastAsia" w:ascii="宋体" w:hAnsi="宋体" w:cs="宋体"/>
          <w:b/>
          <w:bCs/>
          <w:color w:val="000000"/>
          <w:szCs w:val="21"/>
          <w:highlight w:val="none"/>
          <w:lang w:eastAsia="zh-CN"/>
        </w:rPr>
        <w:t>未</w:t>
      </w:r>
      <w:r>
        <w:rPr>
          <w:rFonts w:hint="eastAsia" w:ascii="宋体" w:hAnsi="宋体" w:cs="宋体"/>
          <w:b/>
          <w:bCs/>
          <w:color w:val="000000"/>
          <w:szCs w:val="21"/>
          <w:highlight w:val="none"/>
        </w:rPr>
        <w:t>在规定的时间内</w:t>
      </w:r>
      <w:r>
        <w:rPr>
          <w:rFonts w:hint="eastAsia" w:ascii="宋体" w:hAnsi="宋体" w:cs="宋体"/>
          <w:b/>
          <w:bCs/>
          <w:color w:val="000000"/>
          <w:szCs w:val="21"/>
          <w:highlight w:val="none"/>
          <w:lang w:eastAsia="zh-CN"/>
        </w:rPr>
        <w:t>完成</w:t>
      </w:r>
      <w:r>
        <w:rPr>
          <w:rFonts w:hint="eastAsia" w:ascii="宋体" w:hAnsi="宋体" w:cs="宋体"/>
          <w:b/>
          <w:bCs/>
          <w:color w:val="000000"/>
          <w:szCs w:val="21"/>
          <w:highlight w:val="none"/>
        </w:rPr>
        <w:t>在线解密视为投标人放弃投标</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在线解密时间为30分钟。</w:t>
      </w:r>
    </w:p>
    <w:p w14:paraId="39719533">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22.2.2.投标文件解密结束后，开标活动组织人员在线开启投标文件。</w:t>
      </w:r>
    </w:p>
    <w:p w14:paraId="57C5977D">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22.2.3.开启投标人报价文件，</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广西政府采购云平台</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在线向投标人公开</w:t>
      </w:r>
      <w:r>
        <w:rPr>
          <w:rFonts w:hint="eastAsia" w:ascii="宋体" w:hAnsi="宋体" w:cs="宋体"/>
          <w:b/>
          <w:bCs/>
          <w:color w:val="000000"/>
          <w:szCs w:val="21"/>
          <w:highlight w:val="none"/>
        </w:rPr>
        <w:t>开标（报价）一览表有关内容，投标人代表如果认为</w:t>
      </w:r>
      <w:r>
        <w:rPr>
          <w:rFonts w:hint="eastAsia" w:ascii="宋体" w:hAnsi="宋体" w:cs="宋体"/>
          <w:b/>
          <w:bCs/>
          <w:color w:val="000000"/>
          <w:szCs w:val="21"/>
          <w:highlight w:val="none"/>
          <w:lang w:val="en-US" w:eastAsia="zh-CN"/>
        </w:rPr>
        <w:t>开标信息</w:t>
      </w:r>
      <w:r>
        <w:rPr>
          <w:rFonts w:hint="eastAsia" w:ascii="宋体" w:hAnsi="宋体" w:cs="宋体"/>
          <w:b/>
          <w:bCs/>
          <w:color w:val="000000"/>
          <w:szCs w:val="21"/>
          <w:highlight w:val="none"/>
        </w:rPr>
        <w:t>有误，可以当场</w:t>
      </w:r>
      <w:r>
        <w:rPr>
          <w:rFonts w:hint="eastAsia" w:ascii="宋体" w:hAnsi="宋体" w:cs="宋体"/>
          <w:b/>
          <w:bCs/>
          <w:color w:val="000000"/>
          <w:szCs w:val="21"/>
          <w:highlight w:val="none"/>
          <w:lang w:val="en-US" w:eastAsia="zh-CN"/>
        </w:rPr>
        <w:t>或在线</w:t>
      </w:r>
      <w:r>
        <w:rPr>
          <w:rFonts w:hint="eastAsia" w:ascii="宋体" w:hAnsi="宋体" w:cs="宋体"/>
          <w:b/>
          <w:bCs/>
          <w:color w:val="000000"/>
          <w:szCs w:val="21"/>
          <w:highlight w:val="none"/>
        </w:rPr>
        <w:t>提出异议。</w:t>
      </w:r>
    </w:p>
    <w:p w14:paraId="6068EC1B">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开标结束后，如发现开标结果与报价文件不一致者，由评标委员会根据报价文件内容进行修正。</w:t>
      </w:r>
    </w:p>
    <w:p w14:paraId="791D096E">
      <w:pPr>
        <w:spacing w:line="360" w:lineRule="auto"/>
        <w:ind w:firstLine="422"/>
        <w:rPr>
          <w:rFonts w:hint="eastAsia" w:ascii="宋体" w:hAnsi="宋体" w:cs="宋体"/>
          <w:b/>
          <w:bCs/>
          <w:color w:val="000000"/>
          <w:szCs w:val="21"/>
          <w:highlight w:val="none"/>
        </w:rPr>
      </w:pPr>
      <w:r>
        <w:rPr>
          <w:rFonts w:hint="eastAsia" w:ascii="宋体" w:hAnsi="宋体" w:cs="宋体"/>
          <w:b/>
          <w:bCs/>
          <w:color w:val="000000"/>
          <w:szCs w:val="21"/>
          <w:highlight w:val="none"/>
        </w:rPr>
        <w:t>特别说明：如遇“</w:t>
      </w:r>
      <w:r>
        <w:rPr>
          <w:rFonts w:hint="eastAsia" w:ascii="宋体" w:hAnsi="宋体" w:cs="宋体"/>
          <w:b/>
          <w:bCs/>
          <w:color w:val="000000"/>
          <w:szCs w:val="21"/>
          <w:highlight w:val="none"/>
          <w:lang w:eastAsia="zh-CN"/>
        </w:rPr>
        <w:t>广西政府采购云平台</w:t>
      </w:r>
      <w:r>
        <w:rPr>
          <w:rFonts w:hint="eastAsia" w:ascii="宋体" w:hAnsi="宋体" w:cs="宋体"/>
          <w:b/>
          <w:bCs/>
          <w:color w:val="000000"/>
          <w:szCs w:val="21"/>
          <w:highlight w:val="none"/>
        </w:rPr>
        <w:t>”电子化开标或评审程序调整的，按调整后程序执行。</w:t>
      </w:r>
    </w:p>
    <w:p w14:paraId="4A5AEBF9">
      <w:pPr>
        <w:pStyle w:val="252"/>
        <w:rPr>
          <w:rFonts w:hint="eastAsia"/>
          <w:color w:val="000000"/>
          <w:highlight w:val="none"/>
        </w:rPr>
      </w:pPr>
    </w:p>
    <w:p w14:paraId="16F456F8">
      <w:pPr>
        <w:spacing w:line="360" w:lineRule="auto"/>
        <w:jc w:val="center"/>
        <w:outlineLvl w:val="1"/>
        <w:rPr>
          <w:rFonts w:ascii="宋体" w:hAnsi="宋体" w:cs="宋体"/>
          <w:b/>
          <w:color w:val="000000"/>
          <w:sz w:val="28"/>
          <w:szCs w:val="28"/>
          <w:highlight w:val="none"/>
        </w:rPr>
      </w:pPr>
      <w:bookmarkStart w:id="193" w:name="_Toc24351"/>
      <w:bookmarkStart w:id="194" w:name="_Toc14173"/>
      <w:bookmarkStart w:id="195" w:name="_Toc1616"/>
      <w:bookmarkStart w:id="196" w:name="_Toc29188"/>
      <w:r>
        <w:rPr>
          <w:rFonts w:hint="eastAsia" w:ascii="宋体" w:hAnsi="宋体" w:cs="宋体"/>
          <w:b/>
          <w:color w:val="000000"/>
          <w:sz w:val="28"/>
          <w:szCs w:val="28"/>
          <w:highlight w:val="none"/>
        </w:rPr>
        <w:t>五、资格性审查</w:t>
      </w:r>
      <w:bookmarkEnd w:id="192"/>
      <w:bookmarkEnd w:id="193"/>
      <w:bookmarkEnd w:id="194"/>
      <w:bookmarkEnd w:id="195"/>
      <w:bookmarkEnd w:id="196"/>
    </w:p>
    <w:p w14:paraId="0A15CA96">
      <w:pPr>
        <w:spacing w:line="400" w:lineRule="exact"/>
        <w:ind w:firstLine="413"/>
        <w:outlineLvl w:val="2"/>
        <w:rPr>
          <w:rFonts w:ascii="宋体" w:hAnsi="宋体" w:cs="宋体"/>
          <w:b/>
          <w:color w:val="000000"/>
          <w:szCs w:val="21"/>
          <w:highlight w:val="none"/>
        </w:rPr>
      </w:pPr>
      <w:bookmarkStart w:id="197" w:name="_Toc6681"/>
      <w:bookmarkStart w:id="198" w:name="_Toc15859"/>
      <w:bookmarkStart w:id="199" w:name="_Toc1731"/>
      <w:bookmarkStart w:id="200" w:name="_Toc30532"/>
      <w:bookmarkStart w:id="201" w:name="_Toc13578"/>
      <w:r>
        <w:rPr>
          <w:rFonts w:hint="eastAsia" w:ascii="宋体" w:hAnsi="宋体" w:cs="宋体"/>
          <w:b/>
          <w:color w:val="000000"/>
          <w:szCs w:val="21"/>
          <w:highlight w:val="none"/>
        </w:rPr>
        <w:t>23.资格性审查</w:t>
      </w:r>
      <w:bookmarkEnd w:id="197"/>
      <w:bookmarkEnd w:id="198"/>
      <w:bookmarkEnd w:id="199"/>
      <w:bookmarkEnd w:id="200"/>
      <w:bookmarkEnd w:id="201"/>
    </w:p>
    <w:p w14:paraId="4C78EA8A">
      <w:pPr>
        <w:tabs>
          <w:tab w:val="left" w:pos="1305"/>
        </w:tabs>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23.1公开招标采购项目开标结束后，采购人应当依法对投标人的资格进行审查。合格投标人不足3家的，不得评标。</w:t>
      </w:r>
    </w:p>
    <w:p w14:paraId="46620D08">
      <w:pPr>
        <w:spacing w:line="400" w:lineRule="exact"/>
        <w:ind w:firstLine="420"/>
        <w:rPr>
          <w:rFonts w:ascii="宋体" w:hAnsi="宋体" w:cs="宋体"/>
          <w:b/>
          <w:color w:val="000000"/>
          <w:szCs w:val="21"/>
          <w:highlight w:val="none"/>
        </w:rPr>
      </w:pPr>
      <w:r>
        <w:rPr>
          <w:rFonts w:hint="eastAsia" w:ascii="宋体" w:hAnsi="宋体" w:cs="宋体"/>
          <w:color w:val="000000"/>
          <w:szCs w:val="21"/>
          <w:highlight w:val="none"/>
        </w:rPr>
        <w:t>23.2</w:t>
      </w:r>
      <w:r>
        <w:rPr>
          <w:rFonts w:hint="eastAsia" w:ascii="宋体" w:hAnsi="宋体" w:cs="宋体"/>
          <w:b/>
          <w:bCs/>
          <w:color w:val="000000"/>
          <w:szCs w:val="21"/>
          <w:highlight w:val="none"/>
        </w:rPr>
        <w:t>采购人或者采购代理机构</w:t>
      </w:r>
      <w:r>
        <w:rPr>
          <w:rFonts w:hint="eastAsia" w:ascii="宋体" w:hAnsi="宋体" w:cs="宋体"/>
          <w:b/>
          <w:color w:val="000000"/>
          <w:szCs w:val="21"/>
          <w:highlight w:val="none"/>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14:paraId="29A8C68F">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查询渠道：《国家企业信用信息公示系统》（网址：www.gsxt.gov.cn/index.html）</w:t>
      </w:r>
    </w:p>
    <w:p w14:paraId="37C4B12C">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审查流程：</w:t>
      </w:r>
    </w:p>
    <w:p w14:paraId="06FB7354">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（1）进入《国家企业信用信息公示系统》（网址：www.gsxt.gov.cn/index.html），输入企业名称，进入企业信息主页面；</w:t>
      </w:r>
    </w:p>
    <w:p w14:paraId="29BB03FE">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（2）查看主页“股东及出资信息”栏，或年报中的“股东及出资信息”栏信息；</w:t>
      </w:r>
    </w:p>
    <w:p w14:paraId="4DA8BE0B">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（3）将各投标人的股东及出资信息进行比对，得出审查结论；</w:t>
      </w:r>
    </w:p>
    <w:p w14:paraId="6E1F487C">
      <w:pPr>
        <w:spacing w:line="400" w:lineRule="exact"/>
        <w:ind w:firstLine="420"/>
        <w:rPr>
          <w:rFonts w:ascii="宋体" w:hAnsi="宋体" w:cs="宋体"/>
          <w:b/>
          <w:color w:val="000000"/>
          <w:sz w:val="28"/>
          <w:szCs w:val="28"/>
          <w:highlight w:val="none"/>
        </w:rPr>
      </w:pPr>
      <w:r>
        <w:rPr>
          <w:rFonts w:hint="eastAsia" w:ascii="宋体" w:hAnsi="宋体" w:cs="宋体"/>
          <w:color w:val="000000"/>
          <w:szCs w:val="21"/>
          <w:highlight w:val="none"/>
        </w:rPr>
        <w:t>（4）将相关资料作为评审资料打印存档。</w:t>
      </w:r>
      <w:bookmarkStart w:id="202" w:name="_Toc495841759"/>
      <w:bookmarkStart w:id="203" w:name="_Toc3415"/>
    </w:p>
    <w:p w14:paraId="27A87E5E">
      <w:pPr>
        <w:spacing w:line="360" w:lineRule="auto"/>
        <w:jc w:val="center"/>
        <w:outlineLvl w:val="1"/>
        <w:rPr>
          <w:rFonts w:ascii="宋体" w:hAnsi="宋体" w:cs="宋体"/>
          <w:b/>
          <w:color w:val="000000"/>
          <w:sz w:val="28"/>
          <w:szCs w:val="28"/>
          <w:highlight w:val="none"/>
        </w:rPr>
      </w:pPr>
      <w:bookmarkStart w:id="204" w:name="_Toc5417"/>
      <w:bookmarkStart w:id="205" w:name="_Toc8047"/>
      <w:bookmarkStart w:id="206" w:name="_Toc20260"/>
      <w:bookmarkStart w:id="207" w:name="_Toc5907"/>
      <w:r>
        <w:rPr>
          <w:rFonts w:hint="eastAsia" w:ascii="宋体" w:hAnsi="宋体" w:cs="宋体"/>
          <w:b/>
          <w:color w:val="000000"/>
          <w:sz w:val="28"/>
          <w:szCs w:val="28"/>
          <w:highlight w:val="none"/>
        </w:rPr>
        <w:t>六、评标</w:t>
      </w:r>
      <w:bookmarkEnd w:id="202"/>
      <w:bookmarkEnd w:id="203"/>
      <w:bookmarkEnd w:id="204"/>
      <w:bookmarkEnd w:id="205"/>
      <w:bookmarkEnd w:id="206"/>
      <w:bookmarkEnd w:id="207"/>
    </w:p>
    <w:p w14:paraId="413E98D1">
      <w:pPr>
        <w:spacing w:line="360" w:lineRule="exact"/>
        <w:ind w:firstLine="413"/>
        <w:outlineLvl w:val="2"/>
        <w:rPr>
          <w:rFonts w:ascii="宋体" w:hAnsi="宋体" w:cs="宋体"/>
          <w:b/>
          <w:color w:val="000000"/>
          <w:szCs w:val="21"/>
          <w:highlight w:val="none"/>
        </w:rPr>
      </w:pPr>
      <w:bookmarkStart w:id="208" w:name="_Toc19311"/>
      <w:bookmarkStart w:id="209" w:name="_Toc13053"/>
      <w:bookmarkStart w:id="210" w:name="_Toc22953"/>
      <w:bookmarkStart w:id="211" w:name="_Toc27637"/>
      <w:bookmarkStart w:id="212" w:name="_Toc14749"/>
      <w:r>
        <w:rPr>
          <w:rFonts w:hint="eastAsia" w:ascii="宋体" w:hAnsi="宋体" w:cs="宋体"/>
          <w:b/>
          <w:color w:val="000000"/>
          <w:szCs w:val="21"/>
          <w:highlight w:val="none"/>
        </w:rPr>
        <w:t>24.评标委员会组成</w:t>
      </w:r>
      <w:bookmarkEnd w:id="208"/>
      <w:bookmarkEnd w:id="209"/>
      <w:bookmarkEnd w:id="210"/>
      <w:bookmarkEnd w:id="211"/>
      <w:bookmarkEnd w:id="212"/>
    </w:p>
    <w:p w14:paraId="5A54EE34">
      <w:pPr>
        <w:spacing w:line="360" w:lineRule="exact"/>
        <w:ind w:firstLine="420"/>
        <w:rPr>
          <w:rFonts w:ascii="宋体" w:hAnsi="宋体" w:cs="宋体"/>
          <w:color w:val="000000"/>
          <w:szCs w:val="21"/>
          <w:highlight w:val="none"/>
        </w:rPr>
      </w:pPr>
      <w:bookmarkStart w:id="213" w:name="_Toc24437"/>
      <w:bookmarkStart w:id="214" w:name="_Toc28655"/>
      <w:r>
        <w:rPr>
          <w:rFonts w:hint="eastAsia" w:ascii="宋体" w:hAnsi="宋体" w:cs="宋体"/>
          <w:color w:val="000000"/>
          <w:szCs w:val="21"/>
          <w:highlight w:val="none"/>
        </w:rPr>
        <w:t>评标委员会由采购人代表和有关方面的专家组成，成员人数共</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人，其中采购人代表</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评审</w:t>
      </w:r>
      <w:r>
        <w:rPr>
          <w:rFonts w:hint="eastAsia" w:ascii="宋体" w:hAnsi="宋体" w:cs="宋体"/>
          <w:color w:val="000000"/>
          <w:szCs w:val="21"/>
          <w:highlight w:val="none"/>
        </w:rPr>
        <w:t>专家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人。</w:t>
      </w:r>
    </w:p>
    <w:p w14:paraId="158DE449">
      <w:pPr>
        <w:spacing w:line="360" w:lineRule="exact"/>
        <w:ind w:firstLine="413"/>
        <w:outlineLvl w:val="2"/>
        <w:rPr>
          <w:rFonts w:hint="eastAsia" w:ascii="宋体" w:hAnsi="宋体" w:cs="宋体"/>
          <w:b/>
          <w:color w:val="000000"/>
          <w:szCs w:val="21"/>
          <w:highlight w:val="none"/>
        </w:rPr>
      </w:pPr>
      <w:bookmarkStart w:id="215" w:name="_Toc22982"/>
      <w:bookmarkStart w:id="216" w:name="_Toc16883"/>
      <w:bookmarkStart w:id="217" w:name="_Toc354"/>
      <w:r>
        <w:rPr>
          <w:rFonts w:hint="eastAsia" w:ascii="宋体" w:hAnsi="宋体" w:cs="宋体"/>
          <w:b/>
          <w:color w:val="000000"/>
          <w:szCs w:val="21"/>
          <w:highlight w:val="none"/>
        </w:rPr>
        <w:t>25.评标</w:t>
      </w:r>
      <w:bookmarkEnd w:id="213"/>
      <w:r>
        <w:rPr>
          <w:rFonts w:hint="eastAsia" w:ascii="宋体" w:hAnsi="宋体" w:cs="宋体"/>
          <w:b/>
          <w:color w:val="000000"/>
          <w:szCs w:val="21"/>
          <w:highlight w:val="none"/>
        </w:rPr>
        <w:t>原则</w:t>
      </w:r>
      <w:bookmarkEnd w:id="214"/>
      <w:bookmarkEnd w:id="215"/>
      <w:bookmarkEnd w:id="216"/>
      <w:bookmarkEnd w:id="217"/>
    </w:p>
    <w:p w14:paraId="5CE4B3DE">
      <w:pPr>
        <w:tabs>
          <w:tab w:val="left" w:pos="1140"/>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25.1评标办法：综合评分法，具体评标内容及标准详见第四章。</w:t>
      </w:r>
    </w:p>
    <w:p w14:paraId="66D26BEB">
      <w:pPr>
        <w:tabs>
          <w:tab w:val="left" w:pos="1140"/>
        </w:tabs>
        <w:spacing w:line="360" w:lineRule="exact"/>
        <w:ind w:firstLine="420"/>
        <w:rPr>
          <w:rFonts w:ascii="宋体" w:hAnsi="宋体" w:cs="宋体"/>
          <w:color w:val="000000"/>
          <w:highlight w:val="none"/>
        </w:rPr>
      </w:pPr>
      <w:r>
        <w:rPr>
          <w:rFonts w:hint="eastAsia" w:ascii="宋体" w:hAnsi="宋体" w:cs="宋体"/>
          <w:color w:val="000000"/>
          <w:szCs w:val="21"/>
          <w:highlight w:val="none"/>
        </w:rPr>
        <w:t>25.2评标委员会应按招标文件进行评标，不得擅自更改评标办法。</w:t>
      </w:r>
    </w:p>
    <w:p w14:paraId="53AC0B51">
      <w:pPr>
        <w:spacing w:line="360" w:lineRule="exact"/>
        <w:ind w:firstLine="413"/>
        <w:outlineLvl w:val="2"/>
        <w:rPr>
          <w:rFonts w:ascii="宋体" w:hAnsi="宋体" w:cs="宋体"/>
          <w:b/>
          <w:color w:val="000000"/>
          <w:szCs w:val="21"/>
          <w:highlight w:val="none"/>
        </w:rPr>
      </w:pPr>
      <w:bookmarkStart w:id="218" w:name="_Toc9804"/>
      <w:bookmarkStart w:id="219" w:name="_Toc1764"/>
      <w:bookmarkStart w:id="220" w:name="_Toc23171"/>
      <w:bookmarkStart w:id="221" w:name="_Toc23358"/>
      <w:bookmarkStart w:id="222" w:name="_Toc20321"/>
      <w:r>
        <w:rPr>
          <w:rFonts w:hint="eastAsia" w:ascii="宋体" w:hAnsi="宋体" w:cs="宋体"/>
          <w:b/>
          <w:color w:val="000000"/>
          <w:szCs w:val="21"/>
          <w:highlight w:val="none"/>
        </w:rPr>
        <w:t>26.评标</w:t>
      </w:r>
      <w:bookmarkEnd w:id="218"/>
      <w:bookmarkEnd w:id="219"/>
      <w:bookmarkEnd w:id="220"/>
      <w:bookmarkEnd w:id="221"/>
      <w:bookmarkEnd w:id="222"/>
    </w:p>
    <w:p w14:paraId="51591FC0">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26.1采购代理机构负责评标组织工作，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标工作完成后，按照规定向评标专家支付劳务报酬和异地评审差旅费，不得向评标专家以外的其他人员支付评审劳务报酬。</w:t>
      </w:r>
    </w:p>
    <w:p w14:paraId="7511DFCE">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供应商名单，以及根据采购人委托直接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；向采购人、采购代理机构或者有关部门报告评标中发现的违法行为。</w:t>
      </w:r>
    </w:p>
    <w:p w14:paraId="0F173FFB">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26.3在评标过程中，评标委员会任何人不得对某个投标人发表任何倾向性意见，不得向其他专家评委明示或者暗示自己的评审意见。</w:t>
      </w:r>
    </w:p>
    <w:p w14:paraId="0C6D2CF6">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26.4评标委员会应当对符合资格的投标人的投标文件进行符合性审查，以确定其是否满足招标文件的实质性要求。</w:t>
      </w:r>
    </w:p>
    <w:p w14:paraId="7F56686C">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26.5对于投标文件中含义不明确、同类问题表述不一致、有明显文字和计算错误或属于投标人疏忽、笔误所造成差错的内容，评标委员会应当以书面形式要求投标人作出必要的澄清、说明或者补正。</w:t>
      </w:r>
    </w:p>
    <w:p w14:paraId="05D105F5">
      <w:pPr>
        <w:tabs>
          <w:tab w:val="left" w:pos="1140"/>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投标人的澄清、说明或者补正应当采用书面形式，并加盖公章（CA签章），或者由法定代表人或其授权的代表签字（或个人CA签章）。投标人的澄清、说明或者补正不得超出投标文件的范围或者改变投标文件的实质性内容。</w:t>
      </w:r>
    </w:p>
    <w:p w14:paraId="1FFE9B3E">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26.6评标委员会应当按照招标文件中规定的评标方法和标准，对符合性审查合格的投标文件进行商务和技术评估，综合比较与评价。</w:t>
      </w:r>
    </w:p>
    <w:p w14:paraId="5F2806A6">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26.7投标文件报价出现前后不一致的，除招标文件另有规定外，按照下列规定修正：</w:t>
      </w:r>
    </w:p>
    <w:p w14:paraId="55D2762D">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（1）投标文件中投标报价表内容与投标文件中相应内容不一致的，以投标报价表为准；</w:t>
      </w:r>
    </w:p>
    <w:p w14:paraId="113505D7">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（2）大写金额和小写金额不一致的，以大写金额为准；</w:t>
      </w:r>
    </w:p>
    <w:p w14:paraId="678DA558">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（3）单价金额小数点或者百分比有明显错位的，以报价表的总价为准，并修改单价；</w:t>
      </w:r>
    </w:p>
    <w:p w14:paraId="7CA5ED26">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（4）总价金额与按单价汇总金额不一致的，以单价金额计算结果为准。</w:t>
      </w:r>
    </w:p>
    <w:p w14:paraId="46DA64BF">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5E7FDCF4">
      <w:pPr>
        <w:pStyle w:val="230"/>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80"/>
        <w:jc w:val="both"/>
        <w:rPr>
          <w:rFonts w:hint="eastAsia" w:ascii="宋体" w:hAnsi="宋体" w:eastAsia="宋体" w:cs="宋体"/>
          <w:b/>
          <w:bCs w:val="0"/>
          <w:i w:val="0"/>
          <w:iCs w:val="0"/>
          <w:caps w:val="0"/>
          <w:color w:val="333333"/>
          <w:spacing w:val="0"/>
          <w:sz w:val="21"/>
          <w:szCs w:val="21"/>
        </w:rPr>
      </w:pPr>
      <w:r>
        <w:rPr>
          <w:rFonts w:hint="eastAsia" w:ascii="宋体" w:hAnsi="宋体" w:cs="宋体"/>
          <w:color w:val="000000"/>
          <w:szCs w:val="21"/>
          <w:highlight w:val="none"/>
        </w:rPr>
        <w:t>26.8</w:t>
      </w:r>
      <w:r>
        <w:rPr>
          <w:rFonts w:hint="eastAsia" w:ascii="宋体" w:hAnsi="宋体" w:cs="宋体"/>
          <w:b/>
          <w:color w:val="000000"/>
          <w:sz w:val="21"/>
          <w:szCs w:val="21"/>
          <w:highlight w:val="none"/>
          <w:shd w:val="clear" w:color="auto" w:fill="FFFFFF"/>
        </w:rPr>
        <w:t>根据</w:t>
      </w:r>
      <w:r>
        <w:rPr>
          <w:rFonts w:ascii="宋体" w:hAnsi="宋体"/>
          <w:b/>
          <w:bCs/>
          <w:color w:val="000000"/>
          <w:sz w:val="21"/>
          <w:szCs w:val="21"/>
        </w:rPr>
        <w:t>《</w:t>
      </w:r>
      <w:r>
        <w:rPr>
          <w:rFonts w:hint="eastAsia" w:ascii="宋体" w:hAnsi="宋体" w:cs="宋体"/>
          <w:b/>
          <w:color w:val="000000"/>
          <w:sz w:val="21"/>
          <w:szCs w:val="21"/>
        </w:rPr>
        <w:t>关于推动解决政府采购异常低价问题的通知</w:t>
      </w:r>
      <w:r>
        <w:rPr>
          <w:rFonts w:ascii="宋体" w:hAnsi="宋体"/>
          <w:b/>
          <w:bCs/>
          <w:color w:val="000000"/>
          <w:sz w:val="21"/>
          <w:szCs w:val="21"/>
        </w:rPr>
        <w:t>》</w:t>
      </w:r>
      <w:r>
        <w:rPr>
          <w:rFonts w:hint="eastAsia" w:ascii="宋体" w:hAnsi="宋体"/>
          <w:b/>
          <w:bCs/>
          <w:color w:val="000000"/>
          <w:sz w:val="21"/>
          <w:szCs w:val="21"/>
          <w:lang w:eastAsia="zh-CN"/>
        </w:rPr>
        <w:t>（</w:t>
      </w:r>
      <w:r>
        <w:rPr>
          <w:rFonts w:ascii="宋体" w:hAnsi="宋体"/>
          <w:b/>
          <w:bCs/>
          <w:color w:val="000000"/>
          <w:sz w:val="21"/>
          <w:szCs w:val="21"/>
        </w:rPr>
        <w:t>财库〔2026〕2号</w:t>
      </w:r>
      <w:r>
        <w:rPr>
          <w:rFonts w:hint="eastAsia" w:ascii="宋体" w:hAnsi="宋体"/>
          <w:b/>
          <w:bCs/>
          <w:color w:val="000000"/>
          <w:sz w:val="21"/>
          <w:szCs w:val="21"/>
          <w:lang w:eastAsia="zh-CN"/>
        </w:rPr>
        <w:t>）</w:t>
      </w:r>
      <w:r>
        <w:rPr>
          <w:rFonts w:hint="eastAsia" w:ascii="宋体" w:hAnsi="宋体"/>
          <w:b/>
          <w:bCs/>
          <w:color w:val="000000"/>
          <w:sz w:val="21"/>
          <w:szCs w:val="21"/>
          <w:highlight w:val="none"/>
          <w:shd w:val="clear" w:color="auto" w:fill="FFFFFF"/>
          <w:lang w:eastAsia="zh-CN"/>
        </w:rPr>
        <w:t>规定</w:t>
      </w:r>
      <w:r>
        <w:rPr>
          <w:rFonts w:hint="eastAsia" w:ascii="宋体" w:hAnsi="宋体" w:cs="Calibri"/>
          <w:b/>
          <w:bCs w:val="0"/>
          <w:color w:val="000000"/>
          <w:sz w:val="21"/>
          <w:szCs w:val="21"/>
          <w:highlight w:val="none"/>
        </w:rPr>
        <w:t>，</w:t>
      </w:r>
      <w:r>
        <w:rPr>
          <w:rFonts w:hint="eastAsia" w:ascii="宋体" w:hAnsi="宋体" w:eastAsia="宋体" w:cs="宋体"/>
          <w:b/>
          <w:bCs w:val="0"/>
          <w:i w:val="0"/>
          <w:iCs w:val="0"/>
          <w:caps w:val="0"/>
          <w:color w:val="333333"/>
          <w:spacing w:val="0"/>
          <w:sz w:val="21"/>
          <w:szCs w:val="21"/>
          <w:shd w:val="clear" w:color="auto" w:fill="FFFFFF"/>
        </w:rPr>
        <w:t>政府采购评审中出现下列情形之一的，评审委员会应当启动异常低价投标（响应）审查程序： </w:t>
      </w:r>
    </w:p>
    <w:p w14:paraId="5A1A2103">
      <w:pPr>
        <w:pStyle w:val="230"/>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1</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投标（响应）报价低于全部通过符合性审查供应商投标（响应）报价平均值50%的，即投标（响应）报价&lt;全部通过符合性审查供应商投标（响应）报价平均值×50%； </w:t>
      </w:r>
    </w:p>
    <w:p w14:paraId="60F68D57">
      <w:pPr>
        <w:pStyle w:val="230"/>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2</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投标（响应）报价低于通过符合性审查的次低报价供应商投标（响应）报价50%的，即投标（响应）报价&lt;通过符合性审查的次低报价供应商投标（响应）报价×50%； </w:t>
      </w:r>
    </w:p>
    <w:p w14:paraId="7CC27BEE">
      <w:pPr>
        <w:pStyle w:val="230"/>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3</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投标（响应）报价低于采购项目最高限价45%的，即投标（响应）报价&lt;采购项目最高限价×45%； </w:t>
      </w:r>
    </w:p>
    <w:p w14:paraId="5A7F96E7">
      <w:pPr>
        <w:pStyle w:val="230"/>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333333"/>
          <w:spacing w:val="0"/>
          <w:sz w:val="21"/>
          <w:szCs w:val="21"/>
        </w:rPr>
      </w:pP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4</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评审委员会基于专业判断，认为供应商报价过低，有可能影响产品质量或者不能诚信履约的其他情形。 </w:t>
      </w:r>
    </w:p>
    <w:p w14:paraId="618C18F6">
      <w:pPr>
        <w:spacing w:line="360" w:lineRule="exact"/>
        <w:ind w:firstLine="420"/>
        <w:rPr>
          <w:rFonts w:ascii="宋体" w:hAnsi="宋体" w:cs="宋体"/>
          <w:szCs w:val="21"/>
        </w:rPr>
      </w:pPr>
      <w:r>
        <w:rPr>
          <w:rFonts w:hint="eastAsia" w:ascii="宋体" w:hAnsi="宋体" w:eastAsia="宋体" w:cs="宋体"/>
          <w:i w:val="0"/>
          <w:iCs w:val="0"/>
          <w:caps w:val="0"/>
          <w:color w:val="333333"/>
          <w:spacing w:val="0"/>
          <w:sz w:val="21"/>
          <w:szCs w:val="21"/>
          <w:shd w:val="clear" w:color="auto" w:fill="FFFFFF"/>
        </w:rPr>
        <w:t>评审委员会启动异常低价投标（响应）审查后，属于前述第1项至第4项情形的，应当要求相关供应商</w:t>
      </w:r>
      <w:r>
        <w:rPr>
          <w:rFonts w:hint="eastAsia"/>
          <w:color w:val="000000"/>
          <w:szCs w:val="21"/>
          <w:highlight w:val="none"/>
        </w:rPr>
        <w:t>在评审委员会要求的时间内</w:t>
      </w:r>
      <w:r>
        <w:rPr>
          <w:rFonts w:hint="eastAsia" w:ascii="宋体" w:hAnsi="宋体" w:eastAsia="宋体" w:cs="宋体"/>
          <w:i w:val="0"/>
          <w:iCs w:val="0"/>
          <w:caps w:val="0"/>
          <w:color w:val="333333"/>
          <w:spacing w:val="0"/>
          <w:sz w:val="21"/>
          <w:szCs w:val="21"/>
          <w:shd w:val="clear" w:color="auto" w:fill="FFFFFF"/>
        </w:rPr>
        <w:t>对投标（响应）价格作出解释，提供项目具体成本测算等与报价合理性相关的书面说明及必要的证明材料，包括但不限于原材料成本、人工成本、制造费用等，给予相关供应商的合理时间</w:t>
      </w:r>
      <w:r>
        <w:rPr>
          <w:rFonts w:hint="eastAsia" w:ascii="宋体" w:hAnsi="宋体" w:eastAsia="宋体" w:cs="宋体"/>
          <w:i w:val="0"/>
          <w:iCs w:val="0"/>
          <w:caps w:val="0"/>
          <w:color w:val="333333"/>
          <w:spacing w:val="0"/>
          <w:sz w:val="21"/>
          <w:szCs w:val="21"/>
        </w:rPr>
        <w:t>一般</w:t>
      </w:r>
      <w:r>
        <w:rPr>
          <w:rFonts w:hint="eastAsia" w:ascii="宋体" w:hAnsi="宋体" w:eastAsia="宋体" w:cs="宋体"/>
          <w:i w:val="0"/>
          <w:iCs w:val="0"/>
          <w:caps w:val="0"/>
          <w:color w:val="333333"/>
          <w:spacing w:val="0"/>
          <w:sz w:val="21"/>
          <w:szCs w:val="21"/>
          <w:shd w:val="clear" w:color="auto" w:fill="FFFFFF"/>
        </w:rPr>
        <w:t>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color w:val="000000"/>
          <w:szCs w:val="21"/>
          <w:highlight w:val="none"/>
        </w:rPr>
        <w:t> 异常低价投标（响应）审查的启动原因、审查意见和审查结果应当在评审报告中记录</w:t>
      </w:r>
      <w:r>
        <w:rPr>
          <w:rFonts w:hint="eastAsia"/>
          <w:color w:val="000000"/>
          <w:szCs w:val="21"/>
          <w:highlight w:val="none"/>
          <w:lang w:eastAsia="zh-CN"/>
        </w:rPr>
        <w:t>。</w:t>
      </w:r>
    </w:p>
    <w:p w14:paraId="1F483181">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26.9评标委员会成员对需要共同认定的事项存在争议的，应当按照少数服从多数的原则作出结论。持不同意见的评标委员会成员应当在评标报告上签署不同意见及理由，否则视为同意评标报告。</w:t>
      </w:r>
    </w:p>
    <w:p w14:paraId="62E887EE">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26.10评标结果汇总完成后，除下列情形外，任何人不得修改评标结果：</w:t>
      </w:r>
    </w:p>
    <w:p w14:paraId="0C29C99E">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（一）分值汇总计算错误的；</w:t>
      </w:r>
    </w:p>
    <w:p w14:paraId="137AA97B">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（二）分项评分超出评分标准范围的；</w:t>
      </w:r>
    </w:p>
    <w:p w14:paraId="6C742EFB">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（三）评标委员会成员对客观评审因素评分不一致的；</w:t>
      </w:r>
    </w:p>
    <w:p w14:paraId="2B119A83">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（四）经评标委员会认定评分畸高、畸低的。</w:t>
      </w:r>
    </w:p>
    <w:p w14:paraId="6465D77D">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AA32CF1">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投标人对本条第一款情形提出质疑的，采购人或者采购代理机构可以组织原评标委员会进行重新评审，重新评审改变评标结果的，应当书面报告本级财政部门。</w:t>
      </w:r>
    </w:p>
    <w:p w14:paraId="11F9688B">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26.11采购代理机构发现评标委员会有明显的违规倾向或歧视现象，或不按评标办法进行，或其他不正常行为的，应当及时制止。如制止无效，应及时向本级财政部门报告。</w:t>
      </w:r>
    </w:p>
    <w:p w14:paraId="46DFED12">
      <w:pPr>
        <w:spacing w:line="360" w:lineRule="exact"/>
        <w:ind w:firstLine="413"/>
        <w:outlineLvl w:val="2"/>
        <w:rPr>
          <w:rFonts w:ascii="宋体" w:hAnsi="宋体" w:cs="宋体"/>
          <w:b/>
          <w:color w:val="000000"/>
          <w:szCs w:val="21"/>
          <w:highlight w:val="none"/>
        </w:rPr>
      </w:pPr>
      <w:bookmarkStart w:id="223" w:name="_Toc2815"/>
      <w:bookmarkStart w:id="224" w:name="_Toc30450"/>
      <w:bookmarkStart w:id="225" w:name="_Toc7115"/>
      <w:bookmarkStart w:id="226" w:name="_Toc25944"/>
      <w:bookmarkStart w:id="227" w:name="_Toc17773"/>
      <w:r>
        <w:rPr>
          <w:rFonts w:hint="eastAsia" w:ascii="宋体" w:hAnsi="宋体" w:cs="宋体"/>
          <w:b/>
          <w:color w:val="000000"/>
          <w:szCs w:val="21"/>
          <w:highlight w:val="none"/>
        </w:rPr>
        <w:t>27.推荐及确定中标候选供应商原则</w:t>
      </w:r>
      <w:bookmarkEnd w:id="223"/>
      <w:bookmarkEnd w:id="224"/>
      <w:bookmarkEnd w:id="225"/>
      <w:bookmarkEnd w:id="226"/>
      <w:bookmarkEnd w:id="227"/>
    </w:p>
    <w:p w14:paraId="67176874">
      <w:pPr>
        <w:tabs>
          <w:tab w:val="left" w:pos="4214"/>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（1）评标委员会根据综合得分由高到低排列次序，若得分相同时，按评标价由低到高顺序排列；</w:t>
      </w:r>
      <w:r>
        <w:rPr>
          <w:rFonts w:hint="eastAsia" w:ascii="宋体" w:hAnsi="宋体" w:cs="宋体"/>
          <w:color w:val="000000"/>
          <w:szCs w:val="21"/>
        </w:rPr>
        <w:t>得分相同且评标价也相同的由评标委员会按照抽签的方式决定排次次序</w:t>
      </w:r>
      <w:r>
        <w:rPr>
          <w:rFonts w:hint="eastAsia" w:ascii="宋体" w:hAnsi="宋体" w:cs="宋体"/>
          <w:color w:val="000000"/>
          <w:sz w:val="22"/>
          <w:szCs w:val="22"/>
          <w:highlight w:val="none"/>
        </w:rPr>
        <w:t>。</w:t>
      </w:r>
    </w:p>
    <w:p w14:paraId="15D3189C">
      <w:pPr>
        <w:tabs>
          <w:tab w:val="left" w:pos="4214"/>
        </w:tabs>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（2）评标委员会可推荐前三名为中标候选供应商，采购人应当确定评标委员会推荐排名第一的中标候选供应商为</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w:t>
      </w:r>
    </w:p>
    <w:p w14:paraId="5C5761AD">
      <w:pPr>
        <w:spacing w:line="360" w:lineRule="exact"/>
        <w:ind w:firstLine="447"/>
        <w:rPr>
          <w:rFonts w:ascii="宋体" w:hAnsi="宋体" w:cs="宋体"/>
          <w:color w:val="000000"/>
          <w:szCs w:val="21"/>
          <w:highlight w:val="none"/>
        </w:rPr>
      </w:pPr>
      <w:r>
        <w:rPr>
          <w:rFonts w:hint="eastAsia" w:ascii="宋体" w:hAnsi="宋体" w:cs="宋体"/>
          <w:color w:val="000000"/>
          <w:szCs w:val="21"/>
          <w:highlight w:val="none"/>
        </w:rPr>
        <w:t>（3）排名第一的中标候选供应商放弃中标、因不可抗力提出不能履行合同，或者招标文件规定应当提交履约保证金而在规定的期限内未能提交的，或因失信行为被取消中标候选供应商资格的，采购人可以确定排名第二的中标候选供应商为</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，并依此类推。</w:t>
      </w:r>
    </w:p>
    <w:p w14:paraId="1424CA8B">
      <w:pPr>
        <w:spacing w:line="360" w:lineRule="exact"/>
        <w:ind w:firstLine="413"/>
        <w:outlineLvl w:val="2"/>
        <w:rPr>
          <w:rFonts w:ascii="宋体" w:hAnsi="宋体" w:cs="宋体"/>
          <w:b/>
          <w:color w:val="000000"/>
          <w:szCs w:val="21"/>
          <w:highlight w:val="none"/>
        </w:rPr>
      </w:pPr>
      <w:bookmarkStart w:id="228" w:name="_Toc32677"/>
      <w:bookmarkStart w:id="229" w:name="_Toc22535"/>
      <w:bookmarkStart w:id="230" w:name="_Toc3571"/>
      <w:bookmarkStart w:id="231" w:name="_Toc17951"/>
      <w:bookmarkStart w:id="232" w:name="_Toc1836"/>
      <w:r>
        <w:rPr>
          <w:rFonts w:hint="eastAsia" w:ascii="宋体" w:hAnsi="宋体" w:cs="宋体"/>
          <w:b/>
          <w:color w:val="000000"/>
          <w:szCs w:val="21"/>
          <w:highlight w:val="none"/>
        </w:rPr>
        <w:t>28.属于下列情况之一者，投标无效</w:t>
      </w:r>
      <w:bookmarkEnd w:id="228"/>
      <w:bookmarkEnd w:id="229"/>
      <w:bookmarkEnd w:id="230"/>
      <w:bookmarkEnd w:id="231"/>
      <w:bookmarkEnd w:id="232"/>
    </w:p>
    <w:p w14:paraId="533AB36B">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（1）未按照招标文件规定要求签字、盖章的；</w:t>
      </w:r>
    </w:p>
    <w:p w14:paraId="0B923A9E">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（2）报价超过招标文件中规定的预算金额的；</w:t>
      </w:r>
    </w:p>
    <w:p w14:paraId="5C60BD66">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（3）不具备招标文件中规定的资格要求的</w:t>
      </w:r>
      <w:r>
        <w:rPr>
          <w:rFonts w:hint="eastAsia" w:ascii="宋体" w:hAnsi="宋体" w:cs="宋体"/>
          <w:color w:val="000000"/>
          <w:highlight w:val="none"/>
        </w:rPr>
        <w:t>；</w:t>
      </w:r>
    </w:p>
    <w:p w14:paraId="2BC01D81">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（4）投标文件含有采购人不能接受的附加条件的；</w:t>
      </w:r>
    </w:p>
    <w:p w14:paraId="3CAAD9B2">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（5）投标文件未按招标文件的内容和要求编制，或提供虚假材料的；</w:t>
      </w:r>
    </w:p>
    <w:p w14:paraId="5D133F54">
      <w:pPr>
        <w:spacing w:line="360" w:lineRule="exact"/>
        <w:ind w:firstLine="411"/>
        <w:rPr>
          <w:rFonts w:ascii="宋体" w:hAnsi="宋体" w:cs="宋体"/>
          <w:color w:val="000000"/>
          <w:highlight w:val="none"/>
        </w:rPr>
      </w:pPr>
      <w:r>
        <w:rPr>
          <w:rFonts w:hint="eastAsia" w:ascii="宋体" w:hAnsi="宋体" w:cs="宋体"/>
          <w:color w:val="000000"/>
          <w:szCs w:val="21"/>
          <w:highlight w:val="none"/>
        </w:rPr>
        <w:t>（6）</w:t>
      </w:r>
      <w:r>
        <w:rPr>
          <w:rFonts w:hint="eastAsia" w:ascii="宋体" w:hAnsi="宋体" w:cs="宋体"/>
          <w:color w:val="000000"/>
          <w:highlight w:val="none"/>
        </w:rPr>
        <w:t>投标</w:t>
      </w:r>
      <w:r>
        <w:rPr>
          <w:rFonts w:hint="eastAsia" w:ascii="宋体" w:hAnsi="宋体" w:cs="宋体"/>
          <w:color w:val="000000"/>
          <w:szCs w:val="21"/>
          <w:highlight w:val="none"/>
        </w:rPr>
        <w:t>人未就“</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”中的所有内容作完整唯一报价的</w:t>
      </w:r>
      <w:r>
        <w:rPr>
          <w:rFonts w:hint="eastAsia" w:ascii="宋体" w:hAnsi="宋体" w:cs="宋体"/>
          <w:color w:val="000000"/>
          <w:highlight w:val="none"/>
        </w:rPr>
        <w:t>；</w:t>
      </w:r>
    </w:p>
    <w:p w14:paraId="05C44D6D">
      <w:pPr>
        <w:spacing w:line="360" w:lineRule="exact"/>
        <w:ind w:firstLine="411"/>
        <w:rPr>
          <w:rFonts w:ascii="宋体" w:hAnsi="宋体" w:cs="宋体"/>
          <w:color w:val="000000"/>
          <w:szCs w:val="21"/>
          <w:highlight w:val="none"/>
        </w:rPr>
      </w:pPr>
      <w:r>
        <w:rPr>
          <w:rFonts w:hint="eastAsia" w:ascii="宋体" w:hAnsi="宋体" w:cs="宋体"/>
          <w:color w:val="000000"/>
          <w:szCs w:val="21"/>
          <w:highlight w:val="none"/>
        </w:rPr>
        <w:t>（7）未完全响应招标文件实质性要求的；</w:t>
      </w:r>
    </w:p>
    <w:p w14:paraId="39BDAF91">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（8）法律、法规和招标文件规定的其他无效情形。</w:t>
      </w:r>
    </w:p>
    <w:p w14:paraId="0D3FC3E0">
      <w:pPr>
        <w:spacing w:line="360" w:lineRule="exact"/>
        <w:ind w:firstLine="413"/>
        <w:outlineLvl w:val="2"/>
        <w:rPr>
          <w:rFonts w:ascii="宋体" w:hAnsi="宋体" w:cs="宋体"/>
          <w:b/>
          <w:color w:val="000000"/>
          <w:szCs w:val="21"/>
          <w:highlight w:val="none"/>
        </w:rPr>
      </w:pPr>
      <w:bookmarkStart w:id="233" w:name="_Toc27"/>
      <w:bookmarkStart w:id="234" w:name="_Toc15081"/>
      <w:bookmarkStart w:id="235" w:name="_Toc21177"/>
      <w:bookmarkStart w:id="236" w:name="_Toc29907"/>
      <w:bookmarkStart w:id="237" w:name="_Toc32362"/>
      <w:r>
        <w:rPr>
          <w:rFonts w:hint="eastAsia" w:ascii="宋体" w:hAnsi="宋体" w:cs="宋体"/>
          <w:b/>
          <w:color w:val="000000"/>
          <w:szCs w:val="21"/>
          <w:highlight w:val="none"/>
        </w:rPr>
        <w:t>29.投标人有下列情形之一的，视为串通投标，投标文件将被视为无效</w:t>
      </w:r>
      <w:bookmarkEnd w:id="233"/>
      <w:bookmarkEnd w:id="234"/>
      <w:bookmarkEnd w:id="235"/>
      <w:bookmarkEnd w:id="236"/>
      <w:bookmarkEnd w:id="237"/>
    </w:p>
    <w:p w14:paraId="5FBF4894">
      <w:pPr>
        <w:spacing w:line="360" w:lineRule="exact"/>
        <w:ind w:left="355" w:firstLine="102"/>
        <w:rPr>
          <w:rFonts w:ascii="宋体" w:hAnsi="宋体" w:cs="宋体"/>
          <w:color w:val="000000"/>
          <w:highlight w:val="none"/>
        </w:rPr>
      </w:pPr>
      <w:r>
        <w:rPr>
          <w:rFonts w:hint="eastAsia" w:ascii="宋体" w:hAnsi="宋体" w:cs="宋体"/>
          <w:color w:val="000000"/>
          <w:highlight w:val="none"/>
        </w:rPr>
        <w:t>（1）不同投标人的投标文件由同一单位或者个人编制；</w:t>
      </w:r>
    </w:p>
    <w:p w14:paraId="7FF81F44">
      <w:pPr>
        <w:spacing w:line="360" w:lineRule="exact"/>
        <w:ind w:left="355" w:firstLine="102"/>
        <w:rPr>
          <w:rFonts w:ascii="宋体" w:hAnsi="宋体" w:cs="宋体"/>
          <w:color w:val="000000"/>
          <w:highlight w:val="none"/>
        </w:rPr>
      </w:pPr>
      <w:r>
        <w:rPr>
          <w:rFonts w:hint="eastAsia" w:ascii="宋体" w:hAnsi="宋体" w:cs="宋体"/>
          <w:color w:val="000000"/>
          <w:highlight w:val="none"/>
        </w:rPr>
        <w:t>（2）不同投标人委托同一单位或者个人办理投标事宜；</w:t>
      </w:r>
    </w:p>
    <w:p w14:paraId="313ED2F8">
      <w:pPr>
        <w:spacing w:line="360" w:lineRule="exact"/>
        <w:ind w:left="355" w:firstLine="102"/>
        <w:rPr>
          <w:rFonts w:ascii="宋体" w:hAnsi="宋体" w:cs="宋体"/>
          <w:color w:val="000000"/>
          <w:highlight w:val="none"/>
        </w:rPr>
      </w:pPr>
      <w:r>
        <w:rPr>
          <w:rFonts w:hint="eastAsia" w:ascii="宋体" w:hAnsi="宋体" w:cs="宋体"/>
          <w:color w:val="000000"/>
          <w:highlight w:val="none"/>
        </w:rPr>
        <w:t>（3）不同的投标人的投标文件载明的项目管理员或者联系人员为同一个人；</w:t>
      </w:r>
    </w:p>
    <w:p w14:paraId="2226F390">
      <w:pPr>
        <w:spacing w:line="360" w:lineRule="exact"/>
        <w:ind w:left="355" w:firstLine="102"/>
        <w:rPr>
          <w:rFonts w:hint="eastAsia" w:ascii="宋体" w:hAnsi="宋体" w:eastAsia="宋体" w:cs="宋体"/>
          <w:color w:val="000000"/>
          <w:highlight w:val="none"/>
          <w:lang w:eastAsia="zh-CN"/>
        </w:rPr>
      </w:pPr>
      <w:r>
        <w:rPr>
          <w:rFonts w:hint="eastAsia" w:ascii="宋体" w:hAnsi="宋体" w:cs="宋体"/>
          <w:color w:val="000000"/>
          <w:highlight w:val="none"/>
        </w:rPr>
        <w:t>（4）不同投标人的投标文件异常一致或投标报价呈规律性差异；</w:t>
      </w:r>
    </w:p>
    <w:p w14:paraId="17979BC6">
      <w:pPr>
        <w:spacing w:line="360" w:lineRule="exact"/>
        <w:ind w:left="355" w:firstLine="102"/>
        <w:rPr>
          <w:rFonts w:ascii="宋体" w:hAnsi="宋体" w:cs="宋体"/>
          <w:color w:val="000000"/>
          <w:highlight w:val="none"/>
        </w:rPr>
      </w:pPr>
      <w:r>
        <w:rPr>
          <w:rFonts w:hint="eastAsia" w:ascii="宋体" w:hAnsi="宋体" w:cs="宋体"/>
          <w:color w:val="000000"/>
          <w:highlight w:val="none"/>
        </w:rPr>
        <w:t>（5）不同投标人的投标文件相互混</w:t>
      </w:r>
      <w:r>
        <w:rPr>
          <w:rFonts w:hint="eastAsia" w:ascii="宋体" w:hAnsi="宋体" w:cs="宋体"/>
          <w:color w:val="000000"/>
          <w:highlight w:val="none"/>
          <w:lang w:eastAsia="zh-CN"/>
        </w:rPr>
        <w:t>编</w:t>
      </w:r>
      <w:r>
        <w:rPr>
          <w:rFonts w:hint="eastAsia" w:ascii="宋体" w:hAnsi="宋体" w:cs="宋体"/>
          <w:color w:val="000000"/>
          <w:highlight w:val="none"/>
        </w:rPr>
        <w:t>；</w:t>
      </w:r>
    </w:p>
    <w:p w14:paraId="7719B156">
      <w:pPr>
        <w:spacing w:line="360" w:lineRule="exact"/>
        <w:ind w:left="355" w:firstLine="102"/>
        <w:rPr>
          <w:rFonts w:ascii="宋体" w:hAnsi="宋体" w:cs="宋体"/>
          <w:color w:val="000000"/>
          <w:highlight w:val="none"/>
        </w:rPr>
      </w:pPr>
      <w:r>
        <w:rPr>
          <w:rFonts w:hint="eastAsia" w:ascii="宋体" w:hAnsi="宋体" w:cs="宋体"/>
          <w:color w:val="000000"/>
          <w:highlight w:val="none"/>
        </w:rPr>
        <w:t>（6）不同投标人的投标保证金从同一单位或者个人账户转出。</w:t>
      </w:r>
    </w:p>
    <w:p w14:paraId="64F5AF70">
      <w:pPr>
        <w:spacing w:line="360" w:lineRule="exact"/>
        <w:ind w:firstLine="413"/>
        <w:outlineLvl w:val="2"/>
        <w:rPr>
          <w:rFonts w:ascii="宋体" w:hAnsi="宋体" w:cs="宋体"/>
          <w:b/>
          <w:color w:val="000000"/>
          <w:szCs w:val="21"/>
          <w:highlight w:val="none"/>
        </w:rPr>
      </w:pPr>
      <w:bookmarkStart w:id="238" w:name="_Toc18148"/>
      <w:bookmarkStart w:id="239" w:name="_Toc17933"/>
      <w:bookmarkStart w:id="240" w:name="_Toc2973"/>
      <w:bookmarkStart w:id="241" w:name="_Toc11833"/>
      <w:bookmarkStart w:id="242" w:name="_Toc11161"/>
      <w:r>
        <w:rPr>
          <w:rFonts w:hint="eastAsia" w:ascii="宋体" w:hAnsi="宋体" w:cs="宋体"/>
          <w:b/>
          <w:color w:val="000000"/>
          <w:szCs w:val="21"/>
          <w:highlight w:val="none"/>
        </w:rPr>
        <w:t>30.属于下列情形之一的，应予废标</w:t>
      </w:r>
      <w:bookmarkEnd w:id="238"/>
      <w:bookmarkEnd w:id="239"/>
      <w:bookmarkEnd w:id="240"/>
      <w:bookmarkEnd w:id="241"/>
      <w:bookmarkEnd w:id="242"/>
    </w:p>
    <w:p w14:paraId="129C6C79">
      <w:pPr>
        <w:tabs>
          <w:tab w:val="left" w:pos="840"/>
        </w:tabs>
        <w:spacing w:line="360" w:lineRule="exact"/>
        <w:ind w:left="330" w:firstLine="102"/>
        <w:rPr>
          <w:rFonts w:ascii="宋体" w:hAnsi="宋体" w:cs="宋体"/>
          <w:color w:val="000000"/>
          <w:szCs w:val="21"/>
          <w:highlight w:val="none"/>
        </w:rPr>
      </w:pPr>
      <w:r>
        <w:rPr>
          <w:rFonts w:hint="eastAsia" w:ascii="宋体" w:hAnsi="宋体" w:cs="宋体"/>
          <w:color w:val="000000"/>
          <w:szCs w:val="21"/>
          <w:highlight w:val="none"/>
        </w:rPr>
        <w:t>（1）符合专业条件的供应商或者对招标文件作实质响应的供应商不足3家的；</w:t>
      </w:r>
    </w:p>
    <w:p w14:paraId="3193121B">
      <w:pPr>
        <w:tabs>
          <w:tab w:val="left" w:pos="840"/>
        </w:tabs>
        <w:spacing w:line="360" w:lineRule="exact"/>
        <w:ind w:left="330" w:firstLine="105"/>
        <w:rPr>
          <w:rFonts w:ascii="宋体" w:hAnsi="宋体" w:cs="宋体"/>
          <w:color w:val="000000"/>
          <w:szCs w:val="21"/>
          <w:highlight w:val="none"/>
        </w:rPr>
      </w:pPr>
      <w:r>
        <w:rPr>
          <w:rFonts w:hint="eastAsia" w:ascii="宋体" w:hAnsi="宋体" w:cs="宋体"/>
          <w:color w:val="000000"/>
          <w:szCs w:val="21"/>
          <w:highlight w:val="none"/>
        </w:rPr>
        <w:t>（2）出现影响采购公正的违法、违规行为的；</w:t>
      </w:r>
    </w:p>
    <w:p w14:paraId="6F52E95B">
      <w:pPr>
        <w:tabs>
          <w:tab w:val="left" w:pos="840"/>
        </w:tabs>
        <w:spacing w:line="360" w:lineRule="exact"/>
        <w:ind w:left="330" w:firstLine="105"/>
        <w:rPr>
          <w:rFonts w:ascii="宋体" w:hAnsi="宋体" w:cs="宋体"/>
          <w:color w:val="000000"/>
          <w:highlight w:val="none"/>
        </w:rPr>
      </w:pPr>
      <w:r>
        <w:rPr>
          <w:rFonts w:hint="eastAsia" w:ascii="宋体" w:hAnsi="宋体" w:cs="宋体"/>
          <w:color w:val="000000"/>
          <w:highlight w:val="none"/>
        </w:rPr>
        <w:t>（3）采购文件内容违反国家有关强制性规定的；</w:t>
      </w:r>
    </w:p>
    <w:p w14:paraId="266E654C">
      <w:pPr>
        <w:tabs>
          <w:tab w:val="left" w:pos="840"/>
        </w:tabs>
        <w:spacing w:line="360" w:lineRule="exact"/>
        <w:ind w:left="330" w:firstLine="105"/>
        <w:rPr>
          <w:rFonts w:ascii="宋体" w:hAnsi="宋体" w:cs="宋体"/>
          <w:color w:val="000000"/>
          <w:highlight w:val="none"/>
        </w:rPr>
      </w:pPr>
      <w:r>
        <w:rPr>
          <w:rFonts w:hint="eastAsia" w:ascii="宋体" w:hAnsi="宋体" w:cs="宋体"/>
          <w:color w:val="000000"/>
          <w:highlight w:val="none"/>
        </w:rPr>
        <w:t>（4）因重大变故，采购任务取消的。</w:t>
      </w:r>
    </w:p>
    <w:p w14:paraId="1F303B03">
      <w:pPr>
        <w:spacing w:line="360" w:lineRule="exact"/>
        <w:ind w:firstLine="413"/>
        <w:outlineLvl w:val="2"/>
        <w:rPr>
          <w:rFonts w:ascii="宋体" w:hAnsi="宋体" w:cs="宋体"/>
          <w:b/>
          <w:color w:val="000000"/>
          <w:szCs w:val="21"/>
          <w:highlight w:val="none"/>
        </w:rPr>
      </w:pPr>
      <w:bookmarkStart w:id="243" w:name="_Toc15042"/>
      <w:bookmarkStart w:id="244" w:name="_Toc12274"/>
      <w:bookmarkStart w:id="245" w:name="_Toc21833"/>
      <w:bookmarkStart w:id="246" w:name="_Toc28686"/>
      <w:bookmarkStart w:id="247" w:name="_Toc4380"/>
      <w:r>
        <w:rPr>
          <w:rFonts w:hint="eastAsia" w:ascii="宋体" w:hAnsi="宋体" w:cs="宋体"/>
          <w:b/>
          <w:color w:val="000000"/>
          <w:szCs w:val="21"/>
          <w:highlight w:val="none"/>
        </w:rPr>
        <w:t>31.开标、评标过程的监控</w:t>
      </w:r>
      <w:bookmarkEnd w:id="243"/>
      <w:bookmarkEnd w:id="244"/>
      <w:bookmarkEnd w:id="245"/>
      <w:bookmarkEnd w:id="246"/>
      <w:bookmarkEnd w:id="247"/>
    </w:p>
    <w:p w14:paraId="44B5DD00">
      <w:pPr>
        <w:spacing w:line="360" w:lineRule="exact"/>
        <w:ind w:firstLine="411"/>
        <w:rPr>
          <w:rFonts w:ascii="宋体" w:hAnsi="宋体" w:cs="宋体"/>
          <w:color w:val="000000"/>
          <w:highlight w:val="none"/>
        </w:rPr>
      </w:pPr>
      <w:r>
        <w:rPr>
          <w:rFonts w:hint="eastAsia" w:ascii="宋体" w:hAnsi="宋体" w:cs="宋体"/>
          <w:color w:val="000000"/>
          <w:highlight w:val="none"/>
        </w:rPr>
        <w:t>本项目开标、评标过程实行全程录音、录像</w:t>
      </w:r>
      <w:r>
        <w:rPr>
          <w:rFonts w:hint="eastAsia" w:ascii="宋体" w:hAnsi="宋体" w:cs="宋体"/>
          <w:color w:val="000000"/>
        </w:rPr>
        <w:t>监控</w:t>
      </w:r>
      <w:r>
        <w:rPr>
          <w:rFonts w:hint="eastAsia" w:ascii="宋体" w:hAnsi="宋体" w:cs="宋体"/>
          <w:color w:val="000000"/>
          <w:highlight w:val="none"/>
        </w:rPr>
        <w:t>，投标人在评标过程中所进行的试图影响评标结果的不公正活动，可能导致其投标被拒绝。</w:t>
      </w:r>
    </w:p>
    <w:p w14:paraId="6489EA8E">
      <w:pPr>
        <w:spacing w:line="360" w:lineRule="exact"/>
        <w:ind w:firstLine="413"/>
        <w:outlineLvl w:val="2"/>
        <w:rPr>
          <w:rFonts w:ascii="宋体" w:hAnsi="宋体" w:cs="宋体"/>
          <w:b/>
          <w:color w:val="000000"/>
          <w:szCs w:val="21"/>
          <w:highlight w:val="none"/>
        </w:rPr>
      </w:pPr>
      <w:bookmarkStart w:id="248" w:name="_Toc29358"/>
      <w:bookmarkStart w:id="249" w:name="_Toc26650"/>
      <w:bookmarkStart w:id="250" w:name="_Toc12154"/>
      <w:bookmarkStart w:id="251" w:name="_Toc1321"/>
      <w:bookmarkStart w:id="252" w:name="_Toc31586"/>
      <w:r>
        <w:rPr>
          <w:rFonts w:hint="eastAsia" w:ascii="宋体" w:hAnsi="宋体" w:cs="宋体"/>
          <w:b/>
          <w:color w:val="000000"/>
          <w:szCs w:val="21"/>
          <w:highlight w:val="none"/>
        </w:rPr>
        <w:t>32.信用查询</w:t>
      </w:r>
      <w:bookmarkEnd w:id="248"/>
      <w:bookmarkEnd w:id="249"/>
      <w:bookmarkEnd w:id="250"/>
      <w:bookmarkEnd w:id="251"/>
      <w:bookmarkEnd w:id="252"/>
    </w:p>
    <w:p w14:paraId="738D93EF">
      <w:pPr>
        <w:spacing w:line="360" w:lineRule="exact"/>
        <w:ind w:firstLine="411"/>
        <w:rPr>
          <w:rFonts w:ascii="宋体" w:hAnsi="宋体" w:cs="宋体"/>
          <w:color w:val="000000"/>
          <w:highlight w:val="none"/>
        </w:rPr>
      </w:pPr>
      <w:r>
        <w:rPr>
          <w:rFonts w:hint="eastAsia" w:ascii="宋体" w:hAnsi="宋体" w:cs="宋体"/>
          <w:color w:val="000000"/>
          <w:highlight w:val="none"/>
        </w:rPr>
        <w:t>根据《关于做好政府采购有关信用主体标识码登记及在政府采购活动中查询使用信用记录有关问题的通知》（桂财采〔2016〕37号），中标通知书发出前，由采购代理机构对第一中标候选供应商进行信用查询：</w:t>
      </w:r>
    </w:p>
    <w:p w14:paraId="29AB1999">
      <w:pPr>
        <w:spacing w:line="360" w:lineRule="exact"/>
        <w:ind w:firstLine="411"/>
        <w:rPr>
          <w:rFonts w:ascii="宋体" w:hAnsi="宋体" w:cs="宋体"/>
          <w:color w:val="000000"/>
          <w:highlight w:val="none"/>
        </w:rPr>
      </w:pPr>
      <w:r>
        <w:rPr>
          <w:rFonts w:hint="eastAsia" w:ascii="宋体" w:hAnsi="宋体" w:cs="宋体"/>
          <w:color w:val="000000"/>
          <w:highlight w:val="none"/>
        </w:rPr>
        <w:t>⑴查询渠道：“信用中国”网站(www.creditchina.gov.cn)、中国政府采购网(www.ccgp.gov.cn)等；</w:t>
      </w:r>
    </w:p>
    <w:p w14:paraId="51BF885C">
      <w:pPr>
        <w:spacing w:line="360" w:lineRule="exact"/>
        <w:ind w:firstLine="411"/>
        <w:rPr>
          <w:rFonts w:ascii="宋体" w:hAnsi="宋体" w:cs="宋体"/>
          <w:color w:val="000000"/>
          <w:highlight w:val="none"/>
        </w:rPr>
      </w:pPr>
      <w:r>
        <w:rPr>
          <w:rFonts w:hint="eastAsia" w:ascii="宋体" w:hAnsi="宋体" w:cs="宋体"/>
          <w:color w:val="000000"/>
          <w:highlight w:val="none"/>
        </w:rPr>
        <w:t>⑵查询时间：中标通知书发出前；</w:t>
      </w:r>
    </w:p>
    <w:p w14:paraId="40E26ED4">
      <w:pPr>
        <w:spacing w:line="360" w:lineRule="exact"/>
        <w:ind w:firstLine="411"/>
        <w:rPr>
          <w:rFonts w:ascii="宋体" w:hAnsi="宋体" w:cs="宋体"/>
          <w:color w:val="000000"/>
          <w:highlight w:val="none"/>
        </w:rPr>
      </w:pPr>
      <w:r>
        <w:rPr>
          <w:rFonts w:hint="eastAsia" w:ascii="宋体" w:hAnsi="宋体" w:cs="宋体"/>
          <w:color w:val="000000"/>
          <w:highlight w:val="none"/>
        </w:rPr>
        <w:t>⑶信用信息查询记录和证据留存方式：在查询网站中直接打印查询记录，打印材料作为采购活动资料保存；</w:t>
      </w:r>
    </w:p>
    <w:p w14:paraId="619B76A3">
      <w:pPr>
        <w:spacing w:line="360" w:lineRule="exact"/>
        <w:ind w:firstLine="411"/>
        <w:rPr>
          <w:rFonts w:ascii="宋体" w:hAnsi="宋体" w:cs="宋体"/>
          <w:color w:val="000000"/>
          <w:highlight w:val="none"/>
        </w:rPr>
      </w:pPr>
      <w:r>
        <w:rPr>
          <w:rFonts w:hint="eastAsia" w:ascii="宋体" w:hAnsi="宋体" w:cs="宋体"/>
          <w:color w:val="000000"/>
          <w:highlight w:val="none"/>
        </w:rPr>
        <w:t>⑷信用信息使用规则：对在“信用中国”网站(www.creditchina.gov.cn)、中国政府采购网(www.ccgp.gov.cn)等渠道列入失信被执行人、</w:t>
      </w:r>
      <w:r>
        <w:rPr>
          <w:rFonts w:hint="eastAsia" w:ascii="宋体" w:hAnsi="宋体" w:cs="宋体"/>
          <w:color w:val="000000"/>
        </w:rPr>
        <w:t>重大税收违法案件当事人</w:t>
      </w:r>
      <w:r>
        <w:rPr>
          <w:rFonts w:hint="eastAsia" w:ascii="宋体" w:hAnsi="宋体" w:cs="宋体"/>
          <w:color w:val="000000"/>
          <w:highlight w:val="none"/>
        </w:rPr>
        <w:t>名单、政府采购严重违法失信行为记录名单及其他不符合《中华人民共和国政府采购法》第二十二条规定条件的供应商，取消其中标候选供应商资格。</w:t>
      </w:r>
    </w:p>
    <w:p w14:paraId="01184ED3">
      <w:pPr>
        <w:spacing w:line="360" w:lineRule="exact"/>
        <w:ind w:firstLine="411"/>
        <w:rPr>
          <w:rFonts w:ascii="宋体" w:hAnsi="宋体" w:cs="宋体"/>
          <w:color w:val="000000"/>
          <w:highlight w:val="none"/>
        </w:rPr>
      </w:pPr>
      <w:r>
        <w:rPr>
          <w:rFonts w:hint="eastAsia" w:ascii="宋体" w:hAnsi="宋体" w:cs="宋体"/>
          <w:color w:val="000000"/>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1E7A05C3">
      <w:pPr>
        <w:spacing w:line="360" w:lineRule="exact"/>
        <w:ind w:firstLine="413"/>
        <w:outlineLvl w:val="2"/>
        <w:rPr>
          <w:rFonts w:ascii="宋体" w:hAnsi="宋体" w:cs="宋体"/>
          <w:b/>
          <w:color w:val="000000"/>
          <w:szCs w:val="21"/>
          <w:highlight w:val="none"/>
        </w:rPr>
      </w:pPr>
      <w:bookmarkStart w:id="253" w:name="_Toc27712"/>
      <w:bookmarkStart w:id="254" w:name="_Toc30043"/>
      <w:bookmarkStart w:id="255" w:name="_Toc18861"/>
      <w:bookmarkStart w:id="256" w:name="_Toc14341"/>
      <w:bookmarkStart w:id="257" w:name="_Toc3011"/>
      <w:r>
        <w:rPr>
          <w:rFonts w:hint="eastAsia" w:ascii="宋体" w:hAnsi="宋体" w:cs="宋体"/>
          <w:b/>
          <w:color w:val="000000"/>
          <w:szCs w:val="21"/>
          <w:highlight w:val="none"/>
        </w:rPr>
        <w:t>33.中标公告及中标通知书</w:t>
      </w:r>
      <w:bookmarkEnd w:id="253"/>
      <w:bookmarkEnd w:id="254"/>
      <w:bookmarkEnd w:id="255"/>
      <w:bookmarkEnd w:id="256"/>
      <w:bookmarkEnd w:id="257"/>
    </w:p>
    <w:p w14:paraId="26F3E242">
      <w:pPr>
        <w:tabs>
          <w:tab w:val="left" w:pos="455"/>
        </w:tabs>
        <w:spacing w:line="360" w:lineRule="exact"/>
        <w:ind w:firstLine="420"/>
        <w:rPr>
          <w:rFonts w:ascii="宋体" w:hAnsi="宋体" w:cs="宋体"/>
          <w:color w:val="000000"/>
          <w:highlight w:val="none"/>
        </w:rPr>
      </w:pPr>
      <w:r>
        <w:rPr>
          <w:rFonts w:hint="eastAsia" w:ascii="宋体" w:hAnsi="宋体" w:cs="宋体"/>
          <w:color w:val="000000"/>
          <w:szCs w:val="21"/>
          <w:highlight w:val="none"/>
        </w:rPr>
        <w:t>33.1采购代理机构于评标结束后两个工作日内将评标报告送交采购人，采购人应当自收到评标报告五个工作日内在评标报告推荐的中标候选供应商中按顺序确定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；采购代理机构在</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确定之日起两个工作日内在指定媒体上公告中标结果，中标公告期限为一个工作日。</w:t>
      </w:r>
    </w:p>
    <w:p w14:paraId="73A04EB1">
      <w:pPr>
        <w:spacing w:line="360" w:lineRule="exact"/>
        <w:ind w:firstLine="420"/>
        <w:rPr>
          <w:rFonts w:ascii="宋体" w:hAnsi="宋体" w:cs="宋体"/>
          <w:color w:val="000000"/>
          <w:szCs w:val="21"/>
          <w:highlight w:val="none"/>
        </w:rPr>
      </w:pPr>
      <w:r>
        <w:rPr>
          <w:rFonts w:hint="eastAsia" w:ascii="宋体" w:hAnsi="宋体" w:cs="宋体"/>
          <w:color w:val="000000"/>
          <w:szCs w:val="21"/>
          <w:highlight w:val="none"/>
        </w:rPr>
        <w:t>33.2中标公告发布的同时，</w:t>
      </w:r>
      <w:r>
        <w:rPr>
          <w:rFonts w:hint="eastAsia" w:ascii="宋体" w:hAnsi="宋体" w:cs="宋体"/>
          <w:szCs w:val="21"/>
          <w:lang w:eastAsia="zh-CN"/>
        </w:rPr>
        <w:t>采购代理机构在线向中标供应商发出电子中标通知书</w:t>
      </w:r>
      <w:r>
        <w:rPr>
          <w:rFonts w:hint="eastAsia" w:ascii="宋体" w:hAnsi="宋体" w:cs="宋体"/>
          <w:color w:val="000000"/>
          <w:szCs w:val="21"/>
          <w:highlight w:val="none"/>
        </w:rPr>
        <w:t>。</w:t>
      </w:r>
      <w:bookmarkStart w:id="258" w:name="_Toc31543"/>
      <w:bookmarkStart w:id="259" w:name="_Toc495841760"/>
    </w:p>
    <w:p w14:paraId="2B0E6686">
      <w:pPr>
        <w:pStyle w:val="252"/>
        <w:rPr>
          <w:color w:val="000000"/>
          <w:highlight w:val="none"/>
        </w:rPr>
      </w:pPr>
    </w:p>
    <w:p w14:paraId="66C95725">
      <w:pPr>
        <w:spacing w:line="360" w:lineRule="auto"/>
        <w:jc w:val="center"/>
        <w:outlineLvl w:val="1"/>
        <w:rPr>
          <w:rFonts w:ascii="宋体" w:hAnsi="宋体" w:cs="宋体"/>
          <w:b/>
          <w:color w:val="000000"/>
          <w:sz w:val="28"/>
          <w:szCs w:val="28"/>
          <w:highlight w:val="none"/>
        </w:rPr>
      </w:pPr>
      <w:bookmarkStart w:id="260" w:name="_Toc31963"/>
      <w:bookmarkStart w:id="261" w:name="_Toc32610"/>
      <w:bookmarkStart w:id="262" w:name="_Toc12713"/>
      <w:bookmarkStart w:id="263" w:name="_Toc27652"/>
      <w:r>
        <w:rPr>
          <w:rFonts w:hint="eastAsia" w:ascii="宋体" w:hAnsi="宋体" w:cs="宋体"/>
          <w:b/>
          <w:color w:val="000000"/>
          <w:sz w:val="28"/>
          <w:szCs w:val="28"/>
          <w:highlight w:val="none"/>
        </w:rPr>
        <w:t>七、履约保证金及签订合同</w:t>
      </w:r>
      <w:bookmarkEnd w:id="258"/>
      <w:bookmarkEnd w:id="259"/>
      <w:bookmarkEnd w:id="260"/>
      <w:bookmarkEnd w:id="261"/>
      <w:bookmarkEnd w:id="262"/>
      <w:bookmarkEnd w:id="263"/>
    </w:p>
    <w:p w14:paraId="33F70D38">
      <w:pPr>
        <w:spacing w:line="360" w:lineRule="exact"/>
        <w:ind w:firstLine="413"/>
        <w:outlineLvl w:val="2"/>
        <w:rPr>
          <w:rFonts w:ascii="宋体" w:hAnsi="宋体" w:cs="宋体"/>
          <w:b/>
          <w:color w:val="000000"/>
          <w:szCs w:val="21"/>
          <w:highlight w:val="none"/>
        </w:rPr>
      </w:pPr>
      <w:bookmarkStart w:id="264" w:name="_Toc28228"/>
      <w:bookmarkStart w:id="265" w:name="_Toc4472"/>
      <w:bookmarkStart w:id="266" w:name="_Toc10047"/>
      <w:bookmarkStart w:id="267" w:name="_Toc25801"/>
      <w:bookmarkStart w:id="268" w:name="_Toc6994"/>
      <w:r>
        <w:rPr>
          <w:rFonts w:hint="eastAsia" w:ascii="宋体" w:hAnsi="宋体" w:cs="宋体"/>
          <w:b/>
          <w:color w:val="000000"/>
          <w:szCs w:val="21"/>
          <w:highlight w:val="none"/>
        </w:rPr>
        <w:t>34.履约保证金</w:t>
      </w:r>
      <w:bookmarkEnd w:id="264"/>
      <w:bookmarkEnd w:id="265"/>
      <w:bookmarkEnd w:id="266"/>
      <w:bookmarkEnd w:id="267"/>
      <w:bookmarkEnd w:id="268"/>
    </w:p>
    <w:p w14:paraId="16CDE465">
      <w:pPr>
        <w:ind w:firstLine="420"/>
        <w:rPr>
          <w:rFonts w:hint="eastAsia" w:eastAsia="宋体"/>
          <w:color w:val="000000"/>
          <w:highlight w:val="none"/>
          <w:lang w:eastAsia="zh-CN"/>
        </w:rPr>
      </w:pPr>
      <w:bookmarkStart w:id="269" w:name="_Toc18160"/>
      <w:r>
        <w:rPr>
          <w:rFonts w:hint="eastAsia"/>
          <w:color w:val="000000"/>
          <w:highlight w:val="none"/>
        </w:rPr>
        <w:t>本项目无需缴纳履约保证金</w:t>
      </w:r>
      <w:r>
        <w:rPr>
          <w:rFonts w:hint="eastAsia"/>
          <w:color w:val="000000"/>
          <w:highlight w:val="none"/>
          <w:lang w:eastAsia="zh-CN"/>
        </w:rPr>
        <w:t>。</w:t>
      </w:r>
    </w:p>
    <w:p w14:paraId="5A4D524D">
      <w:pPr>
        <w:spacing w:line="360" w:lineRule="exact"/>
        <w:ind w:firstLine="413"/>
        <w:outlineLvl w:val="2"/>
        <w:rPr>
          <w:rFonts w:ascii="宋体" w:hAnsi="宋体" w:cs="宋体"/>
          <w:b/>
          <w:color w:val="000000"/>
          <w:szCs w:val="21"/>
          <w:highlight w:val="none"/>
        </w:rPr>
      </w:pPr>
      <w:bookmarkStart w:id="270" w:name="_Toc20148"/>
      <w:bookmarkStart w:id="271" w:name="_Toc14587"/>
      <w:bookmarkStart w:id="272" w:name="_Toc14679"/>
      <w:bookmarkStart w:id="273" w:name="_Toc9905"/>
      <w:r>
        <w:rPr>
          <w:rFonts w:hint="eastAsia" w:ascii="宋体" w:hAnsi="宋体" w:cs="宋体"/>
          <w:b/>
          <w:color w:val="000000"/>
          <w:szCs w:val="21"/>
          <w:highlight w:val="none"/>
        </w:rPr>
        <w:t>35.签订合同</w:t>
      </w:r>
      <w:bookmarkEnd w:id="269"/>
      <w:bookmarkEnd w:id="270"/>
      <w:bookmarkEnd w:id="271"/>
      <w:bookmarkEnd w:id="272"/>
      <w:bookmarkEnd w:id="273"/>
    </w:p>
    <w:p w14:paraId="09ED0525">
      <w:pPr>
        <w:spacing w:line="360" w:lineRule="exact"/>
        <w:ind w:left="2" w:firstLine="420"/>
        <w:rPr>
          <w:rFonts w:hint="eastAsia" w:ascii="宋体" w:hAnsi="宋体" w:cs="宋体"/>
          <w:color w:val="000000"/>
          <w:szCs w:val="21"/>
          <w:highlight w:val="none"/>
        </w:rPr>
      </w:pPr>
      <w:r>
        <w:rPr>
          <w:rFonts w:hint="eastAsia" w:ascii="宋体" w:hAnsi="宋体" w:cs="宋体"/>
          <w:color w:val="000000"/>
          <w:szCs w:val="21"/>
          <w:highlight w:val="none"/>
        </w:rPr>
        <w:t>35.1签订合同时间：</w:t>
      </w:r>
      <w:r>
        <w:rPr>
          <w:rFonts w:hint="eastAsia" w:ascii="宋体" w:hAnsi="宋体" w:cs="宋体"/>
          <w:color w:val="000000"/>
          <w:szCs w:val="21"/>
          <w:highlight w:val="none"/>
          <w:lang w:eastAsia="zh-CN"/>
        </w:rPr>
        <w:t>中标通知书发出之日起八个工作日内</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中标人收到</w:t>
      </w:r>
      <w:r>
        <w:rPr>
          <w:rFonts w:hint="eastAsia" w:ascii="宋体" w:hAnsi="宋体" w:cs="宋体"/>
          <w:color w:val="000000"/>
          <w:szCs w:val="21"/>
          <w:highlight w:val="none"/>
        </w:rPr>
        <w:t>中标通知书后，应按规定与采购人在“</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”上在线签订电子合同。</w:t>
      </w:r>
    </w:p>
    <w:p w14:paraId="35BF58C1">
      <w:pPr>
        <w:spacing w:line="360" w:lineRule="exact"/>
        <w:ind w:left="2" w:firstLine="420"/>
        <w:rPr>
          <w:rFonts w:ascii="宋体" w:hAnsi="宋体" w:cs="宋体"/>
          <w:color w:val="000000"/>
          <w:szCs w:val="21"/>
          <w:highlight w:val="none"/>
        </w:rPr>
      </w:pPr>
      <w:r>
        <w:rPr>
          <w:rFonts w:hint="eastAsia" w:ascii="宋体" w:hAnsi="宋体" w:cs="宋体"/>
          <w:color w:val="000000"/>
          <w:highlight w:val="none"/>
        </w:rPr>
        <w:t>35.2</w:t>
      </w:r>
      <w:r>
        <w:rPr>
          <w:rFonts w:hint="eastAsia" w:ascii="宋体" w:hAnsi="宋体" w:cs="宋体"/>
          <w:color w:val="000000"/>
          <w:lang w:eastAsia="zh-CN"/>
        </w:rPr>
        <w:t>中标人</w:t>
      </w:r>
      <w:r>
        <w:rPr>
          <w:rFonts w:hint="eastAsia" w:ascii="宋体" w:hAnsi="宋体" w:cs="宋体"/>
          <w:color w:val="000000"/>
        </w:rPr>
        <w:t>为联合体的，联合体各方均应与采购人签订合同，并承担连带责任。（本项目不接受联合体投标）</w:t>
      </w:r>
    </w:p>
    <w:p w14:paraId="74DE309D">
      <w:pPr>
        <w:spacing w:line="360" w:lineRule="exact"/>
        <w:ind w:left="2" w:firstLine="420"/>
        <w:rPr>
          <w:rFonts w:ascii="宋体" w:hAnsi="宋体" w:cs="宋体"/>
          <w:color w:val="000000"/>
          <w:szCs w:val="21"/>
          <w:highlight w:val="none"/>
        </w:rPr>
      </w:pPr>
      <w:r>
        <w:rPr>
          <w:rFonts w:hint="eastAsia" w:ascii="宋体" w:hAnsi="宋体" w:cs="宋体"/>
          <w:color w:val="000000"/>
          <w:szCs w:val="21"/>
          <w:highlight w:val="none"/>
        </w:rPr>
        <w:t>35.3如</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有下列情形之一的，</w:t>
      </w:r>
      <w:r>
        <w:rPr>
          <w:rFonts w:hint="eastAsia" w:ascii="宋体" w:hAnsi="宋体" w:cs="宋体"/>
          <w:color w:val="000000"/>
          <w:szCs w:val="21"/>
        </w:rPr>
        <w:t>情节严重的</w:t>
      </w:r>
      <w:r>
        <w:rPr>
          <w:rFonts w:hint="eastAsia" w:ascii="宋体" w:hAnsi="宋体" w:cs="宋体"/>
          <w:color w:val="000000"/>
          <w:szCs w:val="21"/>
          <w:highlight w:val="none"/>
        </w:rPr>
        <w:t>，由财政部门将其列入不良行为记录名单，在一至三年内禁止参加政府采购活动，并予以通报。采购人或者采购代理机构可从评标委员会推荐的中标候选供应商中按顺序重新确定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或重新组织招标。</w:t>
      </w:r>
    </w:p>
    <w:p w14:paraId="66FB61E7">
      <w:pPr>
        <w:spacing w:line="360" w:lineRule="exact"/>
        <w:ind w:firstLine="315"/>
        <w:rPr>
          <w:rFonts w:ascii="宋体" w:hAnsi="宋体" w:cs="宋体"/>
          <w:color w:val="000000"/>
          <w:szCs w:val="21"/>
          <w:highlight w:val="none"/>
        </w:rPr>
      </w:pPr>
      <w:r>
        <w:rPr>
          <w:rFonts w:hint="eastAsia" w:ascii="宋体" w:hAnsi="宋体" w:cs="宋体"/>
          <w:color w:val="000000"/>
          <w:szCs w:val="21"/>
          <w:highlight w:val="none"/>
        </w:rPr>
        <w:t>（1）中标后不与采购人签订合同的（不可抗力除外）；</w:t>
      </w:r>
    </w:p>
    <w:p w14:paraId="75080324">
      <w:pPr>
        <w:spacing w:line="360" w:lineRule="exact"/>
        <w:ind w:left="2" w:firstLine="315"/>
        <w:rPr>
          <w:rFonts w:ascii="宋体" w:hAnsi="宋体" w:cs="宋体"/>
          <w:color w:val="000000"/>
          <w:szCs w:val="21"/>
          <w:highlight w:val="none"/>
        </w:rPr>
      </w:pPr>
      <w:r>
        <w:rPr>
          <w:rFonts w:hint="eastAsia" w:ascii="宋体" w:hAnsi="宋体" w:cs="宋体"/>
          <w:color w:val="000000"/>
          <w:szCs w:val="21"/>
          <w:highlight w:val="none"/>
        </w:rPr>
        <w:t>（2）将中标项目转让给他人，或者在投标文件中未说明，且未经采购人同意，将中标项目分包给他人的；</w:t>
      </w:r>
    </w:p>
    <w:p w14:paraId="5381CCFA">
      <w:pPr>
        <w:spacing w:line="360" w:lineRule="exact"/>
        <w:ind w:firstLine="315"/>
        <w:rPr>
          <w:rFonts w:ascii="宋体" w:hAnsi="宋体" w:cs="宋体"/>
          <w:color w:val="000000"/>
          <w:szCs w:val="21"/>
          <w:highlight w:val="none"/>
        </w:rPr>
      </w:pPr>
      <w:r>
        <w:rPr>
          <w:rFonts w:hint="eastAsia" w:ascii="宋体" w:hAnsi="宋体" w:cs="宋体"/>
          <w:color w:val="000000"/>
          <w:szCs w:val="21"/>
          <w:highlight w:val="none"/>
        </w:rPr>
        <w:t>（3）拒绝履行合同义务的。</w:t>
      </w:r>
    </w:p>
    <w:p w14:paraId="2C61F589">
      <w:pPr>
        <w:spacing w:line="360" w:lineRule="exact"/>
        <w:ind w:left="2" w:firstLine="420"/>
        <w:rPr>
          <w:rFonts w:ascii="宋体" w:hAnsi="宋体" w:cs="宋体"/>
          <w:color w:val="000000"/>
          <w:szCs w:val="21"/>
          <w:highlight w:val="none"/>
        </w:rPr>
      </w:pPr>
      <w:r>
        <w:rPr>
          <w:rFonts w:hint="eastAsia" w:ascii="宋体" w:hAnsi="宋体" w:cs="宋体"/>
          <w:color w:val="000000"/>
          <w:szCs w:val="21"/>
          <w:highlight w:val="none"/>
        </w:rPr>
        <w:t>35.4合同备案存档：政府采购合同双方自签订之日起</w:t>
      </w:r>
      <w:r>
        <w:rPr>
          <w:rFonts w:hint="eastAsia" w:ascii="宋体" w:hAnsi="宋体" w:cs="宋体"/>
          <w:color w:val="000000"/>
          <w:szCs w:val="21"/>
          <w:highlight w:val="none"/>
          <w:lang w:eastAsia="zh-CN"/>
        </w:rPr>
        <w:t>将自动存档于“广西政府采购云平台”上</w:t>
      </w:r>
      <w:r>
        <w:rPr>
          <w:rFonts w:hint="eastAsia" w:ascii="宋体" w:hAnsi="宋体" w:cs="宋体"/>
          <w:color w:val="000000"/>
          <w:szCs w:val="21"/>
          <w:highlight w:val="none"/>
        </w:rPr>
        <w:t>，采购人于合同签订之日起七个工作日内将一份合同</w:t>
      </w:r>
      <w:r>
        <w:rPr>
          <w:rFonts w:hint="eastAsia" w:ascii="宋体" w:hAnsi="宋体" w:cs="宋体"/>
          <w:color w:val="000000"/>
          <w:szCs w:val="21"/>
        </w:rPr>
        <w:t>原件</w:t>
      </w:r>
      <w:r>
        <w:rPr>
          <w:rFonts w:hint="eastAsia" w:ascii="宋体" w:hAnsi="宋体" w:cs="宋体"/>
          <w:color w:val="000000"/>
          <w:szCs w:val="21"/>
          <w:highlight w:val="none"/>
        </w:rPr>
        <w:t>送本级财政部门备案。</w:t>
      </w:r>
    </w:p>
    <w:p w14:paraId="0537B053">
      <w:pPr>
        <w:spacing w:line="400" w:lineRule="exact"/>
        <w:ind w:left="2" w:firstLine="420"/>
        <w:rPr>
          <w:rFonts w:ascii="宋体" w:hAnsi="宋体" w:cs="宋体"/>
          <w:color w:val="000000"/>
          <w:szCs w:val="21"/>
          <w:highlight w:val="none"/>
        </w:rPr>
      </w:pPr>
    </w:p>
    <w:p w14:paraId="5C5E36E3">
      <w:pPr>
        <w:spacing w:line="360" w:lineRule="auto"/>
        <w:jc w:val="center"/>
        <w:outlineLvl w:val="1"/>
        <w:rPr>
          <w:rFonts w:ascii="宋体" w:hAnsi="宋体" w:cs="宋体"/>
          <w:b/>
          <w:color w:val="000000"/>
          <w:sz w:val="28"/>
          <w:szCs w:val="28"/>
          <w:highlight w:val="none"/>
        </w:rPr>
      </w:pPr>
      <w:bookmarkStart w:id="274" w:name="_Toc14732"/>
      <w:bookmarkStart w:id="275" w:name="_Toc19832"/>
      <w:bookmarkStart w:id="276" w:name="_Toc1909"/>
      <w:bookmarkStart w:id="277" w:name="_Toc495841761"/>
      <w:bookmarkStart w:id="278" w:name="_Toc8158"/>
      <w:bookmarkStart w:id="279" w:name="_Toc4983"/>
      <w:r>
        <w:rPr>
          <w:rFonts w:hint="eastAsia" w:ascii="宋体" w:hAnsi="宋体" w:cs="宋体"/>
          <w:b/>
          <w:color w:val="000000"/>
          <w:sz w:val="28"/>
          <w:szCs w:val="28"/>
          <w:highlight w:val="none"/>
        </w:rPr>
        <w:t>八、其他事项</w:t>
      </w:r>
      <w:bookmarkEnd w:id="274"/>
      <w:bookmarkEnd w:id="275"/>
      <w:bookmarkEnd w:id="276"/>
      <w:bookmarkEnd w:id="277"/>
      <w:bookmarkEnd w:id="278"/>
      <w:bookmarkEnd w:id="279"/>
    </w:p>
    <w:p w14:paraId="4A4160AB">
      <w:pPr>
        <w:spacing w:line="380" w:lineRule="exact"/>
        <w:ind w:firstLine="413"/>
        <w:outlineLvl w:val="2"/>
        <w:rPr>
          <w:rFonts w:ascii="宋体" w:hAnsi="宋体" w:cs="宋体"/>
          <w:b/>
          <w:color w:val="000000"/>
          <w:szCs w:val="21"/>
          <w:highlight w:val="none"/>
        </w:rPr>
      </w:pPr>
      <w:bookmarkStart w:id="280" w:name="_Toc18260"/>
      <w:bookmarkStart w:id="281" w:name="_Toc2437"/>
      <w:bookmarkStart w:id="282" w:name="_Toc10866"/>
      <w:bookmarkStart w:id="283" w:name="_Toc19503"/>
      <w:bookmarkStart w:id="284" w:name="_Toc9166"/>
      <w:bookmarkStart w:id="285" w:name="_Toc4309"/>
      <w:bookmarkStart w:id="286" w:name="_Toc5655"/>
      <w:bookmarkStart w:id="287" w:name="_Toc2166"/>
      <w:bookmarkStart w:id="288" w:name="_Toc32243"/>
      <w:r>
        <w:rPr>
          <w:rFonts w:hint="eastAsia" w:ascii="宋体" w:hAnsi="宋体" w:cs="宋体"/>
          <w:b/>
          <w:color w:val="000000"/>
          <w:szCs w:val="21"/>
          <w:highlight w:val="none"/>
        </w:rPr>
        <w:t>36.招标代理服务费</w:t>
      </w:r>
      <w:bookmarkEnd w:id="280"/>
      <w:bookmarkEnd w:id="281"/>
      <w:bookmarkEnd w:id="282"/>
      <w:bookmarkEnd w:id="283"/>
      <w:bookmarkEnd w:id="284"/>
      <w:bookmarkEnd w:id="285"/>
      <w:bookmarkEnd w:id="286"/>
      <w:bookmarkEnd w:id="287"/>
    </w:p>
    <w:p w14:paraId="2D2FEFD6">
      <w:pPr>
        <w:spacing w:line="380" w:lineRule="exact"/>
        <w:ind w:firstLine="420"/>
        <w:rPr>
          <w:rFonts w:ascii="宋体" w:hAnsi="宋体" w:cs="宋体"/>
          <w:b/>
          <w:color w:val="000000"/>
          <w:szCs w:val="21"/>
          <w:highlight w:val="none"/>
        </w:rPr>
      </w:pPr>
      <w:r>
        <w:rPr>
          <w:rFonts w:hint="eastAsia" w:ascii="宋体" w:hAnsi="宋体" w:cs="宋体"/>
          <w:color w:val="000000"/>
          <w:szCs w:val="21"/>
          <w:highlight w:val="none"/>
        </w:rPr>
        <w:t>本项目</w:t>
      </w:r>
      <w:r>
        <w:rPr>
          <w:rFonts w:hint="eastAsia" w:ascii="宋体" w:hAnsi="宋体" w:cs="宋体"/>
          <w:color w:val="000000"/>
          <w:szCs w:val="21"/>
        </w:rPr>
        <w:t>免收</w:t>
      </w:r>
      <w:r>
        <w:rPr>
          <w:rFonts w:hint="eastAsia" w:ascii="宋体" w:hAnsi="宋体" w:cs="宋体"/>
          <w:color w:val="000000"/>
          <w:szCs w:val="21"/>
          <w:highlight w:val="none"/>
        </w:rPr>
        <w:t>代理服务费。</w:t>
      </w:r>
    </w:p>
    <w:p w14:paraId="0382E82F">
      <w:pPr>
        <w:spacing w:line="400" w:lineRule="exact"/>
        <w:ind w:firstLine="413"/>
        <w:outlineLvl w:val="2"/>
        <w:rPr>
          <w:rFonts w:hint="eastAsia" w:ascii="宋体" w:hAnsi="宋体" w:eastAsia="宋体" w:cs="宋体"/>
          <w:b/>
          <w:color w:val="000000"/>
          <w:szCs w:val="21"/>
          <w:highlight w:val="none"/>
          <w:lang w:eastAsia="zh-CN"/>
        </w:rPr>
      </w:pPr>
      <w:bookmarkStart w:id="289" w:name="_Toc459"/>
      <w:bookmarkStart w:id="290" w:name="_Toc1315"/>
      <w:bookmarkStart w:id="291" w:name="_Toc24971"/>
      <w:bookmarkStart w:id="292" w:name="_Toc19124"/>
      <w:r>
        <w:rPr>
          <w:rFonts w:hint="eastAsia" w:ascii="宋体" w:hAnsi="宋体" w:cs="宋体"/>
          <w:b/>
          <w:color w:val="000000"/>
          <w:szCs w:val="21"/>
          <w:highlight w:val="none"/>
        </w:rPr>
        <w:t>37.</w:t>
      </w:r>
      <w:bookmarkEnd w:id="288"/>
      <w:r>
        <w:rPr>
          <w:rFonts w:hint="eastAsia" w:ascii="宋体" w:hAnsi="宋体" w:cs="宋体"/>
          <w:b/>
          <w:color w:val="000000"/>
          <w:szCs w:val="21"/>
          <w:highlight w:val="none"/>
          <w:lang w:eastAsia="zh-CN"/>
        </w:rPr>
        <w:t>编制依据</w:t>
      </w:r>
      <w:bookmarkEnd w:id="289"/>
      <w:bookmarkEnd w:id="290"/>
      <w:bookmarkEnd w:id="291"/>
    </w:p>
    <w:p w14:paraId="42E19DC1">
      <w:pPr>
        <w:spacing w:line="400" w:lineRule="exact"/>
        <w:ind w:firstLine="420"/>
        <w:rPr>
          <w:rFonts w:ascii="宋体" w:hAnsi="宋体" w:cs="宋体"/>
          <w:color w:val="000000"/>
          <w:highlight w:val="none"/>
        </w:rPr>
      </w:pPr>
      <w:r>
        <w:rPr>
          <w:rFonts w:hint="eastAsia" w:ascii="宋体" w:hAnsi="宋体" w:cs="宋体"/>
          <w:color w:val="000000"/>
          <w:highlight w:val="none"/>
        </w:rPr>
        <w:t>本招标文件是根据《中华人民共和国政府采购法》《中华人民共和国政府采购法实施条例》及《政府采购货物和服务招标投标管理办法》（财政部令第87号）和政府采购管理有关规定编制。</w:t>
      </w:r>
      <w:bookmarkEnd w:id="292"/>
    </w:p>
    <w:p w14:paraId="3A2B5BED">
      <w:pPr>
        <w:spacing w:line="400" w:lineRule="exact"/>
        <w:ind w:firstLine="413"/>
        <w:outlineLvl w:val="2"/>
        <w:rPr>
          <w:rFonts w:ascii="宋体" w:hAnsi="宋体" w:cs="宋体"/>
          <w:b/>
          <w:color w:val="000000"/>
          <w:szCs w:val="21"/>
          <w:highlight w:val="none"/>
        </w:rPr>
      </w:pPr>
      <w:bookmarkStart w:id="293" w:name="_Toc19023"/>
      <w:bookmarkStart w:id="294" w:name="_Toc26705"/>
      <w:bookmarkStart w:id="295" w:name="_Toc5349"/>
      <w:bookmarkStart w:id="296" w:name="_Toc29343"/>
      <w:bookmarkStart w:id="297" w:name="_Toc11077"/>
      <w:r>
        <w:rPr>
          <w:rFonts w:hint="eastAsia" w:ascii="宋体" w:hAnsi="宋体" w:cs="宋体"/>
          <w:b/>
          <w:color w:val="000000"/>
          <w:szCs w:val="21"/>
          <w:highlight w:val="none"/>
        </w:rPr>
        <w:t>38.监督管理机构</w:t>
      </w:r>
      <w:bookmarkEnd w:id="293"/>
      <w:bookmarkEnd w:id="294"/>
      <w:bookmarkEnd w:id="295"/>
      <w:bookmarkEnd w:id="296"/>
      <w:bookmarkEnd w:id="297"/>
    </w:p>
    <w:p w14:paraId="06910A31">
      <w:pPr>
        <w:pStyle w:val="214"/>
        <w:spacing w:line="390" w:lineRule="exact"/>
        <w:ind w:firstLine="840"/>
        <w:contextualSpacing/>
        <w:rPr>
          <w:rFonts w:hAnsi="宋体" w:cs="宋体"/>
          <w:b/>
          <w:bCs/>
          <w:color w:val="000000"/>
          <w:highlight w:val="none"/>
        </w:rPr>
      </w:pPr>
      <w:r>
        <w:rPr>
          <w:rFonts w:hint="eastAsia" w:ascii="宋体" w:hAnsi="宋体" w:cs="宋体"/>
          <w:color w:val="000000"/>
          <w:szCs w:val="21"/>
          <w:highlight w:val="none"/>
          <w:lang w:val="en-US" w:eastAsia="zh-CN"/>
        </w:rPr>
        <w:t>荔浦市财政局</w:t>
      </w:r>
      <w:r>
        <w:rPr>
          <w:rFonts w:hint="eastAsia" w:ascii="宋体" w:hAnsi="宋体" w:cs="宋体"/>
          <w:color w:val="000000"/>
          <w:szCs w:val="21"/>
          <w:highlight w:val="none"/>
        </w:rPr>
        <w:t>电话：</w:t>
      </w:r>
      <w:r>
        <w:rPr>
          <w:rFonts w:hint="eastAsia" w:ascii="宋体" w:hAnsi="宋体" w:cs="宋体"/>
          <w:color w:val="000000"/>
          <w:szCs w:val="21"/>
          <w:highlight w:val="none"/>
          <w:lang w:eastAsia="zh-CN"/>
        </w:rPr>
        <w:t>0773-7233366</w:t>
      </w:r>
    </w:p>
    <w:p w14:paraId="179317D1">
      <w:pPr>
        <w:pStyle w:val="202"/>
        <w:rPr>
          <w:rFonts w:hAnsi="宋体" w:cs="宋体"/>
          <w:b/>
          <w:bCs/>
          <w:color w:val="000000"/>
          <w:highlight w:val="none"/>
        </w:rPr>
      </w:pPr>
    </w:p>
    <w:p w14:paraId="4B15B137">
      <w:pPr>
        <w:rPr>
          <w:rFonts w:hAnsi="宋体" w:cs="宋体"/>
          <w:b/>
          <w:bCs/>
          <w:color w:val="000000"/>
          <w:highlight w:val="none"/>
        </w:rPr>
      </w:pPr>
    </w:p>
    <w:p w14:paraId="76FD176D">
      <w:pPr>
        <w:pStyle w:val="39"/>
        <w:rPr>
          <w:rFonts w:hAnsi="宋体" w:cs="宋体"/>
          <w:b/>
          <w:bCs/>
          <w:color w:val="000000"/>
          <w:highlight w:val="none"/>
        </w:rPr>
      </w:pPr>
    </w:p>
    <w:p w14:paraId="434BBBAE">
      <w:pPr>
        <w:rPr>
          <w:rFonts w:hAnsi="宋体" w:cs="宋体"/>
          <w:b/>
          <w:bCs/>
          <w:color w:val="000000"/>
          <w:highlight w:val="none"/>
        </w:rPr>
      </w:pPr>
    </w:p>
    <w:p w14:paraId="54ECA8A7">
      <w:pPr>
        <w:pStyle w:val="39"/>
        <w:rPr>
          <w:rFonts w:hAnsi="宋体" w:cs="宋体"/>
          <w:b/>
          <w:bCs/>
          <w:color w:val="000000"/>
          <w:highlight w:val="none"/>
        </w:rPr>
      </w:pPr>
    </w:p>
    <w:p w14:paraId="5E733F3C">
      <w:pPr>
        <w:rPr>
          <w:rFonts w:hAnsi="宋体" w:cs="宋体"/>
          <w:b/>
          <w:bCs/>
          <w:color w:val="000000"/>
          <w:highlight w:val="none"/>
        </w:rPr>
      </w:pPr>
    </w:p>
    <w:p w14:paraId="39CA104D">
      <w:pPr>
        <w:pStyle w:val="39"/>
        <w:rPr>
          <w:rFonts w:hAnsi="宋体" w:cs="宋体"/>
          <w:b/>
          <w:bCs/>
          <w:color w:val="000000"/>
          <w:highlight w:val="none"/>
        </w:rPr>
      </w:pPr>
    </w:p>
    <w:p w14:paraId="0FEE30D0">
      <w:pPr>
        <w:rPr>
          <w:rFonts w:hAnsi="宋体" w:cs="宋体"/>
          <w:b/>
          <w:bCs/>
          <w:color w:val="000000"/>
          <w:highlight w:val="none"/>
        </w:rPr>
      </w:pPr>
    </w:p>
    <w:p w14:paraId="5028BD3B">
      <w:pPr>
        <w:pStyle w:val="39"/>
        <w:rPr>
          <w:rFonts w:hAnsi="宋体" w:cs="宋体"/>
          <w:b/>
          <w:bCs/>
          <w:color w:val="000000"/>
          <w:highlight w:val="none"/>
        </w:rPr>
      </w:pPr>
    </w:p>
    <w:p w14:paraId="408A8E7A">
      <w:pPr>
        <w:rPr>
          <w:rFonts w:hAnsi="宋体" w:cs="宋体"/>
          <w:b/>
          <w:bCs/>
          <w:color w:val="000000"/>
          <w:highlight w:val="none"/>
        </w:rPr>
      </w:pPr>
    </w:p>
    <w:p w14:paraId="5C7D05D8">
      <w:pPr>
        <w:pStyle w:val="39"/>
      </w:pPr>
    </w:p>
    <w:p w14:paraId="597479F4">
      <w:pPr>
        <w:pStyle w:val="214"/>
        <w:spacing w:line="390" w:lineRule="exact"/>
        <w:contextualSpacing/>
        <w:rPr>
          <w:rFonts w:hAnsi="宋体" w:cs="宋体"/>
          <w:b/>
          <w:bCs/>
          <w:color w:val="000000"/>
          <w:highlight w:val="none"/>
        </w:rPr>
      </w:pPr>
    </w:p>
    <w:p w14:paraId="6CE44C6B">
      <w:pPr>
        <w:pStyle w:val="214"/>
        <w:spacing w:line="390" w:lineRule="exact"/>
        <w:contextualSpacing/>
        <w:rPr>
          <w:rFonts w:hAnsi="宋体" w:cs="宋体"/>
          <w:b/>
          <w:bCs/>
          <w:color w:val="000000"/>
          <w:highlight w:val="none"/>
        </w:rPr>
      </w:pPr>
    </w:p>
    <w:bookmarkEnd w:id="45"/>
    <w:p w14:paraId="2B5935F8">
      <w:pPr>
        <w:pStyle w:val="192"/>
        <w:spacing w:line="400" w:lineRule="exact"/>
        <w:jc w:val="center"/>
        <w:rPr>
          <w:color w:val="000000"/>
          <w:sz w:val="32"/>
          <w:szCs w:val="32"/>
          <w:highlight w:val="none"/>
        </w:rPr>
      </w:pPr>
      <w:bookmarkStart w:id="298" w:name="_Toc24329"/>
      <w:bookmarkStart w:id="299" w:name="_Toc30701"/>
      <w:bookmarkStart w:id="300" w:name="_Toc6348"/>
      <w:bookmarkStart w:id="301" w:name="_Toc19808"/>
      <w:bookmarkStart w:id="302" w:name="_Toc20149"/>
      <w:bookmarkStart w:id="303" w:name="_Toc30534"/>
      <w:bookmarkStart w:id="304" w:name="_Toc12929"/>
      <w:bookmarkStart w:id="305" w:name="_Toc17907"/>
      <w:r>
        <w:rPr>
          <w:rFonts w:hint="eastAsia"/>
          <w:color w:val="000000"/>
          <w:sz w:val="32"/>
          <w:szCs w:val="32"/>
          <w:highlight w:val="none"/>
        </w:rPr>
        <w:t>第三章采购需求</w:t>
      </w:r>
      <w:bookmarkEnd w:id="298"/>
      <w:bookmarkEnd w:id="299"/>
      <w:bookmarkEnd w:id="300"/>
      <w:bookmarkEnd w:id="301"/>
      <w:bookmarkEnd w:id="302"/>
    </w:p>
    <w:p w14:paraId="144759FB">
      <w:pPr>
        <w:spacing w:line="240" w:lineRule="auto"/>
        <w:rPr>
          <w:color w:val="000000" w:themeColor="text1"/>
          <w:highlight w:val="none"/>
          <w:lang w:eastAsia="zh-CN"/>
          <w14:textFill>
            <w14:solidFill>
              <w14:schemeClr w14:val="tx1"/>
            </w14:solidFill>
          </w14:textFill>
        </w:rPr>
      </w:pPr>
      <w:r>
        <w:rPr>
          <w:rFonts w:hint="eastAsia"/>
          <w:b/>
          <w:bCs/>
          <w:color w:val="000000"/>
          <w:sz w:val="21"/>
          <w:szCs w:val="21"/>
          <w:highlight w:val="none"/>
          <w:lang w:val="en-US" w:eastAsia="zh-CN"/>
        </w:rPr>
        <w:t>注：</w:t>
      </w:r>
      <w:r>
        <w:rPr>
          <w:rFonts w:hint="eastAsia" w:asciiTheme="minorEastAsia" w:hAnsiTheme="minorEastAsia" w:cstheme="minorEastAsia"/>
          <w:b/>
          <w:bCs/>
          <w:color w:val="auto"/>
          <w:szCs w:val="21"/>
          <w:highlight w:val="none"/>
          <w:lang w:eastAsia="zh-CN"/>
        </w:rPr>
        <w:t>本项目</w:t>
      </w:r>
      <w:r>
        <w:rPr>
          <w:rFonts w:hint="eastAsia" w:asciiTheme="minorEastAsia" w:hAnsiTheme="minorEastAsia" w:eastAsiaTheme="minorEastAsia" w:cstheme="minorEastAsia"/>
          <w:b/>
          <w:bCs/>
          <w:color w:val="auto"/>
          <w:szCs w:val="21"/>
          <w:highlight w:val="none"/>
        </w:rPr>
        <w:t>“采购需求”中除</w:t>
      </w:r>
      <w:r>
        <w:rPr>
          <w:rFonts w:hint="eastAsia" w:asciiTheme="minorEastAsia" w:hAnsiTheme="minorEastAsia" w:cstheme="minorEastAsia"/>
          <w:b/>
          <w:bCs/>
          <w:color w:val="auto"/>
          <w:szCs w:val="21"/>
          <w:highlight w:val="none"/>
          <w:lang w:eastAsia="zh-CN"/>
        </w:rPr>
        <w:t>标注</w:t>
      </w:r>
      <w:r>
        <w:rPr>
          <w:rFonts w:hint="eastAsia" w:asciiTheme="minorEastAsia" w:hAnsiTheme="minorEastAsia" w:eastAsiaTheme="minorEastAsia" w:cstheme="minorEastAsia"/>
          <w:b/>
          <w:bCs/>
          <w:color w:val="auto"/>
          <w:spacing w:val="0"/>
          <w:sz w:val="21"/>
          <w:szCs w:val="21"/>
          <w:highlight w:val="none"/>
          <w:lang w:val="en-US" w:eastAsia="zh-CN" w:bidi="ar-SA"/>
        </w:rPr>
        <w:t>▲号的</w:t>
      </w:r>
      <w:r>
        <w:rPr>
          <w:rFonts w:hint="eastAsia" w:asciiTheme="minorEastAsia" w:hAnsiTheme="minorEastAsia" w:cstheme="minorEastAsia"/>
          <w:b/>
          <w:bCs/>
          <w:color w:val="auto"/>
          <w:szCs w:val="21"/>
          <w:highlight w:val="none"/>
          <w:lang w:eastAsia="zh-CN"/>
        </w:rPr>
        <w:t>内容</w:t>
      </w:r>
      <w:r>
        <w:rPr>
          <w:rFonts w:hint="eastAsia" w:asciiTheme="minorEastAsia" w:hAnsiTheme="minorEastAsia" w:eastAsiaTheme="minorEastAsia" w:cstheme="minorEastAsia"/>
          <w:b/>
          <w:bCs/>
          <w:color w:val="auto"/>
          <w:szCs w:val="21"/>
          <w:highlight w:val="none"/>
        </w:rPr>
        <w:t>外</w:t>
      </w:r>
      <w:r>
        <w:rPr>
          <w:rFonts w:hint="eastAsia" w:asciiTheme="minorEastAsia" w:hAnsiTheme="minorEastAsia" w:eastAsiaTheme="minorEastAsia" w:cstheme="minorEastAsia"/>
          <w:b/>
          <w:bCs/>
          <w:color w:val="auto"/>
          <w:szCs w:val="21"/>
          <w:highlight w:val="none"/>
          <w:lang w:eastAsia="zh-CN"/>
        </w:rPr>
        <w:t>，其他</w:t>
      </w:r>
      <w:r>
        <w:rPr>
          <w:rFonts w:hint="eastAsia" w:asciiTheme="minorEastAsia" w:hAnsiTheme="minorEastAsia" w:eastAsiaTheme="minorEastAsia" w:cstheme="minorEastAsia"/>
          <w:b/>
          <w:bCs/>
          <w:color w:val="auto"/>
          <w:szCs w:val="21"/>
          <w:highlight w:val="none"/>
        </w:rPr>
        <w:t>均为实质性要求，不允许负偏离，否则</w:t>
      </w:r>
      <w:r>
        <w:rPr>
          <w:rFonts w:hint="eastAsia" w:asciiTheme="minorEastAsia" w:hAnsiTheme="minorEastAsia" w:cstheme="minorEastAsia"/>
          <w:b/>
          <w:bCs/>
          <w:color w:val="auto"/>
          <w:szCs w:val="21"/>
          <w:highlight w:val="none"/>
          <w:lang w:eastAsia="zh-CN"/>
        </w:rPr>
        <w:t>投标无效；标注▲号的内容不作为实质性要求，仅作为评审依据。</w:t>
      </w:r>
    </w:p>
    <w:p w14:paraId="3A493810">
      <w:pPr>
        <w:rPr>
          <w:rFonts w:hint="eastAsia" w:ascii="宋体" w:hAnsi="宋体" w:cs="宋体"/>
          <w:color w:val="000000"/>
          <w:szCs w:val="21"/>
          <w:highlight w:val="none"/>
        </w:rPr>
      </w:pPr>
      <w:r>
        <w:rPr>
          <w:color w:val="000000" w:themeColor="text1"/>
          <w:spacing w:val="12"/>
          <w:sz w:val="21"/>
          <w:szCs w:val="21"/>
          <w:highlight w:val="none"/>
          <w:lang w:eastAsia="zh-CN"/>
          <w14:textFill>
            <w14:solidFill>
              <w14:schemeClr w14:val="tx1"/>
            </w14:solidFill>
          </w14:textFill>
        </w:rPr>
        <w:t>根据有关要求，荔浦市教育城域网项目由城域网链路、网络中心和校</w:t>
      </w:r>
      <w:r>
        <w:rPr>
          <w:color w:val="000000" w:themeColor="text1"/>
          <w:spacing w:val="11"/>
          <w:sz w:val="21"/>
          <w:szCs w:val="21"/>
          <w:highlight w:val="none"/>
          <w:lang w:eastAsia="zh-CN"/>
          <w14:textFill>
            <w14:solidFill>
              <w14:schemeClr w14:val="tx1"/>
            </w14:solidFill>
          </w14:textFill>
        </w:rPr>
        <w:t>园网三部分构成，教育城域网租</w:t>
      </w:r>
      <w:r>
        <w:rPr>
          <w:color w:val="000000" w:themeColor="text1"/>
          <w:spacing w:val="10"/>
          <w:sz w:val="21"/>
          <w:szCs w:val="21"/>
          <w:highlight w:val="none"/>
          <w:lang w:eastAsia="zh-CN"/>
          <w14:textFill>
            <w14:solidFill>
              <w14:schemeClr w14:val="tx1"/>
            </w14:solidFill>
          </w14:textFill>
        </w:rPr>
        <w:t>用1家运营商网络线路将市（公办）中小学、幼儿园、中等职业学校的校园网络，统</w:t>
      </w:r>
      <w:r>
        <w:rPr>
          <w:color w:val="000000" w:themeColor="text1"/>
          <w:spacing w:val="9"/>
          <w:sz w:val="21"/>
          <w:szCs w:val="21"/>
          <w:highlight w:val="none"/>
          <w:lang w:eastAsia="zh-CN"/>
          <w14:textFill>
            <w14:solidFill>
              <w14:schemeClr w14:val="tx1"/>
            </w14:solidFill>
          </w14:textFill>
        </w:rPr>
        <w:t>一互联网出口。为将</w:t>
      </w:r>
      <w:r>
        <w:rPr>
          <w:color w:val="000000" w:themeColor="text1"/>
          <w:spacing w:val="12"/>
          <w:sz w:val="21"/>
          <w:szCs w:val="21"/>
          <w:highlight w:val="none"/>
          <w:lang w:eastAsia="zh-CN"/>
          <w14:textFill>
            <w14:solidFill>
              <w14:schemeClr w14:val="tx1"/>
            </w14:solidFill>
          </w14:textFill>
        </w:rPr>
        <w:t>来统一教育管理平台、管理教育大数据、推广智慧教学应用等工</w:t>
      </w:r>
      <w:r>
        <w:rPr>
          <w:color w:val="000000" w:themeColor="text1"/>
          <w:spacing w:val="11"/>
          <w:sz w:val="21"/>
          <w:szCs w:val="21"/>
          <w:highlight w:val="none"/>
          <w:lang w:eastAsia="zh-CN"/>
          <w14:textFill>
            <w14:solidFill>
              <w14:schemeClr w14:val="tx1"/>
            </w14:solidFill>
          </w14:textFill>
        </w:rPr>
        <w:t>作，构建网络基础条件。本项目的服务范</w:t>
      </w:r>
      <w:r>
        <w:rPr>
          <w:color w:val="000000" w:themeColor="text1"/>
          <w:spacing w:val="9"/>
          <w:sz w:val="21"/>
          <w:szCs w:val="21"/>
          <w:highlight w:val="none"/>
          <w:lang w:eastAsia="zh-CN"/>
          <w14:textFill>
            <w14:solidFill>
              <w14:schemeClr w14:val="tx1"/>
            </w14:solidFill>
          </w14:textFill>
        </w:rPr>
        <w:t>围是荔浦市（公办）</w:t>
      </w:r>
      <w:r>
        <w:rPr>
          <w:rFonts w:hint="eastAsia"/>
          <w:color w:val="000000" w:themeColor="text1"/>
          <w:spacing w:val="9"/>
          <w:sz w:val="21"/>
          <w:szCs w:val="21"/>
          <w:highlight w:val="none"/>
          <w:lang w:val="en-US" w:eastAsia="zh-CN"/>
          <w14:textFill>
            <w14:solidFill>
              <w14:schemeClr w14:val="tx1"/>
            </w14:solidFill>
          </w14:textFill>
        </w:rPr>
        <w:t>114</w:t>
      </w:r>
      <w:r>
        <w:rPr>
          <w:color w:val="000000" w:themeColor="text1"/>
          <w:spacing w:val="9"/>
          <w:sz w:val="21"/>
          <w:szCs w:val="21"/>
          <w:highlight w:val="none"/>
          <w:lang w:eastAsia="zh-CN"/>
          <w14:textFill>
            <w14:solidFill>
              <w14:schemeClr w14:val="tx1"/>
            </w14:solidFill>
          </w14:textFill>
        </w:rPr>
        <w:t>所中小学（含幼儿园</w:t>
      </w:r>
      <w:r>
        <w:rPr>
          <w:color w:val="000000" w:themeColor="text1"/>
          <w:spacing w:val="16"/>
          <w:sz w:val="21"/>
          <w:szCs w:val="21"/>
          <w:highlight w:val="none"/>
          <w:lang w:eastAsia="zh-CN"/>
          <w14:textFill>
            <w14:solidFill>
              <w14:schemeClr w14:val="tx1"/>
            </w14:solidFill>
          </w14:textFill>
        </w:rPr>
        <w:t>），</w:t>
      </w:r>
      <w:r>
        <w:rPr>
          <w:color w:val="000000" w:themeColor="text1"/>
          <w:spacing w:val="9"/>
          <w:sz w:val="21"/>
          <w:szCs w:val="21"/>
          <w:highlight w:val="none"/>
          <w:lang w:eastAsia="zh-CN"/>
          <w14:textFill>
            <w14:solidFill>
              <w14:schemeClr w14:val="tx1"/>
            </w14:solidFill>
          </w14:textFill>
        </w:rPr>
        <w:t>并与自治区骨</w:t>
      </w:r>
      <w:r>
        <w:rPr>
          <w:color w:val="000000" w:themeColor="text1"/>
          <w:spacing w:val="8"/>
          <w:sz w:val="21"/>
          <w:szCs w:val="21"/>
          <w:highlight w:val="none"/>
          <w:lang w:eastAsia="zh-CN"/>
          <w14:textFill>
            <w14:solidFill>
              <w14:schemeClr w14:val="tx1"/>
            </w14:solidFill>
          </w14:textFill>
        </w:rPr>
        <w:t>干网互联互通支持各类教育教学信息化的，</w:t>
      </w:r>
      <w:r>
        <w:rPr>
          <w:color w:val="000000" w:themeColor="text1"/>
          <w:spacing w:val="9"/>
          <w:sz w:val="21"/>
          <w:szCs w:val="21"/>
          <w:highlight w:val="none"/>
          <w:lang w:eastAsia="zh-CN"/>
          <w14:textFill>
            <w14:solidFill>
              <w14:schemeClr w14:val="tx1"/>
            </w14:solidFill>
          </w14:textFill>
        </w:rPr>
        <w:t>集数据、语音、视频服务于一体的，高带宽低延时的，支持</w:t>
      </w:r>
      <w:r>
        <w:rPr>
          <w:color w:val="000000" w:themeColor="text1"/>
          <w:sz w:val="21"/>
          <w:szCs w:val="21"/>
          <w:highlight w:val="none"/>
          <w:lang w:eastAsia="zh-CN"/>
          <w14:textFill>
            <w14:solidFill>
              <w14:schemeClr w14:val="tx1"/>
            </w14:solidFill>
          </w14:textFill>
        </w:rPr>
        <w:t>IPv</w:t>
      </w:r>
      <w:r>
        <w:rPr>
          <w:color w:val="000000" w:themeColor="text1"/>
          <w:spacing w:val="9"/>
          <w:sz w:val="21"/>
          <w:szCs w:val="21"/>
          <w:highlight w:val="none"/>
          <w:lang w:eastAsia="zh-CN"/>
          <w14:textFill>
            <w14:solidFill>
              <w14:schemeClr w14:val="tx1"/>
            </w14:solidFill>
          </w14:textFill>
        </w:rPr>
        <w:t>6部署和应用的，具有自主管理</w:t>
      </w:r>
      <w:r>
        <w:rPr>
          <w:color w:val="000000" w:themeColor="text1"/>
          <w:spacing w:val="8"/>
          <w:sz w:val="21"/>
          <w:szCs w:val="21"/>
          <w:highlight w:val="none"/>
          <w:lang w:eastAsia="zh-CN"/>
          <w14:textFill>
            <w14:solidFill>
              <w14:schemeClr w14:val="tx1"/>
            </w14:solidFill>
          </w14:textFill>
        </w:rPr>
        <w:t>的，拥有统一管理公共</w:t>
      </w:r>
      <w:r>
        <w:rPr>
          <w:color w:val="000000" w:themeColor="text1"/>
          <w:sz w:val="21"/>
          <w:szCs w:val="21"/>
          <w:highlight w:val="none"/>
          <w:lang w:eastAsia="zh-CN"/>
          <w14:textFill>
            <w14:solidFill>
              <w14:schemeClr w14:val="tx1"/>
            </w14:solidFill>
          </w14:textFill>
        </w:rPr>
        <w:t>IP</w:t>
      </w:r>
      <w:r>
        <w:rPr>
          <w:color w:val="000000" w:themeColor="text1"/>
          <w:spacing w:val="8"/>
          <w:sz w:val="21"/>
          <w:szCs w:val="21"/>
          <w:highlight w:val="none"/>
          <w:lang w:eastAsia="zh-CN"/>
          <w14:textFill>
            <w14:solidFill>
              <w14:schemeClr w14:val="tx1"/>
            </w14:solidFill>
          </w14:textFill>
        </w:rPr>
        <w:t>地址的，拥有统一管理的全球域名的，满足“云、网、端”架构下开展各类教育教学的教育</w:t>
      </w:r>
      <w:r>
        <w:rPr>
          <w:color w:val="000000" w:themeColor="text1"/>
          <w:spacing w:val="12"/>
          <w:sz w:val="21"/>
          <w:szCs w:val="21"/>
          <w:highlight w:val="none"/>
          <w:lang w:eastAsia="zh-CN"/>
          <w14:textFill>
            <w14:solidFill>
              <w14:schemeClr w14:val="tx1"/>
            </w14:solidFill>
          </w14:textFill>
        </w:rPr>
        <w:t>行业专用网络。教育城域网网络中心建设在</w:t>
      </w:r>
      <w:r>
        <w:rPr>
          <w:rFonts w:hint="eastAsia"/>
          <w:color w:val="000000" w:themeColor="text1"/>
          <w:spacing w:val="12"/>
          <w:sz w:val="21"/>
          <w:szCs w:val="21"/>
          <w:highlight w:val="none"/>
          <w:lang w:eastAsia="zh-CN"/>
          <w14:textFill>
            <w14:solidFill>
              <w14:schemeClr w14:val="tx1"/>
            </w14:solidFill>
          </w14:textFill>
        </w:rPr>
        <w:t>中标人</w:t>
      </w:r>
      <w:r>
        <w:rPr>
          <w:color w:val="000000" w:themeColor="text1"/>
          <w:spacing w:val="12"/>
          <w:sz w:val="21"/>
          <w:szCs w:val="21"/>
          <w:highlight w:val="none"/>
          <w:lang w:eastAsia="zh-CN"/>
          <w14:textFill>
            <w14:solidFill>
              <w14:schemeClr w14:val="tx1"/>
            </w14:solidFill>
          </w14:textFill>
        </w:rPr>
        <w:t>中心机房</w:t>
      </w:r>
      <w:r>
        <w:rPr>
          <w:color w:val="000000" w:themeColor="text1"/>
          <w:spacing w:val="11"/>
          <w:sz w:val="21"/>
          <w:szCs w:val="21"/>
          <w:highlight w:val="none"/>
          <w:lang w:eastAsia="zh-CN"/>
          <w14:textFill>
            <w14:solidFill>
              <w14:schemeClr w14:val="tx1"/>
            </w14:solidFill>
          </w14:textFill>
        </w:rPr>
        <w:t>内，不需要单独建设机房运行环境（机房</w:t>
      </w:r>
      <w:r>
        <w:rPr>
          <w:color w:val="000000" w:themeColor="text1"/>
          <w:spacing w:val="8"/>
          <w:sz w:val="21"/>
          <w:szCs w:val="21"/>
          <w:highlight w:val="none"/>
          <w:lang w:eastAsia="zh-CN"/>
          <w14:textFill>
            <w14:solidFill>
              <w14:schemeClr w14:val="tx1"/>
            </w14:solidFill>
          </w14:textFill>
        </w:rPr>
        <w:t>运行环境主要包括机房装修，以及电力、空调、消防、门禁、机柜、</w:t>
      </w:r>
      <w:r>
        <w:rPr>
          <w:color w:val="000000" w:themeColor="text1"/>
          <w:spacing w:val="8"/>
          <w:sz w:val="21"/>
          <w:szCs w:val="21"/>
          <w:lang w:eastAsia="zh-CN"/>
          <w14:textFill>
            <w14:solidFill>
              <w14:schemeClr w14:val="tx1"/>
            </w14:solidFill>
          </w14:textFill>
        </w:rPr>
        <w:t>监控</w:t>
      </w:r>
      <w:r>
        <w:rPr>
          <w:color w:val="000000" w:themeColor="text1"/>
          <w:spacing w:val="8"/>
          <w:sz w:val="21"/>
          <w:szCs w:val="21"/>
          <w:highlight w:val="none"/>
          <w:lang w:eastAsia="zh-CN"/>
          <w14:textFill>
            <w14:solidFill>
              <w14:schemeClr w14:val="tx1"/>
            </w14:solidFill>
          </w14:textFill>
        </w:rPr>
        <w:t>等子系统）。</w:t>
      </w:r>
      <w:r>
        <w:rPr>
          <w:color w:val="000000" w:themeColor="text1"/>
          <w:spacing w:val="8"/>
          <w:sz w:val="21"/>
          <w:szCs w:val="21"/>
          <w:highlight w:val="none"/>
          <w14:textFill>
            <w14:solidFill>
              <w14:schemeClr w14:val="tx1"/>
            </w14:solidFill>
          </w14:textFill>
        </w:rPr>
        <w:t>具体服务要求如下</w:t>
      </w:r>
    </w:p>
    <w:p w14:paraId="21094C9F">
      <w:pPr>
        <w:pStyle w:val="39"/>
        <w:rPr>
          <w:rFonts w:hint="eastAsia" w:ascii="宋体" w:hAnsi="宋体" w:cs="宋体"/>
          <w:color w:val="000000"/>
          <w:szCs w:val="21"/>
          <w:highlight w:val="none"/>
        </w:rPr>
      </w:pPr>
    </w:p>
    <w:p w14:paraId="6F4A7B41">
      <w:pPr>
        <w:rPr>
          <w:rFonts w:hint="eastAsia" w:ascii="宋体" w:hAnsi="宋体" w:cs="宋体"/>
          <w:color w:val="000000"/>
          <w:szCs w:val="21"/>
          <w:highlight w:val="none"/>
        </w:rPr>
      </w:pPr>
    </w:p>
    <w:p w14:paraId="117544C7">
      <w:pPr>
        <w:pStyle w:val="39"/>
        <w:rPr>
          <w:rFonts w:hint="eastAsia" w:ascii="宋体" w:hAnsi="宋体" w:cs="宋体"/>
          <w:color w:val="000000"/>
          <w:szCs w:val="21"/>
          <w:highlight w:val="none"/>
        </w:rPr>
      </w:pPr>
    </w:p>
    <w:p w14:paraId="268947A1">
      <w:pPr>
        <w:rPr>
          <w:rFonts w:hint="eastAsia" w:ascii="宋体" w:hAnsi="宋体" w:cs="宋体"/>
          <w:color w:val="000000"/>
          <w:szCs w:val="21"/>
          <w:highlight w:val="none"/>
        </w:rPr>
      </w:pPr>
    </w:p>
    <w:p w14:paraId="1B924B0E">
      <w:pPr>
        <w:pStyle w:val="39"/>
        <w:rPr>
          <w:rFonts w:hint="eastAsia" w:ascii="宋体" w:hAnsi="宋体" w:cs="宋体"/>
          <w:color w:val="000000"/>
          <w:szCs w:val="21"/>
          <w:highlight w:val="none"/>
        </w:rPr>
      </w:pPr>
    </w:p>
    <w:p w14:paraId="6B607A66">
      <w:pPr>
        <w:rPr>
          <w:rFonts w:hint="eastAsia" w:ascii="宋体" w:hAnsi="宋体" w:cs="宋体"/>
          <w:color w:val="000000"/>
          <w:szCs w:val="21"/>
          <w:highlight w:val="none"/>
        </w:rPr>
      </w:pPr>
    </w:p>
    <w:p w14:paraId="34FC09DC">
      <w:pPr>
        <w:pStyle w:val="39"/>
        <w:rPr>
          <w:rFonts w:hint="eastAsia" w:ascii="宋体" w:hAnsi="宋体" w:cs="宋体"/>
          <w:color w:val="000000"/>
          <w:szCs w:val="21"/>
          <w:highlight w:val="none"/>
        </w:rPr>
      </w:pPr>
    </w:p>
    <w:p w14:paraId="40ED45F3">
      <w:pPr>
        <w:rPr>
          <w:rFonts w:hint="eastAsia" w:ascii="宋体" w:hAnsi="宋体" w:cs="宋体"/>
          <w:color w:val="000000"/>
          <w:szCs w:val="21"/>
          <w:highlight w:val="none"/>
        </w:rPr>
      </w:pPr>
    </w:p>
    <w:p w14:paraId="18770436">
      <w:pPr>
        <w:pStyle w:val="39"/>
        <w:rPr>
          <w:rFonts w:hint="eastAsia" w:ascii="宋体" w:hAnsi="宋体" w:cs="宋体"/>
          <w:color w:val="000000"/>
          <w:szCs w:val="21"/>
          <w:highlight w:val="none"/>
        </w:rPr>
      </w:pPr>
    </w:p>
    <w:p w14:paraId="35EBBB0E">
      <w:pPr>
        <w:pStyle w:val="39"/>
        <w:rPr>
          <w:rFonts w:hint="eastAsia"/>
        </w:rPr>
      </w:pPr>
    </w:p>
    <w:p w14:paraId="27F52805">
      <w:pPr>
        <w:rPr>
          <w:rFonts w:hint="eastAsia"/>
        </w:rPr>
      </w:pPr>
    </w:p>
    <w:p w14:paraId="7EC152B9">
      <w:pPr>
        <w:pStyle w:val="39"/>
        <w:rPr>
          <w:rFonts w:hint="eastAsia"/>
        </w:rPr>
      </w:pPr>
    </w:p>
    <w:p w14:paraId="47B0D74F">
      <w:pPr>
        <w:rPr>
          <w:rFonts w:hint="eastAsia"/>
        </w:rPr>
      </w:pPr>
    </w:p>
    <w:p w14:paraId="18C387F9">
      <w:pPr>
        <w:pStyle w:val="39"/>
        <w:rPr>
          <w:rFonts w:hint="eastAsia"/>
        </w:rPr>
      </w:pPr>
    </w:p>
    <w:p w14:paraId="797C0593">
      <w:pPr>
        <w:rPr>
          <w:rFonts w:hint="eastAsia"/>
        </w:rPr>
      </w:pPr>
    </w:p>
    <w:p w14:paraId="38D2E2DA">
      <w:pPr>
        <w:pStyle w:val="39"/>
        <w:rPr>
          <w:rFonts w:hint="eastAsia"/>
        </w:rPr>
      </w:pPr>
    </w:p>
    <w:p w14:paraId="1AA9E962">
      <w:pPr>
        <w:rPr>
          <w:rFonts w:hint="eastAsia"/>
        </w:rPr>
      </w:pPr>
    </w:p>
    <w:p w14:paraId="6FD50629">
      <w:pPr>
        <w:pStyle w:val="39"/>
        <w:rPr>
          <w:rFonts w:hint="eastAsia"/>
        </w:rPr>
      </w:pPr>
    </w:p>
    <w:p w14:paraId="7A368219">
      <w:pPr>
        <w:rPr>
          <w:rFonts w:hint="eastAsia"/>
        </w:rPr>
      </w:pPr>
    </w:p>
    <w:p w14:paraId="25AF080B">
      <w:pPr>
        <w:pStyle w:val="39"/>
        <w:rPr>
          <w:rFonts w:hint="eastAsia"/>
        </w:rPr>
      </w:pPr>
    </w:p>
    <w:p w14:paraId="6E727CF0">
      <w:pPr>
        <w:rPr>
          <w:rFonts w:hint="eastAsia"/>
        </w:rPr>
      </w:pPr>
    </w:p>
    <w:p w14:paraId="5CB8512A">
      <w:pPr>
        <w:pStyle w:val="39"/>
        <w:rPr>
          <w:rFonts w:hint="eastAsia"/>
        </w:rPr>
      </w:pPr>
    </w:p>
    <w:p w14:paraId="0C14CFCF">
      <w:pPr>
        <w:rPr>
          <w:rFonts w:hint="eastAsia"/>
        </w:rPr>
      </w:pPr>
    </w:p>
    <w:p w14:paraId="7C6F3B8E">
      <w:pPr>
        <w:pStyle w:val="39"/>
        <w:rPr>
          <w:rFonts w:hint="eastAsia"/>
        </w:rPr>
      </w:pPr>
    </w:p>
    <w:p w14:paraId="2F3C828A">
      <w:pPr>
        <w:rPr>
          <w:rFonts w:hint="eastAsia"/>
        </w:rPr>
      </w:pPr>
    </w:p>
    <w:p w14:paraId="63E23EDC">
      <w:pPr>
        <w:pStyle w:val="39"/>
        <w:rPr>
          <w:rFonts w:hint="eastAsia"/>
        </w:rPr>
      </w:pPr>
    </w:p>
    <w:p w14:paraId="0EDADCD0">
      <w:pPr>
        <w:rPr>
          <w:rFonts w:hint="eastAsia"/>
        </w:rPr>
      </w:pPr>
    </w:p>
    <w:p w14:paraId="46646073">
      <w:pPr>
        <w:pStyle w:val="39"/>
        <w:rPr>
          <w:rFonts w:hint="eastAsia"/>
        </w:rPr>
      </w:pPr>
    </w:p>
    <w:p w14:paraId="751DE643">
      <w:pPr>
        <w:rPr>
          <w:rFonts w:hint="eastAsia"/>
        </w:rPr>
      </w:pPr>
    </w:p>
    <w:p w14:paraId="1F5B201B">
      <w:pPr>
        <w:pStyle w:val="39"/>
        <w:rPr>
          <w:rFonts w:hint="eastAsia"/>
        </w:rPr>
      </w:pPr>
    </w:p>
    <w:p w14:paraId="704F9383">
      <w:pPr>
        <w:rPr>
          <w:rFonts w:hint="eastAsia"/>
        </w:rPr>
      </w:pPr>
    </w:p>
    <w:p w14:paraId="40F197DE">
      <w:pPr>
        <w:pStyle w:val="39"/>
        <w:rPr>
          <w:rFonts w:hint="eastAsia"/>
        </w:rPr>
      </w:pPr>
    </w:p>
    <w:tbl>
      <w:tblPr>
        <w:tblStyle w:val="344"/>
        <w:tblW w:w="9685"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
        <w:gridCol w:w="825"/>
        <w:gridCol w:w="5436"/>
        <w:gridCol w:w="339"/>
        <w:gridCol w:w="495"/>
        <w:gridCol w:w="1098"/>
        <w:gridCol w:w="956"/>
      </w:tblGrid>
      <w:tr w14:paraId="7B6BA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36" w:type="dxa"/>
            <w:noWrap w:val="0"/>
            <w:vAlign w:val="center"/>
          </w:tcPr>
          <w:p w14:paraId="593ABA8E">
            <w:pPr>
              <w:pStyle w:val="343"/>
              <w:ind w:firstLine="0" w:firstLineChars="0"/>
              <w:jc w:val="center"/>
              <w:rPr>
                <w:rFonts w:hint="eastAsia"/>
                <w:b/>
                <w:bCs/>
                <w:lang w:val="en-US" w:eastAsia="zh-CN"/>
              </w:rPr>
            </w:pPr>
            <w:r>
              <w:rPr>
                <w:rFonts w:hint="eastAsia"/>
                <w:b/>
                <w:bCs/>
                <w:lang w:val="en-US" w:eastAsia="zh-CN"/>
              </w:rPr>
              <w:t>序号</w:t>
            </w:r>
          </w:p>
        </w:tc>
        <w:tc>
          <w:tcPr>
            <w:tcW w:w="825" w:type="dxa"/>
            <w:noWrap w:val="0"/>
            <w:vAlign w:val="center"/>
          </w:tcPr>
          <w:p w14:paraId="3A089C31">
            <w:pPr>
              <w:pStyle w:val="343"/>
              <w:keepNext w:val="0"/>
              <w:keepLines w:val="0"/>
              <w:pageBreakBefore w:val="0"/>
              <w:widowControl w:val="0"/>
              <w:bidi w:val="0"/>
              <w:spacing w:line="240" w:lineRule="auto"/>
              <w:ind w:left="0" w:right="0" w:firstLine="0" w:firstLineChars="0"/>
              <w:jc w:val="both"/>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t>服务名称</w:t>
            </w:r>
          </w:p>
        </w:tc>
        <w:tc>
          <w:tcPr>
            <w:tcW w:w="5436" w:type="dxa"/>
            <w:noWrap w:val="0"/>
            <w:vAlign w:val="center"/>
          </w:tcPr>
          <w:p w14:paraId="197A2AE5">
            <w:pPr>
              <w:pStyle w:val="343"/>
              <w:keepNext w:val="0"/>
              <w:keepLines w:val="0"/>
              <w:pageBreakBefore w:val="0"/>
              <w:widowControl w:val="0"/>
              <w:bidi w:val="0"/>
              <w:spacing w:line="240" w:lineRule="auto"/>
              <w:ind w:left="0" w:right="0" w:firstLine="470" w:firstLineChars="200"/>
              <w:jc w:val="center"/>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t>配套服务要求及技术需求</w:t>
            </w:r>
          </w:p>
        </w:tc>
        <w:tc>
          <w:tcPr>
            <w:tcW w:w="339" w:type="dxa"/>
            <w:noWrap w:val="0"/>
            <w:vAlign w:val="center"/>
          </w:tcPr>
          <w:p w14:paraId="09687A3A">
            <w:pPr>
              <w:pStyle w:val="343"/>
              <w:keepNext w:val="0"/>
              <w:keepLines w:val="0"/>
              <w:pageBreakBefore w:val="0"/>
              <w:widowControl w:val="0"/>
              <w:bidi w:val="0"/>
              <w:spacing w:line="240" w:lineRule="auto"/>
              <w:ind w:left="0" w:right="0" w:firstLine="0" w:firstLineChars="0"/>
              <w:jc w:val="both"/>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t>数</w:t>
            </w:r>
          </w:p>
          <w:p w14:paraId="4B9FD46B">
            <w:pPr>
              <w:pStyle w:val="343"/>
              <w:keepNext w:val="0"/>
              <w:keepLines w:val="0"/>
              <w:pageBreakBefore w:val="0"/>
              <w:widowControl w:val="0"/>
              <w:bidi w:val="0"/>
              <w:spacing w:line="240" w:lineRule="auto"/>
              <w:ind w:left="0" w:right="0" w:firstLine="0" w:firstLineChars="0"/>
              <w:jc w:val="both"/>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t>量</w:t>
            </w:r>
          </w:p>
        </w:tc>
        <w:tc>
          <w:tcPr>
            <w:tcW w:w="495" w:type="dxa"/>
            <w:noWrap w:val="0"/>
            <w:vAlign w:val="center"/>
          </w:tcPr>
          <w:p w14:paraId="3B51F589">
            <w:pPr>
              <w:pStyle w:val="343"/>
              <w:keepNext w:val="0"/>
              <w:keepLines w:val="0"/>
              <w:pageBreakBefore w:val="0"/>
              <w:widowControl w:val="0"/>
              <w:bidi w:val="0"/>
              <w:spacing w:line="240" w:lineRule="auto"/>
              <w:ind w:left="0" w:right="0" w:firstLine="0" w:firstLineChars="0"/>
              <w:jc w:val="both"/>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t>单位</w:t>
            </w:r>
          </w:p>
        </w:tc>
        <w:tc>
          <w:tcPr>
            <w:tcW w:w="1098" w:type="dxa"/>
            <w:noWrap w:val="0"/>
            <w:vAlign w:val="center"/>
          </w:tcPr>
          <w:p w14:paraId="37A42996">
            <w:pPr>
              <w:pStyle w:val="343"/>
              <w:keepNext w:val="0"/>
              <w:keepLines w:val="0"/>
              <w:pageBreakBefore w:val="0"/>
              <w:widowControl w:val="0"/>
              <w:bidi w:val="0"/>
              <w:spacing w:line="240" w:lineRule="auto"/>
              <w:ind w:left="0" w:right="0" w:firstLine="0" w:firstLineChars="0"/>
              <w:jc w:val="both"/>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t>参考单价（元）</w:t>
            </w:r>
          </w:p>
        </w:tc>
        <w:tc>
          <w:tcPr>
            <w:tcW w:w="956" w:type="dxa"/>
            <w:noWrap w:val="0"/>
            <w:vAlign w:val="center"/>
          </w:tcPr>
          <w:p w14:paraId="41F3BE52">
            <w:pPr>
              <w:pStyle w:val="343"/>
              <w:keepNext w:val="0"/>
              <w:keepLines w:val="0"/>
              <w:pageBreakBefore w:val="0"/>
              <w:widowControl w:val="0"/>
              <w:bidi w:val="0"/>
              <w:spacing w:line="240" w:lineRule="auto"/>
              <w:ind w:left="0" w:right="0" w:firstLine="0" w:firstLineChars="0"/>
              <w:jc w:val="both"/>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pPr>
            <w:r>
              <w:rPr>
                <w:rFonts w:hint="eastAsia" w:cs="宋体"/>
                <w:b/>
                <w:bCs/>
                <w:color w:val="000000" w:themeColor="text1"/>
                <w:spacing w:val="12"/>
                <w:sz w:val="21"/>
                <w:szCs w:val="21"/>
                <w:highlight w:val="none"/>
                <w:lang w:val="en-US" w:eastAsia="zh-CN" w:bidi="ar-SA"/>
                <w14:textFill>
                  <w14:solidFill>
                    <w14:schemeClr w14:val="tx1"/>
                  </w14:solidFill>
                </w14:textFill>
              </w:rPr>
              <w:t>参考</w:t>
            </w:r>
            <w:r>
              <w:rPr>
                <w:rFonts w:hint="eastAsia" w:ascii="宋体" w:hAnsi="宋体" w:eastAsia="宋体" w:cs="宋体"/>
                <w:b/>
                <w:bCs/>
                <w:color w:val="000000" w:themeColor="text1"/>
                <w:spacing w:val="12"/>
                <w:sz w:val="21"/>
                <w:szCs w:val="21"/>
                <w:highlight w:val="none"/>
                <w:lang w:val="en-US" w:eastAsia="zh-CN" w:bidi="ar-SA"/>
                <w14:textFill>
                  <w14:solidFill>
                    <w14:schemeClr w14:val="tx1"/>
                  </w14:solidFill>
                </w14:textFill>
              </w:rPr>
              <w:t>总价（元）</w:t>
            </w:r>
          </w:p>
        </w:tc>
      </w:tr>
      <w:tr w14:paraId="11734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8" w:hRule="atLeast"/>
        </w:trPr>
        <w:tc>
          <w:tcPr>
            <w:tcW w:w="536" w:type="dxa"/>
            <w:noWrap w:val="0"/>
            <w:vAlign w:val="top"/>
          </w:tcPr>
          <w:p w14:paraId="30878AD3">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D2E5970">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78503EE">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ECE5EC5">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95D8990">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6EEDA48">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F479A93">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EE24CB8">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DE3C1EA">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3A799CB">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FF89424">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0F87A95">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EDEC0BB">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274ADAB">
            <w:pPr>
              <w:keepNext w:val="0"/>
              <w:keepLines w:val="0"/>
              <w:pageBreakBefore w:val="0"/>
              <w:widowControl w:val="0"/>
              <w:bidi w:val="0"/>
              <w:spacing w:line="240" w:lineRule="auto"/>
              <w:ind w:left="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0DFD8F26">
            <w:pPr>
              <w:ind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cs="宋体"/>
                <w:color w:val="000000" w:themeColor="text1"/>
                <w:spacing w:val="12"/>
                <w:sz w:val="21"/>
                <w:szCs w:val="21"/>
                <w:highlight w:val="none"/>
                <w:lang w:val="en-US" w:eastAsia="zh-CN" w:bidi="ar-SA"/>
                <w14:textFill>
                  <w14:solidFill>
                    <w14:schemeClr w14:val="tx1"/>
                  </w14:solidFill>
                </w14:textFill>
              </w:rPr>
              <w:t>1</w:t>
            </w:r>
          </w:p>
        </w:tc>
        <w:tc>
          <w:tcPr>
            <w:tcW w:w="825" w:type="dxa"/>
            <w:noWrap w:val="0"/>
            <w:vAlign w:val="top"/>
          </w:tcPr>
          <w:p w14:paraId="1E8F559B">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24D7A99">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E215247">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C572A4B">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A9A6B9E">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72C0CAB">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7B3B9C5">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B52D2B0">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6F58577">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134223D">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DDD3717">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88A561A">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AAF5451">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05847FD1">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荔浦市荔浦中学等114所学校教育城域网建设项目网络服务租用项目</w:t>
            </w:r>
          </w:p>
        </w:tc>
        <w:tc>
          <w:tcPr>
            <w:tcW w:w="5436" w:type="dxa"/>
            <w:vMerge w:val="restart"/>
            <w:noWrap w:val="0"/>
            <w:vAlign w:val="top"/>
          </w:tcPr>
          <w:p w14:paraId="2AC0F7F9">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一、依据信息安全等级保护政策、标准、指南等文件要求以及用户业务安全需求，技术层面上，针对荔浦教育城域网，需要从通信网络防护、区域边界防护、计算环境防护、安全管理中心等各方面进行不同级别的安全防护设计。</w:t>
            </w:r>
          </w:p>
          <w:p w14:paraId="5945017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二、本项目的城域网网络服务和网络安全服务的硬件设备（局端）主要包括汇聚路由器、核心交换机、上网行为管理、教育城域网出口防火墙、互联网出口防火墙、潜伏威胁探针、安全态势感知、堡垒机、漏洞扫描（硬件版）、安全日志审计等设备。所提供的设备（局端）安装在</w:t>
            </w:r>
            <w:r>
              <w:rPr>
                <w:rFonts w:hint="eastAsia" w:cs="宋体"/>
                <w:color w:val="000000" w:themeColor="text1"/>
                <w:spacing w:val="12"/>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中心机房内。</w:t>
            </w:r>
          </w:p>
          <w:p w14:paraId="24B9189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三、本服务需提供三年的服务期；</w:t>
            </w:r>
          </w:p>
          <w:p w14:paraId="39BA026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服务内容：教育城域网链路服务、互联网出口服务、提供服务设备配置（提供的设备必须专为本项目服务）：</w:t>
            </w:r>
          </w:p>
          <w:p w14:paraId="1100B8E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四、组网链路和互联网出口服务要求如下：</w:t>
            </w:r>
          </w:p>
          <w:p w14:paraId="711A259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（1）城域网链路服务性能要求：</w:t>
            </w:r>
          </w:p>
          <w:p w14:paraId="1CC9EF1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1、连接汇聚荔浦市（公办）114所中小学学校、幼儿园校园网络的组网链路租用服务，组网链路数量：114条。</w:t>
            </w:r>
          </w:p>
          <w:p w14:paraId="4E0A565A">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参照PTN/PON/IPRAN网络技术标准，上下行带宽对等不低于1Gbps的线路，端到端电路平均网络延时≤50ms；端到端电路丢包率≤1%。共计114条组网链路组成教育城域网并汇聚至广西师范大学（广西教育专网骨干网的核心节点）。具体地址详见附件1，114条城域网组网链路地址清单。</w:t>
            </w:r>
          </w:p>
          <w:p w14:paraId="43DBB64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3、网络接入侧的业务颗粒支持FE/GE，各汇聚节点具备10GE网络带宽</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平滑</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升级的能力。</w:t>
            </w:r>
          </w:p>
          <w:p w14:paraId="40D6E84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汇聚层和核心层均需具有故障自动倒换功能，能保证线路不会因光缆的意外阻断和部分设备的故障而中断。接入层、汇聚层、核心层设备要求具有全网网管及流量监控功能，并实行7×24小时实时监控，具备可靠网管系统。</w:t>
            </w:r>
          </w:p>
          <w:p w14:paraId="1706238A">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5、网络具备Qos能力，且其shaping粒度精细至8192bps。</w:t>
            </w:r>
          </w:p>
          <w:p w14:paraId="5645F4A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6、114条组网链路接入单位及地址详见附件1，汇聚到广西师范大学汇聚机房，线路需提供双路由保护。</w:t>
            </w:r>
          </w:p>
          <w:p w14:paraId="3270F8C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7、提供设备、网络、云端的多维一体融合支撑服务。</w:t>
            </w:r>
          </w:p>
          <w:p w14:paraId="287AF93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8、提供售后运维管理服务。</w:t>
            </w:r>
          </w:p>
          <w:p w14:paraId="130F826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（2）互联网出口服务及性能要求：</w:t>
            </w:r>
          </w:p>
          <w:p w14:paraId="2CAB907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1、互联网光纤接入线路2条，每条均为上下行对等不低于2Gbps带宽的独享光纤链路出口，端到端电路平均网络延时≤50ms；电路丢包率≤1%。</w:t>
            </w:r>
          </w:p>
          <w:p w14:paraId="70298AF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2、支持IPV6。</w:t>
            </w:r>
          </w:p>
          <w:p w14:paraId="2CB7C5C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3、配备公网IP地址池：为保障用户上网性能，分配一段29位IPV4地址作为</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采购方</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NAT地址池使用。如NAT地址池不够，需</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免费</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扩容。</w:t>
            </w:r>
          </w:p>
          <w:p w14:paraId="7A80D20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互联网出口线路采用路由冗余设计，实现负载均衡与备份，一条线路因非正常因素中断后，其他线路仍能正常使用。互联网出口接入中标运营商不同的市级核心路由器（运营商需有两个或以上的不同方向的市级出口），保证线路稳定可靠。</w:t>
            </w:r>
          </w:p>
          <w:p w14:paraId="5D7A7C4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5、当网络总带宽占用率为70%时，服务商应将每条互联网光纤出口带宽</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免费</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扩容至3Gbps。</w:t>
            </w:r>
          </w:p>
          <w:p w14:paraId="39B7069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（3）教育专用网接入服务及性能要求</w:t>
            </w:r>
          </w:p>
          <w:p w14:paraId="53484D2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1、互联光纤接入线路2条，接入教育网广西师大核心节点，并达到教育网，端到端电路平均网络延时≤50ms；电路丢包率≤1%；上下行带宽对等，总带宽不低于2Gbps的线路，</w:t>
            </w:r>
          </w:p>
          <w:p w14:paraId="59DDABF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2、支持IPV6。</w:t>
            </w:r>
          </w:p>
          <w:p w14:paraId="79D7C8A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3、线路每年不可用时间不超过5小时（除正常维护时间外，维护时间不得影响正常教学使用）</w:t>
            </w:r>
          </w:p>
          <w:p w14:paraId="4C666C7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4、能与教育专网互联互通</w:t>
            </w:r>
          </w:p>
          <w:p w14:paraId="6DDF2A1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五、本项目需其他服务：</w:t>
            </w:r>
          </w:p>
          <w:p w14:paraId="673A9A3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（1）汇聚路由服务（2项）</w:t>
            </w:r>
          </w:p>
          <w:p w14:paraId="11A70DF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提供汇聚路由服务，每项服务能力要求：</w:t>
            </w:r>
          </w:p>
          <w:p w14:paraId="3DEE57B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1、4层吞吐量（默认网口）≥5Gbps，四层并发连接数≥8000000个。</w:t>
            </w:r>
          </w:p>
          <w:p w14:paraId="26D3961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2、产品尺寸规格≥1U，硬盘容量≥128GBSSD，配置千兆电口≥6口，配置万兆光口≥2口，并配置不少于4个万兆光模块，配置冗余电源。</w:t>
            </w:r>
          </w:p>
          <w:p w14:paraId="3BBEFBE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3、支持跨设备健康状态监视（透明监视），同时支持IPv4和IPv6。</w:t>
            </w:r>
          </w:p>
          <w:p w14:paraId="3241216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4、支持跨数据中心集群和跨数据中心会话保持。</w:t>
            </w:r>
          </w:p>
          <w:p w14:paraId="5D29B33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5、设备形态必须独立专业负载设备，非插卡式扩展的负载均衡设备。</w:t>
            </w:r>
          </w:p>
          <w:p w14:paraId="1AB04BF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6、单一设备可同时支持包括链路负载均衡、全局负载均衡和服务器负载均衡的功能。三种功能同时处于激活可使用状态，无需额外购买相应授权。</w:t>
            </w:r>
          </w:p>
          <w:p w14:paraId="5817EFD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7、提供针对多站点业务发布的全局负载均衡功能，通过智能DNS等机制实现公网用户对多个数据中心或单个数据中心多条线路的最佳访问。</w:t>
            </w:r>
          </w:p>
          <w:p w14:paraId="24EE89E9">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8、支持轮询、加权轮询、按主机加权轮询、加权最小连接、按主机加权最小连接、动态反馈、最快响应、最小流量、加权最小流量、按主机加权最小流量、带宽比例、哈希、主备、首个可用、优先级等算法。</w:t>
            </w:r>
          </w:p>
          <w:p w14:paraId="0FC1553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9、支持静态IP和PPPOE两种线路接入方式。</w:t>
            </w:r>
          </w:p>
          <w:p w14:paraId="158E43B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10、IPv6改造方案能够解决天窗问题，支持一条策略匹配多个外链网站，同时外链和网站子链发生修改时支持自动识别并做主动修改，不允许通过人工解析配置的方式解决天窗问题。</w:t>
            </w:r>
          </w:p>
          <w:p w14:paraId="438D9F18">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▲11、教育子网互联网出口统一后，</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为了保证</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对双线路实现链路负载均衡，故所选设备需具备如下功能：支持基于管理员自定义的时间计划来进行出站访问的流量调度分发。</w:t>
            </w:r>
          </w:p>
          <w:p w14:paraId="495AA2E4">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12、支持被动式健康检查，可根据对业务流量的观测采样，辅助判断应用服务器健康状况；对常规</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instrText xml:space="preserve"> HYPERLINK "HTTP" </w:instrTex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HTTP</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应用可配置基于反映URL失效的</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instrText xml:space="preserve"> HYPERLINK "HTTP" </w:instrTex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HTTP</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响应状态码的观测判断机制，对于复杂应用可配置基于RST关闭连接和零窗口等异常TCP传输行为的观测判断机制。</w:t>
            </w:r>
          </w:p>
          <w:p w14:paraId="4DC2F63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（2）教育城域网出口防火墙服务（2项）</w:t>
            </w:r>
          </w:p>
          <w:p w14:paraId="40460EC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提供出口安全防护服务，单台防火墙设备服务能力要求：</w:t>
            </w:r>
          </w:p>
          <w:p w14:paraId="09974DC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1、性能参数：网络层吞吐量≥35G，应用层吞吐量≥20G，防病毒吞吐量≥3.5G，IPS吞吐量≥2.5G，全威胁吞</w:t>
            </w:r>
          </w:p>
          <w:p w14:paraId="1A5566F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吐量≥1.8G，并发连接数≥410万，</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instrText xml:space="preserve"> HYPERLINK "HTTP" </w:instrTex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HTTP</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新建连接数≥18万。</w:t>
            </w:r>
          </w:p>
          <w:p w14:paraId="3C7824C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2、规格≥1U，内存大小≥16G，硬盘容量≥256GSSD，配置冗余电源，接口≥16个千兆电口，≥6个万兆光口。</w:t>
            </w:r>
          </w:p>
          <w:p w14:paraId="624525B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支持路由模式、透明模式、虚拟网线模式、旁路镜像模式等多种部署方式；支持链路健康检查功能，可基于多种协议对链路可用性进行探测；支持链路聚合功能，可以将多个物理链路组合成一个性能更高的逻辑链路接口。</w:t>
            </w:r>
          </w:p>
          <w:p w14:paraId="7762554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4、支持多链路出站负载，可基于源/目的IP、源/目的端口、协议、ISP、应用类型以及地域来进行选路的策略路由选路功能。</w:t>
            </w:r>
          </w:p>
          <w:p w14:paraId="02FDB33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5、产品支持IPv4/IPv6双栈工作模式，以适应IPv6发展趋势；支持IPv6访问控制策略设置，基于IPv6的IP地址、服务、域名、应用、时间等条件设置访问控制策略。</w:t>
            </w:r>
          </w:p>
          <w:p w14:paraId="7CCC31D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6、产品支持IPsecVPN和SSLVPN功能，为满足组网兼容性，IPSecVPN需支持IKEv1和IKEv2协议，可实现和第三方VPN的对接。</w:t>
            </w:r>
          </w:p>
          <w:p w14:paraId="28C64A4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7、IPSecVPN智能选路功能，根据线路质量实现线路自动切换。</w:t>
            </w:r>
          </w:p>
          <w:p w14:paraId="3F5ABCF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8、产品支持对不少于9000种应用的识别和控制，应用类型包括游戏、购物、图书百科、工作招聘、P2P下载、聊天工具、旅游出行、股票软件等类型应用进行检测与控制。</w:t>
            </w:r>
          </w:p>
          <w:p w14:paraId="15E7E02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9、产品支持基于IP对象的会话控制策略，实现并发连接数的合理限制；支持多维度安全策略设置，可基于时间、用户、应用、IP、域名等内容进行安全策略设置。</w:t>
            </w:r>
          </w:p>
          <w:p w14:paraId="6DD25B6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10、支持DDoS防护策略，可对ICMP、UDP、DNS、SYN等协议进行DDOS防护；支持异常包攻击防御，异常包攻击类型至少包括PingofDeath、Teardrop、Smurf、Land、WinNuke等攻击类型。</w:t>
            </w:r>
          </w:p>
          <w:p w14:paraId="20B69B4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11、产品可扩展防病毒模块，支持对SMTP、</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instrText xml:space="preserve"> HYPERLINK "HTTP" </w:instrTex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HTTP</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、FTP、SMB、POP3、</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instrText xml:space="preserve"> HYPERLINK "HTTPS" </w:instrTex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HTTPS</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、IMAP等协议进行病毒防御。</w:t>
            </w:r>
          </w:p>
          <w:p w14:paraId="01CE50E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12、产品可扩展对多重压缩文件的病毒检测能力，支持不小于12层压缩文件病毒检测与处置。</w:t>
            </w:r>
          </w:p>
          <w:p w14:paraId="082A0E1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▲13、产品支持入侵防御功能，预定义漏洞特征数量超过9000种。</w:t>
            </w:r>
          </w:p>
          <w:p w14:paraId="3A66F41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14、产品支持与态势感知平台联动，将本地防火墙产品产生的安全日志等数据上报至态势感知平台，并在态势感知平台进行威胁展示。</w:t>
            </w:r>
          </w:p>
          <w:p w14:paraId="5D811B3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15、产品支持基于IMAP、FTP、RDP、VNC、SSH、TELNET、ORACLE、MYSQL、MSSQL等应用协议进行深度检测与防护。</w:t>
            </w:r>
          </w:p>
          <w:p w14:paraId="704CAFE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▲16、产品支持ftp协议命令控制功能，至少包含delete、rmdir、mkdir、rename、mget、dir、mput、get、put等，保护对外服务不被恶意篡改。</w:t>
            </w:r>
          </w:p>
          <w:p w14:paraId="4ECEDB1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17、可扩展与广西教育信息化终端应用管理和安全态势感知管理信息系统联动，实现对高危IP、端口的封堵。</w:t>
            </w:r>
          </w:p>
          <w:p w14:paraId="5C483B40">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18、为保证城域网出口的安全防范效果，对黑客的攻击IP进行封堵，故所选设备需具备如下功能：产品可扩展主动诱捕功能，通过伪装业务诱捕内外网的攻击行为，并联合云蜜罐获取黑客信息，并自动封锁高危IP。</w:t>
            </w:r>
          </w:p>
          <w:p w14:paraId="6C38552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19、产品支持主主、主备两种双机模式部署。</w:t>
            </w:r>
          </w:p>
          <w:p w14:paraId="79D2A422">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20、为提高城域网安全设备策略调整的运维效率，故所选设备需具备如下功能：支持应用控制策略生命周期管理，包含安全策略的变更时间、变更类型和策略变更账号，并对变更内容记录日志。</w:t>
            </w:r>
          </w:p>
          <w:p w14:paraId="672DEF0A">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21、后续可扩展和广西教育信息化终端应用管理和安全态势感知管理信息系统联动实现数据对接，能够根据终端安全状态对其进行教育专网和互联网的准入控制。</w:t>
            </w:r>
          </w:p>
          <w:p w14:paraId="69AE407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▲22、产品支持基于地区维度设置流控策略，实现多区域流量批量快速管控功能。</w:t>
            </w:r>
          </w:p>
          <w:p w14:paraId="0AAB835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（3）互联网出口防火墙服务（2项）</w:t>
            </w:r>
          </w:p>
          <w:p w14:paraId="2CB1C22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提供出口安全防护服务，单台防火墙设备服务能力要求：</w:t>
            </w:r>
          </w:p>
          <w:p w14:paraId="1749CDF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1、性能参数：网络层吞吐量≥35G，应用层吞吐量≥20G，防病毒吞吐量≥3.5G，IPS吞吐量≥2.5G，全威胁吞吐量≥1.8G，并发连接数≥410万，</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instrText xml:space="preserve"> HYPERLINK "HTTP" </w:instrTex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HTTP</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新建连接数≥18万。</w:t>
            </w:r>
          </w:p>
          <w:p w14:paraId="448D7D4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2、规格≥1U，内存大小≥16G，硬盘容量≥256GSSD，配置冗余电源，接口≥16个千兆电口，≥6个万兆光口。</w:t>
            </w:r>
          </w:p>
          <w:p w14:paraId="4072C8C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产品支持路由模式、透明模式、虚拟网线模式、旁路镜像模式等多种部署方式；支持链路健康检查功能，可基于多种协议对链路可用性进行探测；支持链路聚合功能，可以将多个物理链路组合成一个性能更高的逻辑链路接口。</w:t>
            </w:r>
          </w:p>
          <w:p w14:paraId="758B750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4、支持多链路出站负载，可基于源/目的IP、源/目的端口、协议、ISP、应用类型以及地域来进行选路的策略路由选路功能。</w:t>
            </w:r>
          </w:p>
          <w:p w14:paraId="7F98713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5、产品支持IPv4/IPv6双栈工作模式，以适应IPv6发展趋势；支持IPv6访问控制策略设置，基于IPv6的IP地址、服务、域名、应用、时间等条件设置访问控制策略。</w:t>
            </w:r>
          </w:p>
          <w:p w14:paraId="2A8466F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6、产品支持IPsecVPN和SSLVPN功能，为满足组网兼容性，IPSecVPN需支持IKEv1和IKEv2协议，可实现和第三方VPN的对接。</w:t>
            </w:r>
          </w:p>
          <w:p w14:paraId="1AF17C6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7、IPSecVPN智能选路功能，根据线路质量实现线路自动切换。</w:t>
            </w:r>
          </w:p>
          <w:p w14:paraId="276DFFE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8、产品支持对不少于9000种应用的识别和控制，应用类型包括游戏、购物、图书百科、工作招聘、P2P下载、聊天工具、旅游出行、股票软件等类型应用进行检测与控制。</w:t>
            </w:r>
          </w:p>
          <w:p w14:paraId="4076AE5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9、产品支持基于IP对象的会话控制策略，实现并发连接数的合理限制；支持多维度安全策略设置，可基于时间、用户、应用、IP、域名等内容进行安全策略设置。</w:t>
            </w:r>
          </w:p>
          <w:p w14:paraId="0ACA68A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10、支持DDoS防护策略，可对ICMP、UDP、DNS、SYN等协议进行DDOS防护；支持异常包攻击防御，异常包攻击类型至少包括PingofDeath、Teardrop、Smurf、Land、WinNuke等攻击类型。</w:t>
            </w:r>
          </w:p>
          <w:p w14:paraId="3C55FBB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11、产品可扩展防病毒模块，支持对SMTP、</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instrText xml:space="preserve"> HYPERLINK "HTTP" </w:instrTex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HTTP</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、FTP、SMB、POP3、</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instrText xml:space="preserve"> HYPERLINK "HTTPS" </w:instrTex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HTTPS</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、IMAP等协议进行病毒防御。</w:t>
            </w:r>
          </w:p>
          <w:p w14:paraId="1C528D4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12、产品可扩展对多重压缩文件的病毒检测能力，支持不小于12层压缩文件病毒检测与处置。</w:t>
            </w:r>
          </w:p>
          <w:p w14:paraId="61953C1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▲13、产品支持入侵防御功能，预定义漏洞特征数量超过9000种。</w:t>
            </w:r>
          </w:p>
          <w:p w14:paraId="1155585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14、产品支持与态势感知平台联动，将本地防火墙产品产生的安全日志等数据上报至态势感知平台，并在态势感知平台进行威胁展示。</w:t>
            </w:r>
          </w:p>
          <w:p w14:paraId="582B9FB9">
            <w:pPr>
              <w:pStyle w:val="343"/>
              <w:keepNext w:val="0"/>
              <w:keepLines w:val="0"/>
              <w:pageBreakBefore w:val="0"/>
              <w:widowControl w:val="0"/>
              <w:numPr>
                <w:ilvl w:val="0"/>
                <w:numId w:val="0"/>
              </w:numPr>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lang w:val="en-US" w:eastAsia="zh-CN" w:bidi="ar-SA"/>
                <w14:textFill>
                  <w14:solidFill>
                    <w14:schemeClr w14:val="tx1"/>
                  </w14:solidFill>
                </w14:textFill>
              </w:rPr>
              <w:t>15、</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产品支持基于IMAP、FTP、RDP、VNC、SSH、TELNET、ORACLE、MYSQL、MSSQL等应用协议进行深度检测与防护。</w:t>
            </w:r>
          </w:p>
          <w:p w14:paraId="20083223">
            <w:pPr>
              <w:pStyle w:val="343"/>
              <w:keepNext w:val="0"/>
              <w:keepLines w:val="0"/>
              <w:pageBreakBefore w:val="0"/>
              <w:widowControl w:val="0"/>
              <w:numPr>
                <w:ilvl w:val="0"/>
                <w:numId w:val="0"/>
              </w:numPr>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▲16、产品支持ftp协议命令控制功能，至少包含delete、rmdir、mkdir、rename、mget、dir、mput、get、put等，保护对外服务不被恶意篡改。</w:t>
            </w:r>
          </w:p>
          <w:p w14:paraId="1C9777D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17、可扩展与广西教育信息化终端应用管理和安全态势感知管理信息系统联动，实现对高危IP、端口的封堵。</w:t>
            </w:r>
          </w:p>
          <w:p w14:paraId="1D823712">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18、为保证互联网出口的安全防范效果，对黑客的攻击IP进行封堵，故所选设备需具备如下功能：产品可扩展主动诱捕功能，通过伪装业务诱捕内外网的攻击行为，并联合云蜜罐获取黑客信息，并自动封锁高危IP。</w:t>
            </w:r>
          </w:p>
          <w:p w14:paraId="2FE90E8A">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19、产品支持主主、主备两种双机模式部署。</w:t>
            </w:r>
          </w:p>
          <w:p w14:paraId="0F709368">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20、为提高互联网安全设备策略调整的运维效率，故所选设备需具备如下功能：支持应用控制策略生命周期管理，包含安全策略的变更时间、变更类型和策略变更账号，并对变更内容记录日志。</w:t>
            </w:r>
          </w:p>
          <w:p w14:paraId="0361E7B0">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21、后续可扩展和广西教育信息化终端应用管理和安全态势感知管理信息系统联动实现数据对接，能够根据终端安全状态对其进行教育专网和互联网的准入控制；</w:t>
            </w:r>
          </w:p>
          <w:p w14:paraId="3A8EA1EB">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▲22、产品支持未知威胁检测能力。</w:t>
            </w:r>
          </w:p>
          <w:p w14:paraId="435472F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（4）上网行为管理服务（2项）</w:t>
            </w:r>
          </w:p>
          <w:p w14:paraId="73A6067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提供上网行为管理服务，单台设备服务能力要求：</w:t>
            </w:r>
          </w:p>
          <w:p w14:paraId="40049FD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1、网络层吞吐量≥12Gb，应用层吞吐量≥2.7Gb，带宽性能≥1.5Gb，支持用户数≥10000，包转发率≥224Kpps，每秒新建连接数≥20000，最大并发连接数≥800000。</w:t>
            </w:r>
          </w:p>
          <w:p w14:paraId="209D1BD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2、产品尺寸规格2U，内存大小≥8G，硬盘容量≥128GSSD+960GSSD，电源配置冗余电源，接口≥6个千兆电口；≥4个万兆光口。</w:t>
            </w:r>
          </w:p>
          <w:p w14:paraId="6FA496B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3、为保障设备高可靠性能，必须支持两台及两台以上设备同时做主机的部署模式。</w:t>
            </w:r>
          </w:p>
          <w:p w14:paraId="3CB591A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4、为满足IPv6改造需求，支持部署在IPv6环境中，设备接口及部署模式均支持ipv6配置，所有核心功能（上网认证、应用控制、流量控制、内容审计、日志报表等）都支持IPv6。</w:t>
            </w:r>
          </w:p>
          <w:p w14:paraId="5D76B83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5、为提高运维管理效率，降低运维难度，需要提供图形化排障工具，便于管理员排查策略错误等故障。</w:t>
            </w:r>
          </w:p>
          <w:p w14:paraId="7C0591E3">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为提高后续城域网内部新增用户入网的运维管理效率，故所选设备需具备如下功能：密码登录支持用户自注册，通过Web页面申请注册新账号，管理员审批后新账号可用，自注册同时支持portal认证和802.1x认证。</w:t>
            </w:r>
          </w:p>
          <w:p w14:paraId="0EC6A322">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为帮助了解内部人员审计情况，需要支持首页分析显示接入用户人数、终端类型、认证方式；资产类型分布、新设备发现趋势、终端违规检查项排行、终端违规用户排行；带宽质量分析、实时流量排名；泄密风险、违规访问、共享上网等行为风险情况。</w:t>
            </w:r>
          </w:p>
          <w:p w14:paraId="2CD9F6F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8、为便于内部人员快速上线和投入使用，需要支持IPsecVPN支持与LDAP服务器、Radius服务器结合认证。</w:t>
            </w:r>
          </w:p>
          <w:p w14:paraId="261FD42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9、为便于及时掌握网内情况及问题排查，需要支持查看当前设备的线路状态，线路带宽利用率以及当前策略的引流流量分布和实时的引流策略，支持下钻设置线路流控策略。</w:t>
            </w:r>
          </w:p>
          <w:p w14:paraId="567E89C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10、为帮助及时掌握用户WEB访问质量，需支持针对内网用户的web访问质量进行检测，对整体网络提供清晰的整体网络质量评级；支持以列表形式展示访问</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质量差</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的用户名单；支持对单用户进行定向web访问质量检测。</w:t>
            </w:r>
          </w:p>
          <w:p w14:paraId="2A8ADC88">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11、为保障后续城域网内部用户的使用体验，故所选设备需具备如下功能：需支持通过OAuth认证协议对接，支持阿里钉钉，口袋助理，企业微信第三方账号授权认证，支持企业微信、口袋助理、钉钉这三个平台支持同步组织结构，用户通过企业微信、口袋助理、钉钉认证上线，本地会创建与认证服务器上对应的用户组，用户会上线到对应创建的组。</w:t>
            </w:r>
          </w:p>
          <w:p w14:paraId="7CAD353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12、为提高系统易用性，需支持radius、AD、POP3、Proxy、PPPOE、</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H3C</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IMC/CAMS、</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锐捷</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SAM、城市热点等系统进行认证单点登录，简化用户操作，可强制指定用户、指定IP段的用户必须使用单点登录。</w:t>
            </w:r>
          </w:p>
          <w:p w14:paraId="2C99F32A">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13、为提高安全性同时保障员工使用体验，需要能够对新浪微博、腾讯微博、网易微博等进行细分控制，如：登录、浏览、发微博、上传附件。</w:t>
            </w:r>
          </w:p>
          <w:p w14:paraId="05C75A3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14、为提升网络安全性，需支持基于802.1x的外部CA证书认证，同时支持在线证书状态查询（OCSP）。</w:t>
            </w:r>
          </w:p>
          <w:p w14:paraId="61F05D8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15、为降低运维人员运维压力，需支持以图表方式显示移动终端接入趋势。</w:t>
            </w:r>
          </w:p>
          <w:p w14:paraId="079B0E72">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▲16、</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为了保证</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城域网线路带宽的合理分配使用，支持通过抑制P2P的下行丢包，来减缓P2P的下行流量，从而解决网络出口在做流控后仍然压力</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较大</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的问题。</w:t>
            </w:r>
          </w:p>
          <w:p w14:paraId="4ADE80A5">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17、为协助网络内资产梳理，需支持自动发现网络里面的终端，并获取IP、Mac、厂商、操作系统、开放服务、开放端口等信息，设备必须支持PC、移动设备、哑终端、专用设备的发现和型号识别：至少支持Windows、</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Linux</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、MAC、瘦客户机等PC；至少支持手机、平板等移动设备；至少支持服务器、交换机、无线控制器等7类网络设备；至少支持打印机、投影仪、电视、摄像头、门禁系统等10类终端。</w:t>
            </w:r>
          </w:p>
          <w:p w14:paraId="05468CA1">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18、支持与广西教育专网数据中心核心节点的统一身份认证系统进行对接，后续可实现用户访问互联网的实名认证，实现对教育城域网内师生访问入网的准入认证。</w:t>
            </w:r>
          </w:p>
          <w:p w14:paraId="2DF63DB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（5）安全态势感知服务（1项）</w:t>
            </w:r>
          </w:p>
          <w:p w14:paraId="4BDC0A3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提供安全态势感知服务，单台设备服务能力要求：</w:t>
            </w:r>
          </w:p>
          <w:p w14:paraId="4854D0A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1、存储容量≥14.4TB，在带宽性能1Gbps时存储时长≥900天/1Gbps。</w:t>
            </w:r>
          </w:p>
          <w:p w14:paraId="0113BEF9">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2、产品尺寸规格2U，内存≥96GBDDR42933，系统盘≥1*240GBSATASSD，数据盘≥6*4TB，标配盘位数≥8，配置冗余电源，接口≥4千兆电口。</w:t>
            </w:r>
          </w:p>
          <w:p w14:paraId="65DA9E79">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3、支持对安全事件、外部攻击者等维度进行自定义设置实现实时告警展示，支持大屏轮播，可在一个屏幕上自动切换轮播不同的大屏，所有大屏可自定义播放顺序。</w:t>
            </w:r>
          </w:p>
          <w:p w14:paraId="78D2588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▲4、为了</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方便</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运维人员使用，提高运维工作效率，故所选设备需具备如下功能：支持快捷菜单悬浮控件，平台全部功能可根据使用习惯自定义添加到快捷控件。</w:t>
            </w:r>
          </w:p>
          <w:p w14:paraId="2541886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为了保证</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设备间的功能联动性，当城域网出现安全事件能够快速响应，故所选设备需具备如下功能：需支持与本项目上网行为管理设备进行联动响应，同步上网行为管理设备认证用户，实现与安全事件关联。</w:t>
            </w:r>
          </w:p>
          <w:p w14:paraId="01B4FE5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6、支持管理员账号的新增、删除、启用、禁用等，支持免登录及单点登录设置，支持可信IP设置。支持角色的管理范围及页面权限的收敛设置。支持系统管理员、安全保密管理员和安全审计员三个管理员角色。</w:t>
            </w:r>
          </w:p>
          <w:p w14:paraId="0BE8898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7、支持流量实时识别漏洞分析，漏洞分析类型包含配置错误漏洞、OpenSSH漏洞、OpenLDAP等操作系统、数据库、Web应用等。</w:t>
            </w:r>
          </w:p>
          <w:p w14:paraId="240BEAD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为保证城域网内挖矿事件的及时发现，故所选设备需具备如下功能：支持挖矿专项检测页面，具备挖矿攻击事前、事中和事后全链路的检测分析能力，综合运用威胁情报、IPS特征规则和行为关联分析技术，对挖矿早期的准备动作即告警。</w:t>
            </w:r>
          </w:p>
          <w:p w14:paraId="4523A19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9、支持针对政企邮件混淆宏病毒威胁检测，可通过不断下钻的特征向量提取和聚类算法有效检出邮件威胁。支持对smtp、imap、pop3、webmail等邮件协议审计，提取邮件正文和附件中的流量，并对邮件附件、正文链接、邮件行为、发件人等多维度进行规则和机器学习检测，从而识别出钓鱼邮件、病毒邮件、垃圾邮件、鱼叉式钓鱼等恶意邮件。</w:t>
            </w:r>
          </w:p>
          <w:p w14:paraId="5BDB20C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10、支持安全检测日志、审计日志、第三方日志存储；日志类型包括漏洞利用攻击、网站攻击、僵尸网络、业务弱点、DOS攻击、邮件安全、文件安全、网络流量、DNS、</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instrText xml:space="preserve"> HYPERLINK "HTTP" </w:instrTex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HTTP</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、用户、数据库、文件审计、POP3、SMTP、IMAP、LDAP、FTP、Telnet等。</w:t>
            </w:r>
          </w:p>
          <w:p w14:paraId="5D2EEDF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11、安全事件支持与防火墙、负载均衡、终端安全响应系统联动封锁、访问控制，安全事件支持与终端安全响应系统联动一键查杀、进程取证。</w:t>
            </w:r>
          </w:p>
          <w:p w14:paraId="10E42B3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12、支持自动化溯源，可自动化复现受害者从最开始的遭受攻击到权限维持各个阶段的黑客行为，包括攻击入口溯源。支持基于可视化的形式展示威胁的影响面，通过大数据分析和关联检索技术，能够直观地看到失陷主机的威胁影响面，同时基于列表模式展示攻击、违规访问、风险访问、可疑行为、正常访问等详细信息。支持攻击溯源功能，分析出首次失陷、疑似入口点、首次遭受攻击等信息。</w:t>
            </w:r>
          </w:p>
          <w:p w14:paraId="4909B134">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13、为了检测城域网内部发现的异常文件的详细情况，故所选设备需具备如下功能：支持联动云沙箱，支持将恶意文件手动上传云沙箱进行验证和补充举证，支持展示云沙箱报告列表，可以看到云沙箱的结果，点击查看报告详情，可跳转到云沙箱平台查看详细报告。</w:t>
            </w:r>
          </w:p>
          <w:p w14:paraId="451A492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14、具备IPS漏洞特征识别库、WEB应用防护识别库、僵尸网络识别库、实时漏洞分析识别库、URL库、应用识别库、恶意链接库、白名单库；支持定期自动升级或离线手动升级。</w:t>
            </w:r>
          </w:p>
          <w:p w14:paraId="1EE907F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15、支持流量探针统一升级管理，支持</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监控</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流量探针与安全组件的运行状态，包含日志传输模式、日志传输量、最近同步信息等。</w:t>
            </w:r>
          </w:p>
          <w:p w14:paraId="6D5A57B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16、支持与广西教育专网数据中心核心节点的安全态势感知系统对接，可上传教育城域网的资产信息、安全事件、脆弱性风险等信息。</w:t>
            </w:r>
          </w:p>
          <w:p w14:paraId="16F89FC9">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（6）潜伏威胁探针服务（1项）</w:t>
            </w:r>
          </w:p>
          <w:p w14:paraId="29471ED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提供潜伏威胁服务，单台设备服务能力要求：</w:t>
            </w:r>
          </w:p>
          <w:p w14:paraId="68069A56">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1、产品尺寸规格2U，网络层吞吐量≥3Gbp，内存大小≥8G，硬盘容量≥480GBSSD，配置千兆电口≥6口，配置万兆光口≥2口，配置4个万兆光模块，配置冗余电源。</w:t>
            </w:r>
          </w:p>
          <w:p w14:paraId="2D2F64A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2、具备报文检测引擎，可实现IP碎片重组、TCP流重组、应用层协议识别与解析等；具备多种入侵攻击模式或恶意UR监测模式，可完成模式匹配并生成事件，可提取URL记录和域名记录。</w:t>
            </w:r>
          </w:p>
          <w:p w14:paraId="6F2598C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3、支持SQL注入、XSS攻击、网页木马、网站扫描、WEBSHELL、跨站请求伪造、系统命令注入、文件包含攻击、目录遍历攻击、信息泄露攻击、Web整站系统漏洞等网站攻击检测。</w:t>
            </w:r>
          </w:p>
          <w:p w14:paraId="24F6CFF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4、支持敏感数据泄密功能检测能力，可自定义敏感信息，支持根据文件类型和敏感关键字进行信息过滤。</w:t>
            </w:r>
          </w:p>
          <w:p w14:paraId="15F5B91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5、支持Database漏洞攻击、DNS漏洞攻击、FTP漏洞攻击、Mail漏洞攻击、NetworkDevice、Scan漏洞攻击、System漏洞攻击、Telnet漏洞攻击、Tftp漏洞攻击、Web漏洞攻击等服务漏洞攻击检测。</w:t>
            </w:r>
          </w:p>
          <w:p w14:paraId="3582456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6、支持标准端口运行非标准协议，非标准端口运行标准协议的异常流量检测，端口类型包括3389、53、80/8080、21、69、443、25、110、143、22等。</w:t>
            </w:r>
          </w:p>
          <w:p w14:paraId="422093E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7、支持</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instrText xml:space="preserve"> HYPERLINK "HTTP" </w:instrTex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HTTP</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未知站点下载可执行文件、浏览最近30天注册域名、浏览恶意动态域名、访问随机算法生成域名、暴力破解攻击、反弹连接、IRC通信等僵尸网络行为检测。</w:t>
            </w:r>
          </w:p>
          <w:p w14:paraId="211B4217">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8、为适应不同应用场景，故所选设备需具备如下功能：支持5种类型日志传输模式，包含标准模式、精简模式、高级模式、局域网模式、自定义模式，适应不同应用场景需求。</w:t>
            </w:r>
          </w:p>
          <w:p w14:paraId="6051D2F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为了保证</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产品的兼容性和稳定性，探针需与本项目中“安全</w:t>
            </w:r>
            <w:r>
              <w:rPr>
                <w:rFonts w:hint="eastAsia" w:cs="宋体"/>
                <w:color w:val="000000" w:themeColor="text1"/>
                <w:spacing w:val="12"/>
                <w:sz w:val="21"/>
                <w:szCs w:val="21"/>
                <w:highlight w:val="none"/>
                <w:lang w:val="en-US" w:eastAsia="zh-CN" w:bidi="ar-SA"/>
                <w14:textFill>
                  <w14:solidFill>
                    <w14:schemeClr w14:val="tx1"/>
                  </w14:solidFill>
                </w14:textFill>
              </w:rPr>
              <w:t>态势</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感知”兼容。</w:t>
            </w:r>
          </w:p>
          <w:p w14:paraId="4BD633A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10、支持流量抓包分析，可定义抓包数量、接口、IP地址、端口或自定义过滤表达式。</w:t>
            </w:r>
          </w:p>
          <w:p w14:paraId="590F4289">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（7）安全日志审计服务（1项）</w:t>
            </w:r>
          </w:p>
          <w:p w14:paraId="5DB18A1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提供安全日志服务，单台设备服务能力要求：</w:t>
            </w:r>
          </w:p>
          <w:p w14:paraId="11D21F8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1、产品尺寸规格≥2U，硬盘容量≥4TSATA，内存大小≥16G，配置千兆电口≥6口，配置万兆光口≥2口。</w:t>
            </w:r>
          </w:p>
          <w:p w14:paraId="4BDF883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2、默认包含主机审计许可证书数量≥50，最大可扩展审计主机许可数≥150，日志综合处理能力≥1200EPS。</w:t>
            </w:r>
          </w:p>
          <w:p w14:paraId="552C6FA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3、支持安全设备、网络设备、中间件、服务器、数据库、操作系统、业务系统等不少于720种日志对象的日志数据采集。</w:t>
            </w:r>
          </w:p>
          <w:p w14:paraId="1618200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提供管理员账号创建、修改、删除，并可针对创建的管理员进行权限设置；支持IP免登录，指定IP免认证直接进入平台；支持只允许某些IP登录平台；支持页面权限配置和资产范围配置，用于管理账号权限，满足用户三权分立的需求；支持usb-key认证。</w:t>
            </w:r>
          </w:p>
          <w:p w14:paraId="48E6DE4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5、支持通过正则、分隔符、json、xml的可视方式进行自定义规则解析，支持对解析结果字段的新增、合并、映射。</w:t>
            </w:r>
          </w:p>
          <w:p w14:paraId="5472929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6、支持日志文件备份到外置存储节点，支持NFS、NAS、ISCSI三种存储方式，并可查看外置存储容量、状态等信息。</w:t>
            </w:r>
          </w:p>
          <w:p w14:paraId="127A50C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支持通配符、范围搜索、字段等多种输入方式、搜索框模糊搜索、指定语段进行语法搜索；可根据时间、严重等级等进行组合查询；可根据具体设备、来源/目的所属（可具体到外网、内网资产等）、IP地址、特征ID、URL进行具体条件搜索；支持可设置定时刷新频率，根据刷新时间显示实时接入日志事件。</w:t>
            </w:r>
          </w:p>
          <w:p w14:paraId="7B4399E9">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▲8、可解码小工具，按照不同的解码方式解码成不同的目标内容，编码格式包括base64、Unicode、GBK、HEX、UTF-8等。</w:t>
            </w:r>
          </w:p>
          <w:p w14:paraId="242399A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9、支持可视化展示，包括数据分布、安全事件趋势图、关联规则告警趋势图、接入设备概况等，可提供设备专项分析场景。如防火墙外部攻击场景分析、VPN账号异常场景分析、</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Windows</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服务器主机异常场景分析等，通过设备专项页面对每一台设备安全情况深度专业化分析。</w:t>
            </w:r>
          </w:p>
          <w:p w14:paraId="36B40DD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10、支持内置规则作为模板新建规则，支持调整规则等级，支持通过事件的任意字段制定规则创建策略，支持审计策略命中后可以定义告警并通过相应方式转发，如：邮件、短信等。</w:t>
            </w:r>
          </w:p>
          <w:p w14:paraId="79CD2A8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11、日志进行归一化操作后，对日志等级进行映射，根据不同日志源统计不同等级下的日志数量。</w:t>
            </w:r>
          </w:p>
          <w:p w14:paraId="1EFAB98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12、内置主机安全报表（</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linux</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）、主机安全报表（</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windows</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）、数据库安全报表、网络设备安全报表、应用安全报表五种；支持提供日报、周报、月报和自定义时间导出报表。</w:t>
            </w:r>
          </w:p>
          <w:p w14:paraId="5FA3C73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（8）漏洞扫描服务（1项）</w:t>
            </w:r>
          </w:p>
          <w:p w14:paraId="7540EE1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提供漏洞扫描服务，单台设备服务能力要求：</w:t>
            </w:r>
          </w:p>
          <w:p w14:paraId="6067CFB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1、产品尺寸规格≥1U，内存大小≥8G，硬盘容量≥2TBSATA，配置千兆电口≥6口，配置千兆光口≥2口。</w:t>
            </w:r>
          </w:p>
          <w:p w14:paraId="16286C1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2、系统扫描IP地址≥100，WEB漏扫授权URL数≥20，主机漏扫最大并发IP数≥150，WEB漏扫最大并发URL数≥5。</w:t>
            </w:r>
          </w:p>
          <w:p w14:paraId="0945380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3、支持全局风险统计功能，通过扇形图、条状图、标签、表格等形式直观展示资产风险分布、漏洞风险等级分布等信息，并可查看详情。</w:t>
            </w:r>
          </w:p>
          <w:p w14:paraId="716B4C8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4、支持全局风险统计时段自定义，展示近3个月、6个月、1年或自定义统计区间的风险分布和详情，时间跨度不限制</w:t>
            </w:r>
          </w:p>
          <w:p w14:paraId="1F56F6B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5、支持从“高危”“中危”“低危”“安全”四个安全级别展示资产的风险分布情况。</w:t>
            </w:r>
          </w:p>
          <w:p w14:paraId="371A6AD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6、支持从主机视角呈现当前关键资产的漏洞风险信息，可从“高”“中”“低”“信息”四个等级划分漏洞风险等级，支持客户对于重要资产标记为“核心资产”，便于根据资产价值确定修复优先级。</w:t>
            </w:r>
          </w:p>
          <w:p w14:paraId="6DBFA8A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为保证针对城域网内部漏洞的扫描效果，故所选设备需具备如下功能：产品支持对系统漏洞、WEB漏洞、基线配置、弱口令进行扫描和分析，可同时输出包含系统漏洞扫描、WEB漏洞扫描、基线配置核查、弱口令扫描结果的报表。</w:t>
            </w:r>
          </w:p>
          <w:p w14:paraId="2ECE03A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8、支持资产发现功能，可基于IP地址、IP网段、IP范围、URL等方式进行资产发现扫描，支持EXCEL格式批量导入。</w:t>
            </w:r>
          </w:p>
          <w:p w14:paraId="15138C6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9、支持检测的漏洞数大于18000条，兼容CVE、CNNVD、CNVD、Bugtraq等</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主流</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标准。</w:t>
            </w:r>
          </w:p>
          <w:p w14:paraId="11200C1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10、支持紧急漏洞进行单独评估，实现紧急漏洞批量排查，包括</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MicrosoftWindows</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RDP远程代码执行漏洞（CVE-2019-0708）、OpenSSLHeartbleed心脏滴血漏洞（CVE-2014-0160）、</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Windows</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SMB远程代码执行漏洞（MS08-067）、</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Windows</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SMB远程代码执行漏洞（MS17-010）等。</w:t>
            </w:r>
          </w:p>
          <w:p w14:paraId="590839E9">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11、内置不同的系统漏洞模板，包括高可利用系统漏洞、原理检测系统漏洞、中间件漏洞、数据库漏洞等类型，支持报表形式展示漏洞模板风险等级分布概览。</w:t>
            </w:r>
          </w:p>
          <w:p w14:paraId="4A8BB19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12、系统漏洞扫描支持高级配置功能，可支持端口扫描策略配置、UDP扫描启用、危险插件扫描启用等配置功能。</w:t>
            </w:r>
          </w:p>
          <w:p w14:paraId="646C8A0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13、系统漏洞扫描支持任务立即执行和指定时间执行两种执</w:t>
            </w:r>
          </w:p>
          <w:p w14:paraId="21087CC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行方式，且指定时间可以精确到分钟。</w:t>
            </w:r>
          </w:p>
          <w:p w14:paraId="54CF36B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14、支持行业通用标准OWASP，支持通用WEB漏洞检测，如：SQL注入、XSS、目录遍历、本地/远程文件包含漏洞、安全配置错误、命令执行、敏感信息泄露等。</w:t>
            </w:r>
          </w:p>
          <w:p w14:paraId="6B2784D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15、内置不同的WEB漏洞模板，包括高可利用WEB漏洞、通用应用漏洞、SQL注入漏洞、XSS注入漏洞等类型，支持报表形式展示漏洞模板风险等级分布概览。</w:t>
            </w:r>
          </w:p>
          <w:p w14:paraId="7FF714A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16、WEB漏洞扫描支持高级配置功能，可支持fuzz测试启用、WEB访问策略、WEB爬行策略等配置功能。支持并发线程数、超时限制、目录深度、链接总数自定义配置。</w:t>
            </w:r>
          </w:p>
          <w:p w14:paraId="4C039A9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17、为了保障安全体系的兼容性和一致性，本产品需与本项目“安全</w:t>
            </w:r>
            <w:r>
              <w:rPr>
                <w:rFonts w:hint="eastAsia" w:cs="宋体"/>
                <w:color w:val="000000" w:themeColor="text1"/>
                <w:spacing w:val="12"/>
                <w:sz w:val="21"/>
                <w:szCs w:val="21"/>
                <w:highlight w:val="none"/>
                <w:lang w:val="en-US" w:eastAsia="zh-CN" w:bidi="ar-SA"/>
                <w14:textFill>
                  <w14:solidFill>
                    <w14:schemeClr w14:val="tx1"/>
                  </w14:solidFill>
                </w14:textFill>
              </w:rPr>
              <w:t>态势感知</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”为同一生产厂商。</w:t>
            </w:r>
          </w:p>
          <w:p w14:paraId="5CE681D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（9）运维堡垒机服务（1项）</w:t>
            </w:r>
          </w:p>
          <w:p w14:paraId="4185678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提供运维堡垒机服务，单台运维管理设备服务能力要求：</w:t>
            </w:r>
          </w:p>
          <w:p w14:paraId="4C8100E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1、产品尺寸规格1U机，内存≥8G，接口≥6个千兆电口，配置硬盘容量≥2TB，单电源。</w:t>
            </w:r>
          </w:p>
          <w:p w14:paraId="1763296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2、默认包含运维授权数≥50，最大可扩展资产数≥150，图形运维最大并发数≥100，字符运维最大并发数≥200。</w:t>
            </w:r>
          </w:p>
          <w:p w14:paraId="463BB4F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3、物理旁路单臂部署，以逻辑网关方式工作；不改变现有网络结构。</w:t>
            </w:r>
          </w:p>
          <w:p w14:paraId="4D335615">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▲4、为了和现有的AD域的账号身份信息对接，故所选设备需具备如下功能：支持从</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windows</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AD域抽取用户账号作为主账号，支持一次性抽取和周期性抽取两种方式。</w:t>
            </w:r>
          </w:p>
          <w:p w14:paraId="39489009">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5、支持一对一、一对多、多对多授权，如将单个资产授权多个用户，一个用户授予多个资产，用户组向资产组授权。</w:t>
            </w:r>
          </w:p>
          <w:p w14:paraId="29BD776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6、同时支持本地口令认证、LDAP认证、AD认证、Radius、usbkey、动态口令认证。</w:t>
            </w:r>
          </w:p>
          <w:p w14:paraId="3962FA8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7、支持手动和自动定期备份配置信息，支持配置信息本地备份及异地FTP备份，支持系统配置还原，可以还原至任一备份点。</w:t>
            </w:r>
          </w:p>
          <w:p w14:paraId="1785E9C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8、支持密码策略设置，可自定义密码复杂程度，可设置密码中包含数字、字母、符号及禁用关键字等内容。</w:t>
            </w:r>
          </w:p>
          <w:p w14:paraId="6621E30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9、支持口令有效期设置，用户账号口令到期强制用户修改自身口令。</w:t>
            </w:r>
          </w:p>
          <w:p w14:paraId="6BD2EF7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10、支持运维审计自查询功能，用户可查看自身的运维审计历史。</w:t>
            </w:r>
          </w:p>
          <w:p w14:paraId="59A75942">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11、支持自定义报表，可记录审计报表模板，可生成图形报表，并提供EXCAL、CSV、WORD、PDF、HTML等格式导出。</w:t>
            </w:r>
          </w:p>
          <w:p w14:paraId="5141D3B9">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▲12、支持windows系统、网络设备、</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linux</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/unix系统、数据库等设备账号的收集功能。</w:t>
            </w:r>
          </w:p>
          <w:p w14:paraId="360EEDE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13、全面支持Windows、</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linux</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、国产</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麒麟</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系统、</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Android</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IOS</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MacOS</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等客户端，实现跨终端适应性BYOD（BringYourOwnDevice）。</w:t>
            </w:r>
          </w:p>
          <w:p w14:paraId="23E4E99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14、支持云端快速部署，实现远程运维管理的规范化；可按照运维人员数量，调整云端服务器配置，即可实现性能优化。</w:t>
            </w:r>
          </w:p>
          <w:p w14:paraId="5C3867E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15、支持告警对外转发，转发方式支持syslog、SNMP等方式。</w:t>
            </w:r>
          </w:p>
          <w:p w14:paraId="671955C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16、支持NTP系统时间同步配置，保证审计日志拥有可靠的时间戳。</w:t>
            </w:r>
          </w:p>
          <w:p w14:paraId="4FABE55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（10）核心交换服务及设备性能要求（2项）</w:t>
            </w:r>
          </w:p>
          <w:p w14:paraId="4280F5E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一、服务参数：</w:t>
            </w:r>
          </w:p>
          <w:p w14:paraId="588193CF">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1、整机最大交换容量≥460.8Tbps，最大包转发率≥76800Mpps；提供核心交换机专项服务，需提供10G光接口总数≥48个，千兆电接口总数≥48个；万兆多模光模块总数≥12个，3M的万兆堆叠线缆含两端模块总数≥2条；</w:t>
            </w:r>
          </w:p>
          <w:p w14:paraId="4D07F69D">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2、需提供双主控引擎服务和冗余模块化电源服务；</w:t>
            </w:r>
          </w:p>
          <w:p w14:paraId="39092818">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3、支持1OGPON功能，支持1OG对称和非对称ONU；</w:t>
            </w:r>
          </w:p>
          <w:p w14:paraId="5CF443F0">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4、关键部件支持可热插拔</w:t>
            </w:r>
          </w:p>
          <w:p w14:paraId="102630A2">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▲5、支持集成无线控制模块，可提供精细的用户控制管理、完善的RF管理及安全机制、快速漫游、超强的QoS和对IPv6的支持等功能。</w:t>
            </w:r>
          </w:p>
          <w:p w14:paraId="599C6EF9">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▲6、支持拓展防火墙业务，提高安全防护性能。</w:t>
            </w:r>
          </w:p>
          <w:p w14:paraId="7406888B">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7、支持VxLAN网关，支持基于IPv4/IPv6的VxLAN二三层互通。</w:t>
            </w:r>
          </w:p>
          <w:p w14:paraId="7D0ED442">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8、支持BFD，能够实现BFD与OSPF/VRRP联动。支持BFD3ms最小探测间隔测试</w:t>
            </w:r>
          </w:p>
          <w:p w14:paraId="7BC3E256">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9、支持sflow、Netstream流量统计和分析功能</w:t>
            </w:r>
          </w:p>
          <w:p w14:paraId="7A9B0308">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10、支持IGMPv1/v2/v3Snooping</w:t>
            </w:r>
          </w:p>
          <w:p w14:paraId="0BC408B7">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11、支持CPU保护技术</w:t>
            </w:r>
          </w:p>
          <w:p w14:paraId="4AE9B9E7">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12、支持不间断转发和重启，提供毫秒级的切换时间；支持等价路由，可帮助用户建立多条等值路径，实现流量的负载均衡及冗余备份；支持RRPP快速环网保护协议；支持Smart-Link协议，保证双上行网络拓扑的业务毫秒级 快速切换。</w:t>
            </w:r>
          </w:p>
          <w:p w14:paraId="7366EAAE">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13、主控交换卡、电源、接口模块、风扇、等关键部件可热插拔。</w:t>
            </w:r>
          </w:p>
          <w:p w14:paraId="546A01FD">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▲14、支持融合无线AC功能，无需独立的AC业务板卡，即支持无线AP管理功能支持INQA功能 ，通过对业务报文进行标记，实现对网络级和设备级的丢包统计。</w:t>
            </w:r>
          </w:p>
          <w:p w14:paraId="5912EF50">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15、支持基于端口或MAC地址的数据帧过滤功能。</w:t>
            </w:r>
          </w:p>
          <w:p w14:paraId="251D7506">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16、支持流氓ONU检测。</w:t>
            </w:r>
          </w:p>
          <w:p w14:paraId="19ABFD9C">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17、支持IGMPSnooping或IGMPProxy功能。</w:t>
            </w:r>
          </w:p>
          <w:p w14:paraId="36184C40">
            <w:pPr>
              <w:pStyle w:val="343"/>
              <w:ind w:firstLine="468" w:firstLineChars="200"/>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18、内置智能图形化管理功能，支持通过图形化界面设备配置及命令一键下发和版本智能升级。</w:t>
            </w:r>
          </w:p>
          <w:p w14:paraId="68FC4F1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（11）零信任服务（1项）</w:t>
            </w:r>
          </w:p>
          <w:p w14:paraId="3E824B0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提供零信任服务，单台设备服务能力要求：</w:t>
            </w:r>
          </w:p>
          <w:p w14:paraId="6D0CA1C9">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国产化</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商密设备，规格≥1U，内存大小≥16G，硬盘容量≥128GSSD，单电源，接口≥6千兆电口+4千兆光口。</w:t>
            </w:r>
          </w:p>
          <w:p w14:paraId="2E8D871A">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2、零信任接入授权≥200套，沙箱终端接入授权≥200套。</w:t>
            </w:r>
          </w:p>
          <w:p w14:paraId="7EADE05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3、为了满足灵活部署的要求，控制中心应支持IPV4/IPV6双栈网络IP配置，可自主选择配置LAN口或WAN口。</w:t>
            </w:r>
          </w:p>
          <w:p w14:paraId="7AEB48A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4、为充分利用设备的网络性能，控制中心部署时支持配置聚合网口，并支持将聚合网口作为控制中心的网络部署IP，聚合网口支持通过</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哈希</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或802.3ad等标准对闲置网口进行网口绑定，支持通过ARP探测机制对聚合网口进行健康检查。</w:t>
            </w:r>
          </w:p>
          <w:p w14:paraId="17C0A0CA">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▲5、为</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方便</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管理员统筹查看管理零信任系统的整体运行状态，支持对设备自身的策略基线、设备稳定性、设备自安全等进行巡检，对设备的整体状态进行打分，统计所有检查的正常项、异常项和告警项，并输出巡检报告。</w:t>
            </w:r>
          </w:p>
          <w:p w14:paraId="0515B47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6、集群故障切换时间优化，被动故障不超过60S，主动故障不超过100S恢复。</w:t>
            </w:r>
          </w:p>
          <w:p w14:paraId="039FCE4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7、通过隧道模式，可以支持基于TCP、UDP、ICMP等协议代理访问业务资源，支持发布IP、IP范围、IP段、具体域名及通配符域名等形式的服务器地址，满足常见办公业务的代理，收缩业务暴露面。</w:t>
            </w:r>
          </w:p>
          <w:p w14:paraId="31F1A3F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配置点击工作台的业务应用即可直接拉起对应的CS程序进行访问，包括但不限于浏览器、远程桌面或其他指定程序，支持Windows、macOS、统信UOS、麒麟kylin、Ubuntu等主流操作系统，针对Windows系统，还应支持拉起CS应用时携带启动参数，自动访问管理员设定的地址。</w:t>
            </w:r>
          </w:p>
          <w:p w14:paraId="5333FC7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9、支持用户安全日志提取，审计中心应将具有异常登录行为的用户日志自动打标签为用户安全日志，以便于管理员快速审计定位。用户安全日志包括但不限于：账号安全（应包含账号首次登录、异常时间登录、非常用地点登录、弱密码登录、爆破登录、闲置账号登录、账号在新终端登录等）、中间人攻击、SPA安全（应包含SPA端口扫描、SPA爆破攻击、SPA敲门伪造、SPA重放攻击、SPA安全码泄漏等）、cookie劫持等。</w:t>
            </w:r>
          </w:p>
          <w:p w14:paraId="2C979DD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10、为满足单位多样化安全便捷认证需求，支持以下认证方式：本地账号密码认证、LDAP/AD认证、OAuth2.0标准协议的票据认证、CAS标准协议的票据认证、Radius账号认证、HTTPS账号认证、证书主认证、证书辅认证、短信主认证、短信辅认证、标准Radius令牌认证、第三方令牌认证、TOTP动态令牌认证等认证方式，并可与企业微信、阿里钉钉、</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飞书</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结合实现扫码认证，支持</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飞书</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用户或个人微信企业号通过H5接入。</w:t>
            </w:r>
          </w:p>
          <w:p w14:paraId="14289F1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11、支持管理员自行配置单位的弱密码库，可配置不少于10W行的弱密码。</w:t>
            </w:r>
          </w:p>
          <w:p w14:paraId="7824383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12、为</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方便</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管理员统筹查看管理零信任系统的整体运行状态，支持对设备自身的安全状态和策略配置进行巡检，对设备的整体状态进行打分，统计所有检查的正常项、异常项和告警项，并输出巡检报告。</w:t>
            </w:r>
          </w:p>
          <w:p w14:paraId="6D79568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▲13、零信任系统支持通过票据共享的方式跟统一身份认证系统进行单点登录对接，为了适应多种身份认证系统获取票据的方式，票据共享应至少支持OAuth对接及票据注入模式。</w:t>
            </w:r>
          </w:p>
          <w:p w14:paraId="686FEEE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14、支持对客户端的工作台标签、欢迎语标题、接入按钮、办公提示语等信息进行自定义配置。</w:t>
            </w:r>
          </w:p>
          <w:p w14:paraId="22310C8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（12）数据库审计服务（1项）</w:t>
            </w:r>
          </w:p>
          <w:p w14:paraId="7EFD538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提供数据库审计服务，单台设备服务能力要求：</w:t>
            </w:r>
          </w:p>
          <w:p w14:paraId="4307FD0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1、性能参数：最大硬件吞吐量≥3Gbps，最大数据库纯SQL流量≥400Mb/s，数据库实例个数无限制，SQL处理性能≥30000条SQL/s，日志检索性能≥600000条/秒。</w:t>
            </w:r>
          </w:p>
          <w:p w14:paraId="5269086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2、硬件参数：规格1U，内存大小≥8G，硬盘容量≥128GSSD+4TSATA，单电源，接口≥8千兆电口+2万兆光口。</w:t>
            </w:r>
          </w:p>
          <w:p w14:paraId="33C0D0B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3、支持旁路阻断功能（非串联方式），支持IPv4和IPv6环境部署，支持IPv4网络的审计、IPv6overIPv4隧道的审计。</w:t>
            </w:r>
          </w:p>
          <w:p w14:paraId="11DA919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4、支持HTTP访问审计，可指定GET、POST、URL、响应码进行精细审计。</w:t>
            </w:r>
          </w:p>
          <w:p w14:paraId="191BB75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支持按照业务语句模板进行操作语句翻译，可自定义业务语句模板。自定义语句模板需要包括请求时间、数据库账号、客户端工具、服务端IP、操作对象、操作命令、客户端IP、请求状态、执行时长、影响行数、规则名称、风险等级、二级操作对象、应用端账号、应用端IP。</w:t>
            </w:r>
          </w:p>
          <w:p w14:paraId="5BD96F1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▲6、支持Oracle，</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MySQL</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SQLServer</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Sybase</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PostgreSQL</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DB2</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，informix，Gaussdb，VASTBASE，shentong，kingbase，HIVE，TiDB，HIGHGO，</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MongoDB</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Redis</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HBASE</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，HDFS，Cache，ElasticSearch，ClickHouse，TDsql（Mysql），Tbase（PG），Hbase，GreenPlum等数据库。</w:t>
            </w:r>
          </w:p>
          <w:p w14:paraId="22C1CB1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7、支持对双向数据包的解析，不仅对数据库操作请求进行审计，而且还可以对数据库系统返回结果进行完整的还原和审计，包括数据库命令执行时长、执行状态、返回行数、执行的结果集等内容。</w:t>
            </w:r>
          </w:p>
          <w:p w14:paraId="335EDC3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支持SQL模板数趋势分析，对资产选定时间范围内新增SQL模板数和使用SQL模板数进行趋势分析；分析支持包括风险等级、风险类型、操作类型、操作命令、操作对象、客户端IP、客户端工具、数据库账号等细化过滤条件。</w:t>
            </w:r>
          </w:p>
          <w:p w14:paraId="44E88EC9">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9、支持</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MySQL</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SQLServer</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等数据库的SSL/TSL加密链路审计。支持mysql5.7和SQLserver2019两种数据库的加密审计，加密算法支持TLS1.0、TLS1.1对称和TLS1.2对称算法。</w:t>
            </w:r>
          </w:p>
          <w:p w14:paraId="1494506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10、支持将审计数据和配置数据备份到FTP服务器，支持将审计备份数据恢复到系统进行查看，支持将备份配置数据导入系统进行配置恢复。</w:t>
            </w:r>
          </w:p>
          <w:p w14:paraId="6A21C2B9">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11、支持告警日志审阅，可设置同时审阅规则对同类事件进行同时审阅，同时审阅规则条件包含服务端IP、数据库实例名、数据库账号、客户端IP、匹配规则、操作对象名、操作命令、客户端APP和SQL模板等，支持选择多条告警日志进行批量审阅。</w:t>
            </w:r>
          </w:p>
          <w:p w14:paraId="660AB42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（13）全网行为管理服务（1项）</w:t>
            </w:r>
          </w:p>
          <w:p w14:paraId="3F831114">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提供全网行为管理服务，单台设备服务能力要求：</w:t>
            </w:r>
          </w:p>
          <w:p w14:paraId="3E53D55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国产化</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设备，网络层吞吐量≥5.8Gbps，应用层吞吐量≥750Mbps，带宽性能≥500Mbps，支持用户数≥4000。</w:t>
            </w:r>
          </w:p>
          <w:p w14:paraId="5C114F2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2、硬件指标：接口≥6个千兆电口，单电源，硬盘容量≥480GSSD，规格为1U，内存大小≥8G。</w:t>
            </w:r>
          </w:p>
          <w:p w14:paraId="7478D46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3、支持路由模式（NAT、路由转发、DHCP、GRE、OSPF）、网桥模式（多路桥接模式）、旁路模式。</w:t>
            </w:r>
          </w:p>
          <w:p w14:paraId="16547FB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4、为了</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方便</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管理，支持设置四类管理员，分别为配置管理员、查看管理员、日志管理员，以及多种权限的超级管理员；管理员支持分级，高级别管理员的策略配置优先生效，并可修改低级管理员的策略。</w:t>
            </w:r>
          </w:p>
          <w:p w14:paraId="7B31FEF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5、支持针对用户认证的故障进行分析，给出错误详情以及排查建议。</w:t>
            </w:r>
          </w:p>
          <w:p w14:paraId="13A7DC4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6、为提升网络安全性，需支持基于802.1x的外部CA证书认证，同时支持在线证书状态查询（OCSP）。</w:t>
            </w:r>
          </w:p>
          <w:p w14:paraId="0B618E8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7、支持为用户添加自定义属性（职位、临时项目组、邮件组等），能够根据用户属性自动归类并可以针对用户属性配置上网权限策略、流控策略，审计策略等。</w:t>
            </w:r>
          </w:p>
          <w:p w14:paraId="6D82F40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8、支持LDAP、Radius、POP3等第三方认证；支持ISA\lotusldap\novellldap\oracle、sqlserver、db2、mysql等数据库等第三方认证。</w:t>
            </w:r>
          </w:p>
          <w:p w14:paraId="489C719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▲9、支持SSL中间人解密，客户端SSL解密时会自动推送根证书安装。</w:t>
            </w:r>
          </w:p>
          <w:p w14:paraId="582F225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10、为提高系统易用性，需支持radius、AD、POP3、Proxy、PPPOE、H3CIMC/CAMS、锐捷SAM、城市热点等系统进行认证单点登录，简化用户操作，可强制指定用户、指定IP段的用户必须使用单点登录。</w:t>
            </w:r>
          </w:p>
          <w:p w14:paraId="2AECA20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11、支持通过抑制P2P的下行丢包，来减缓P2P的下行流量，从而解决网络出口在做流控后仍然压力</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较大</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的问题。</w:t>
            </w:r>
          </w:p>
          <w:p w14:paraId="1BBF98F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12、支持基于时间段/用户/用户组/终端类型/位置等维度的多种上网行为统计排行报表。</w:t>
            </w:r>
          </w:p>
          <w:p w14:paraId="4C28213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13、支持对U盘、移动硬盘设置可读写、拒绝、可读、告警；可对拷贝的文件内容以及插入和拔出行为的审计。</w:t>
            </w:r>
          </w:p>
          <w:p w14:paraId="58726A0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14、支持放通或封堵TCP\UDP端口、ICMP协议，可设置对所有IP或者指定IP执行，离线时继续生效。</w:t>
            </w:r>
          </w:p>
          <w:p w14:paraId="68B5A4F9">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15、可拓展支持外发截屏，当用户外发附件时，会自动截取外发时刻的屏幕，并记录到文件审计日志。</w:t>
            </w:r>
          </w:p>
          <w:p w14:paraId="27F63717">
            <w:pPr>
              <w:pStyle w:val="343"/>
              <w:keepNext w:val="0"/>
              <w:keepLines w:val="0"/>
              <w:pageBreakBefore w:val="0"/>
              <w:widowControl w:val="0"/>
              <w:numPr>
                <w:ilvl w:val="0"/>
                <w:numId w:val="4"/>
              </w:numPr>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二级等保评测服务要求（1项）</w:t>
            </w:r>
          </w:p>
          <w:p w14:paraId="4D9DBA3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依据网络安全等级保护政策、标准、指南等文件要求以及用户业务安全需求，技术层面上，针对教育城域网，需要从通信网络防护、区域边界防护、计算环境防护、安全管理中心等各方面进行安全防护设计，并符合国家等保2.0标准第二级的要求。本项目须按照网络安全等级保护二级认证的要求进行设计、建设、管理和运维。</w:t>
            </w:r>
          </w:p>
        </w:tc>
        <w:tc>
          <w:tcPr>
            <w:tcW w:w="339" w:type="dxa"/>
            <w:noWrap w:val="0"/>
            <w:vAlign w:val="top"/>
          </w:tcPr>
          <w:p w14:paraId="5C7CF22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4D4A4748">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456CFA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07817AE">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65F698F">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9C1D05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2314BC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393C271">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43658F1E">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431E853D">
            <w:pPr>
              <w:pStyle w:val="343"/>
              <w:keepNext w:val="0"/>
              <w:keepLines w:val="0"/>
              <w:pageBreakBefore w:val="0"/>
              <w:widowControl w:val="0"/>
              <w:bidi w:val="0"/>
              <w:spacing w:line="240" w:lineRule="auto"/>
              <w:ind w:right="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w:t>
            </w:r>
          </w:p>
        </w:tc>
        <w:tc>
          <w:tcPr>
            <w:tcW w:w="495" w:type="dxa"/>
            <w:noWrap w:val="0"/>
            <w:vAlign w:val="top"/>
          </w:tcPr>
          <w:p w14:paraId="067E7C30">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92EC4AB">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EA38D9D">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583891C">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C44843F">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684635E">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EB101B0">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DE711CC">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4E6385C8">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21524D8">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C328D77">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23D557F">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B2CC59F">
            <w:pPr>
              <w:pStyle w:val="343"/>
              <w:keepNext w:val="0"/>
              <w:keepLines w:val="0"/>
              <w:pageBreakBefore w:val="0"/>
              <w:widowControl w:val="0"/>
              <w:bidi w:val="0"/>
              <w:spacing w:line="240" w:lineRule="auto"/>
              <w:ind w:right="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项</w:t>
            </w:r>
          </w:p>
        </w:tc>
        <w:tc>
          <w:tcPr>
            <w:tcW w:w="1098" w:type="dxa"/>
            <w:noWrap w:val="0"/>
            <w:vAlign w:val="top"/>
          </w:tcPr>
          <w:p w14:paraId="25A677A4">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DF9DC74">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3F03A5A">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C2DBF96">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0388D9B1">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096D84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817073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1844433">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289CB9B">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2F65318">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01A53565">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2E2BCDE">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162B3EB">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6084970">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0232E282">
            <w:pPr>
              <w:pStyle w:val="343"/>
              <w:keepNext w:val="0"/>
              <w:keepLines w:val="0"/>
              <w:pageBreakBefore w:val="0"/>
              <w:widowControl w:val="0"/>
              <w:bidi w:val="0"/>
              <w:spacing w:line="240" w:lineRule="auto"/>
              <w:ind w:right="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3000000.00</w:t>
            </w:r>
          </w:p>
        </w:tc>
        <w:tc>
          <w:tcPr>
            <w:tcW w:w="956" w:type="dxa"/>
            <w:noWrap w:val="0"/>
            <w:vAlign w:val="top"/>
          </w:tcPr>
          <w:p w14:paraId="55554B07">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F1C4D16">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041581D">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77D464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E42689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A810F53">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0E28A453">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CD7D74F">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023F9A90">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4B3314F">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0BECDFB8">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7146EE7">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856E936">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565BF16">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1B3C05A">
            <w:pPr>
              <w:pStyle w:val="343"/>
              <w:keepNext w:val="0"/>
              <w:keepLines w:val="0"/>
              <w:pageBreakBefore w:val="0"/>
              <w:widowControl w:val="0"/>
              <w:bidi w:val="0"/>
              <w:spacing w:line="240" w:lineRule="auto"/>
              <w:ind w:right="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3000000.00</w:t>
            </w:r>
          </w:p>
        </w:tc>
      </w:tr>
      <w:tr w14:paraId="2BCF0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536" w:type="dxa"/>
            <w:noWrap w:val="0"/>
            <w:vAlign w:val="top"/>
          </w:tcPr>
          <w:p w14:paraId="79AE64CD">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01967283">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236328AA">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2588A13A">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3927AC71">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40CE9E3A">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1225AE29">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6D0B7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536" w:type="dxa"/>
            <w:noWrap w:val="0"/>
            <w:vAlign w:val="top"/>
          </w:tcPr>
          <w:p w14:paraId="0D48FB40">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3DCBB582">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17D09D7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0AD39B8E">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65101AE8">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6BA22529">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4A3A3AA5">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41FB2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536" w:type="dxa"/>
            <w:noWrap w:val="0"/>
            <w:vAlign w:val="top"/>
          </w:tcPr>
          <w:p w14:paraId="11595162">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6BF3AC7F">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19CED8E9">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2D658F44">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2344EDBA">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21B59675">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62D1F7A8">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53A93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536" w:type="dxa"/>
            <w:noWrap w:val="0"/>
            <w:vAlign w:val="top"/>
          </w:tcPr>
          <w:p w14:paraId="276F8321">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019A82B2">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6C755B2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4C3F366A">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111B5B8F">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3EC6EA1C">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5CF48CC4">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3E1BB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536" w:type="dxa"/>
            <w:noWrap w:val="0"/>
            <w:vAlign w:val="top"/>
          </w:tcPr>
          <w:p w14:paraId="3AA954C0">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44CCC0E9">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3F4B8EE3">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09E4DA55">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36AA998D">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0BE802A6">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2819AC1C">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01A90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536" w:type="dxa"/>
            <w:noWrap w:val="0"/>
            <w:vAlign w:val="top"/>
          </w:tcPr>
          <w:p w14:paraId="75175D42">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66111A29">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65F72C5F">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18EA7967">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687547D7">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3AF4038B">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58149A13">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6223C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536" w:type="dxa"/>
            <w:noWrap w:val="0"/>
            <w:vAlign w:val="top"/>
          </w:tcPr>
          <w:p w14:paraId="77C9F071">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0641EBD4">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1BD61F6F">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4594EA7D">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03019CE4">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6B89E6D1">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4F17630A">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583F2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536" w:type="dxa"/>
            <w:noWrap w:val="0"/>
            <w:vAlign w:val="top"/>
          </w:tcPr>
          <w:p w14:paraId="4A298898">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1355097B">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7F148EB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38F9E336">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74F6D06D">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02F810EF">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15DDB1B9">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47339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536" w:type="dxa"/>
            <w:noWrap w:val="0"/>
            <w:vAlign w:val="top"/>
          </w:tcPr>
          <w:p w14:paraId="0088E6FC">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1B816742">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772CB1B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5A6E96EF">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0627E1BC">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22C2763E">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50FB00D6">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0DF8E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536" w:type="dxa"/>
            <w:noWrap w:val="0"/>
            <w:vAlign w:val="top"/>
          </w:tcPr>
          <w:p w14:paraId="77EE25CD">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5AD83352">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5B156C4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699E942F">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1A809F59">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4C72CD45">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487CB800">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59A0E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536" w:type="dxa"/>
            <w:noWrap w:val="0"/>
            <w:vAlign w:val="top"/>
          </w:tcPr>
          <w:p w14:paraId="33DDF9F2">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14D38A4A">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483282CC">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41CB4EC3">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54878CF0">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1ECD58DC">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7258A983">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3363C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536" w:type="dxa"/>
            <w:noWrap w:val="0"/>
            <w:vAlign w:val="top"/>
          </w:tcPr>
          <w:p w14:paraId="30BD4660">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3DDE8314">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40DDBA6A">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0324712C">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6A71DB8A">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52AD14CC">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352663FE">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394C3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536" w:type="dxa"/>
            <w:noWrap w:val="0"/>
            <w:vAlign w:val="top"/>
          </w:tcPr>
          <w:p w14:paraId="77C31BE0">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0C3FE242">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7066B9D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538B741C">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473A02E4">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295C5342">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1C550726">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34460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536" w:type="dxa"/>
            <w:noWrap w:val="0"/>
            <w:vAlign w:val="top"/>
          </w:tcPr>
          <w:p w14:paraId="75F0A02E">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825" w:type="dxa"/>
            <w:noWrap w:val="0"/>
            <w:vAlign w:val="top"/>
          </w:tcPr>
          <w:p w14:paraId="40A6D28E">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5436" w:type="dxa"/>
            <w:vMerge w:val="continue"/>
            <w:noWrap w:val="0"/>
            <w:vAlign w:val="top"/>
          </w:tcPr>
          <w:p w14:paraId="2BFAF97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339" w:type="dxa"/>
            <w:noWrap w:val="0"/>
            <w:vAlign w:val="top"/>
          </w:tcPr>
          <w:p w14:paraId="73053122">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495" w:type="dxa"/>
            <w:noWrap w:val="0"/>
            <w:vAlign w:val="top"/>
          </w:tcPr>
          <w:p w14:paraId="7B4A3250">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1098" w:type="dxa"/>
            <w:noWrap w:val="0"/>
            <w:vAlign w:val="top"/>
          </w:tcPr>
          <w:p w14:paraId="4C02EE2B">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c>
          <w:tcPr>
            <w:tcW w:w="956" w:type="dxa"/>
            <w:noWrap w:val="0"/>
            <w:vAlign w:val="top"/>
          </w:tcPr>
          <w:p w14:paraId="4D8FF60F">
            <w:pPr>
              <w:keepNext w:val="0"/>
              <w:keepLines w:val="0"/>
              <w:pageBreakBefore w:val="0"/>
              <w:widowControl w:val="0"/>
              <w:bidi w:val="0"/>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1E80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685" w:type="dxa"/>
            <w:gridSpan w:val="7"/>
            <w:noWrap w:val="0"/>
            <w:vAlign w:val="top"/>
          </w:tcPr>
          <w:p w14:paraId="78AF50FF">
            <w:pPr>
              <w:pStyle w:val="343"/>
              <w:keepNext w:val="0"/>
              <w:keepLines w:val="0"/>
              <w:pageBreakBefore w:val="0"/>
              <w:widowControl w:val="0"/>
              <w:bidi w:val="0"/>
              <w:spacing w:line="240" w:lineRule="auto"/>
              <w:ind w:left="0" w:right="0" w:firstLine="468" w:firstLineChars="200"/>
              <w:jc w:val="cente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商务要求：</w:t>
            </w:r>
          </w:p>
        </w:tc>
      </w:tr>
      <w:tr w14:paraId="0A3DB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5" w:hRule="atLeast"/>
        </w:trPr>
        <w:tc>
          <w:tcPr>
            <w:tcW w:w="1361" w:type="dxa"/>
            <w:gridSpan w:val="2"/>
            <w:noWrap w:val="0"/>
            <w:vAlign w:val="top"/>
          </w:tcPr>
          <w:p w14:paraId="1C398B7D">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00609A0">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DB82C21">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A4F0B1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D30D449">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8EB43F6">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3FAE26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2D0256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4D92F27">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0D77540">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682AF1F">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D2A641B">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0E2FAE63">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0B235F17">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F1F7520">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CBAE656">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4FFA3B5C">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970C1DA">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AEB325F">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00B403A">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8C68B6F">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2781BB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856F3D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一、技术服务要求</w:t>
            </w:r>
          </w:p>
        </w:tc>
        <w:tc>
          <w:tcPr>
            <w:tcW w:w="8324" w:type="dxa"/>
            <w:gridSpan w:val="5"/>
            <w:noWrap w:val="0"/>
            <w:vAlign w:val="top"/>
          </w:tcPr>
          <w:p w14:paraId="22A8A9E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一、校园网规划与实施服务要求：</w:t>
            </w:r>
          </w:p>
          <w:p w14:paraId="63A919F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必须对荔浦市（公办）114所学校（教育局并入荔浦中学，各乡镇中心学校并入该乡镇中心小学，含在服务期范围内新建或扩建的公办学校）的原有校园网进行现场勘查调研（含网络结构、网络设备、网络布线、VLAN划分及IP分配），形成114份现有校园网现状调研报告。</w:t>
            </w:r>
          </w:p>
          <w:p w14:paraId="456C74B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必须按照相关方案中的IP规划要求，在114个校址网络接入广西教育专网前，按照一址一方案的方式重新设计规划新的校园网网络结构（含原校园网的网络设备、VLAN划分和学校信息化终端的IP地址分配表等信息）。</w:t>
            </w:r>
          </w:p>
          <w:p w14:paraId="5033868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必须按照新的校园网设计规划要求，在本项目实施期间，同时对114个校址内的校园网现有网络设备（含路由器，交换机，AC</w:t>
            </w:r>
            <w:r>
              <w:rPr>
                <w:rFonts w:hint="eastAsia" w:cs="宋体"/>
                <w:color w:val="000000" w:themeColor="text1"/>
                <w:spacing w:val="12"/>
                <w:sz w:val="21"/>
                <w:szCs w:val="21"/>
                <w:lang w:val="en-US" w:eastAsia="zh-CN" w:bidi="ar-SA"/>
                <w14:textFill>
                  <w14:solidFill>
                    <w14:schemeClr w14:val="tx1"/>
                  </w14:solidFill>
                </w14:textFill>
              </w:rPr>
              <w:t>，</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无线AP等）重新进行网络配置变更和调试。</w:t>
            </w:r>
          </w:p>
          <w:p w14:paraId="7D2D7FE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必须按照新的校园网设计规划要求对114个校址内的所有信息化终端分配、更改新的IP地址，并安装“广西教育信息化终端应用管理和安全态势感知管理信息系统”（信息化终端含教师电脑、教室一体机、计算机教室信息化终端、电子阅览室信息化终端、电子书包等）。</w:t>
            </w:r>
          </w:p>
          <w:p w14:paraId="33A6343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5、中标人对校园网的网络设备调试、测通且将学校信息化终端IP更改完成后，须整理114个校址网络建设的相关资料（含新的网络拓扑图，网络设备配置表，IP地址分配表等）两份，一份给校方一份交给采购人。</w:t>
            </w:r>
          </w:p>
          <w:p w14:paraId="0D1F531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所提供的网络设备（不含布线）在服务期结束后如下期未中标</w:t>
            </w:r>
            <w:r>
              <w:rPr>
                <w:rFonts w:hint="eastAsia" w:cs="宋体"/>
                <w:color w:val="000000" w:themeColor="text1"/>
                <w:spacing w:val="12"/>
                <w:sz w:val="21"/>
                <w:szCs w:val="21"/>
                <w:lang w:val="en-US" w:eastAsia="zh-CN" w:bidi="ar-SA"/>
                <w14:textFill>
                  <w14:solidFill>
                    <w14:schemeClr w14:val="tx1"/>
                  </w14:solidFill>
                </w14:textFill>
              </w:rPr>
              <w:t>，</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在保证学校网络持续稳定安全运行的前提下可将本公司提供给学校的配套设备（不含布线）撤除。相关费用包含在投标报价中，采购人及学校（单位）不再支付合同以外的费用。</w:t>
            </w:r>
          </w:p>
          <w:p w14:paraId="3444853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7、整个项目建设必须符合广西壮族自治区教育厅桂教网信[2024]8号文件，《广西教育专网建设项目设计方案（2023年修订版）》相关要求。</w:t>
            </w:r>
          </w:p>
          <w:p w14:paraId="30B4B76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二、网络运维服务要求：</w:t>
            </w:r>
          </w:p>
          <w:p w14:paraId="04EAB35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需提供网络管理平台服务。为采购人开放网络监管权限，根据业主需求查看网络数据，</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方便</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采购人随时监控城域网链路情况。</w:t>
            </w:r>
          </w:p>
          <w:p w14:paraId="119A863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需承诺在协议期内每月设备安全运维例行巡检并出具每月巡检报告，巡检内容包含对相关设备进行固件版本升级、城域网整体网络安全检测、网络线路近期流量走势和网络拥塞分析、“广西教育信息化终端应用管理和安全态势感知管理信息系统”安装率等，并根据网络流量使用情况，适当调整流量通道配置，提高互联网网络带宽利用率。每年需出具巡检报告不少于12份。</w:t>
            </w:r>
          </w:p>
          <w:p w14:paraId="3570FAD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需承诺对本项目中114个校址的校园网每年至少提供12次网络安全巡检服务。每年需出具巡检报告不少于12份，同时对本项目涉及的校园局域网设备和线路进行运营维护。</w:t>
            </w:r>
          </w:p>
          <w:p w14:paraId="59763A9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须按照国家网络安全事件应急预案要求对本项目中的114个校址单位分别制定网络安全应急预案，并指导学校网络技术人员进行演练（一年一次）。</w:t>
            </w:r>
          </w:p>
          <w:p w14:paraId="645BCEB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需承诺对本项目教育城域网按照不低于网络安全等级保护二级认证的要求进行备案和测评，由供应商在验收合格后向当地公安机关网络监督部门办理备案手续；由供应商负责聘请有资质的第三方检测机构进行等保测评，相关认证检测费用由供应商负责，要求在验收合格后九个月内完成首次等保测评并出具等保测评报告（综合得分70分及以上），在服务期内按相关要求开展等保测评工作。</w:t>
            </w:r>
          </w:p>
        </w:tc>
      </w:tr>
      <w:tr w14:paraId="351B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3" w:hRule="atLeast"/>
        </w:trPr>
        <w:tc>
          <w:tcPr>
            <w:tcW w:w="1361" w:type="dxa"/>
            <w:gridSpan w:val="2"/>
            <w:noWrap w:val="0"/>
            <w:vAlign w:val="top"/>
          </w:tcPr>
          <w:p w14:paraId="6B0A1515">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A0B9035">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0BAA025">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40AD71EC">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E8AE363">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4C7DFD1D">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5D7E339">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D7751F7">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二、培训服务要求</w:t>
            </w:r>
          </w:p>
        </w:tc>
        <w:tc>
          <w:tcPr>
            <w:tcW w:w="8324" w:type="dxa"/>
            <w:gridSpan w:val="5"/>
            <w:noWrap w:val="0"/>
            <w:vAlign w:val="top"/>
          </w:tcPr>
          <w:p w14:paraId="13CAD13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及设备厂家在网络服务租用期间提供</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免费</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知识培训，选派优秀的培训讲师组建高素质的培训队伍，培训教员应具有丰富的理论知识和实操经验，主要负责网络、网络安全设备的性能、操作、维护及日常管理等方面的培训，以及系统原理、架构、设备的性能、操作使用、日常维护与故障排查等方面的培训。</w:t>
            </w:r>
          </w:p>
          <w:p w14:paraId="6A108A7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2、培训方式：</w:t>
            </w:r>
            <w:r>
              <w:rPr>
                <w:rFonts w:hint="eastAsia" w:cs="宋体"/>
                <w:color w:val="000000" w:themeColor="text1"/>
                <w:spacing w:val="12"/>
                <w:sz w:val="21"/>
                <w:szCs w:val="21"/>
                <w:highlight w:val="none"/>
                <w:lang w:val="en-US" w:eastAsia="zh-CN" w:bidi="ar-SA"/>
                <w14:textFill>
                  <w14:solidFill>
                    <w14:schemeClr w14:val="tx1"/>
                  </w14:solidFill>
                </w14:textFill>
              </w:rPr>
              <w:t>114所学校</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集中面授、现场培训等方式。</w:t>
            </w:r>
          </w:p>
          <w:p w14:paraId="5F12D19B">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3、培训人数为每校址2人。每年不少于1次的集中培训，每次培训不少于两天</w:t>
            </w:r>
            <w:r>
              <w:rPr>
                <w:rFonts w:hint="eastAsia" w:cs="宋体"/>
                <w:color w:val="000000" w:themeColor="text1"/>
                <w:spacing w:val="1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培训时间和地点由</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采购方</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决定。</w:t>
            </w:r>
          </w:p>
          <w:p w14:paraId="4732B4A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4、培训时间和地点由</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采购方</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决定。</w:t>
            </w:r>
          </w:p>
          <w:p w14:paraId="63C56CA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5、通过培训达到如下几个目标：</w:t>
            </w:r>
          </w:p>
          <w:p w14:paraId="0C01D3B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（1）熟悉现代常用通信网络技术。</w:t>
            </w:r>
          </w:p>
          <w:p w14:paraId="7CEEB3E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（2）了解各种网络业务产品。</w:t>
            </w:r>
          </w:p>
          <w:p w14:paraId="0BA2D3A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（3）熟练使用本项目网络应用设备，具有</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一定的</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系统维护、判断故障的能力和综合处理能力。</w:t>
            </w:r>
          </w:p>
          <w:p w14:paraId="59FB426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（4）具备独立操作能力，能够进行日常维护，解决常见故障。</w:t>
            </w:r>
          </w:p>
        </w:tc>
      </w:tr>
      <w:tr w14:paraId="32B66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3" w:hRule="atLeast"/>
        </w:trPr>
        <w:tc>
          <w:tcPr>
            <w:tcW w:w="1361" w:type="dxa"/>
            <w:gridSpan w:val="2"/>
            <w:noWrap w:val="0"/>
            <w:vAlign w:val="top"/>
          </w:tcPr>
          <w:p w14:paraId="3F504C6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CC0DFCC">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FCB5624">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07BAB4CC">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160CE31">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75F8686">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391910C">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F7D6B0D">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68D4606">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D1877F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5420424">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三、售后服务其他要求</w:t>
            </w:r>
          </w:p>
        </w:tc>
        <w:tc>
          <w:tcPr>
            <w:tcW w:w="8324" w:type="dxa"/>
            <w:gridSpan w:val="5"/>
            <w:noWrap w:val="0"/>
            <w:vAlign w:val="top"/>
          </w:tcPr>
          <w:p w14:paraId="70BDA22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1、投标文件中提供售后服务承诺书，</w:t>
            </w:r>
            <w:r>
              <w:rPr>
                <w:rFonts w:hint="default" w:ascii="宋体" w:hAnsi="宋体" w:eastAsia="宋体" w:cs="宋体"/>
                <w:color w:val="000000" w:themeColor="text1"/>
                <w:spacing w:val="12"/>
                <w:sz w:val="21"/>
                <w:szCs w:val="21"/>
                <w:highlight w:val="none"/>
                <w:lang w:val="en-US" w:eastAsia="zh-CN" w:bidi="ar-SA"/>
                <w14:textFill>
                  <w14:solidFill>
                    <w14:schemeClr w14:val="tx1"/>
                  </w14:solidFill>
                </w14:textFill>
              </w:rPr>
              <w:t>在网络覆盖地有</w:t>
            </w:r>
            <w:r>
              <w:rPr>
                <w:rFonts w:hint="eastAsia" w:cs="宋体"/>
                <w:color w:val="000000" w:themeColor="text1"/>
                <w:spacing w:val="12"/>
                <w:sz w:val="21"/>
                <w:szCs w:val="21"/>
                <w:highlight w:val="none"/>
                <w:lang w:val="en-US" w:eastAsia="zh-CN" w:bidi="ar-SA"/>
                <w14:textFill>
                  <w14:solidFill>
                    <w14:schemeClr w14:val="tx1"/>
                  </w14:solidFill>
                </w14:textFill>
              </w:rPr>
              <w:t>提供</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专人实施网络服务的售后服务，提供联系人名单及联系方式。</w:t>
            </w:r>
          </w:p>
          <w:p w14:paraId="57F09AE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提供7×24小时热线电话服务，并提供故障申告途径及绿色通道，做到</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全方位</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响应，并指定专人负责上门受理调试日常维护及平时协助采购人维护检测等工作，提供365×24小时的售后服务响应。</w:t>
            </w:r>
          </w:p>
          <w:p w14:paraId="6BF344C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3、保证网络的</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畅通</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负责线路运营商到用户单位主干光缆所有设备的</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免费</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运行维护，如光端机、转换器等设备，如果主干网络出现问题，必须在接到报告后2个小时内到达现场，负责排除故障，直到网络恢复正常，如设备故障在4小时内无法解决的应</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免费</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提供备用设备及备件，确保网络正常运行。</w:t>
            </w:r>
          </w:p>
          <w:p w14:paraId="27CA201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4、当</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采购方</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网络需要扩展、迁移或升级时，中标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负责</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免费</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提供相应解决方案等技术支持及所产生的相关费用；因</w:t>
            </w:r>
            <w:r>
              <w:rPr>
                <w:rFonts w:hint="eastAsia" w:cs="宋体"/>
                <w:color w:val="000000" w:themeColor="text1"/>
                <w:spacing w:val="12"/>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施工、网络割接等原因影响网络运行的，应当提前一天通知</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采购方</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，并且尽快消除故障、恢复网络通信线路。</w:t>
            </w:r>
          </w:p>
          <w:p w14:paraId="723A4F5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5、投标人须另行书面承诺（格式自拟）并附在投标文件中，承诺合同执行期间，如遇国家新政策、标准、规范或规定更新的，中标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无条件根据新规要求负责对项目进行调整或优化。</w:t>
            </w:r>
          </w:p>
          <w:p w14:paraId="00354190">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6、中标</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须按其投标文件提供的技术及实施方案、售后服务承诺的人员为采购人提供服务。在合同履行过程中，原则上不得更换项目服务人员，如确有需要更换的需经采购人同意，且所更换人员必须为同等条件人。</w:t>
            </w:r>
          </w:p>
        </w:tc>
      </w:tr>
      <w:tr w14:paraId="60EDD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361" w:type="dxa"/>
            <w:gridSpan w:val="2"/>
            <w:noWrap w:val="0"/>
            <w:vAlign w:val="top"/>
          </w:tcPr>
          <w:p w14:paraId="1110BE79">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5AE4CB4">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23602772">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2DD1329">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四、验收方式和标准</w:t>
            </w:r>
          </w:p>
        </w:tc>
        <w:tc>
          <w:tcPr>
            <w:tcW w:w="8324" w:type="dxa"/>
            <w:gridSpan w:val="5"/>
            <w:noWrap w:val="0"/>
            <w:vAlign w:val="top"/>
          </w:tcPr>
          <w:p w14:paraId="3968BD6F">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验收说明：本项目的验收分为二个阶段，第一阶段验收为设备性能和网络线路质量验收；第二阶段验收为设备性能，线路运行服务质量验收。第一阶段验收合格且经双方签字确认后方可正式进入</w:t>
            </w:r>
            <w:r>
              <w:rPr>
                <w:rFonts w:hint="eastAsia" w:cs="宋体"/>
                <w:color w:val="000000" w:themeColor="text1"/>
                <w:spacing w:val="12"/>
                <w:sz w:val="21"/>
                <w:szCs w:val="21"/>
                <w:highlight w:val="none"/>
                <w:lang w:val="en-US" w:eastAsia="zh-CN" w:bidi="ar-SA"/>
                <w14:textFill>
                  <w14:solidFill>
                    <w14:schemeClr w14:val="tx1"/>
                  </w14:solidFill>
                </w14:textFill>
              </w:rPr>
              <w:t>本项目</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服务期。</w:t>
            </w:r>
          </w:p>
          <w:p w14:paraId="46BA259E">
            <w:pPr>
              <w:pStyle w:val="343"/>
              <w:keepNext w:val="0"/>
              <w:keepLines w:val="0"/>
              <w:pageBreakBefore w:val="0"/>
              <w:widowControl w:val="0"/>
              <w:numPr>
                <w:ilvl w:val="0"/>
                <w:numId w:val="5"/>
              </w:numPr>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第一阶段验收为设备性能、网络线路质量，采取安全服务功能演示和网络线路质量测试方式。时间为项目合同签订后90个工作日内。各项指标应与</w:t>
            </w:r>
            <w:r>
              <w:rPr>
                <w:rFonts w:hint="eastAsia" w:cs="宋体"/>
                <w:color w:val="000000" w:themeColor="text1"/>
                <w:spacing w:val="12"/>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投标响应内容一致，验收时需提供包含但不限于配套服务涉及的设备检测报告、网络线路测试报告、与广西教育专网核心节点平台相应设备对接的文档、现场功能演示（包括态势感知服务、上网行为管理服务）及报告。具体要求如下：</w:t>
            </w:r>
          </w:p>
          <w:p w14:paraId="434B1AE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(1）态势感知服务支持与广西教育专网核心节点安全态势感知系统对接，可通过核心节点平台查看荔浦市教育城域网的资产信息、安全事件、脆弱性风险等信息，验收时若</w:t>
            </w:r>
            <w:r>
              <w:rPr>
                <w:rFonts w:hint="eastAsia" w:cs="宋体"/>
                <w:color w:val="000000" w:themeColor="text1"/>
                <w:spacing w:val="12"/>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不能提供教育厅态势感知平台实现对接的截图或提供的功能截图不符要求的，采购人有权不予验收，并视为验收不合格，且保留追究法律责任的权利。</w:t>
            </w:r>
          </w:p>
          <w:p w14:paraId="18AAFD35">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(2）上网行为管理服务支持与广西教育数据中心核心节点的统一身份认证系统进行对接，访问互联网时可演示通过新创的统一身份认证系统的账户信息进行登录认证，验收时若</w:t>
            </w:r>
            <w:r>
              <w:rPr>
                <w:rFonts w:hint="eastAsia" w:cs="宋体"/>
                <w:color w:val="000000" w:themeColor="text1"/>
                <w:spacing w:val="12"/>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不能进行演示或演示的功能不符要求的，采购人有权拒绝不予验收，并视为验收不合格，且保留追究法律责任的权利。</w:t>
            </w:r>
          </w:p>
          <w:p w14:paraId="0894A8F5">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2、第二阶段设备性能，线路运行服务质量验收，</w:t>
            </w:r>
            <w:r>
              <w:rPr>
                <w:rFonts w:hint="eastAsia" w:cs="宋体"/>
                <w:color w:val="000000" w:themeColor="text1"/>
                <w:spacing w:val="12"/>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应按照《荔浦市教育城域网项目服务标准》（附件2）及</w:t>
            </w:r>
            <w:r>
              <w:rPr>
                <w:rFonts w:hint="eastAsia" w:cs="宋体"/>
                <w:color w:val="000000" w:themeColor="text1"/>
                <w:spacing w:val="12"/>
                <w:sz w:val="21"/>
                <w:szCs w:val="21"/>
                <w:lang w:val="en-US" w:eastAsia="zh-CN" w:bidi="ar-SA"/>
                <w14:textFill>
                  <w14:solidFill>
                    <w14:schemeClr w14:val="tx1"/>
                  </w14:solidFill>
                </w14:textFill>
              </w:rPr>
              <w:t>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投标响应文件提供对应服务，验收时需提供包含但不限于网络安全运维每月巡检报告、网络线路测试报告及荔浦市教育城域网项目服务评分表。当服务质量验收要求评分低于80分时将视为验收不合格。验收合格后方可继续提供下一年度荔浦市教育城域网服务。服务质量验收的要求标准与评分方式，详见附件2《荔浦市教育城域网项目服务标准》。</w:t>
            </w:r>
          </w:p>
          <w:p w14:paraId="35AB316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cs="宋体"/>
                <w:color w:val="000000" w:themeColor="text1"/>
                <w:spacing w:val="1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、在项目验收过程中，采购人将同时按照政府采购合同约定、招标文件及</w:t>
            </w:r>
            <w:r>
              <w:rPr>
                <w:rFonts w:hint="eastAsia" w:cs="宋体"/>
                <w:color w:val="000000" w:themeColor="text1"/>
                <w:spacing w:val="12"/>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的投标文件承诺的条款进行逐项验收，如项目验收不合格，由</w:t>
            </w:r>
            <w:r>
              <w:rPr>
                <w:rFonts w:hint="eastAsia" w:cs="宋体"/>
                <w:color w:val="000000" w:themeColor="text1"/>
                <w:spacing w:val="12"/>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返工直至合格，有关返工、再行验收，以及给采购单位造成的损失等费用由</w:t>
            </w:r>
            <w:r>
              <w:rPr>
                <w:rFonts w:hint="eastAsia" w:cs="宋体"/>
                <w:color w:val="000000" w:themeColor="text1"/>
                <w:spacing w:val="12"/>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承担。</w:t>
            </w:r>
          </w:p>
          <w:p w14:paraId="236506B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cs="宋体"/>
                <w:color w:val="000000" w:themeColor="text1"/>
                <w:spacing w:val="1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、在验收过程中发现</w:t>
            </w:r>
            <w:r>
              <w:rPr>
                <w:rFonts w:hint="eastAsia" w:cs="宋体"/>
                <w:color w:val="000000" w:themeColor="text1"/>
                <w:spacing w:val="12"/>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有违约问题或验收不合格问题，可暂缓资金结算。待违约问题协商解决后方可按照合同条款进行资金结算。</w:t>
            </w:r>
          </w:p>
          <w:p w14:paraId="029A4C15">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tc>
      </w:tr>
      <w:tr w14:paraId="48173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4" w:hRule="atLeast"/>
        </w:trPr>
        <w:tc>
          <w:tcPr>
            <w:tcW w:w="1361" w:type="dxa"/>
            <w:gridSpan w:val="2"/>
            <w:noWrap w:val="0"/>
            <w:vAlign w:val="top"/>
          </w:tcPr>
          <w:p w14:paraId="2E2EEBFC">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C6CE844">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451506E">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5D2F802A">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五、合同及付款方式</w:t>
            </w:r>
          </w:p>
        </w:tc>
        <w:tc>
          <w:tcPr>
            <w:tcW w:w="8324" w:type="dxa"/>
            <w:gridSpan w:val="5"/>
            <w:noWrap w:val="0"/>
            <w:vAlign w:val="top"/>
          </w:tcPr>
          <w:p w14:paraId="4231C7E6">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1、中标供应商应及时与采购人签订合同，合同总价包括中标供应商完成本项目服务要求后所产生的全部费用（含税），采购人不再另行向中标供应商支付其他任何费用。</w:t>
            </w:r>
          </w:p>
          <w:p w14:paraId="4541288D">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2、按中标金额验收后分三年付款(次年3月逐年由学校自行支付)。</w:t>
            </w:r>
          </w:p>
          <w:p w14:paraId="7A70437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3、采购人可根据每年财政拨款情况提前支付或延后支付，若因采购人财政拨款问题导致采购人付款迟延的，采购人不承担责任。</w:t>
            </w:r>
          </w:p>
        </w:tc>
      </w:tr>
      <w:tr w14:paraId="239A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1361" w:type="dxa"/>
            <w:gridSpan w:val="2"/>
            <w:noWrap w:val="0"/>
            <w:vAlign w:val="top"/>
          </w:tcPr>
          <w:p w14:paraId="67D8F2DA">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4841DBED">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001AB8A1">
            <w:pPr>
              <w:pStyle w:val="343"/>
              <w:keepNext w:val="0"/>
              <w:keepLines w:val="0"/>
              <w:pageBreakBefore w:val="0"/>
              <w:widowControl w:val="0"/>
              <w:bidi w:val="0"/>
              <w:spacing w:line="240" w:lineRule="auto"/>
              <w:ind w:left="0" w:right="0" w:firstLine="468" w:firstLineChars="200"/>
              <w:jc w:val="both"/>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六、报价及其他要求</w:t>
            </w:r>
          </w:p>
        </w:tc>
        <w:tc>
          <w:tcPr>
            <w:tcW w:w="8324" w:type="dxa"/>
            <w:gridSpan w:val="5"/>
            <w:noWrap w:val="0"/>
            <w:vAlign w:val="top"/>
          </w:tcPr>
          <w:p w14:paraId="12680F94">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1、要求为实现本项目的服务能力建设，由投标人负责投入必要的设施设备，基本配置应达到采购单位提出的技术参数要求，并符合国家有关质量安全标准。</w:t>
            </w:r>
          </w:p>
          <w:p w14:paraId="24A17D2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本项目实行总承包报价；投标报价包含设备设施的投入、集成安装、运抵指定地点运输及装卸、现场安装调试、网络建设、各项保险、附加培训、售后服务、税金、利润及其他所有可能发生的一切费用及所有的不确定因素的风险，合同履行过程中，采购人不再另行向</w:t>
            </w:r>
            <w:r>
              <w:rPr>
                <w:rFonts w:hint="eastAsia" w:cs="宋体"/>
                <w:color w:val="000000" w:themeColor="text1"/>
                <w:spacing w:val="12"/>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支付其他任何费用。</w:t>
            </w:r>
          </w:p>
        </w:tc>
      </w:tr>
      <w:tr w14:paraId="3EA0B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361" w:type="dxa"/>
            <w:gridSpan w:val="2"/>
            <w:noWrap w:val="0"/>
            <w:vAlign w:val="top"/>
          </w:tcPr>
          <w:p w14:paraId="68137664">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BD82C0D">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6D58F13C">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38FD8F0F">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704FB491">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116DD893">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七、其他要求</w:t>
            </w:r>
          </w:p>
        </w:tc>
        <w:tc>
          <w:tcPr>
            <w:tcW w:w="8324" w:type="dxa"/>
            <w:gridSpan w:val="5"/>
            <w:noWrap w:val="0"/>
            <w:vAlign w:val="top"/>
          </w:tcPr>
          <w:p w14:paraId="770D5558">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cs="宋体"/>
                <w:color w:val="000000" w:themeColor="text1"/>
                <w:spacing w:val="1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w:t>
            </w:r>
            <w:r>
              <w:rPr>
                <w:rFonts w:hint="eastAsia" w:cs="宋体"/>
                <w:color w:val="000000" w:themeColor="text1"/>
                <w:spacing w:val="12"/>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需承诺在荔浦市域范围内部署网络安全管理平台，本项目所需全新专用设备需部署于可独立管控的空间内，要求24小时</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监控</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，录像存储半年，可实时监控，有专人管理，对设备进行维护时提前报备，现场验收。</w:t>
            </w:r>
          </w:p>
          <w:p w14:paraId="575657D5">
            <w:pPr>
              <w:pStyle w:val="343"/>
              <w:keepNext w:val="0"/>
              <w:keepLines w:val="0"/>
              <w:pageBreakBefore w:val="0"/>
              <w:widowControl w:val="0"/>
              <w:numPr>
                <w:ilvl w:val="-1"/>
                <w:numId w:val="0"/>
              </w:numPr>
              <w:bidi w:val="0"/>
              <w:spacing w:line="240" w:lineRule="auto"/>
              <w:ind w:left="420" w:leftChars="20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cs="宋体"/>
                <w:color w:val="000000" w:themeColor="text1"/>
                <w:spacing w:val="12"/>
                <w:sz w:val="21"/>
                <w:szCs w:val="21"/>
                <w:highlight w:val="none"/>
                <w:lang w:val="en-US" w:eastAsia="zh-CN" w:bidi="ar-SA"/>
                <w14:textFill>
                  <w14:solidFill>
                    <w14:schemeClr w14:val="tx1"/>
                  </w14:solidFill>
                </w14:textFill>
              </w:rPr>
              <w:t>2、中标供应商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需承诺采购人，荔浦市所有公办学校（含幼儿园）在使用教育城域网服务期间内有新建、扩建、改建的公办学校都</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免费</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接入教育城域网。</w:t>
            </w:r>
          </w:p>
          <w:p w14:paraId="6185DCB3">
            <w:pPr>
              <w:pStyle w:val="343"/>
              <w:keepNext w:val="0"/>
              <w:keepLines w:val="0"/>
              <w:pageBreakBefore w:val="0"/>
              <w:widowControl w:val="0"/>
              <w:numPr>
                <w:ilvl w:val="-1"/>
                <w:numId w:val="0"/>
              </w:numPr>
              <w:bidi w:val="0"/>
              <w:spacing w:line="240" w:lineRule="auto"/>
              <w:ind w:left="420" w:leftChars="20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cs="宋体"/>
                <w:color w:val="000000" w:themeColor="text1"/>
                <w:spacing w:val="12"/>
                <w:sz w:val="21"/>
                <w:szCs w:val="21"/>
                <w:highlight w:val="none"/>
                <w:lang w:val="en-US" w:eastAsia="zh-CN" w:bidi="ar-SA"/>
                <w14:textFill>
                  <w14:solidFill>
                    <w14:schemeClr w14:val="tx1"/>
                  </w14:solidFill>
                </w14:textFill>
              </w:rPr>
              <w:t>3、中标供应商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需承诺采购人，在使用教育城域网服务期间如果国家、自治区、桂林市等上级部门要求教育城域网网络更新、扩容等项目涉及到费用问题全部由</w:t>
            </w:r>
            <w:r>
              <w:rPr>
                <w:rFonts w:hint="eastAsia" w:cs="宋体"/>
                <w:color w:val="000000" w:themeColor="text1"/>
                <w:spacing w:val="12"/>
                <w:sz w:val="21"/>
                <w:szCs w:val="21"/>
                <w:highlight w:val="none"/>
                <w:lang w:val="en-US" w:eastAsia="zh-CN" w:bidi="ar-SA"/>
                <w14:textFill>
                  <w14:solidFill>
                    <w14:schemeClr w14:val="tx1"/>
                  </w14:solidFill>
                </w14:textFill>
              </w:rPr>
              <w:t>中标供应商</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解决，采购人不承担任何费用。</w:t>
            </w:r>
          </w:p>
          <w:p w14:paraId="3BBB32E9">
            <w:pPr>
              <w:pStyle w:val="343"/>
              <w:keepNext w:val="0"/>
              <w:keepLines w:val="0"/>
              <w:pageBreakBefore w:val="0"/>
              <w:widowControl w:val="0"/>
              <w:numPr>
                <w:ilvl w:val="-1"/>
                <w:numId w:val="0"/>
              </w:numPr>
              <w:bidi w:val="0"/>
              <w:spacing w:line="240" w:lineRule="auto"/>
              <w:ind w:left="420" w:leftChars="200" w:right="0" w:firstLine="0" w:firstLineChars="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cs="宋体"/>
                <w:color w:val="000000" w:themeColor="text1"/>
                <w:spacing w:val="12"/>
                <w:sz w:val="21"/>
                <w:szCs w:val="21"/>
                <w:lang w:val="en-US" w:eastAsia="zh-CN" w:bidi="ar-SA"/>
                <w14:textFill>
                  <w14:solidFill>
                    <w14:schemeClr w14:val="tx1"/>
                  </w14:solidFill>
                </w14:textFill>
              </w:rPr>
              <w:t>4、</w:t>
            </w:r>
            <w:r>
              <w:rPr>
                <w:rFonts w:hint="eastAsia" w:ascii="宋体" w:hAnsi="宋体" w:eastAsia="宋体" w:cs="宋体"/>
                <w:color w:val="000000" w:themeColor="text1"/>
                <w:spacing w:val="12"/>
                <w:sz w:val="21"/>
                <w:szCs w:val="21"/>
                <w:lang w:val="en-US" w:eastAsia="zh-CN" w:bidi="ar-SA"/>
                <w14:textFill>
                  <w14:solidFill>
                    <w14:schemeClr w14:val="tx1"/>
                  </w14:solidFill>
                </w14:textFill>
              </w:rPr>
              <w:t>本项目所属行业</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为</w:t>
            </w:r>
            <w:r>
              <w:rPr>
                <w:rFonts w:hint="eastAsia" w:cs="宋体"/>
                <w:color w:val="000000" w:themeColor="text1"/>
                <w:spacing w:val="1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信息传输业。</w:t>
            </w:r>
          </w:p>
          <w:p w14:paraId="1FDE2D3C">
            <w:pPr>
              <w:pStyle w:val="343"/>
              <w:keepNext w:val="0"/>
              <w:keepLines w:val="0"/>
              <w:pageBreakBefore w:val="0"/>
              <w:widowControl w:val="0"/>
              <w:numPr>
                <w:ilvl w:val="0"/>
                <w:numId w:val="0"/>
              </w:numPr>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cs="宋体"/>
                <w:color w:val="000000" w:themeColor="text1"/>
                <w:spacing w:val="1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本项目未尽事宜在签订合同时另行约定</w:t>
            </w:r>
          </w:p>
        </w:tc>
      </w:tr>
      <w:tr w14:paraId="2BB3A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361" w:type="dxa"/>
            <w:gridSpan w:val="2"/>
            <w:noWrap w:val="0"/>
            <w:vAlign w:val="top"/>
          </w:tcPr>
          <w:p w14:paraId="31A5ED86">
            <w:pPr>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p>
          <w:p w14:paraId="063B10C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八、注意事项</w:t>
            </w:r>
          </w:p>
        </w:tc>
        <w:tc>
          <w:tcPr>
            <w:tcW w:w="8324" w:type="dxa"/>
            <w:gridSpan w:val="5"/>
            <w:noWrap w:val="0"/>
            <w:vAlign w:val="top"/>
          </w:tcPr>
          <w:p w14:paraId="1A164ED1">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1、本项目政府采购预算金额为人民币叁佰万元</w:t>
            </w:r>
            <w:r>
              <w:rPr>
                <w:rFonts w:hint="eastAsia" w:cs="宋体"/>
                <w:color w:val="000000" w:themeColor="text1"/>
                <w:spacing w:val="12"/>
                <w:sz w:val="21"/>
                <w:szCs w:val="21"/>
                <w:highlight w:val="none"/>
                <w:lang w:val="en-US" w:eastAsia="zh-CN" w:bidi="ar-SA"/>
                <w14:textFill>
                  <w14:solidFill>
                    <w14:schemeClr w14:val="tx1"/>
                  </w14:solidFill>
                </w14:textFill>
              </w:rPr>
              <w:t>整</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(¥3000000元）投标报价超出采购预算金额的将被视为无效投标。</w:t>
            </w:r>
          </w:p>
          <w:p w14:paraId="0CF75D7F">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2、本项目产品不接受进口产品（即通过中国海关报关验放进入中国境内且产自关境外的产品）参与投标，如有此类产品参与投标的作无效投标处理。</w:t>
            </w:r>
          </w:p>
        </w:tc>
      </w:tr>
    </w:tbl>
    <w:p w14:paraId="44E9B36C">
      <w:pPr>
        <w:rPr>
          <w:rFonts w:hint="eastAsia"/>
        </w:rPr>
      </w:pPr>
    </w:p>
    <w:p w14:paraId="58A02CD3">
      <w:pPr>
        <w:rPr>
          <w:rFonts w:hint="eastAsia"/>
        </w:rPr>
      </w:pPr>
    </w:p>
    <w:p w14:paraId="34ECC4CA">
      <w:pPr>
        <w:rPr>
          <w:rFonts w:hint="eastAsia"/>
        </w:rPr>
      </w:pPr>
    </w:p>
    <w:p w14:paraId="32838092">
      <w:pPr>
        <w:rPr>
          <w:rFonts w:hint="eastAsia"/>
        </w:rPr>
      </w:pPr>
    </w:p>
    <w:p w14:paraId="0F628D90">
      <w:pPr>
        <w:rPr>
          <w:rFonts w:hint="eastAsia"/>
        </w:rPr>
      </w:pPr>
    </w:p>
    <w:p w14:paraId="1F810656">
      <w:pPr>
        <w:rPr>
          <w:rFonts w:hint="eastAsia"/>
        </w:rPr>
      </w:pPr>
    </w:p>
    <w:p w14:paraId="34AAF2B1">
      <w:pPr>
        <w:rPr>
          <w:rFonts w:hint="eastAsia"/>
        </w:rPr>
      </w:pPr>
    </w:p>
    <w:p w14:paraId="0659D61D">
      <w:pPr>
        <w:rPr>
          <w:rFonts w:hint="eastAsia"/>
        </w:rPr>
      </w:pPr>
    </w:p>
    <w:p w14:paraId="328BA319">
      <w:pPr>
        <w:rPr>
          <w:rFonts w:hint="eastAsia"/>
        </w:rPr>
      </w:pPr>
    </w:p>
    <w:p w14:paraId="5BABC963">
      <w:pPr>
        <w:rPr>
          <w:rFonts w:hint="eastAsia"/>
        </w:rPr>
      </w:pPr>
    </w:p>
    <w:p w14:paraId="744AE896">
      <w:pPr>
        <w:rPr>
          <w:rFonts w:hint="eastAsia"/>
        </w:rPr>
      </w:pPr>
    </w:p>
    <w:p w14:paraId="22BC3B7D">
      <w:pPr>
        <w:rPr>
          <w:rFonts w:hint="eastAsia"/>
        </w:rPr>
      </w:pPr>
    </w:p>
    <w:p w14:paraId="3CE46238">
      <w:pPr>
        <w:rPr>
          <w:rFonts w:hint="eastAsia"/>
        </w:rPr>
      </w:pPr>
    </w:p>
    <w:p w14:paraId="1B6DC0CA">
      <w:pPr>
        <w:rPr>
          <w:rFonts w:hint="eastAsia"/>
        </w:rPr>
      </w:pPr>
    </w:p>
    <w:p w14:paraId="0A5A9AA3">
      <w:pPr>
        <w:rPr>
          <w:rFonts w:hint="eastAsia"/>
        </w:rPr>
      </w:pPr>
    </w:p>
    <w:p w14:paraId="78082D56">
      <w:pPr>
        <w:rPr>
          <w:rFonts w:hint="eastAsia"/>
        </w:rPr>
      </w:pPr>
    </w:p>
    <w:p w14:paraId="00CFC851">
      <w:pPr>
        <w:rPr>
          <w:rFonts w:hint="eastAsia"/>
        </w:rPr>
      </w:pPr>
    </w:p>
    <w:p w14:paraId="6E02331D">
      <w:pPr>
        <w:rPr>
          <w:rFonts w:hint="eastAsia"/>
        </w:rPr>
      </w:pPr>
    </w:p>
    <w:p w14:paraId="1FE4B586">
      <w:pPr>
        <w:rPr>
          <w:rFonts w:hint="eastAsia"/>
        </w:rPr>
      </w:pPr>
    </w:p>
    <w:p w14:paraId="1C885B00">
      <w:pPr>
        <w:rPr>
          <w:rFonts w:hint="eastAsia"/>
        </w:rPr>
      </w:pPr>
    </w:p>
    <w:p w14:paraId="177D40FB">
      <w:pPr>
        <w:rPr>
          <w:rFonts w:hint="eastAsia"/>
        </w:rPr>
      </w:pPr>
    </w:p>
    <w:p w14:paraId="6177DA86">
      <w:pPr>
        <w:rPr>
          <w:rFonts w:hint="eastAsia"/>
        </w:rPr>
      </w:pPr>
    </w:p>
    <w:p w14:paraId="12B247B9">
      <w:pPr>
        <w:rPr>
          <w:rFonts w:hint="default"/>
          <w:lang w:val="en-US"/>
        </w:rPr>
      </w:pPr>
      <w:r>
        <w:rPr>
          <w:rFonts w:ascii="宋体" w:hAnsi="宋体" w:eastAsia="宋体" w:cs="宋体"/>
          <w:color w:val="000000" w:themeColor="text1"/>
          <w:spacing w:val="12"/>
          <w:sz w:val="21"/>
          <w:szCs w:val="21"/>
          <w:highlight w:val="none"/>
          <w:lang w:val="en-US" w:eastAsia="zh-CN" w:bidi="ar-SA"/>
          <w14:textFill>
            <w14:solidFill>
              <w14:schemeClr w14:val="tx1"/>
            </w14:solidFill>
          </w14:textFill>
        </w:rPr>
        <w:t>附件1：接入单位地址</w:t>
      </w: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清单</w:t>
      </w:r>
    </w:p>
    <w:tbl>
      <w:tblPr>
        <w:tblStyle w:val="344"/>
        <w:tblW w:w="9480" w:type="dxa"/>
        <w:tblInd w:w="-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5"/>
        <w:gridCol w:w="5566"/>
        <w:gridCol w:w="2729"/>
      </w:tblGrid>
      <w:tr w14:paraId="603DF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5" w:type="dxa"/>
            <w:tcBorders>
              <w:tl2br w:val="nil"/>
              <w:tr2bl w:val="nil"/>
            </w:tcBorders>
            <w:noWrap w:val="0"/>
          </w:tcPr>
          <w:p w14:paraId="74B5EDDF">
            <w:pPr>
              <w:pStyle w:val="343"/>
              <w:spacing w:before="40" w:line="208" w:lineRule="auto"/>
              <w:ind w:left="610"/>
              <w:rPr>
                <w:color w:val="000000" w:themeColor="text1"/>
                <w:sz w:val="21"/>
                <w:szCs w:val="21"/>
                <w:highlight w:val="none"/>
                <w14:textFill>
                  <w14:solidFill>
                    <w14:schemeClr w14:val="tx1"/>
                  </w14:solidFill>
                </w14:textFill>
              </w:rPr>
            </w:pPr>
            <w:r>
              <w:rPr>
                <w:color w:val="000000" w:themeColor="text1"/>
                <w:spacing w:val="-5"/>
                <w:sz w:val="21"/>
                <w:szCs w:val="21"/>
                <w:highlight w:val="none"/>
                <w14:textFill>
                  <w14:solidFill>
                    <w14:schemeClr w14:val="tx1"/>
                  </w14:solidFill>
                </w14:textFill>
              </w:rPr>
              <w:t>序号</w:t>
            </w:r>
          </w:p>
        </w:tc>
        <w:tc>
          <w:tcPr>
            <w:tcW w:w="5566" w:type="dxa"/>
            <w:tcBorders>
              <w:tl2br w:val="nil"/>
              <w:tr2bl w:val="nil"/>
            </w:tcBorders>
            <w:noWrap w:val="0"/>
          </w:tcPr>
          <w:p w14:paraId="424F8491">
            <w:pPr>
              <w:pStyle w:val="343"/>
              <w:spacing w:before="40" w:line="208" w:lineRule="auto"/>
              <w:ind w:left="2008"/>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学校名称</w:t>
            </w:r>
          </w:p>
        </w:tc>
        <w:tc>
          <w:tcPr>
            <w:tcW w:w="2729" w:type="dxa"/>
            <w:tcBorders>
              <w:tl2br w:val="nil"/>
              <w:tr2bl w:val="nil"/>
            </w:tcBorders>
            <w:noWrap w:val="0"/>
          </w:tcPr>
          <w:p w14:paraId="67699AF5">
            <w:pPr>
              <w:pStyle w:val="343"/>
              <w:spacing w:before="40" w:line="208" w:lineRule="auto"/>
              <w:ind w:left="1439"/>
              <w:rPr>
                <w:color w:val="000000" w:themeColor="text1"/>
                <w:sz w:val="21"/>
                <w:szCs w:val="21"/>
                <w:highlight w:val="none"/>
                <w14:textFill>
                  <w14:solidFill>
                    <w14:schemeClr w14:val="tx1"/>
                  </w14:solidFill>
                </w14:textFill>
              </w:rPr>
            </w:pPr>
            <w:r>
              <w:rPr>
                <w:color w:val="000000" w:themeColor="text1"/>
                <w:spacing w:val="-10"/>
                <w:sz w:val="21"/>
                <w:szCs w:val="21"/>
                <w:highlight w:val="none"/>
                <w14:textFill>
                  <w14:solidFill>
                    <w14:schemeClr w14:val="tx1"/>
                  </w14:solidFill>
                </w14:textFill>
              </w:rPr>
              <w:t>乡镇</w:t>
            </w:r>
          </w:p>
        </w:tc>
      </w:tr>
      <w:tr w14:paraId="6E3DE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185" w:type="dxa"/>
            <w:tcBorders>
              <w:tl2br w:val="nil"/>
              <w:tr2bl w:val="nil"/>
            </w:tcBorders>
            <w:noWrap w:val="0"/>
            <w:vAlign w:val="center"/>
          </w:tcPr>
          <w:p w14:paraId="1D0825F0">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w:t>
            </w:r>
          </w:p>
        </w:tc>
        <w:tc>
          <w:tcPr>
            <w:tcW w:w="5566" w:type="dxa"/>
            <w:tcBorders>
              <w:tl2br w:val="nil"/>
              <w:tr2bl w:val="nil"/>
            </w:tcBorders>
            <w:noWrap w:val="0"/>
            <w:vAlign w:val="center"/>
          </w:tcPr>
          <w:p w14:paraId="27C8ED41">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荔浦市荔城镇第二小学</w:t>
            </w:r>
          </w:p>
        </w:tc>
        <w:tc>
          <w:tcPr>
            <w:tcW w:w="2729" w:type="dxa"/>
            <w:vMerge w:val="restart"/>
            <w:tcBorders>
              <w:tl2br w:val="nil"/>
              <w:tr2bl w:val="nil"/>
            </w:tcBorders>
            <w:noWrap w:val="0"/>
          </w:tcPr>
          <w:p w14:paraId="1C5C2AF1">
            <w:pPr>
              <w:spacing w:line="250" w:lineRule="auto"/>
              <w:rPr>
                <w:rFonts w:hint="eastAsia" w:ascii="宋体" w:hAnsi="宋体" w:cs="宋体"/>
                <w:color w:val="000000" w:themeColor="text1"/>
                <w:szCs w:val="21"/>
                <w:highlight w:val="none"/>
                <w:lang w:eastAsia="zh-CN"/>
                <w14:textFill>
                  <w14:solidFill>
                    <w14:schemeClr w14:val="tx1"/>
                  </w14:solidFill>
                </w14:textFill>
              </w:rPr>
            </w:pPr>
          </w:p>
          <w:p w14:paraId="5B858900">
            <w:pPr>
              <w:spacing w:line="250" w:lineRule="auto"/>
              <w:rPr>
                <w:rFonts w:hint="eastAsia" w:ascii="宋体" w:hAnsi="宋体" w:cs="宋体"/>
                <w:color w:val="000000" w:themeColor="text1"/>
                <w:szCs w:val="21"/>
                <w:highlight w:val="none"/>
                <w:lang w:eastAsia="zh-CN"/>
                <w14:textFill>
                  <w14:solidFill>
                    <w14:schemeClr w14:val="tx1"/>
                  </w14:solidFill>
                </w14:textFill>
              </w:rPr>
            </w:pPr>
          </w:p>
          <w:p w14:paraId="7674C2C9">
            <w:pPr>
              <w:spacing w:line="250" w:lineRule="auto"/>
              <w:rPr>
                <w:rFonts w:hint="eastAsia" w:ascii="宋体" w:hAnsi="宋体" w:cs="宋体"/>
                <w:color w:val="000000" w:themeColor="text1"/>
                <w:szCs w:val="21"/>
                <w:highlight w:val="none"/>
                <w:lang w:eastAsia="zh-CN"/>
                <w14:textFill>
                  <w14:solidFill>
                    <w14:schemeClr w14:val="tx1"/>
                  </w14:solidFill>
                </w14:textFill>
              </w:rPr>
            </w:pPr>
          </w:p>
          <w:p w14:paraId="5B15CFC9">
            <w:pPr>
              <w:spacing w:line="250" w:lineRule="auto"/>
              <w:rPr>
                <w:rFonts w:hint="eastAsia" w:ascii="宋体" w:hAnsi="宋体" w:cs="宋体"/>
                <w:color w:val="000000" w:themeColor="text1"/>
                <w:szCs w:val="21"/>
                <w:highlight w:val="none"/>
                <w:lang w:eastAsia="zh-CN"/>
                <w14:textFill>
                  <w14:solidFill>
                    <w14:schemeClr w14:val="tx1"/>
                  </w14:solidFill>
                </w14:textFill>
              </w:rPr>
            </w:pPr>
          </w:p>
          <w:p w14:paraId="6CD7F397">
            <w:pPr>
              <w:spacing w:line="250" w:lineRule="auto"/>
              <w:rPr>
                <w:rFonts w:hint="eastAsia" w:ascii="宋体" w:hAnsi="宋体" w:cs="宋体"/>
                <w:color w:val="000000" w:themeColor="text1"/>
                <w:szCs w:val="21"/>
                <w:highlight w:val="none"/>
                <w:lang w:eastAsia="zh-CN"/>
                <w14:textFill>
                  <w14:solidFill>
                    <w14:schemeClr w14:val="tx1"/>
                  </w14:solidFill>
                </w14:textFill>
              </w:rPr>
            </w:pPr>
          </w:p>
          <w:p w14:paraId="2F8DC5C5">
            <w:pPr>
              <w:spacing w:line="250" w:lineRule="auto"/>
              <w:rPr>
                <w:rFonts w:hint="eastAsia" w:ascii="宋体" w:hAnsi="宋体" w:cs="宋体"/>
                <w:color w:val="000000" w:themeColor="text1"/>
                <w:szCs w:val="21"/>
                <w:highlight w:val="none"/>
                <w:lang w:eastAsia="zh-CN"/>
                <w14:textFill>
                  <w14:solidFill>
                    <w14:schemeClr w14:val="tx1"/>
                  </w14:solidFill>
                </w14:textFill>
              </w:rPr>
            </w:pPr>
          </w:p>
          <w:p w14:paraId="2F312DD7">
            <w:pPr>
              <w:spacing w:line="250" w:lineRule="auto"/>
              <w:rPr>
                <w:rFonts w:hint="eastAsia" w:ascii="宋体" w:hAnsi="宋体" w:cs="宋体"/>
                <w:color w:val="000000" w:themeColor="text1"/>
                <w:szCs w:val="21"/>
                <w:highlight w:val="none"/>
                <w:lang w:eastAsia="zh-CN"/>
                <w14:textFill>
                  <w14:solidFill>
                    <w14:schemeClr w14:val="tx1"/>
                  </w14:solidFill>
                </w14:textFill>
              </w:rPr>
            </w:pPr>
          </w:p>
          <w:p w14:paraId="3B41E8DD">
            <w:pPr>
              <w:spacing w:line="250" w:lineRule="auto"/>
              <w:rPr>
                <w:rFonts w:hint="eastAsia" w:ascii="宋体" w:hAnsi="宋体" w:cs="宋体"/>
                <w:color w:val="000000" w:themeColor="text1"/>
                <w:szCs w:val="21"/>
                <w:highlight w:val="none"/>
                <w:lang w:eastAsia="zh-CN"/>
                <w14:textFill>
                  <w14:solidFill>
                    <w14:schemeClr w14:val="tx1"/>
                  </w14:solidFill>
                </w14:textFill>
              </w:rPr>
            </w:pPr>
          </w:p>
          <w:p w14:paraId="4AD245B7">
            <w:pPr>
              <w:spacing w:line="250" w:lineRule="auto"/>
              <w:rPr>
                <w:rFonts w:hint="eastAsia" w:ascii="宋体" w:hAnsi="宋体" w:cs="宋体"/>
                <w:color w:val="000000" w:themeColor="text1"/>
                <w:szCs w:val="21"/>
                <w:highlight w:val="none"/>
                <w:lang w:eastAsia="zh-CN"/>
                <w14:textFill>
                  <w14:solidFill>
                    <w14:schemeClr w14:val="tx1"/>
                  </w14:solidFill>
                </w14:textFill>
              </w:rPr>
            </w:pPr>
          </w:p>
          <w:p w14:paraId="271CEA25">
            <w:pPr>
              <w:spacing w:line="250" w:lineRule="auto"/>
              <w:rPr>
                <w:rFonts w:hint="eastAsia" w:ascii="宋体" w:hAnsi="宋体" w:cs="宋体"/>
                <w:color w:val="000000" w:themeColor="text1"/>
                <w:szCs w:val="21"/>
                <w:highlight w:val="none"/>
                <w:lang w:eastAsia="zh-CN"/>
                <w14:textFill>
                  <w14:solidFill>
                    <w14:schemeClr w14:val="tx1"/>
                  </w14:solidFill>
                </w14:textFill>
              </w:rPr>
            </w:pPr>
          </w:p>
          <w:p w14:paraId="391B5AAF">
            <w:pPr>
              <w:spacing w:line="250" w:lineRule="auto"/>
              <w:rPr>
                <w:rFonts w:hint="eastAsia" w:ascii="宋体" w:hAnsi="宋体" w:cs="宋体"/>
                <w:color w:val="000000" w:themeColor="text1"/>
                <w:szCs w:val="21"/>
                <w:highlight w:val="none"/>
                <w:lang w:eastAsia="zh-CN"/>
                <w14:textFill>
                  <w14:solidFill>
                    <w14:schemeClr w14:val="tx1"/>
                  </w14:solidFill>
                </w14:textFill>
              </w:rPr>
            </w:pPr>
          </w:p>
          <w:p w14:paraId="2D6BC9E4">
            <w:pPr>
              <w:spacing w:line="250" w:lineRule="auto"/>
              <w:rPr>
                <w:rFonts w:hint="eastAsia" w:ascii="宋体" w:hAnsi="宋体" w:cs="宋体"/>
                <w:color w:val="000000" w:themeColor="text1"/>
                <w:szCs w:val="21"/>
                <w:highlight w:val="none"/>
                <w:lang w:eastAsia="zh-CN"/>
                <w14:textFill>
                  <w14:solidFill>
                    <w14:schemeClr w14:val="tx1"/>
                  </w14:solidFill>
                </w14:textFill>
              </w:rPr>
            </w:pPr>
          </w:p>
          <w:p w14:paraId="759690D5">
            <w:pPr>
              <w:spacing w:line="250" w:lineRule="auto"/>
              <w:rPr>
                <w:rFonts w:hint="eastAsia" w:ascii="宋体" w:hAnsi="宋体" w:cs="宋体"/>
                <w:color w:val="000000" w:themeColor="text1"/>
                <w:szCs w:val="21"/>
                <w:highlight w:val="none"/>
                <w:lang w:eastAsia="zh-CN"/>
                <w14:textFill>
                  <w14:solidFill>
                    <w14:schemeClr w14:val="tx1"/>
                  </w14:solidFill>
                </w14:textFill>
              </w:rPr>
            </w:pPr>
          </w:p>
          <w:p w14:paraId="2B3E95E2">
            <w:pPr>
              <w:pStyle w:val="343"/>
              <w:spacing w:before="78" w:line="219" w:lineRule="auto"/>
              <w:ind w:left="1310"/>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荔城镇</w:t>
            </w:r>
          </w:p>
        </w:tc>
      </w:tr>
      <w:tr w14:paraId="31955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185" w:type="dxa"/>
            <w:tcBorders>
              <w:tl2br w:val="nil"/>
              <w:tr2bl w:val="nil"/>
            </w:tcBorders>
            <w:noWrap w:val="0"/>
            <w:vAlign w:val="center"/>
          </w:tcPr>
          <w:p w14:paraId="4757B07C">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w:t>
            </w:r>
          </w:p>
        </w:tc>
        <w:tc>
          <w:tcPr>
            <w:tcW w:w="5566" w:type="dxa"/>
            <w:tcBorders>
              <w:tl2br w:val="nil"/>
              <w:tr2bl w:val="nil"/>
            </w:tcBorders>
            <w:noWrap w:val="0"/>
            <w:vAlign w:val="center"/>
          </w:tcPr>
          <w:p w14:paraId="2298BCF1">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荔浦市荔城镇第三小学</w:t>
            </w:r>
          </w:p>
        </w:tc>
        <w:tc>
          <w:tcPr>
            <w:tcW w:w="2729" w:type="dxa"/>
            <w:vMerge w:val="continue"/>
            <w:tcBorders>
              <w:tl2br w:val="nil"/>
              <w:tr2bl w:val="nil"/>
            </w:tcBorders>
            <w:noWrap w:val="0"/>
          </w:tcPr>
          <w:p w14:paraId="03EFBDC9">
            <w:pPr>
              <w:rPr>
                <w:rFonts w:hint="eastAsia" w:ascii="宋体" w:hAnsi="宋体" w:cs="宋体"/>
                <w:color w:val="000000" w:themeColor="text1"/>
                <w:szCs w:val="21"/>
                <w:highlight w:val="none"/>
                <w:lang w:eastAsia="zh-CN"/>
                <w14:textFill>
                  <w14:solidFill>
                    <w14:schemeClr w14:val="tx1"/>
                  </w14:solidFill>
                </w14:textFill>
              </w:rPr>
            </w:pPr>
          </w:p>
        </w:tc>
      </w:tr>
      <w:tr w14:paraId="6C42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185" w:type="dxa"/>
            <w:tcBorders>
              <w:tl2br w:val="nil"/>
              <w:tr2bl w:val="nil"/>
            </w:tcBorders>
            <w:noWrap w:val="0"/>
            <w:vAlign w:val="center"/>
          </w:tcPr>
          <w:p w14:paraId="69028140">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3</w:t>
            </w:r>
          </w:p>
        </w:tc>
        <w:tc>
          <w:tcPr>
            <w:tcW w:w="5566" w:type="dxa"/>
            <w:tcBorders>
              <w:tl2br w:val="nil"/>
              <w:tr2bl w:val="nil"/>
            </w:tcBorders>
            <w:noWrap w:val="0"/>
            <w:vAlign w:val="center"/>
          </w:tcPr>
          <w:p w14:paraId="6B8EA09C">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荔浦市荔城镇第一小学</w:t>
            </w:r>
          </w:p>
        </w:tc>
        <w:tc>
          <w:tcPr>
            <w:tcW w:w="2729" w:type="dxa"/>
            <w:vMerge w:val="continue"/>
            <w:tcBorders>
              <w:tl2br w:val="nil"/>
              <w:tr2bl w:val="nil"/>
            </w:tcBorders>
            <w:noWrap w:val="0"/>
          </w:tcPr>
          <w:p w14:paraId="56D4F925">
            <w:pPr>
              <w:rPr>
                <w:rFonts w:hint="eastAsia" w:ascii="宋体" w:hAnsi="宋体" w:cs="宋体"/>
                <w:color w:val="000000" w:themeColor="text1"/>
                <w:szCs w:val="21"/>
                <w:highlight w:val="none"/>
                <w:lang w:eastAsia="zh-CN"/>
                <w14:textFill>
                  <w14:solidFill>
                    <w14:schemeClr w14:val="tx1"/>
                  </w14:solidFill>
                </w14:textFill>
              </w:rPr>
            </w:pPr>
          </w:p>
        </w:tc>
      </w:tr>
      <w:tr w14:paraId="77C91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246D496C">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4</w:t>
            </w:r>
          </w:p>
        </w:tc>
        <w:tc>
          <w:tcPr>
            <w:tcW w:w="5566" w:type="dxa"/>
            <w:tcBorders>
              <w:tl2br w:val="nil"/>
              <w:tr2bl w:val="nil"/>
            </w:tcBorders>
            <w:noWrap w:val="0"/>
            <w:vAlign w:val="center"/>
          </w:tcPr>
          <w:p w14:paraId="3573809E">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荔浦市荔城镇黄寨小学</w:t>
            </w:r>
          </w:p>
        </w:tc>
        <w:tc>
          <w:tcPr>
            <w:tcW w:w="2729" w:type="dxa"/>
            <w:vMerge w:val="continue"/>
            <w:tcBorders>
              <w:tl2br w:val="nil"/>
              <w:tr2bl w:val="nil"/>
            </w:tcBorders>
            <w:noWrap w:val="0"/>
          </w:tcPr>
          <w:p w14:paraId="5464B9BE">
            <w:pPr>
              <w:rPr>
                <w:rFonts w:hint="eastAsia" w:ascii="宋体" w:hAnsi="宋体" w:cs="宋体"/>
                <w:color w:val="000000" w:themeColor="text1"/>
                <w:szCs w:val="21"/>
                <w:highlight w:val="none"/>
                <w:lang w:eastAsia="zh-CN"/>
                <w14:textFill>
                  <w14:solidFill>
                    <w14:schemeClr w14:val="tx1"/>
                  </w14:solidFill>
                </w14:textFill>
              </w:rPr>
            </w:pPr>
          </w:p>
        </w:tc>
      </w:tr>
      <w:tr w14:paraId="44F42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28CF57BA">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5</w:t>
            </w:r>
          </w:p>
        </w:tc>
        <w:tc>
          <w:tcPr>
            <w:tcW w:w="5566" w:type="dxa"/>
            <w:tcBorders>
              <w:tl2br w:val="nil"/>
              <w:tr2bl w:val="nil"/>
            </w:tcBorders>
            <w:noWrap w:val="0"/>
            <w:vAlign w:val="center"/>
          </w:tcPr>
          <w:p w14:paraId="05825647">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荔浦市荔城镇桥富小学</w:t>
            </w:r>
          </w:p>
        </w:tc>
        <w:tc>
          <w:tcPr>
            <w:tcW w:w="2729" w:type="dxa"/>
            <w:vMerge w:val="continue"/>
            <w:tcBorders>
              <w:tl2br w:val="nil"/>
              <w:tr2bl w:val="nil"/>
            </w:tcBorders>
            <w:noWrap w:val="0"/>
          </w:tcPr>
          <w:p w14:paraId="0E67CDA0">
            <w:pPr>
              <w:rPr>
                <w:rFonts w:hint="eastAsia" w:ascii="宋体" w:hAnsi="宋体" w:cs="宋体"/>
                <w:color w:val="000000" w:themeColor="text1"/>
                <w:szCs w:val="21"/>
                <w:highlight w:val="none"/>
                <w:lang w:eastAsia="zh-CN"/>
                <w14:textFill>
                  <w14:solidFill>
                    <w14:schemeClr w14:val="tx1"/>
                  </w14:solidFill>
                </w14:textFill>
              </w:rPr>
            </w:pPr>
          </w:p>
        </w:tc>
      </w:tr>
      <w:tr w14:paraId="5731E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4CD20140">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6</w:t>
            </w:r>
          </w:p>
        </w:tc>
        <w:tc>
          <w:tcPr>
            <w:tcW w:w="5566" w:type="dxa"/>
            <w:tcBorders>
              <w:tl2br w:val="nil"/>
              <w:tr2bl w:val="nil"/>
            </w:tcBorders>
            <w:noWrap w:val="0"/>
            <w:vAlign w:val="center"/>
          </w:tcPr>
          <w:p w14:paraId="57C4BF62">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荔浦市荔城镇沙洞小学</w:t>
            </w:r>
          </w:p>
        </w:tc>
        <w:tc>
          <w:tcPr>
            <w:tcW w:w="2729" w:type="dxa"/>
            <w:vMerge w:val="continue"/>
            <w:tcBorders>
              <w:tl2br w:val="nil"/>
              <w:tr2bl w:val="nil"/>
            </w:tcBorders>
            <w:noWrap w:val="0"/>
          </w:tcPr>
          <w:p w14:paraId="0F8A30E7">
            <w:pPr>
              <w:rPr>
                <w:rFonts w:hint="eastAsia" w:ascii="宋体" w:hAnsi="宋体" w:cs="宋体"/>
                <w:color w:val="000000" w:themeColor="text1"/>
                <w:szCs w:val="21"/>
                <w:highlight w:val="none"/>
                <w:lang w:eastAsia="zh-CN"/>
                <w14:textFill>
                  <w14:solidFill>
                    <w14:schemeClr w14:val="tx1"/>
                  </w14:solidFill>
                </w14:textFill>
              </w:rPr>
            </w:pPr>
          </w:p>
        </w:tc>
      </w:tr>
      <w:tr w14:paraId="0BC36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1F5638C8">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7</w:t>
            </w:r>
          </w:p>
        </w:tc>
        <w:tc>
          <w:tcPr>
            <w:tcW w:w="5566" w:type="dxa"/>
            <w:tcBorders>
              <w:tl2br w:val="nil"/>
              <w:tr2bl w:val="nil"/>
            </w:tcBorders>
            <w:noWrap w:val="0"/>
            <w:vAlign w:val="center"/>
          </w:tcPr>
          <w:p w14:paraId="1804368B">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荔浦市荔城镇沙街小学</w:t>
            </w:r>
          </w:p>
        </w:tc>
        <w:tc>
          <w:tcPr>
            <w:tcW w:w="2729" w:type="dxa"/>
            <w:vMerge w:val="continue"/>
            <w:tcBorders>
              <w:tl2br w:val="nil"/>
              <w:tr2bl w:val="nil"/>
            </w:tcBorders>
            <w:noWrap w:val="0"/>
          </w:tcPr>
          <w:p w14:paraId="6C33D30C">
            <w:pPr>
              <w:rPr>
                <w:rFonts w:hint="eastAsia" w:ascii="宋体" w:hAnsi="宋体" w:cs="宋体"/>
                <w:color w:val="000000" w:themeColor="text1"/>
                <w:szCs w:val="21"/>
                <w:highlight w:val="none"/>
                <w:lang w:eastAsia="zh-CN"/>
                <w14:textFill>
                  <w14:solidFill>
                    <w14:schemeClr w14:val="tx1"/>
                  </w14:solidFill>
                </w14:textFill>
              </w:rPr>
            </w:pPr>
          </w:p>
        </w:tc>
      </w:tr>
      <w:tr w14:paraId="4F995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4C9943DA">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8</w:t>
            </w:r>
          </w:p>
        </w:tc>
        <w:tc>
          <w:tcPr>
            <w:tcW w:w="5566" w:type="dxa"/>
            <w:tcBorders>
              <w:tl2br w:val="nil"/>
              <w:tr2bl w:val="nil"/>
            </w:tcBorders>
            <w:noWrap w:val="0"/>
            <w:vAlign w:val="center"/>
          </w:tcPr>
          <w:p w14:paraId="3FC9CA37">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荔浦市荔城镇五里小学</w:t>
            </w:r>
          </w:p>
        </w:tc>
        <w:tc>
          <w:tcPr>
            <w:tcW w:w="2729" w:type="dxa"/>
            <w:vMerge w:val="continue"/>
            <w:tcBorders>
              <w:tl2br w:val="nil"/>
              <w:tr2bl w:val="nil"/>
            </w:tcBorders>
            <w:noWrap w:val="0"/>
          </w:tcPr>
          <w:p w14:paraId="1AE83039">
            <w:pPr>
              <w:rPr>
                <w:rFonts w:hint="eastAsia" w:ascii="宋体" w:hAnsi="宋体" w:cs="宋体"/>
                <w:color w:val="000000" w:themeColor="text1"/>
                <w:szCs w:val="21"/>
                <w:highlight w:val="none"/>
                <w:lang w:eastAsia="zh-CN"/>
                <w14:textFill>
                  <w14:solidFill>
                    <w14:schemeClr w14:val="tx1"/>
                  </w14:solidFill>
                </w14:textFill>
              </w:rPr>
            </w:pPr>
          </w:p>
        </w:tc>
      </w:tr>
      <w:tr w14:paraId="55C1D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2178A325">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9</w:t>
            </w:r>
          </w:p>
        </w:tc>
        <w:tc>
          <w:tcPr>
            <w:tcW w:w="5566" w:type="dxa"/>
            <w:tcBorders>
              <w:tl2br w:val="nil"/>
              <w:tr2bl w:val="nil"/>
            </w:tcBorders>
            <w:noWrap w:val="0"/>
            <w:vAlign w:val="center"/>
          </w:tcPr>
          <w:p w14:paraId="2BD1D3EE">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荔浦市荔城镇玉雷小学</w:t>
            </w:r>
          </w:p>
        </w:tc>
        <w:tc>
          <w:tcPr>
            <w:tcW w:w="2729" w:type="dxa"/>
            <w:vMerge w:val="continue"/>
            <w:tcBorders>
              <w:tl2br w:val="nil"/>
              <w:tr2bl w:val="nil"/>
            </w:tcBorders>
            <w:noWrap w:val="0"/>
          </w:tcPr>
          <w:p w14:paraId="032097E0">
            <w:pPr>
              <w:rPr>
                <w:rFonts w:hint="eastAsia" w:ascii="宋体" w:hAnsi="宋体" w:cs="宋体"/>
                <w:color w:val="000000" w:themeColor="text1"/>
                <w:szCs w:val="21"/>
                <w:highlight w:val="none"/>
                <w:lang w:eastAsia="zh-CN"/>
                <w14:textFill>
                  <w14:solidFill>
                    <w14:schemeClr w14:val="tx1"/>
                  </w14:solidFill>
                </w14:textFill>
              </w:rPr>
            </w:pPr>
          </w:p>
        </w:tc>
      </w:tr>
      <w:tr w14:paraId="134AD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378F1F17">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10</w:t>
            </w:r>
          </w:p>
        </w:tc>
        <w:tc>
          <w:tcPr>
            <w:tcW w:w="5566" w:type="dxa"/>
            <w:tcBorders>
              <w:tl2br w:val="nil"/>
              <w:tr2bl w:val="nil"/>
            </w:tcBorders>
            <w:noWrap w:val="0"/>
            <w:vAlign w:val="center"/>
          </w:tcPr>
          <w:p w14:paraId="3C21F412">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荔浦市荔城镇寨脚小学</w:t>
            </w:r>
          </w:p>
        </w:tc>
        <w:tc>
          <w:tcPr>
            <w:tcW w:w="2729" w:type="dxa"/>
            <w:vMerge w:val="continue"/>
            <w:tcBorders>
              <w:tl2br w:val="nil"/>
              <w:tr2bl w:val="nil"/>
            </w:tcBorders>
            <w:noWrap w:val="0"/>
          </w:tcPr>
          <w:p w14:paraId="5D7FA670">
            <w:pPr>
              <w:rPr>
                <w:rFonts w:hint="eastAsia" w:ascii="宋体" w:hAnsi="宋体" w:cs="宋体"/>
                <w:color w:val="000000" w:themeColor="text1"/>
                <w:szCs w:val="21"/>
                <w:highlight w:val="none"/>
                <w:lang w:eastAsia="zh-CN"/>
                <w14:textFill>
                  <w14:solidFill>
                    <w14:schemeClr w14:val="tx1"/>
                  </w14:solidFill>
                </w14:textFill>
              </w:rPr>
            </w:pPr>
          </w:p>
        </w:tc>
      </w:tr>
      <w:tr w14:paraId="38BAB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0B72A76A">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11</w:t>
            </w:r>
          </w:p>
        </w:tc>
        <w:tc>
          <w:tcPr>
            <w:tcW w:w="5566" w:type="dxa"/>
            <w:tcBorders>
              <w:tl2br w:val="nil"/>
              <w:tr2bl w:val="nil"/>
            </w:tcBorders>
            <w:noWrap w:val="0"/>
            <w:vAlign w:val="center"/>
          </w:tcPr>
          <w:p w14:paraId="581F101B">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荔浦市荔城镇中心幼儿园</w:t>
            </w:r>
          </w:p>
        </w:tc>
        <w:tc>
          <w:tcPr>
            <w:tcW w:w="2729" w:type="dxa"/>
            <w:vMerge w:val="continue"/>
            <w:tcBorders>
              <w:tl2br w:val="nil"/>
              <w:tr2bl w:val="nil"/>
            </w:tcBorders>
            <w:noWrap w:val="0"/>
          </w:tcPr>
          <w:p w14:paraId="7B73E756">
            <w:pPr>
              <w:rPr>
                <w:rFonts w:hint="eastAsia" w:ascii="宋体" w:hAnsi="宋体" w:cs="宋体"/>
                <w:color w:val="000000" w:themeColor="text1"/>
                <w:szCs w:val="21"/>
                <w:highlight w:val="none"/>
                <w:lang w:eastAsia="zh-CN"/>
                <w14:textFill>
                  <w14:solidFill>
                    <w14:schemeClr w14:val="tx1"/>
                  </w14:solidFill>
                </w14:textFill>
              </w:rPr>
            </w:pPr>
          </w:p>
        </w:tc>
      </w:tr>
      <w:tr w14:paraId="444EE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70B1BBE2">
            <w:pPr>
              <w:keepNext w:val="0"/>
              <w:keepLines w:val="0"/>
              <w:widowControl/>
              <w:suppressLineNumbers w:val="0"/>
              <w:jc w:val="center"/>
              <w:rPr>
                <w:rFonts w:hint="eastAsia" w:ascii="宋体" w:hAnsi="宋体" w:cs="宋体"/>
                <w:color w:val="000000" w:themeColor="text1"/>
                <w:szCs w:val="21"/>
                <w:highlight w:val="none"/>
                <w:lang w:val="en-US"/>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12</w:t>
            </w:r>
          </w:p>
        </w:tc>
        <w:tc>
          <w:tcPr>
            <w:tcW w:w="5566" w:type="dxa"/>
            <w:tcBorders>
              <w:tl2br w:val="nil"/>
              <w:tr2bl w:val="nil"/>
            </w:tcBorders>
            <w:noWrap w:val="0"/>
            <w:vAlign w:val="center"/>
          </w:tcPr>
          <w:p w14:paraId="2D003EA2">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荔浦市滨江小学</w:t>
            </w:r>
          </w:p>
        </w:tc>
        <w:tc>
          <w:tcPr>
            <w:tcW w:w="2729" w:type="dxa"/>
            <w:vMerge w:val="continue"/>
            <w:tcBorders>
              <w:tl2br w:val="nil"/>
              <w:tr2bl w:val="nil"/>
            </w:tcBorders>
            <w:noWrap w:val="0"/>
          </w:tcPr>
          <w:p w14:paraId="0AD343B3">
            <w:pPr>
              <w:rPr>
                <w:rFonts w:hint="eastAsia" w:ascii="宋体" w:hAnsi="宋体" w:cs="宋体"/>
                <w:color w:val="000000" w:themeColor="text1"/>
                <w:szCs w:val="21"/>
                <w:highlight w:val="none"/>
                <w:lang w:eastAsia="zh-CN"/>
                <w14:textFill>
                  <w14:solidFill>
                    <w14:schemeClr w14:val="tx1"/>
                  </w14:solidFill>
                </w14:textFill>
              </w:rPr>
            </w:pPr>
          </w:p>
        </w:tc>
      </w:tr>
      <w:tr w14:paraId="6DAE3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3A54593A">
            <w:pPr>
              <w:keepNext w:val="0"/>
              <w:keepLines w:val="0"/>
              <w:widowControl/>
              <w:suppressLineNumbers w:val="0"/>
              <w:jc w:val="center"/>
              <w:rPr>
                <w:rFonts w:hint="eastAsia" w:ascii="宋体" w:hAnsi="宋体" w:cs="宋体"/>
                <w:color w:val="000000" w:themeColor="text1"/>
                <w:szCs w:val="21"/>
                <w:highlight w:val="none"/>
                <w:lang w:val="en-US"/>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13</w:t>
            </w:r>
          </w:p>
        </w:tc>
        <w:tc>
          <w:tcPr>
            <w:tcW w:w="5566" w:type="dxa"/>
            <w:tcBorders>
              <w:tl2br w:val="nil"/>
              <w:tr2bl w:val="nil"/>
            </w:tcBorders>
            <w:noWrap w:val="0"/>
            <w:vAlign w:val="center"/>
          </w:tcPr>
          <w:p w14:paraId="4B4A10BF">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荔浦市幼儿园</w:t>
            </w:r>
          </w:p>
        </w:tc>
        <w:tc>
          <w:tcPr>
            <w:tcW w:w="2729" w:type="dxa"/>
            <w:vMerge w:val="continue"/>
            <w:tcBorders>
              <w:tl2br w:val="nil"/>
              <w:tr2bl w:val="nil"/>
            </w:tcBorders>
            <w:noWrap w:val="0"/>
          </w:tcPr>
          <w:p w14:paraId="2BBB405D">
            <w:pPr>
              <w:rPr>
                <w:rFonts w:hint="eastAsia" w:ascii="宋体" w:hAnsi="宋体" w:cs="宋体"/>
                <w:color w:val="000000" w:themeColor="text1"/>
                <w:szCs w:val="21"/>
                <w:highlight w:val="none"/>
                <w14:textFill>
                  <w14:solidFill>
                    <w14:schemeClr w14:val="tx1"/>
                  </w14:solidFill>
                </w14:textFill>
              </w:rPr>
            </w:pPr>
          </w:p>
        </w:tc>
      </w:tr>
      <w:tr w14:paraId="60CCF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111340EC">
            <w:pPr>
              <w:keepNext w:val="0"/>
              <w:keepLines w:val="0"/>
              <w:widowControl/>
              <w:suppressLineNumbers w:val="0"/>
              <w:jc w:val="center"/>
              <w:rPr>
                <w:rFonts w:hint="eastAsia" w:ascii="宋体" w:hAnsi="宋体" w:cs="宋体"/>
                <w:color w:val="000000" w:themeColor="text1"/>
                <w:szCs w:val="21"/>
                <w:highlight w:val="none"/>
                <w:lang w:val="en-US"/>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14</w:t>
            </w:r>
          </w:p>
        </w:tc>
        <w:tc>
          <w:tcPr>
            <w:tcW w:w="5566" w:type="dxa"/>
            <w:tcBorders>
              <w:tl2br w:val="nil"/>
              <w:tr2bl w:val="nil"/>
            </w:tcBorders>
            <w:noWrap w:val="0"/>
            <w:vAlign w:val="center"/>
          </w:tcPr>
          <w:p w14:paraId="1A999771">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荔浦市荔城镇幼儿园金雷分园</w:t>
            </w:r>
          </w:p>
        </w:tc>
        <w:tc>
          <w:tcPr>
            <w:tcW w:w="2729" w:type="dxa"/>
            <w:vMerge w:val="continue"/>
            <w:tcBorders>
              <w:tl2br w:val="nil"/>
              <w:tr2bl w:val="nil"/>
            </w:tcBorders>
            <w:noWrap w:val="0"/>
          </w:tcPr>
          <w:p w14:paraId="1DDA22EA">
            <w:pPr>
              <w:rPr>
                <w:rFonts w:hint="eastAsia" w:ascii="宋体" w:hAnsi="宋体" w:cs="宋体"/>
                <w:color w:val="000000" w:themeColor="text1"/>
                <w:szCs w:val="21"/>
                <w:highlight w:val="none"/>
                <w14:textFill>
                  <w14:solidFill>
                    <w14:schemeClr w14:val="tx1"/>
                  </w14:solidFill>
                </w14:textFill>
              </w:rPr>
            </w:pPr>
          </w:p>
        </w:tc>
      </w:tr>
      <w:tr w14:paraId="29333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67640309">
            <w:pPr>
              <w:keepNext w:val="0"/>
              <w:keepLines w:val="0"/>
              <w:widowControl/>
              <w:suppressLineNumbers w:val="0"/>
              <w:jc w:val="center"/>
              <w:rPr>
                <w:rFonts w:hint="eastAsia" w:ascii="宋体" w:hAnsi="宋体" w:cs="宋体"/>
                <w:color w:val="000000" w:themeColor="text1"/>
                <w:szCs w:val="21"/>
                <w:highlight w:val="none"/>
                <w:lang w:val="en-US"/>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15</w:t>
            </w:r>
          </w:p>
        </w:tc>
        <w:tc>
          <w:tcPr>
            <w:tcW w:w="5566" w:type="dxa"/>
            <w:tcBorders>
              <w:tl2br w:val="nil"/>
              <w:tr2bl w:val="nil"/>
            </w:tcBorders>
            <w:noWrap w:val="0"/>
            <w:vAlign w:val="center"/>
          </w:tcPr>
          <w:p w14:paraId="0B806797">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荔浦市第二幼儿园</w:t>
            </w:r>
          </w:p>
        </w:tc>
        <w:tc>
          <w:tcPr>
            <w:tcW w:w="2729" w:type="dxa"/>
            <w:vMerge w:val="continue"/>
            <w:tcBorders>
              <w:tl2br w:val="nil"/>
              <w:tr2bl w:val="nil"/>
            </w:tcBorders>
            <w:noWrap w:val="0"/>
          </w:tcPr>
          <w:p w14:paraId="2A600DE1">
            <w:pPr>
              <w:rPr>
                <w:rFonts w:hint="eastAsia" w:ascii="宋体" w:hAnsi="宋体" w:cs="宋体"/>
                <w:color w:val="000000" w:themeColor="text1"/>
                <w:szCs w:val="21"/>
                <w:highlight w:val="none"/>
                <w14:textFill>
                  <w14:solidFill>
                    <w14:schemeClr w14:val="tx1"/>
                  </w14:solidFill>
                </w14:textFill>
              </w:rPr>
            </w:pPr>
          </w:p>
        </w:tc>
      </w:tr>
      <w:tr w14:paraId="06CA6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3EB2B672">
            <w:pPr>
              <w:keepNext w:val="0"/>
              <w:keepLines w:val="0"/>
              <w:widowControl/>
              <w:suppressLineNumbers w:val="0"/>
              <w:jc w:val="center"/>
              <w:rPr>
                <w:rFonts w:hint="eastAsia" w:ascii="宋体" w:hAnsi="宋体" w:cs="宋体"/>
                <w:color w:val="000000" w:themeColor="text1"/>
                <w:szCs w:val="21"/>
                <w:highlight w:val="none"/>
                <w:lang w:val="en-US"/>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16</w:t>
            </w:r>
          </w:p>
        </w:tc>
        <w:tc>
          <w:tcPr>
            <w:tcW w:w="5566" w:type="dxa"/>
            <w:tcBorders>
              <w:tl2br w:val="nil"/>
              <w:tr2bl w:val="nil"/>
            </w:tcBorders>
            <w:noWrap w:val="0"/>
            <w:vAlign w:val="center"/>
          </w:tcPr>
          <w:p w14:paraId="059848B2">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荔浦市荔城镇初级中学</w:t>
            </w:r>
          </w:p>
        </w:tc>
        <w:tc>
          <w:tcPr>
            <w:tcW w:w="2729" w:type="dxa"/>
            <w:vMerge w:val="continue"/>
            <w:tcBorders>
              <w:tl2br w:val="nil"/>
              <w:tr2bl w:val="nil"/>
            </w:tcBorders>
            <w:noWrap w:val="0"/>
          </w:tcPr>
          <w:p w14:paraId="3D894593">
            <w:pPr>
              <w:rPr>
                <w:rFonts w:hint="eastAsia" w:ascii="宋体" w:hAnsi="宋体" w:cs="宋体"/>
                <w:color w:val="000000" w:themeColor="text1"/>
                <w:szCs w:val="21"/>
                <w:highlight w:val="none"/>
                <w14:textFill>
                  <w14:solidFill>
                    <w14:schemeClr w14:val="tx1"/>
                  </w14:solidFill>
                </w14:textFill>
              </w:rPr>
            </w:pPr>
          </w:p>
        </w:tc>
      </w:tr>
      <w:tr w14:paraId="7F7C1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14834F6E">
            <w:pPr>
              <w:keepNext w:val="0"/>
              <w:keepLines w:val="0"/>
              <w:widowControl/>
              <w:suppressLineNumbers w:val="0"/>
              <w:jc w:val="center"/>
              <w:rPr>
                <w:rFonts w:hint="eastAsia" w:ascii="宋体" w:hAnsi="宋体" w:cs="宋体"/>
                <w:color w:val="000000" w:themeColor="text1"/>
                <w:szCs w:val="21"/>
                <w:highlight w:val="none"/>
                <w:lang w:val="en-US"/>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17</w:t>
            </w:r>
          </w:p>
        </w:tc>
        <w:tc>
          <w:tcPr>
            <w:tcW w:w="5566" w:type="dxa"/>
            <w:tcBorders>
              <w:tl2br w:val="nil"/>
              <w:tr2bl w:val="nil"/>
            </w:tcBorders>
            <w:noWrap w:val="0"/>
            <w:vAlign w:val="center"/>
          </w:tcPr>
          <w:p w14:paraId="03EB66C1">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荔浦市民族中学</w:t>
            </w:r>
          </w:p>
        </w:tc>
        <w:tc>
          <w:tcPr>
            <w:tcW w:w="2729" w:type="dxa"/>
            <w:vMerge w:val="continue"/>
            <w:tcBorders>
              <w:tl2br w:val="nil"/>
              <w:tr2bl w:val="nil"/>
            </w:tcBorders>
            <w:noWrap w:val="0"/>
          </w:tcPr>
          <w:p w14:paraId="19EBE324">
            <w:pPr>
              <w:rPr>
                <w:rFonts w:hint="eastAsia" w:ascii="宋体" w:hAnsi="宋体" w:cs="宋体"/>
                <w:color w:val="000000" w:themeColor="text1"/>
                <w:szCs w:val="21"/>
                <w:highlight w:val="none"/>
                <w14:textFill>
                  <w14:solidFill>
                    <w14:schemeClr w14:val="tx1"/>
                  </w14:solidFill>
                </w14:textFill>
              </w:rPr>
            </w:pPr>
          </w:p>
        </w:tc>
      </w:tr>
      <w:tr w14:paraId="71696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6C66072B">
            <w:pPr>
              <w:keepNext w:val="0"/>
              <w:keepLines w:val="0"/>
              <w:widowControl/>
              <w:suppressLineNumbers w:val="0"/>
              <w:jc w:val="center"/>
              <w:rPr>
                <w:rFonts w:hint="eastAsia" w:ascii="宋体" w:hAnsi="宋体" w:cs="宋体"/>
                <w:color w:val="000000" w:themeColor="text1"/>
                <w:szCs w:val="21"/>
                <w:highlight w:val="none"/>
                <w:lang w:val="en-US"/>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18</w:t>
            </w:r>
          </w:p>
        </w:tc>
        <w:tc>
          <w:tcPr>
            <w:tcW w:w="5566" w:type="dxa"/>
            <w:tcBorders>
              <w:tl2br w:val="nil"/>
              <w:tr2bl w:val="nil"/>
            </w:tcBorders>
            <w:noWrap w:val="0"/>
            <w:vAlign w:val="center"/>
          </w:tcPr>
          <w:p w14:paraId="1A65A3DE">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荔浦市荔浦中学</w:t>
            </w:r>
          </w:p>
        </w:tc>
        <w:tc>
          <w:tcPr>
            <w:tcW w:w="2729" w:type="dxa"/>
            <w:vMerge w:val="continue"/>
            <w:tcBorders>
              <w:tl2br w:val="nil"/>
              <w:tr2bl w:val="nil"/>
            </w:tcBorders>
            <w:noWrap w:val="0"/>
          </w:tcPr>
          <w:p w14:paraId="2175B120">
            <w:pPr>
              <w:rPr>
                <w:rFonts w:hint="eastAsia" w:ascii="宋体" w:hAnsi="宋体" w:cs="宋体"/>
                <w:color w:val="000000" w:themeColor="text1"/>
                <w:szCs w:val="21"/>
                <w:highlight w:val="none"/>
                <w14:textFill>
                  <w14:solidFill>
                    <w14:schemeClr w14:val="tx1"/>
                  </w14:solidFill>
                </w14:textFill>
              </w:rPr>
            </w:pPr>
          </w:p>
        </w:tc>
      </w:tr>
      <w:tr w14:paraId="185AF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411CE142">
            <w:pPr>
              <w:keepNext w:val="0"/>
              <w:keepLines w:val="0"/>
              <w:widowControl/>
              <w:suppressLineNumbers w:val="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19</w:t>
            </w:r>
          </w:p>
        </w:tc>
        <w:tc>
          <w:tcPr>
            <w:tcW w:w="5566" w:type="dxa"/>
            <w:tcBorders>
              <w:tl2br w:val="nil"/>
              <w:tr2bl w:val="nil"/>
            </w:tcBorders>
            <w:noWrap w:val="0"/>
            <w:vAlign w:val="center"/>
          </w:tcPr>
          <w:p w14:paraId="564997F6">
            <w:pPr>
              <w:keepNext w:val="0"/>
              <w:keepLines w:val="0"/>
              <w:widowControl/>
              <w:suppressLineNumbers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荔浦市第二中学</w:t>
            </w:r>
          </w:p>
        </w:tc>
        <w:tc>
          <w:tcPr>
            <w:tcW w:w="2729" w:type="dxa"/>
            <w:vMerge w:val="continue"/>
            <w:tcBorders>
              <w:tl2br w:val="nil"/>
              <w:tr2bl w:val="nil"/>
            </w:tcBorders>
            <w:noWrap w:val="0"/>
          </w:tcPr>
          <w:p w14:paraId="6C1D54AB">
            <w:pPr>
              <w:rPr>
                <w:rFonts w:hint="eastAsia" w:ascii="宋体" w:hAnsi="宋体" w:cs="宋体"/>
                <w:color w:val="000000" w:themeColor="text1"/>
                <w:szCs w:val="21"/>
                <w:highlight w:val="none"/>
                <w14:textFill>
                  <w14:solidFill>
                    <w14:schemeClr w14:val="tx1"/>
                  </w14:solidFill>
                </w14:textFill>
              </w:rPr>
            </w:pPr>
          </w:p>
        </w:tc>
      </w:tr>
      <w:tr w14:paraId="7C0A1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85" w:type="dxa"/>
            <w:tcBorders>
              <w:tl2br w:val="nil"/>
              <w:tr2bl w:val="nil"/>
            </w:tcBorders>
            <w:noWrap w:val="0"/>
            <w:vAlign w:val="center"/>
          </w:tcPr>
          <w:p w14:paraId="2B889558">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20</w:t>
            </w:r>
          </w:p>
        </w:tc>
        <w:tc>
          <w:tcPr>
            <w:tcW w:w="5566" w:type="dxa"/>
            <w:tcBorders>
              <w:tl2br w:val="nil"/>
              <w:tr2bl w:val="nil"/>
            </w:tcBorders>
            <w:noWrap w:val="0"/>
            <w:vAlign w:val="center"/>
          </w:tcPr>
          <w:p w14:paraId="07AA0ED7">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荔浦市第三中学</w:t>
            </w:r>
          </w:p>
        </w:tc>
        <w:tc>
          <w:tcPr>
            <w:tcW w:w="2729" w:type="dxa"/>
            <w:vMerge w:val="continue"/>
            <w:tcBorders>
              <w:tl2br w:val="nil"/>
              <w:tr2bl w:val="nil"/>
            </w:tcBorders>
            <w:noWrap w:val="0"/>
          </w:tcPr>
          <w:p w14:paraId="3A50591A">
            <w:pPr>
              <w:rPr>
                <w:rFonts w:hint="eastAsia" w:ascii="宋体" w:hAnsi="宋体" w:cs="宋体"/>
                <w:color w:val="000000" w:themeColor="text1"/>
                <w:szCs w:val="21"/>
                <w:highlight w:val="none"/>
                <w14:textFill>
                  <w14:solidFill>
                    <w14:schemeClr w14:val="tx1"/>
                  </w14:solidFill>
                </w14:textFill>
              </w:rPr>
            </w:pPr>
          </w:p>
        </w:tc>
      </w:tr>
      <w:tr w14:paraId="7192C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1185" w:type="dxa"/>
            <w:tcBorders>
              <w:tl2br w:val="nil"/>
              <w:tr2bl w:val="nil"/>
            </w:tcBorders>
            <w:noWrap w:val="0"/>
            <w:vAlign w:val="center"/>
          </w:tcPr>
          <w:p w14:paraId="4B00FE22">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21</w:t>
            </w:r>
          </w:p>
        </w:tc>
        <w:tc>
          <w:tcPr>
            <w:tcW w:w="5566" w:type="dxa"/>
            <w:tcBorders>
              <w:tl2br w:val="nil"/>
              <w:tr2bl w:val="nil"/>
            </w:tcBorders>
            <w:noWrap w:val="0"/>
            <w:vAlign w:val="top"/>
          </w:tcPr>
          <w:p w14:paraId="66B3CBA5">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荔浦市第三幼儿园</w:t>
            </w:r>
          </w:p>
        </w:tc>
        <w:tc>
          <w:tcPr>
            <w:tcW w:w="2729" w:type="dxa"/>
            <w:vMerge w:val="continue"/>
            <w:tcBorders>
              <w:tl2br w:val="nil"/>
              <w:tr2bl w:val="nil"/>
            </w:tcBorders>
            <w:noWrap w:val="0"/>
          </w:tcPr>
          <w:p w14:paraId="38EEE3BC">
            <w:pPr>
              <w:rPr>
                <w:rFonts w:hint="eastAsia" w:ascii="宋体" w:hAnsi="宋体" w:cs="宋体"/>
                <w:color w:val="000000" w:themeColor="text1"/>
                <w:szCs w:val="21"/>
                <w:highlight w:val="none"/>
                <w14:textFill>
                  <w14:solidFill>
                    <w14:schemeClr w14:val="tx1"/>
                  </w14:solidFill>
                </w14:textFill>
              </w:rPr>
            </w:pPr>
          </w:p>
        </w:tc>
      </w:tr>
      <w:tr w14:paraId="322A7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1185" w:type="dxa"/>
            <w:tcBorders>
              <w:tl2br w:val="nil"/>
              <w:tr2bl w:val="nil"/>
            </w:tcBorders>
            <w:noWrap w:val="0"/>
            <w:vAlign w:val="center"/>
          </w:tcPr>
          <w:p w14:paraId="19C6E526">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22</w:t>
            </w:r>
          </w:p>
        </w:tc>
        <w:tc>
          <w:tcPr>
            <w:tcW w:w="5566" w:type="dxa"/>
            <w:tcBorders>
              <w:tl2br w:val="nil"/>
              <w:tr2bl w:val="nil"/>
            </w:tcBorders>
            <w:noWrap w:val="0"/>
            <w:vAlign w:val="top"/>
          </w:tcPr>
          <w:p w14:paraId="1C01B49B">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荔浦市第四幼儿园</w:t>
            </w:r>
          </w:p>
        </w:tc>
        <w:tc>
          <w:tcPr>
            <w:tcW w:w="2729" w:type="dxa"/>
            <w:vMerge w:val="continue"/>
            <w:tcBorders>
              <w:tl2br w:val="nil"/>
              <w:tr2bl w:val="nil"/>
            </w:tcBorders>
            <w:noWrap w:val="0"/>
          </w:tcPr>
          <w:p w14:paraId="6CF9B43D">
            <w:pPr>
              <w:rPr>
                <w:rFonts w:hint="eastAsia" w:ascii="宋体" w:hAnsi="宋体" w:cs="宋体"/>
                <w:color w:val="000000" w:themeColor="text1"/>
                <w:szCs w:val="21"/>
                <w:highlight w:val="none"/>
                <w14:textFill>
                  <w14:solidFill>
                    <w14:schemeClr w14:val="tx1"/>
                  </w14:solidFill>
                </w14:textFill>
              </w:rPr>
            </w:pPr>
          </w:p>
        </w:tc>
      </w:tr>
      <w:tr w14:paraId="282C5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noWrap w:val="0"/>
            <w:vAlign w:val="center"/>
          </w:tcPr>
          <w:p w14:paraId="7F54A1AB">
            <w:pPr>
              <w:keepNext w:val="0"/>
              <w:keepLines w:val="0"/>
              <w:widowControl/>
              <w:suppressLineNumbers w:val="0"/>
              <w:jc w:val="center"/>
              <w:rPr>
                <w:rFonts w:hint="eastAsia" w:ascii="宋体" w:hAnsi="宋体" w:cs="宋体"/>
                <w:color w:val="000000" w:themeColor="text1"/>
                <w:szCs w:val="21"/>
                <w:highlight w:val="none"/>
                <w:lang w:val="en-US"/>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23</w:t>
            </w:r>
          </w:p>
        </w:tc>
        <w:tc>
          <w:tcPr>
            <w:tcW w:w="5566" w:type="dxa"/>
            <w:tcBorders>
              <w:tl2br w:val="nil"/>
              <w:tr2bl w:val="nil"/>
            </w:tcBorders>
            <w:noWrap w:val="0"/>
            <w:vAlign w:val="center"/>
          </w:tcPr>
          <w:p w14:paraId="573DC7CA">
            <w:pPr>
              <w:keepNext w:val="0"/>
              <w:keepLines w:val="0"/>
              <w:widowControl/>
              <w:suppressLineNumbers w:val="0"/>
              <w:jc w:val="center"/>
              <w:rPr>
                <w:rFonts w:ascii="宋体" w:hAnsi="宋体" w:eastAsia="宋体" w:cs="宋体"/>
                <w:color w:val="000000" w:themeColor="text1"/>
                <w:spacing w:val="-4"/>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荔浦市蒲芦瑶族乡甲板小学</w:t>
            </w:r>
          </w:p>
        </w:tc>
        <w:tc>
          <w:tcPr>
            <w:tcW w:w="2729" w:type="dxa"/>
            <w:vMerge w:val="restart"/>
            <w:tcBorders>
              <w:tl2br w:val="nil"/>
              <w:tr2bl w:val="nil"/>
            </w:tcBorders>
            <w:noWrap w:val="0"/>
          </w:tcPr>
          <w:p w14:paraId="2C8F9200">
            <w:pPr>
              <w:jc w:val="center"/>
              <w:rPr>
                <w:rFonts w:hint="eastAsia" w:ascii="宋体" w:hAnsi="宋体" w:eastAsia="宋体" w:cs="宋体"/>
                <w:color w:val="000000" w:themeColor="text1"/>
                <w:spacing w:val="-4"/>
                <w:sz w:val="21"/>
                <w:szCs w:val="21"/>
                <w:highlight w:val="none"/>
                <w:lang w:val="en-US" w:eastAsia="zh-CN" w:bidi="ar-SA"/>
                <w14:textFill>
                  <w14:solidFill>
                    <w14:schemeClr w14:val="tx1"/>
                  </w14:solidFill>
                </w14:textFill>
              </w:rPr>
            </w:pPr>
          </w:p>
          <w:p w14:paraId="4B122E9E">
            <w:pPr>
              <w:jc w:val="center"/>
              <w:rPr>
                <w:rFonts w:hint="default" w:ascii="宋体" w:hAnsi="宋体" w:eastAsia="宋体" w:cs="宋体"/>
                <w:color w:val="000000" w:themeColor="text1"/>
                <w:spacing w:val="-4"/>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bidi="ar-SA"/>
                <w14:textFill>
                  <w14:solidFill>
                    <w14:schemeClr w14:val="tx1"/>
                  </w14:solidFill>
                </w14:textFill>
              </w:rPr>
              <w:t>蒲芦瑶族乡</w:t>
            </w:r>
          </w:p>
        </w:tc>
      </w:tr>
      <w:tr w14:paraId="7D3A0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shd w:val="clear" w:color="auto" w:fill="auto"/>
            <w:noWrap w:val="0"/>
            <w:vAlign w:val="center"/>
          </w:tcPr>
          <w:p w14:paraId="559A48A8">
            <w:pPr>
              <w:keepNext w:val="0"/>
              <w:keepLines w:val="0"/>
              <w:widowControl/>
              <w:suppressLineNumbers w:val="0"/>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24</w:t>
            </w:r>
          </w:p>
        </w:tc>
        <w:tc>
          <w:tcPr>
            <w:tcW w:w="5566" w:type="dxa"/>
            <w:tcBorders>
              <w:tl2br w:val="nil"/>
              <w:tr2bl w:val="nil"/>
            </w:tcBorders>
            <w:noWrap w:val="0"/>
            <w:vAlign w:val="center"/>
          </w:tcPr>
          <w:p w14:paraId="328FEB7D">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荔浦市蒲芦瑶族乡万全教学点</w:t>
            </w:r>
          </w:p>
        </w:tc>
        <w:tc>
          <w:tcPr>
            <w:tcW w:w="2729" w:type="dxa"/>
            <w:vMerge w:val="continue"/>
            <w:tcBorders>
              <w:tl2br w:val="nil"/>
              <w:tr2bl w:val="nil"/>
            </w:tcBorders>
            <w:noWrap w:val="0"/>
          </w:tcPr>
          <w:p w14:paraId="6F9AD85C">
            <w:pPr>
              <w:jc w:val="center"/>
              <w:rPr>
                <w:rFonts w:hint="eastAsia" w:ascii="宋体" w:hAnsi="宋体" w:eastAsia="宋体" w:cs="宋体"/>
                <w:color w:val="000000" w:themeColor="text1"/>
                <w:spacing w:val="-4"/>
                <w:sz w:val="21"/>
                <w:szCs w:val="21"/>
                <w:highlight w:val="none"/>
                <w:lang w:val="en-US" w:eastAsia="zh-CN" w:bidi="ar-SA"/>
                <w14:textFill>
                  <w14:solidFill>
                    <w14:schemeClr w14:val="tx1"/>
                  </w14:solidFill>
                </w14:textFill>
              </w:rPr>
            </w:pPr>
          </w:p>
        </w:tc>
      </w:tr>
      <w:tr w14:paraId="17594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shd w:val="clear" w:color="auto" w:fill="auto"/>
            <w:noWrap w:val="0"/>
            <w:vAlign w:val="center"/>
          </w:tcPr>
          <w:p w14:paraId="40151996">
            <w:pPr>
              <w:keepNext w:val="0"/>
              <w:keepLines w:val="0"/>
              <w:widowControl/>
              <w:suppressLineNumbers w:val="0"/>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25</w:t>
            </w:r>
          </w:p>
        </w:tc>
        <w:tc>
          <w:tcPr>
            <w:tcW w:w="5566" w:type="dxa"/>
            <w:tcBorders>
              <w:tl2br w:val="nil"/>
              <w:tr2bl w:val="nil"/>
            </w:tcBorders>
            <w:noWrap w:val="0"/>
            <w:vAlign w:val="center"/>
          </w:tcPr>
          <w:p w14:paraId="128037D5">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荔浦市蒲芦瑶族乡万福教学点</w:t>
            </w:r>
          </w:p>
        </w:tc>
        <w:tc>
          <w:tcPr>
            <w:tcW w:w="2729" w:type="dxa"/>
            <w:vMerge w:val="continue"/>
            <w:tcBorders>
              <w:tl2br w:val="nil"/>
              <w:tr2bl w:val="nil"/>
            </w:tcBorders>
            <w:noWrap w:val="0"/>
          </w:tcPr>
          <w:p w14:paraId="1BC0B1EC">
            <w:pPr>
              <w:jc w:val="center"/>
              <w:rPr>
                <w:rFonts w:hint="eastAsia" w:ascii="宋体" w:hAnsi="宋体" w:eastAsia="宋体" w:cs="宋体"/>
                <w:color w:val="000000" w:themeColor="text1"/>
                <w:spacing w:val="-4"/>
                <w:sz w:val="21"/>
                <w:szCs w:val="21"/>
                <w:highlight w:val="none"/>
                <w:lang w:val="en-US" w:eastAsia="zh-CN" w:bidi="ar-SA"/>
                <w14:textFill>
                  <w14:solidFill>
                    <w14:schemeClr w14:val="tx1"/>
                  </w14:solidFill>
                </w14:textFill>
              </w:rPr>
            </w:pPr>
          </w:p>
        </w:tc>
      </w:tr>
      <w:tr w14:paraId="65DF0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185" w:type="dxa"/>
            <w:tcBorders>
              <w:tl2br w:val="nil"/>
              <w:tr2bl w:val="nil"/>
            </w:tcBorders>
            <w:shd w:val="clear" w:color="auto" w:fill="auto"/>
            <w:noWrap w:val="0"/>
            <w:vAlign w:val="center"/>
          </w:tcPr>
          <w:p w14:paraId="5F51B58A">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26</w:t>
            </w:r>
          </w:p>
        </w:tc>
        <w:tc>
          <w:tcPr>
            <w:tcW w:w="5566" w:type="dxa"/>
            <w:tcBorders>
              <w:tl2br w:val="nil"/>
              <w:tr2bl w:val="nil"/>
            </w:tcBorders>
            <w:noWrap w:val="0"/>
            <w:vAlign w:val="center"/>
          </w:tcPr>
          <w:p w14:paraId="6A2B77B5">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荔浦市蒲芦瑶族乡下龙小学</w:t>
            </w:r>
          </w:p>
        </w:tc>
        <w:tc>
          <w:tcPr>
            <w:tcW w:w="2729" w:type="dxa"/>
            <w:vMerge w:val="continue"/>
            <w:tcBorders>
              <w:tl2br w:val="nil"/>
              <w:tr2bl w:val="nil"/>
            </w:tcBorders>
            <w:noWrap w:val="0"/>
          </w:tcPr>
          <w:p w14:paraId="241BDBCC">
            <w:pPr>
              <w:rPr>
                <w:rFonts w:hint="eastAsia" w:ascii="宋体" w:hAnsi="宋体" w:cs="宋体"/>
                <w:color w:val="000000" w:themeColor="text1"/>
                <w:szCs w:val="21"/>
                <w:highlight w:val="none"/>
                <w:lang w:eastAsia="zh-CN"/>
                <w14:textFill>
                  <w14:solidFill>
                    <w14:schemeClr w14:val="tx1"/>
                  </w14:solidFill>
                </w14:textFill>
              </w:rPr>
            </w:pPr>
          </w:p>
        </w:tc>
      </w:tr>
      <w:tr w14:paraId="70FB4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1185" w:type="dxa"/>
            <w:tcBorders>
              <w:tl2br w:val="nil"/>
              <w:tr2bl w:val="nil"/>
            </w:tcBorders>
            <w:shd w:val="clear" w:color="auto" w:fill="auto"/>
            <w:noWrap w:val="0"/>
            <w:vAlign w:val="center"/>
          </w:tcPr>
          <w:p w14:paraId="01A88971">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27</w:t>
            </w:r>
          </w:p>
        </w:tc>
        <w:tc>
          <w:tcPr>
            <w:tcW w:w="5566" w:type="dxa"/>
            <w:tcBorders>
              <w:tl2br w:val="nil"/>
              <w:tr2bl w:val="nil"/>
            </w:tcBorders>
            <w:noWrap w:val="0"/>
            <w:vAlign w:val="center"/>
          </w:tcPr>
          <w:p w14:paraId="0B697CC0">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荔浦市蒲芦瑶族乡中心小学</w:t>
            </w:r>
          </w:p>
        </w:tc>
        <w:tc>
          <w:tcPr>
            <w:tcW w:w="2729" w:type="dxa"/>
            <w:vMerge w:val="continue"/>
            <w:tcBorders>
              <w:tl2br w:val="nil"/>
              <w:tr2bl w:val="nil"/>
            </w:tcBorders>
            <w:noWrap w:val="0"/>
          </w:tcPr>
          <w:p w14:paraId="0E64778F">
            <w:pPr>
              <w:rPr>
                <w:rFonts w:hint="eastAsia" w:ascii="宋体" w:hAnsi="宋体" w:cs="宋体"/>
                <w:color w:val="000000" w:themeColor="text1"/>
                <w:szCs w:val="21"/>
                <w:highlight w:val="none"/>
                <w:lang w:eastAsia="zh-CN"/>
                <w14:textFill>
                  <w14:solidFill>
                    <w14:schemeClr w14:val="tx1"/>
                  </w14:solidFill>
                </w14:textFill>
              </w:rPr>
            </w:pPr>
          </w:p>
        </w:tc>
      </w:tr>
      <w:tr w14:paraId="1AA5C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shd w:val="clear" w:color="auto" w:fill="auto"/>
            <w:noWrap w:val="0"/>
            <w:vAlign w:val="center"/>
          </w:tcPr>
          <w:p w14:paraId="5F41F200">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28</w:t>
            </w:r>
          </w:p>
        </w:tc>
        <w:tc>
          <w:tcPr>
            <w:tcW w:w="5566" w:type="dxa"/>
            <w:tcBorders>
              <w:tl2br w:val="nil"/>
              <w:tr2bl w:val="nil"/>
            </w:tcBorders>
            <w:noWrap w:val="0"/>
            <w:vAlign w:val="center"/>
          </w:tcPr>
          <w:p w14:paraId="091C37FB">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荔浦市蒲芦乡中心幼儿园</w:t>
            </w:r>
          </w:p>
        </w:tc>
        <w:tc>
          <w:tcPr>
            <w:tcW w:w="2729" w:type="dxa"/>
            <w:vMerge w:val="continue"/>
            <w:tcBorders>
              <w:tl2br w:val="nil"/>
              <w:tr2bl w:val="nil"/>
            </w:tcBorders>
            <w:noWrap w:val="0"/>
          </w:tcPr>
          <w:p w14:paraId="6D6143C9">
            <w:pPr>
              <w:rPr>
                <w:rFonts w:hint="eastAsia" w:ascii="宋体" w:hAnsi="宋体" w:cs="宋体"/>
                <w:color w:val="000000" w:themeColor="text1"/>
                <w:szCs w:val="21"/>
                <w:highlight w:val="none"/>
                <w:lang w:eastAsia="zh-CN"/>
                <w14:textFill>
                  <w14:solidFill>
                    <w14:schemeClr w14:val="tx1"/>
                  </w14:solidFill>
                </w14:textFill>
              </w:rPr>
            </w:pPr>
          </w:p>
        </w:tc>
      </w:tr>
      <w:tr w14:paraId="0FD69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shd w:val="clear" w:color="auto" w:fill="auto"/>
            <w:noWrap w:val="0"/>
            <w:vAlign w:val="center"/>
          </w:tcPr>
          <w:p w14:paraId="11FA4465">
            <w:pPr>
              <w:keepNext w:val="0"/>
              <w:keepLines w:val="0"/>
              <w:widowControl/>
              <w:suppressLineNumbers w:val="0"/>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29</w:t>
            </w:r>
          </w:p>
        </w:tc>
        <w:tc>
          <w:tcPr>
            <w:tcW w:w="5566" w:type="dxa"/>
            <w:tcBorders>
              <w:tl2br w:val="nil"/>
              <w:tr2bl w:val="nil"/>
            </w:tcBorders>
            <w:noWrap w:val="0"/>
            <w:vAlign w:val="center"/>
          </w:tcPr>
          <w:p w14:paraId="31A32D66">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荔浦市双江镇官相小学</w:t>
            </w:r>
          </w:p>
        </w:tc>
        <w:tc>
          <w:tcPr>
            <w:tcW w:w="2729" w:type="dxa"/>
            <w:vMerge w:val="restart"/>
            <w:tcBorders>
              <w:tl2br w:val="nil"/>
              <w:tr2bl w:val="nil"/>
            </w:tcBorders>
            <w:noWrap w:val="0"/>
          </w:tcPr>
          <w:p w14:paraId="316CC931">
            <w:pPr>
              <w:spacing w:line="281" w:lineRule="auto"/>
              <w:rPr>
                <w:rFonts w:hint="eastAsia" w:ascii="宋体" w:hAnsi="宋体" w:cs="宋体"/>
                <w:color w:val="000000" w:themeColor="text1"/>
                <w:szCs w:val="21"/>
                <w:highlight w:val="none"/>
                <w:lang w:eastAsia="zh-CN"/>
                <w14:textFill>
                  <w14:solidFill>
                    <w14:schemeClr w14:val="tx1"/>
                  </w14:solidFill>
                </w14:textFill>
              </w:rPr>
            </w:pPr>
          </w:p>
          <w:p w14:paraId="62173C45">
            <w:pPr>
              <w:spacing w:line="281" w:lineRule="auto"/>
              <w:rPr>
                <w:rFonts w:hint="eastAsia" w:ascii="宋体" w:hAnsi="宋体" w:cs="宋体"/>
                <w:color w:val="000000" w:themeColor="text1"/>
                <w:szCs w:val="21"/>
                <w:highlight w:val="none"/>
                <w:lang w:eastAsia="zh-CN"/>
                <w14:textFill>
                  <w14:solidFill>
                    <w14:schemeClr w14:val="tx1"/>
                  </w14:solidFill>
                </w14:textFill>
              </w:rPr>
            </w:pPr>
          </w:p>
          <w:p w14:paraId="742936F2">
            <w:pPr>
              <w:spacing w:line="281" w:lineRule="auto"/>
              <w:rPr>
                <w:rFonts w:hint="eastAsia" w:ascii="宋体" w:hAnsi="宋体" w:cs="宋体"/>
                <w:color w:val="000000" w:themeColor="text1"/>
                <w:szCs w:val="21"/>
                <w:highlight w:val="none"/>
                <w:lang w:eastAsia="zh-CN"/>
                <w14:textFill>
                  <w14:solidFill>
                    <w14:schemeClr w14:val="tx1"/>
                  </w14:solidFill>
                </w14:textFill>
              </w:rPr>
            </w:pPr>
          </w:p>
          <w:p w14:paraId="79EAC019">
            <w:pPr>
              <w:pStyle w:val="343"/>
              <w:spacing w:before="78" w:line="219" w:lineRule="auto"/>
              <w:ind w:left="1308"/>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双江镇</w:t>
            </w:r>
          </w:p>
        </w:tc>
      </w:tr>
      <w:tr w14:paraId="7D955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shd w:val="clear" w:color="auto" w:fill="auto"/>
            <w:noWrap w:val="0"/>
            <w:vAlign w:val="center"/>
          </w:tcPr>
          <w:p w14:paraId="6A957C3D">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30</w:t>
            </w:r>
          </w:p>
        </w:tc>
        <w:tc>
          <w:tcPr>
            <w:tcW w:w="5566" w:type="dxa"/>
            <w:tcBorders>
              <w:tl2br w:val="nil"/>
              <w:tr2bl w:val="nil"/>
            </w:tcBorders>
            <w:noWrap w:val="0"/>
            <w:vAlign w:val="center"/>
          </w:tcPr>
          <w:p w14:paraId="7840A1A7">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荔浦市双江镇龙坪小学</w:t>
            </w:r>
          </w:p>
        </w:tc>
        <w:tc>
          <w:tcPr>
            <w:tcW w:w="2729" w:type="dxa"/>
            <w:vMerge w:val="continue"/>
            <w:tcBorders>
              <w:tl2br w:val="nil"/>
              <w:tr2bl w:val="nil"/>
            </w:tcBorders>
            <w:noWrap w:val="0"/>
          </w:tcPr>
          <w:p w14:paraId="488475F7">
            <w:pPr>
              <w:rPr>
                <w:rFonts w:hint="eastAsia" w:ascii="宋体" w:hAnsi="宋体" w:cs="宋体"/>
                <w:color w:val="000000" w:themeColor="text1"/>
                <w:szCs w:val="21"/>
                <w:highlight w:val="none"/>
                <w:lang w:eastAsia="zh-CN"/>
                <w14:textFill>
                  <w14:solidFill>
                    <w14:schemeClr w14:val="tx1"/>
                  </w14:solidFill>
                </w14:textFill>
              </w:rPr>
            </w:pPr>
          </w:p>
        </w:tc>
      </w:tr>
      <w:tr w14:paraId="549DE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shd w:val="clear" w:color="auto" w:fill="auto"/>
            <w:noWrap w:val="0"/>
            <w:vAlign w:val="center"/>
          </w:tcPr>
          <w:p w14:paraId="3B0AD5E2">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31</w:t>
            </w:r>
          </w:p>
        </w:tc>
        <w:tc>
          <w:tcPr>
            <w:tcW w:w="5566" w:type="dxa"/>
            <w:tcBorders>
              <w:tl2br w:val="nil"/>
              <w:tr2bl w:val="nil"/>
            </w:tcBorders>
            <w:noWrap w:val="0"/>
            <w:vAlign w:val="center"/>
          </w:tcPr>
          <w:p w14:paraId="2D2783B6">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荔浦市双江镇太和小学</w:t>
            </w:r>
          </w:p>
        </w:tc>
        <w:tc>
          <w:tcPr>
            <w:tcW w:w="2729" w:type="dxa"/>
            <w:vMerge w:val="continue"/>
            <w:tcBorders>
              <w:tl2br w:val="nil"/>
              <w:tr2bl w:val="nil"/>
            </w:tcBorders>
            <w:noWrap w:val="0"/>
          </w:tcPr>
          <w:p w14:paraId="7D686E79">
            <w:pPr>
              <w:rPr>
                <w:rFonts w:hint="eastAsia" w:ascii="宋体" w:hAnsi="宋体" w:cs="宋体"/>
                <w:color w:val="000000" w:themeColor="text1"/>
                <w:szCs w:val="21"/>
                <w:highlight w:val="none"/>
                <w:lang w:eastAsia="zh-CN"/>
                <w14:textFill>
                  <w14:solidFill>
                    <w14:schemeClr w14:val="tx1"/>
                  </w14:solidFill>
                </w14:textFill>
              </w:rPr>
            </w:pPr>
          </w:p>
        </w:tc>
      </w:tr>
      <w:tr w14:paraId="4E4D0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shd w:val="clear" w:color="auto" w:fill="auto"/>
            <w:noWrap w:val="0"/>
            <w:vAlign w:val="center"/>
          </w:tcPr>
          <w:p w14:paraId="03F889AA">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32</w:t>
            </w:r>
          </w:p>
        </w:tc>
        <w:tc>
          <w:tcPr>
            <w:tcW w:w="5566" w:type="dxa"/>
            <w:tcBorders>
              <w:tl2br w:val="nil"/>
              <w:tr2bl w:val="nil"/>
            </w:tcBorders>
            <w:noWrap w:val="0"/>
            <w:vAlign w:val="center"/>
          </w:tcPr>
          <w:p w14:paraId="152DD684">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荔浦市双江镇中心小学</w:t>
            </w:r>
          </w:p>
        </w:tc>
        <w:tc>
          <w:tcPr>
            <w:tcW w:w="2729" w:type="dxa"/>
            <w:vMerge w:val="continue"/>
            <w:tcBorders>
              <w:tl2br w:val="nil"/>
              <w:tr2bl w:val="nil"/>
            </w:tcBorders>
            <w:noWrap w:val="0"/>
          </w:tcPr>
          <w:p w14:paraId="24ECE553">
            <w:pPr>
              <w:rPr>
                <w:rFonts w:hint="eastAsia" w:ascii="宋体" w:hAnsi="宋体" w:cs="宋体"/>
                <w:color w:val="000000" w:themeColor="text1"/>
                <w:szCs w:val="21"/>
                <w:highlight w:val="none"/>
                <w:lang w:eastAsia="zh-CN"/>
                <w14:textFill>
                  <w14:solidFill>
                    <w14:schemeClr w14:val="tx1"/>
                  </w14:solidFill>
                </w14:textFill>
              </w:rPr>
            </w:pPr>
          </w:p>
        </w:tc>
      </w:tr>
      <w:tr w14:paraId="4727C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shd w:val="clear" w:color="auto" w:fill="auto"/>
            <w:noWrap w:val="0"/>
            <w:vAlign w:val="center"/>
          </w:tcPr>
          <w:p w14:paraId="79D87023">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33</w:t>
            </w:r>
          </w:p>
        </w:tc>
        <w:tc>
          <w:tcPr>
            <w:tcW w:w="5566" w:type="dxa"/>
            <w:tcBorders>
              <w:tl2br w:val="nil"/>
              <w:tr2bl w:val="nil"/>
            </w:tcBorders>
            <w:noWrap w:val="0"/>
            <w:vAlign w:val="center"/>
          </w:tcPr>
          <w:p w14:paraId="41CFBA26">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荔浦市双江镇中心幼儿园</w:t>
            </w:r>
          </w:p>
        </w:tc>
        <w:tc>
          <w:tcPr>
            <w:tcW w:w="2729" w:type="dxa"/>
            <w:vMerge w:val="continue"/>
            <w:tcBorders>
              <w:tl2br w:val="nil"/>
              <w:tr2bl w:val="nil"/>
            </w:tcBorders>
            <w:noWrap w:val="0"/>
          </w:tcPr>
          <w:p w14:paraId="0B9F100F">
            <w:pPr>
              <w:rPr>
                <w:rFonts w:hint="eastAsia" w:ascii="宋体" w:hAnsi="宋体" w:cs="宋体"/>
                <w:color w:val="000000" w:themeColor="text1"/>
                <w:szCs w:val="21"/>
                <w:highlight w:val="none"/>
                <w:lang w:eastAsia="zh-CN"/>
                <w14:textFill>
                  <w14:solidFill>
                    <w14:schemeClr w14:val="tx1"/>
                  </w14:solidFill>
                </w14:textFill>
              </w:rPr>
            </w:pPr>
          </w:p>
        </w:tc>
      </w:tr>
      <w:tr w14:paraId="714F4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185" w:type="dxa"/>
            <w:tcBorders>
              <w:tl2br w:val="nil"/>
              <w:tr2bl w:val="nil"/>
            </w:tcBorders>
            <w:shd w:val="clear" w:color="auto" w:fill="auto"/>
            <w:noWrap w:val="0"/>
            <w:vAlign w:val="center"/>
          </w:tcPr>
          <w:p w14:paraId="183728B2">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34</w:t>
            </w:r>
          </w:p>
        </w:tc>
        <w:tc>
          <w:tcPr>
            <w:tcW w:w="5566" w:type="dxa"/>
            <w:tcBorders>
              <w:tl2br w:val="nil"/>
              <w:tr2bl w:val="nil"/>
            </w:tcBorders>
            <w:noWrap w:val="0"/>
            <w:vAlign w:val="center"/>
          </w:tcPr>
          <w:p w14:paraId="2E319F12">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荔浦市双江镇初级中学</w:t>
            </w:r>
          </w:p>
        </w:tc>
        <w:tc>
          <w:tcPr>
            <w:tcW w:w="2729" w:type="dxa"/>
            <w:vMerge w:val="continue"/>
            <w:tcBorders>
              <w:tl2br w:val="nil"/>
              <w:tr2bl w:val="nil"/>
            </w:tcBorders>
            <w:noWrap w:val="0"/>
          </w:tcPr>
          <w:p w14:paraId="3B84516E">
            <w:pPr>
              <w:rPr>
                <w:rFonts w:hint="eastAsia" w:ascii="宋体" w:hAnsi="宋体" w:cs="宋体"/>
                <w:color w:val="000000" w:themeColor="text1"/>
                <w:szCs w:val="21"/>
                <w:highlight w:val="none"/>
                <w:lang w:eastAsia="zh-CN"/>
                <w14:textFill>
                  <w14:solidFill>
                    <w14:schemeClr w14:val="tx1"/>
                  </w14:solidFill>
                </w14:textFill>
              </w:rPr>
            </w:pPr>
          </w:p>
        </w:tc>
      </w:tr>
      <w:tr w14:paraId="6735A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1185" w:type="dxa"/>
            <w:tcBorders>
              <w:tl2br w:val="nil"/>
              <w:tr2bl w:val="nil"/>
            </w:tcBorders>
            <w:shd w:val="clear" w:color="auto" w:fill="auto"/>
            <w:noWrap w:val="0"/>
            <w:vAlign w:val="center"/>
          </w:tcPr>
          <w:p w14:paraId="0593D4BD">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35</w:t>
            </w:r>
          </w:p>
        </w:tc>
        <w:tc>
          <w:tcPr>
            <w:tcW w:w="5566" w:type="dxa"/>
            <w:tcBorders>
              <w:tl2br w:val="nil"/>
              <w:tr2bl w:val="nil"/>
            </w:tcBorders>
            <w:noWrap w:val="0"/>
            <w:vAlign w:val="center"/>
          </w:tcPr>
          <w:p w14:paraId="47097F46">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荔浦市茶城乡坪社小学</w:t>
            </w:r>
          </w:p>
        </w:tc>
        <w:tc>
          <w:tcPr>
            <w:tcW w:w="2729" w:type="dxa"/>
            <w:vMerge w:val="restart"/>
            <w:tcBorders>
              <w:tl2br w:val="nil"/>
              <w:tr2bl w:val="nil"/>
            </w:tcBorders>
            <w:noWrap w:val="0"/>
          </w:tcPr>
          <w:p w14:paraId="3E44D198">
            <w:pPr>
              <w:spacing w:line="284" w:lineRule="auto"/>
              <w:rPr>
                <w:rFonts w:hint="eastAsia" w:ascii="宋体" w:hAnsi="宋体" w:cs="宋体"/>
                <w:color w:val="000000" w:themeColor="text1"/>
                <w:szCs w:val="21"/>
                <w:highlight w:val="none"/>
                <w:lang w:eastAsia="zh-CN"/>
                <w14:textFill>
                  <w14:solidFill>
                    <w14:schemeClr w14:val="tx1"/>
                  </w14:solidFill>
                </w14:textFill>
              </w:rPr>
            </w:pPr>
          </w:p>
          <w:p w14:paraId="7F2529A8">
            <w:pPr>
              <w:spacing w:line="284" w:lineRule="auto"/>
              <w:rPr>
                <w:rFonts w:hint="eastAsia" w:ascii="宋体" w:hAnsi="宋体" w:cs="宋体"/>
                <w:color w:val="000000" w:themeColor="text1"/>
                <w:szCs w:val="21"/>
                <w:highlight w:val="none"/>
                <w:lang w:eastAsia="zh-CN"/>
                <w14:textFill>
                  <w14:solidFill>
                    <w14:schemeClr w14:val="tx1"/>
                  </w14:solidFill>
                </w14:textFill>
              </w:rPr>
            </w:pPr>
          </w:p>
          <w:p w14:paraId="000EB7AD">
            <w:pPr>
              <w:pStyle w:val="343"/>
              <w:spacing w:before="78" w:line="219" w:lineRule="auto"/>
              <w:ind w:left="1311"/>
              <w:rPr>
                <w:color w:val="000000" w:themeColor="text1"/>
                <w:sz w:val="21"/>
                <w:szCs w:val="21"/>
                <w:highlight w:val="none"/>
                <w14:textFill>
                  <w14:solidFill>
                    <w14:schemeClr w14:val="tx1"/>
                  </w14:solidFill>
                </w14:textFill>
              </w:rPr>
            </w:pPr>
            <w:r>
              <w:rPr>
                <w:color w:val="000000" w:themeColor="text1"/>
                <w:spacing w:val="-5"/>
                <w:sz w:val="21"/>
                <w:szCs w:val="21"/>
                <w:highlight w:val="none"/>
                <w14:textFill>
                  <w14:solidFill>
                    <w14:schemeClr w14:val="tx1"/>
                  </w14:solidFill>
                </w14:textFill>
              </w:rPr>
              <w:t>茶城乡</w:t>
            </w:r>
          </w:p>
        </w:tc>
      </w:tr>
      <w:tr w14:paraId="49AEA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1185" w:type="dxa"/>
            <w:tcBorders>
              <w:tl2br w:val="nil"/>
              <w:tr2bl w:val="nil"/>
            </w:tcBorders>
            <w:shd w:val="clear" w:color="auto" w:fill="auto"/>
            <w:noWrap w:val="0"/>
            <w:vAlign w:val="center"/>
          </w:tcPr>
          <w:p w14:paraId="689E8C92">
            <w:pPr>
              <w:keepNext w:val="0"/>
              <w:keepLines w:val="0"/>
              <w:widowControl/>
              <w:suppressLineNumbers w:val="0"/>
              <w:jc w:val="center"/>
              <w:rPr>
                <w:rFonts w:hint="eastAsia" w:ascii="宋体" w:hAnsi="宋体" w:eastAsia="宋体" w:cs="宋体"/>
                <w:color w:val="000000" w:themeColor="text1"/>
                <w:spacing w:val="-5"/>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36</w:t>
            </w:r>
          </w:p>
        </w:tc>
        <w:tc>
          <w:tcPr>
            <w:tcW w:w="5566" w:type="dxa"/>
            <w:tcBorders>
              <w:tl2br w:val="nil"/>
              <w:tr2bl w:val="nil"/>
            </w:tcBorders>
            <w:noWrap w:val="0"/>
            <w:vAlign w:val="center"/>
          </w:tcPr>
          <w:p w14:paraId="30AB8E8E">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荔浦市茶城乡屯留小学</w:t>
            </w:r>
          </w:p>
        </w:tc>
        <w:tc>
          <w:tcPr>
            <w:tcW w:w="2729" w:type="dxa"/>
            <w:vMerge w:val="continue"/>
            <w:tcBorders>
              <w:tl2br w:val="nil"/>
              <w:tr2bl w:val="nil"/>
            </w:tcBorders>
            <w:noWrap w:val="0"/>
          </w:tcPr>
          <w:p w14:paraId="3ECCEB79">
            <w:pPr>
              <w:rPr>
                <w:rFonts w:hint="eastAsia" w:ascii="宋体" w:hAnsi="宋体" w:cs="宋体"/>
                <w:color w:val="000000" w:themeColor="text1"/>
                <w:szCs w:val="21"/>
                <w:highlight w:val="none"/>
                <w:lang w:eastAsia="zh-CN"/>
                <w14:textFill>
                  <w14:solidFill>
                    <w14:schemeClr w14:val="tx1"/>
                  </w14:solidFill>
                </w14:textFill>
              </w:rPr>
            </w:pPr>
          </w:p>
        </w:tc>
      </w:tr>
      <w:tr w14:paraId="24687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1185" w:type="dxa"/>
            <w:tcBorders>
              <w:tl2br w:val="nil"/>
              <w:tr2bl w:val="nil"/>
            </w:tcBorders>
            <w:shd w:val="clear" w:color="auto" w:fill="auto"/>
            <w:noWrap w:val="0"/>
            <w:vAlign w:val="center"/>
          </w:tcPr>
          <w:p w14:paraId="3C40BBFB">
            <w:pPr>
              <w:keepNext w:val="0"/>
              <w:keepLines w:val="0"/>
              <w:widowControl/>
              <w:suppressLineNumbers w:val="0"/>
              <w:jc w:val="center"/>
              <w:rPr>
                <w:rFonts w:hint="eastAsia" w:ascii="宋体" w:hAnsi="宋体" w:eastAsia="宋体" w:cs="宋体"/>
                <w:color w:val="000000" w:themeColor="text1"/>
                <w:spacing w:val="-5"/>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37</w:t>
            </w:r>
          </w:p>
        </w:tc>
        <w:tc>
          <w:tcPr>
            <w:tcW w:w="5566" w:type="dxa"/>
            <w:tcBorders>
              <w:tl2br w:val="nil"/>
              <w:tr2bl w:val="nil"/>
            </w:tcBorders>
            <w:noWrap w:val="0"/>
            <w:vAlign w:val="center"/>
          </w:tcPr>
          <w:p w14:paraId="049A7B9C">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荔浦市茶城乡文德小学</w:t>
            </w:r>
          </w:p>
        </w:tc>
        <w:tc>
          <w:tcPr>
            <w:tcW w:w="2729" w:type="dxa"/>
            <w:vMerge w:val="continue"/>
            <w:tcBorders>
              <w:tl2br w:val="nil"/>
              <w:tr2bl w:val="nil"/>
            </w:tcBorders>
            <w:noWrap w:val="0"/>
          </w:tcPr>
          <w:p w14:paraId="5E052552">
            <w:pPr>
              <w:rPr>
                <w:rFonts w:hint="eastAsia" w:ascii="宋体" w:hAnsi="宋体" w:cs="宋体"/>
                <w:color w:val="000000" w:themeColor="text1"/>
                <w:szCs w:val="21"/>
                <w:highlight w:val="none"/>
                <w:lang w:eastAsia="zh-CN"/>
                <w14:textFill>
                  <w14:solidFill>
                    <w14:schemeClr w14:val="tx1"/>
                  </w14:solidFill>
                </w14:textFill>
              </w:rPr>
            </w:pPr>
          </w:p>
        </w:tc>
      </w:tr>
      <w:tr w14:paraId="1430A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1185" w:type="dxa"/>
            <w:tcBorders>
              <w:tl2br w:val="nil"/>
              <w:tr2bl w:val="nil"/>
            </w:tcBorders>
            <w:shd w:val="clear" w:color="auto" w:fill="auto"/>
            <w:noWrap w:val="0"/>
            <w:vAlign w:val="center"/>
          </w:tcPr>
          <w:p w14:paraId="6D198DA1">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38</w:t>
            </w:r>
          </w:p>
        </w:tc>
        <w:tc>
          <w:tcPr>
            <w:tcW w:w="5566" w:type="dxa"/>
            <w:tcBorders>
              <w:tl2br w:val="nil"/>
              <w:tr2bl w:val="nil"/>
            </w:tcBorders>
            <w:noWrap w:val="0"/>
            <w:vAlign w:val="center"/>
          </w:tcPr>
          <w:p w14:paraId="446B468B">
            <w:pPr>
              <w:keepNext w:val="0"/>
              <w:keepLines w:val="0"/>
              <w:widowControl/>
              <w:suppressLineNumbers w:val="0"/>
              <w:jc w:val="center"/>
              <w:rPr>
                <w:rFonts w:hint="eastAsia" w:ascii="宋体" w:hAnsi="宋体" w:cs="宋体"/>
                <w:color w:val="000000" w:themeColor="text1"/>
                <w:spacing w:val="-2"/>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荔浦市茶城乡中心小学</w:t>
            </w:r>
          </w:p>
        </w:tc>
        <w:tc>
          <w:tcPr>
            <w:tcW w:w="2729" w:type="dxa"/>
            <w:vMerge w:val="continue"/>
            <w:tcBorders>
              <w:tl2br w:val="nil"/>
              <w:tr2bl w:val="nil"/>
            </w:tcBorders>
            <w:noWrap w:val="0"/>
          </w:tcPr>
          <w:p w14:paraId="1E493677">
            <w:pPr>
              <w:rPr>
                <w:rFonts w:hint="eastAsia" w:ascii="宋体" w:hAnsi="宋体" w:cs="宋体"/>
                <w:color w:val="000000" w:themeColor="text1"/>
                <w:szCs w:val="21"/>
                <w:highlight w:val="none"/>
                <w:lang w:eastAsia="zh-CN"/>
                <w14:textFill>
                  <w14:solidFill>
                    <w14:schemeClr w14:val="tx1"/>
                  </w14:solidFill>
                </w14:textFill>
              </w:rPr>
            </w:pPr>
          </w:p>
        </w:tc>
      </w:tr>
      <w:tr w14:paraId="05BF8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1185" w:type="dxa"/>
            <w:tcBorders>
              <w:tl2br w:val="nil"/>
              <w:tr2bl w:val="nil"/>
            </w:tcBorders>
            <w:shd w:val="clear" w:color="auto" w:fill="auto"/>
            <w:noWrap w:val="0"/>
            <w:vAlign w:val="center"/>
          </w:tcPr>
          <w:p w14:paraId="3C4B15F3">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39</w:t>
            </w:r>
          </w:p>
        </w:tc>
        <w:tc>
          <w:tcPr>
            <w:tcW w:w="5566" w:type="dxa"/>
            <w:tcBorders>
              <w:tl2br w:val="nil"/>
              <w:tr2bl w:val="nil"/>
            </w:tcBorders>
            <w:noWrap w:val="0"/>
            <w:vAlign w:val="center"/>
          </w:tcPr>
          <w:p w14:paraId="03DF3211">
            <w:pPr>
              <w:keepNext w:val="0"/>
              <w:keepLines w:val="0"/>
              <w:widowControl/>
              <w:suppressLineNumbers w:val="0"/>
              <w:jc w:val="center"/>
              <w:rPr>
                <w:rFonts w:hint="eastAsia" w:ascii="宋体" w:hAnsi="宋体" w:cs="宋体"/>
                <w:color w:val="000000" w:themeColor="text1"/>
                <w:spacing w:val="-2"/>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荔浦市茶城乡中心幼儿园</w:t>
            </w:r>
          </w:p>
        </w:tc>
        <w:tc>
          <w:tcPr>
            <w:tcW w:w="2729" w:type="dxa"/>
            <w:vMerge w:val="continue"/>
            <w:tcBorders>
              <w:tl2br w:val="nil"/>
              <w:tr2bl w:val="nil"/>
            </w:tcBorders>
            <w:noWrap w:val="0"/>
          </w:tcPr>
          <w:p w14:paraId="2F6DED39">
            <w:pPr>
              <w:rPr>
                <w:rFonts w:hint="eastAsia" w:ascii="宋体" w:hAnsi="宋体" w:cs="宋体"/>
                <w:color w:val="000000" w:themeColor="text1"/>
                <w:szCs w:val="21"/>
                <w:highlight w:val="none"/>
                <w:lang w:eastAsia="zh-CN"/>
                <w14:textFill>
                  <w14:solidFill>
                    <w14:schemeClr w14:val="tx1"/>
                  </w14:solidFill>
                </w14:textFill>
              </w:rPr>
            </w:pPr>
          </w:p>
        </w:tc>
      </w:tr>
      <w:tr w14:paraId="5F29E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1185" w:type="dxa"/>
            <w:tcBorders>
              <w:tl2br w:val="nil"/>
              <w:tr2bl w:val="nil"/>
            </w:tcBorders>
            <w:shd w:val="clear" w:color="auto" w:fill="auto"/>
            <w:noWrap w:val="0"/>
            <w:vAlign w:val="center"/>
          </w:tcPr>
          <w:p w14:paraId="265F94C9">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40</w:t>
            </w:r>
          </w:p>
        </w:tc>
        <w:tc>
          <w:tcPr>
            <w:tcW w:w="5566" w:type="dxa"/>
            <w:tcBorders>
              <w:tl2br w:val="nil"/>
              <w:tr2bl w:val="nil"/>
            </w:tcBorders>
            <w:noWrap w:val="0"/>
            <w:vAlign w:val="center"/>
          </w:tcPr>
          <w:p w14:paraId="4C299AE2">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荔浦市东昌镇安静小学</w:t>
            </w:r>
          </w:p>
        </w:tc>
        <w:tc>
          <w:tcPr>
            <w:tcW w:w="2729" w:type="dxa"/>
            <w:vMerge w:val="restart"/>
            <w:tcBorders>
              <w:tl2br w:val="nil"/>
              <w:tr2bl w:val="nil"/>
            </w:tcBorders>
            <w:noWrap w:val="0"/>
            <w:vAlign w:val="top"/>
          </w:tcPr>
          <w:p w14:paraId="4E89A3EC">
            <w:pPr>
              <w:spacing w:line="307" w:lineRule="auto"/>
              <w:rPr>
                <w:rFonts w:hint="eastAsia" w:ascii="宋体" w:hAnsi="宋体" w:cs="宋体"/>
                <w:color w:val="000000" w:themeColor="text1"/>
                <w:szCs w:val="21"/>
                <w:highlight w:val="none"/>
                <w:lang w:eastAsia="zh-CN"/>
                <w14:textFill>
                  <w14:solidFill>
                    <w14:schemeClr w14:val="tx1"/>
                  </w14:solidFill>
                </w14:textFill>
              </w:rPr>
            </w:pPr>
          </w:p>
          <w:p w14:paraId="5A8E5336">
            <w:pPr>
              <w:spacing w:line="307" w:lineRule="auto"/>
              <w:rPr>
                <w:rFonts w:hint="eastAsia" w:ascii="宋体" w:hAnsi="宋体" w:cs="宋体"/>
                <w:color w:val="000000" w:themeColor="text1"/>
                <w:szCs w:val="21"/>
                <w:highlight w:val="none"/>
                <w:lang w:eastAsia="zh-CN"/>
                <w14:textFill>
                  <w14:solidFill>
                    <w14:schemeClr w14:val="tx1"/>
                  </w14:solidFill>
                </w14:textFill>
              </w:rPr>
            </w:pPr>
          </w:p>
          <w:p w14:paraId="62868930">
            <w:pPr>
              <w:spacing w:line="307" w:lineRule="auto"/>
              <w:rPr>
                <w:rFonts w:hint="eastAsia" w:ascii="宋体" w:hAnsi="宋体" w:cs="宋体"/>
                <w:color w:val="000000" w:themeColor="text1"/>
                <w:szCs w:val="21"/>
                <w:highlight w:val="none"/>
                <w:lang w:eastAsia="zh-CN"/>
                <w14:textFill>
                  <w14:solidFill>
                    <w14:schemeClr w14:val="tx1"/>
                  </w14:solidFill>
                </w14:textFill>
              </w:rPr>
            </w:pPr>
          </w:p>
          <w:p w14:paraId="5FC164BF">
            <w:pPr>
              <w:pStyle w:val="343"/>
              <w:spacing w:before="78" w:line="219" w:lineRule="auto"/>
              <w:ind w:left="1317"/>
              <w:rPr>
                <w:color w:val="000000" w:themeColor="text1"/>
                <w:sz w:val="21"/>
                <w:szCs w:val="21"/>
                <w:highlight w:val="none"/>
                <w:lang w:eastAsia="zh-CN"/>
                <w14:textFill>
                  <w14:solidFill>
                    <w14:schemeClr w14:val="tx1"/>
                  </w14:solidFill>
                </w14:textFill>
              </w:rPr>
            </w:pPr>
            <w:r>
              <w:rPr>
                <w:color w:val="000000" w:themeColor="text1"/>
                <w:spacing w:val="-6"/>
                <w:sz w:val="21"/>
                <w:szCs w:val="21"/>
                <w:highlight w:val="none"/>
                <w14:textFill>
                  <w14:solidFill>
                    <w14:schemeClr w14:val="tx1"/>
                  </w14:solidFill>
                </w14:textFill>
              </w:rPr>
              <w:t>东昌镇</w:t>
            </w:r>
          </w:p>
        </w:tc>
      </w:tr>
      <w:tr w14:paraId="60AFD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185" w:type="dxa"/>
            <w:tcBorders>
              <w:tl2br w:val="nil"/>
              <w:tr2bl w:val="nil"/>
            </w:tcBorders>
            <w:shd w:val="clear" w:color="auto" w:fill="auto"/>
            <w:noWrap w:val="0"/>
            <w:vAlign w:val="center"/>
          </w:tcPr>
          <w:p w14:paraId="14F2AD58">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41</w:t>
            </w:r>
          </w:p>
        </w:tc>
        <w:tc>
          <w:tcPr>
            <w:tcW w:w="5566" w:type="dxa"/>
            <w:tcBorders>
              <w:tl2br w:val="nil"/>
              <w:tr2bl w:val="nil"/>
            </w:tcBorders>
            <w:noWrap w:val="0"/>
            <w:vAlign w:val="center"/>
          </w:tcPr>
          <w:p w14:paraId="401D3736">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荔浦市东昌镇思贡小学</w:t>
            </w:r>
          </w:p>
        </w:tc>
        <w:tc>
          <w:tcPr>
            <w:tcW w:w="2729" w:type="dxa"/>
            <w:vMerge w:val="continue"/>
            <w:tcBorders>
              <w:tl2br w:val="nil"/>
              <w:tr2bl w:val="nil"/>
            </w:tcBorders>
            <w:noWrap w:val="0"/>
            <w:vAlign w:val="top"/>
          </w:tcPr>
          <w:p w14:paraId="31AEC3B3">
            <w:pPr>
              <w:rPr>
                <w:rFonts w:hint="eastAsia" w:ascii="宋体" w:hAnsi="宋体" w:cs="宋体"/>
                <w:color w:val="000000" w:themeColor="text1"/>
                <w:szCs w:val="21"/>
                <w:highlight w:val="none"/>
                <w:lang w:eastAsia="zh-CN"/>
                <w14:textFill>
                  <w14:solidFill>
                    <w14:schemeClr w14:val="tx1"/>
                  </w14:solidFill>
                </w14:textFill>
              </w:rPr>
            </w:pPr>
          </w:p>
        </w:tc>
      </w:tr>
      <w:tr w14:paraId="51093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185" w:type="dxa"/>
            <w:tcBorders>
              <w:tl2br w:val="nil"/>
              <w:tr2bl w:val="nil"/>
            </w:tcBorders>
            <w:shd w:val="clear" w:color="auto" w:fill="auto"/>
            <w:noWrap w:val="0"/>
            <w:vAlign w:val="center"/>
          </w:tcPr>
          <w:p w14:paraId="7756A8E9">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42</w:t>
            </w:r>
          </w:p>
        </w:tc>
        <w:tc>
          <w:tcPr>
            <w:tcW w:w="5566" w:type="dxa"/>
            <w:tcBorders>
              <w:tl2br w:val="nil"/>
              <w:tr2bl w:val="nil"/>
            </w:tcBorders>
            <w:noWrap w:val="0"/>
            <w:vAlign w:val="center"/>
          </w:tcPr>
          <w:p w14:paraId="41395A1A">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荔浦市东昌镇滩头小学</w:t>
            </w:r>
          </w:p>
        </w:tc>
        <w:tc>
          <w:tcPr>
            <w:tcW w:w="2729" w:type="dxa"/>
            <w:vMerge w:val="continue"/>
            <w:tcBorders>
              <w:tl2br w:val="nil"/>
              <w:tr2bl w:val="nil"/>
            </w:tcBorders>
            <w:noWrap w:val="0"/>
            <w:vAlign w:val="top"/>
          </w:tcPr>
          <w:p w14:paraId="0501C49D">
            <w:pPr>
              <w:rPr>
                <w:rFonts w:hint="eastAsia" w:ascii="宋体" w:hAnsi="宋体" w:cs="宋体"/>
                <w:color w:val="000000" w:themeColor="text1"/>
                <w:szCs w:val="21"/>
                <w:highlight w:val="none"/>
                <w:lang w:eastAsia="zh-CN"/>
                <w14:textFill>
                  <w14:solidFill>
                    <w14:schemeClr w14:val="tx1"/>
                  </w14:solidFill>
                </w14:textFill>
              </w:rPr>
            </w:pPr>
          </w:p>
        </w:tc>
      </w:tr>
      <w:tr w14:paraId="1E44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185" w:type="dxa"/>
            <w:tcBorders>
              <w:tl2br w:val="nil"/>
              <w:tr2bl w:val="nil"/>
            </w:tcBorders>
            <w:shd w:val="clear" w:color="auto" w:fill="auto"/>
            <w:noWrap w:val="0"/>
            <w:vAlign w:val="center"/>
          </w:tcPr>
          <w:p w14:paraId="65362412">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43</w:t>
            </w:r>
          </w:p>
        </w:tc>
        <w:tc>
          <w:tcPr>
            <w:tcW w:w="5566" w:type="dxa"/>
            <w:tcBorders>
              <w:tl2br w:val="nil"/>
              <w:tr2bl w:val="nil"/>
            </w:tcBorders>
            <w:noWrap w:val="0"/>
            <w:vAlign w:val="center"/>
          </w:tcPr>
          <w:p w14:paraId="1FA58368">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荔浦市东昌镇中心小学</w:t>
            </w:r>
          </w:p>
        </w:tc>
        <w:tc>
          <w:tcPr>
            <w:tcW w:w="2729" w:type="dxa"/>
            <w:vMerge w:val="continue"/>
            <w:tcBorders>
              <w:tl2br w:val="nil"/>
              <w:tr2bl w:val="nil"/>
            </w:tcBorders>
            <w:noWrap w:val="0"/>
            <w:vAlign w:val="top"/>
          </w:tcPr>
          <w:p w14:paraId="797C26DA">
            <w:pPr>
              <w:rPr>
                <w:rFonts w:hint="eastAsia" w:ascii="宋体" w:hAnsi="宋体" w:cs="宋体"/>
                <w:color w:val="000000" w:themeColor="text1"/>
                <w:szCs w:val="21"/>
                <w:highlight w:val="none"/>
                <w:lang w:eastAsia="zh-CN"/>
                <w14:textFill>
                  <w14:solidFill>
                    <w14:schemeClr w14:val="tx1"/>
                  </w14:solidFill>
                </w14:textFill>
              </w:rPr>
            </w:pPr>
          </w:p>
        </w:tc>
      </w:tr>
      <w:tr w14:paraId="7BE3C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185" w:type="dxa"/>
            <w:tcBorders>
              <w:tl2br w:val="nil"/>
              <w:tr2bl w:val="nil"/>
            </w:tcBorders>
            <w:noWrap w:val="0"/>
            <w:vAlign w:val="center"/>
          </w:tcPr>
          <w:p w14:paraId="64DDC405">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44</w:t>
            </w:r>
          </w:p>
        </w:tc>
        <w:tc>
          <w:tcPr>
            <w:tcW w:w="5566" w:type="dxa"/>
            <w:tcBorders>
              <w:tl2br w:val="nil"/>
              <w:tr2bl w:val="nil"/>
            </w:tcBorders>
            <w:noWrap w:val="0"/>
            <w:vAlign w:val="center"/>
          </w:tcPr>
          <w:p w14:paraId="177AD114">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荔浦市东昌镇中心幼儿园</w:t>
            </w:r>
          </w:p>
        </w:tc>
        <w:tc>
          <w:tcPr>
            <w:tcW w:w="2729" w:type="dxa"/>
            <w:vMerge w:val="continue"/>
            <w:tcBorders>
              <w:tl2br w:val="nil"/>
              <w:tr2bl w:val="nil"/>
            </w:tcBorders>
            <w:noWrap w:val="0"/>
            <w:vAlign w:val="top"/>
          </w:tcPr>
          <w:p w14:paraId="7B84C159">
            <w:pPr>
              <w:rPr>
                <w:rFonts w:hint="eastAsia" w:ascii="宋体" w:hAnsi="宋体" w:cs="宋体"/>
                <w:color w:val="000000" w:themeColor="text1"/>
                <w:szCs w:val="21"/>
                <w:highlight w:val="none"/>
                <w:lang w:eastAsia="zh-CN"/>
                <w14:textFill>
                  <w14:solidFill>
                    <w14:schemeClr w14:val="tx1"/>
                  </w14:solidFill>
                </w14:textFill>
              </w:rPr>
            </w:pPr>
          </w:p>
        </w:tc>
      </w:tr>
      <w:tr w14:paraId="2B9A4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185" w:type="dxa"/>
            <w:tcBorders>
              <w:tl2br w:val="nil"/>
              <w:tr2bl w:val="nil"/>
            </w:tcBorders>
            <w:noWrap w:val="0"/>
            <w:vAlign w:val="center"/>
          </w:tcPr>
          <w:p w14:paraId="6C1E7CC5">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45</w:t>
            </w:r>
          </w:p>
        </w:tc>
        <w:tc>
          <w:tcPr>
            <w:tcW w:w="5566" w:type="dxa"/>
            <w:tcBorders>
              <w:tl2br w:val="nil"/>
              <w:tr2bl w:val="nil"/>
            </w:tcBorders>
            <w:noWrap w:val="0"/>
            <w:vAlign w:val="center"/>
          </w:tcPr>
          <w:p w14:paraId="2A538C06">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荔浦市东昌镇初级中学</w:t>
            </w:r>
          </w:p>
        </w:tc>
        <w:tc>
          <w:tcPr>
            <w:tcW w:w="2729" w:type="dxa"/>
            <w:vMerge w:val="continue"/>
            <w:tcBorders>
              <w:tl2br w:val="nil"/>
              <w:tr2bl w:val="nil"/>
            </w:tcBorders>
            <w:noWrap w:val="0"/>
            <w:vAlign w:val="top"/>
          </w:tcPr>
          <w:p w14:paraId="7173B55A">
            <w:pPr>
              <w:rPr>
                <w:rFonts w:hint="eastAsia" w:ascii="宋体" w:hAnsi="宋体" w:cs="宋体"/>
                <w:color w:val="000000" w:themeColor="text1"/>
                <w:szCs w:val="21"/>
                <w:highlight w:val="none"/>
                <w:lang w:eastAsia="zh-CN"/>
                <w14:textFill>
                  <w14:solidFill>
                    <w14:schemeClr w14:val="tx1"/>
                  </w14:solidFill>
                </w14:textFill>
              </w:rPr>
            </w:pPr>
          </w:p>
        </w:tc>
      </w:tr>
      <w:tr w14:paraId="4922D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26577E23">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46</w:t>
            </w:r>
          </w:p>
        </w:tc>
        <w:tc>
          <w:tcPr>
            <w:tcW w:w="5566" w:type="dxa"/>
            <w:tcBorders>
              <w:tl2br w:val="nil"/>
              <w:tr2bl w:val="nil"/>
            </w:tcBorders>
            <w:noWrap w:val="0"/>
            <w:vAlign w:val="center"/>
          </w:tcPr>
          <w:p w14:paraId="3514719B">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荔浦市花篢镇凤联小学</w:t>
            </w:r>
          </w:p>
        </w:tc>
        <w:tc>
          <w:tcPr>
            <w:tcW w:w="2729" w:type="dxa"/>
            <w:vMerge w:val="restart"/>
            <w:tcBorders>
              <w:tl2br w:val="nil"/>
              <w:tr2bl w:val="nil"/>
            </w:tcBorders>
            <w:noWrap w:val="0"/>
          </w:tcPr>
          <w:p w14:paraId="12551DE6">
            <w:pPr>
              <w:spacing w:line="281" w:lineRule="auto"/>
              <w:rPr>
                <w:rFonts w:hint="eastAsia" w:ascii="宋体" w:hAnsi="宋体" w:cs="宋体"/>
                <w:color w:val="000000" w:themeColor="text1"/>
                <w:szCs w:val="21"/>
                <w:highlight w:val="none"/>
                <w:lang w:eastAsia="zh-CN"/>
                <w14:textFill>
                  <w14:solidFill>
                    <w14:schemeClr w14:val="tx1"/>
                  </w14:solidFill>
                </w14:textFill>
              </w:rPr>
            </w:pPr>
          </w:p>
          <w:p w14:paraId="6669AEED">
            <w:pPr>
              <w:pStyle w:val="343"/>
              <w:spacing w:before="78" w:line="219" w:lineRule="auto"/>
              <w:ind w:left="1309"/>
              <w:jc w:val="both"/>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花篢镇</w:t>
            </w:r>
          </w:p>
        </w:tc>
      </w:tr>
      <w:tr w14:paraId="12D87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1185" w:type="dxa"/>
            <w:tcBorders>
              <w:tl2br w:val="nil"/>
              <w:tr2bl w:val="nil"/>
            </w:tcBorders>
            <w:shd w:val="clear" w:color="auto" w:fill="auto"/>
            <w:noWrap w:val="0"/>
            <w:vAlign w:val="center"/>
          </w:tcPr>
          <w:p w14:paraId="2879CEB0">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47</w:t>
            </w:r>
          </w:p>
        </w:tc>
        <w:tc>
          <w:tcPr>
            <w:tcW w:w="5566" w:type="dxa"/>
            <w:tcBorders>
              <w:tl2br w:val="nil"/>
              <w:tr2bl w:val="nil"/>
            </w:tcBorders>
            <w:noWrap w:val="0"/>
            <w:vAlign w:val="center"/>
          </w:tcPr>
          <w:p w14:paraId="3583D8F1">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荔浦市花篢镇江华小学</w:t>
            </w:r>
          </w:p>
        </w:tc>
        <w:tc>
          <w:tcPr>
            <w:tcW w:w="2729" w:type="dxa"/>
            <w:vMerge w:val="continue"/>
            <w:tcBorders>
              <w:tl2br w:val="nil"/>
              <w:tr2bl w:val="nil"/>
            </w:tcBorders>
            <w:noWrap w:val="0"/>
          </w:tcPr>
          <w:p w14:paraId="04921283">
            <w:pPr>
              <w:rPr>
                <w:rFonts w:hint="eastAsia" w:ascii="宋体" w:hAnsi="宋体" w:cs="宋体"/>
                <w:color w:val="000000" w:themeColor="text1"/>
                <w:szCs w:val="21"/>
                <w:highlight w:val="none"/>
                <w:lang w:eastAsia="zh-CN"/>
                <w14:textFill>
                  <w14:solidFill>
                    <w14:schemeClr w14:val="tx1"/>
                  </w14:solidFill>
                </w14:textFill>
              </w:rPr>
            </w:pPr>
          </w:p>
        </w:tc>
      </w:tr>
      <w:tr w14:paraId="2682D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6DDE68C7">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48</w:t>
            </w:r>
          </w:p>
        </w:tc>
        <w:tc>
          <w:tcPr>
            <w:tcW w:w="5566" w:type="dxa"/>
            <w:tcBorders>
              <w:tl2br w:val="nil"/>
              <w:tr2bl w:val="nil"/>
            </w:tcBorders>
            <w:noWrap w:val="0"/>
            <w:vAlign w:val="center"/>
          </w:tcPr>
          <w:p w14:paraId="324AC46F">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荔浦市花篢镇中心小学</w:t>
            </w:r>
          </w:p>
        </w:tc>
        <w:tc>
          <w:tcPr>
            <w:tcW w:w="2729" w:type="dxa"/>
            <w:vMerge w:val="continue"/>
            <w:tcBorders>
              <w:tl2br w:val="nil"/>
              <w:tr2bl w:val="nil"/>
            </w:tcBorders>
            <w:noWrap w:val="0"/>
          </w:tcPr>
          <w:p w14:paraId="07C1AFE3">
            <w:pPr>
              <w:rPr>
                <w:rFonts w:hint="eastAsia" w:ascii="宋体" w:hAnsi="宋体" w:cs="宋体"/>
                <w:color w:val="000000" w:themeColor="text1"/>
                <w:szCs w:val="21"/>
                <w:highlight w:val="none"/>
                <w:lang w:eastAsia="zh-CN"/>
                <w14:textFill>
                  <w14:solidFill>
                    <w14:schemeClr w14:val="tx1"/>
                  </w14:solidFill>
                </w14:textFill>
              </w:rPr>
            </w:pPr>
          </w:p>
        </w:tc>
      </w:tr>
      <w:tr w14:paraId="29776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185" w:type="dxa"/>
            <w:tcBorders>
              <w:tl2br w:val="nil"/>
              <w:tr2bl w:val="nil"/>
            </w:tcBorders>
            <w:shd w:val="clear" w:color="auto" w:fill="auto"/>
            <w:noWrap w:val="0"/>
            <w:vAlign w:val="center"/>
          </w:tcPr>
          <w:p w14:paraId="39A81CE0">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49</w:t>
            </w:r>
          </w:p>
        </w:tc>
        <w:tc>
          <w:tcPr>
            <w:tcW w:w="5566" w:type="dxa"/>
            <w:tcBorders>
              <w:tl2br w:val="nil"/>
              <w:tr2bl w:val="nil"/>
            </w:tcBorders>
            <w:noWrap w:val="0"/>
            <w:vAlign w:val="center"/>
          </w:tcPr>
          <w:p w14:paraId="0BA79046">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荔浦市花篢镇中心幼儿园</w:t>
            </w:r>
          </w:p>
        </w:tc>
        <w:tc>
          <w:tcPr>
            <w:tcW w:w="2729" w:type="dxa"/>
            <w:vMerge w:val="continue"/>
            <w:tcBorders>
              <w:tl2br w:val="nil"/>
              <w:tr2bl w:val="nil"/>
            </w:tcBorders>
            <w:noWrap w:val="0"/>
          </w:tcPr>
          <w:p w14:paraId="414D7328">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p>
        </w:tc>
      </w:tr>
      <w:tr w14:paraId="04F4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257B9003">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50</w:t>
            </w:r>
          </w:p>
        </w:tc>
        <w:tc>
          <w:tcPr>
            <w:tcW w:w="5566" w:type="dxa"/>
            <w:tcBorders>
              <w:tl2br w:val="nil"/>
              <w:tr2bl w:val="nil"/>
            </w:tcBorders>
            <w:noWrap w:val="0"/>
            <w:vAlign w:val="center"/>
          </w:tcPr>
          <w:p w14:paraId="16B5FE54">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荔浦市大塘镇富德小学</w:t>
            </w:r>
          </w:p>
        </w:tc>
        <w:tc>
          <w:tcPr>
            <w:tcW w:w="2729" w:type="dxa"/>
            <w:vMerge w:val="restart"/>
            <w:tcBorders>
              <w:tl2br w:val="nil"/>
              <w:tr2bl w:val="nil"/>
            </w:tcBorders>
            <w:noWrap w:val="0"/>
          </w:tcPr>
          <w:p w14:paraId="24F23341">
            <w:pPr>
              <w:spacing w:line="248" w:lineRule="auto"/>
              <w:rPr>
                <w:rFonts w:hint="eastAsia" w:ascii="宋体" w:hAnsi="宋体" w:cs="宋体"/>
                <w:color w:val="000000" w:themeColor="text1"/>
                <w:szCs w:val="21"/>
                <w:highlight w:val="none"/>
                <w:lang w:eastAsia="zh-CN"/>
                <w14:textFill>
                  <w14:solidFill>
                    <w14:schemeClr w14:val="tx1"/>
                  </w14:solidFill>
                </w14:textFill>
              </w:rPr>
            </w:pPr>
          </w:p>
          <w:p w14:paraId="25AB5DAB">
            <w:pPr>
              <w:spacing w:line="248" w:lineRule="auto"/>
              <w:rPr>
                <w:rFonts w:hint="eastAsia" w:ascii="宋体" w:hAnsi="宋体" w:cs="宋体"/>
                <w:color w:val="000000" w:themeColor="text1"/>
                <w:szCs w:val="21"/>
                <w:highlight w:val="none"/>
                <w:lang w:eastAsia="zh-CN"/>
                <w14:textFill>
                  <w14:solidFill>
                    <w14:schemeClr w14:val="tx1"/>
                  </w14:solidFill>
                </w14:textFill>
              </w:rPr>
            </w:pPr>
          </w:p>
          <w:p w14:paraId="706B1413">
            <w:pPr>
              <w:spacing w:line="249" w:lineRule="auto"/>
              <w:rPr>
                <w:rFonts w:hint="eastAsia" w:ascii="宋体" w:hAnsi="宋体" w:cs="宋体"/>
                <w:color w:val="000000" w:themeColor="text1"/>
                <w:szCs w:val="21"/>
                <w:highlight w:val="none"/>
                <w:lang w:eastAsia="zh-CN"/>
                <w14:textFill>
                  <w14:solidFill>
                    <w14:schemeClr w14:val="tx1"/>
                  </w14:solidFill>
                </w14:textFill>
              </w:rPr>
            </w:pPr>
          </w:p>
          <w:p w14:paraId="770E1643">
            <w:pPr>
              <w:spacing w:line="249" w:lineRule="auto"/>
              <w:rPr>
                <w:rFonts w:hint="eastAsia" w:ascii="宋体" w:hAnsi="宋体" w:cs="宋体"/>
                <w:color w:val="000000" w:themeColor="text1"/>
                <w:szCs w:val="21"/>
                <w:highlight w:val="none"/>
                <w:lang w:eastAsia="zh-CN"/>
                <w14:textFill>
                  <w14:solidFill>
                    <w14:schemeClr w14:val="tx1"/>
                  </w14:solidFill>
                </w14:textFill>
              </w:rPr>
            </w:pPr>
          </w:p>
          <w:p w14:paraId="7442329F">
            <w:pPr>
              <w:pStyle w:val="343"/>
              <w:spacing w:before="78" w:line="219" w:lineRule="auto"/>
              <w:ind w:left="1311"/>
              <w:rPr>
                <w:color w:val="000000" w:themeColor="text1"/>
                <w:sz w:val="21"/>
                <w:szCs w:val="21"/>
                <w:highlight w:val="none"/>
                <w14:textFill>
                  <w14:solidFill>
                    <w14:schemeClr w14:val="tx1"/>
                  </w14:solidFill>
                </w14:textFill>
              </w:rPr>
            </w:pPr>
            <w:r>
              <w:rPr>
                <w:color w:val="000000" w:themeColor="text1"/>
                <w:spacing w:val="-5"/>
                <w:sz w:val="21"/>
                <w:szCs w:val="21"/>
                <w:highlight w:val="none"/>
                <w14:textFill>
                  <w14:solidFill>
                    <w14:schemeClr w14:val="tx1"/>
                  </w14:solidFill>
                </w14:textFill>
              </w:rPr>
              <w:t>大塘镇</w:t>
            </w:r>
          </w:p>
        </w:tc>
      </w:tr>
      <w:tr w14:paraId="7E0A5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55FBCD49">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51</w:t>
            </w:r>
          </w:p>
        </w:tc>
        <w:tc>
          <w:tcPr>
            <w:tcW w:w="5566" w:type="dxa"/>
            <w:tcBorders>
              <w:tl2br w:val="nil"/>
              <w:tr2bl w:val="nil"/>
            </w:tcBorders>
            <w:noWrap w:val="0"/>
            <w:vAlign w:val="center"/>
          </w:tcPr>
          <w:p w14:paraId="629BA351">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荔浦市大塘镇兰洞小学</w:t>
            </w:r>
          </w:p>
        </w:tc>
        <w:tc>
          <w:tcPr>
            <w:tcW w:w="2729" w:type="dxa"/>
            <w:vMerge w:val="continue"/>
            <w:tcBorders>
              <w:tl2br w:val="nil"/>
              <w:tr2bl w:val="nil"/>
            </w:tcBorders>
            <w:noWrap w:val="0"/>
          </w:tcPr>
          <w:p w14:paraId="278726D1">
            <w:pPr>
              <w:rPr>
                <w:rFonts w:hint="eastAsia" w:ascii="宋体" w:hAnsi="宋体" w:cs="宋体"/>
                <w:color w:val="000000" w:themeColor="text1"/>
                <w:szCs w:val="21"/>
                <w:highlight w:val="none"/>
                <w:lang w:eastAsia="zh-CN"/>
                <w14:textFill>
                  <w14:solidFill>
                    <w14:schemeClr w14:val="tx1"/>
                  </w14:solidFill>
                </w14:textFill>
              </w:rPr>
            </w:pPr>
          </w:p>
        </w:tc>
      </w:tr>
      <w:tr w14:paraId="13713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65288774">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52</w:t>
            </w:r>
          </w:p>
        </w:tc>
        <w:tc>
          <w:tcPr>
            <w:tcW w:w="5566" w:type="dxa"/>
            <w:tcBorders>
              <w:tl2br w:val="nil"/>
              <w:tr2bl w:val="nil"/>
            </w:tcBorders>
            <w:noWrap w:val="0"/>
            <w:vAlign w:val="center"/>
          </w:tcPr>
          <w:p w14:paraId="1AE166CE">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荔浦市大塘镇盘村小学</w:t>
            </w:r>
          </w:p>
        </w:tc>
        <w:tc>
          <w:tcPr>
            <w:tcW w:w="2729" w:type="dxa"/>
            <w:vMerge w:val="continue"/>
            <w:tcBorders>
              <w:tl2br w:val="nil"/>
              <w:tr2bl w:val="nil"/>
            </w:tcBorders>
            <w:noWrap w:val="0"/>
          </w:tcPr>
          <w:p w14:paraId="74143C42">
            <w:pPr>
              <w:rPr>
                <w:rFonts w:hint="eastAsia" w:ascii="宋体" w:hAnsi="宋体" w:cs="宋体"/>
                <w:color w:val="000000" w:themeColor="text1"/>
                <w:szCs w:val="21"/>
                <w:highlight w:val="none"/>
                <w:lang w:eastAsia="zh-CN"/>
                <w14:textFill>
                  <w14:solidFill>
                    <w14:schemeClr w14:val="tx1"/>
                  </w14:solidFill>
                </w14:textFill>
              </w:rPr>
            </w:pPr>
          </w:p>
        </w:tc>
      </w:tr>
      <w:tr w14:paraId="4635E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047ADEA9">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53</w:t>
            </w:r>
          </w:p>
        </w:tc>
        <w:tc>
          <w:tcPr>
            <w:tcW w:w="5566" w:type="dxa"/>
            <w:tcBorders>
              <w:tl2br w:val="nil"/>
              <w:tr2bl w:val="nil"/>
            </w:tcBorders>
            <w:noWrap w:val="0"/>
            <w:vAlign w:val="center"/>
          </w:tcPr>
          <w:p w14:paraId="27FC7AA7">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荔浦市大塘镇庆华小学</w:t>
            </w:r>
          </w:p>
        </w:tc>
        <w:tc>
          <w:tcPr>
            <w:tcW w:w="2729" w:type="dxa"/>
            <w:vMerge w:val="continue"/>
            <w:tcBorders>
              <w:tl2br w:val="nil"/>
              <w:tr2bl w:val="nil"/>
            </w:tcBorders>
            <w:noWrap w:val="0"/>
          </w:tcPr>
          <w:p w14:paraId="72A68777">
            <w:pPr>
              <w:rPr>
                <w:rFonts w:hint="eastAsia" w:ascii="宋体" w:hAnsi="宋体" w:cs="宋体"/>
                <w:color w:val="000000" w:themeColor="text1"/>
                <w:szCs w:val="21"/>
                <w:highlight w:val="none"/>
                <w:lang w:eastAsia="zh-CN"/>
                <w14:textFill>
                  <w14:solidFill>
                    <w14:schemeClr w14:val="tx1"/>
                  </w14:solidFill>
                </w14:textFill>
              </w:rPr>
            </w:pPr>
          </w:p>
        </w:tc>
      </w:tr>
      <w:tr w14:paraId="7AF84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141471F1">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54</w:t>
            </w:r>
          </w:p>
        </w:tc>
        <w:tc>
          <w:tcPr>
            <w:tcW w:w="5566" w:type="dxa"/>
            <w:tcBorders>
              <w:tl2br w:val="nil"/>
              <w:tr2bl w:val="nil"/>
            </w:tcBorders>
            <w:noWrap w:val="0"/>
            <w:vAlign w:val="center"/>
          </w:tcPr>
          <w:p w14:paraId="44BF7C0F">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荔浦市大塘镇中心小学</w:t>
            </w:r>
          </w:p>
        </w:tc>
        <w:tc>
          <w:tcPr>
            <w:tcW w:w="2729" w:type="dxa"/>
            <w:vMerge w:val="continue"/>
            <w:tcBorders>
              <w:tl2br w:val="nil"/>
              <w:tr2bl w:val="nil"/>
            </w:tcBorders>
            <w:noWrap w:val="0"/>
          </w:tcPr>
          <w:p w14:paraId="15F65E65">
            <w:pPr>
              <w:rPr>
                <w:rFonts w:hint="eastAsia" w:ascii="宋体" w:hAnsi="宋体" w:cs="宋体"/>
                <w:color w:val="000000" w:themeColor="text1"/>
                <w:szCs w:val="21"/>
                <w:highlight w:val="none"/>
                <w:lang w:eastAsia="zh-CN"/>
                <w14:textFill>
                  <w14:solidFill>
                    <w14:schemeClr w14:val="tx1"/>
                  </w14:solidFill>
                </w14:textFill>
              </w:rPr>
            </w:pPr>
          </w:p>
        </w:tc>
      </w:tr>
      <w:tr w14:paraId="66F77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1185" w:type="dxa"/>
            <w:tcBorders>
              <w:tl2br w:val="nil"/>
              <w:tr2bl w:val="nil"/>
            </w:tcBorders>
            <w:shd w:val="clear" w:color="auto" w:fill="auto"/>
            <w:noWrap w:val="0"/>
            <w:vAlign w:val="center"/>
          </w:tcPr>
          <w:p w14:paraId="2FD1112E">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55</w:t>
            </w:r>
          </w:p>
        </w:tc>
        <w:tc>
          <w:tcPr>
            <w:tcW w:w="5566" w:type="dxa"/>
            <w:tcBorders>
              <w:tl2br w:val="nil"/>
              <w:tr2bl w:val="nil"/>
            </w:tcBorders>
            <w:noWrap w:val="0"/>
            <w:vAlign w:val="center"/>
          </w:tcPr>
          <w:p w14:paraId="424DB616">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荔浦市大塘镇中心幼儿园</w:t>
            </w:r>
          </w:p>
        </w:tc>
        <w:tc>
          <w:tcPr>
            <w:tcW w:w="2729" w:type="dxa"/>
            <w:vMerge w:val="continue"/>
            <w:tcBorders>
              <w:tl2br w:val="nil"/>
              <w:tr2bl w:val="nil"/>
            </w:tcBorders>
            <w:noWrap w:val="0"/>
          </w:tcPr>
          <w:p w14:paraId="4547048D">
            <w:pPr>
              <w:rPr>
                <w:rFonts w:hint="eastAsia" w:ascii="宋体" w:hAnsi="宋体" w:cs="宋体"/>
                <w:color w:val="000000" w:themeColor="text1"/>
                <w:szCs w:val="21"/>
                <w:highlight w:val="none"/>
                <w:lang w:eastAsia="zh-CN"/>
                <w14:textFill>
                  <w14:solidFill>
                    <w14:schemeClr w14:val="tx1"/>
                  </w14:solidFill>
                </w14:textFill>
              </w:rPr>
            </w:pPr>
          </w:p>
        </w:tc>
      </w:tr>
      <w:tr w14:paraId="26561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6C952747">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56</w:t>
            </w:r>
          </w:p>
        </w:tc>
        <w:tc>
          <w:tcPr>
            <w:tcW w:w="5566" w:type="dxa"/>
            <w:tcBorders>
              <w:tl2br w:val="nil"/>
              <w:tr2bl w:val="nil"/>
            </w:tcBorders>
            <w:noWrap w:val="0"/>
            <w:vAlign w:val="center"/>
          </w:tcPr>
          <w:p w14:paraId="4B50CF39">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荔浦市大塘镇初级中学</w:t>
            </w:r>
          </w:p>
        </w:tc>
        <w:tc>
          <w:tcPr>
            <w:tcW w:w="2729" w:type="dxa"/>
            <w:vMerge w:val="continue"/>
            <w:tcBorders>
              <w:tl2br w:val="nil"/>
              <w:tr2bl w:val="nil"/>
            </w:tcBorders>
            <w:noWrap w:val="0"/>
          </w:tcPr>
          <w:p w14:paraId="7FDD4F6D">
            <w:pPr>
              <w:rPr>
                <w:rFonts w:hint="eastAsia" w:ascii="宋体" w:hAnsi="宋体" w:cs="宋体"/>
                <w:color w:val="000000" w:themeColor="text1"/>
                <w:szCs w:val="21"/>
                <w:highlight w:val="none"/>
                <w:lang w:eastAsia="zh-CN"/>
                <w14:textFill>
                  <w14:solidFill>
                    <w14:schemeClr w14:val="tx1"/>
                  </w14:solidFill>
                </w14:textFill>
              </w:rPr>
            </w:pPr>
          </w:p>
        </w:tc>
      </w:tr>
      <w:tr w14:paraId="3F47F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3426AAB7">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57</w:t>
            </w:r>
          </w:p>
        </w:tc>
        <w:tc>
          <w:tcPr>
            <w:tcW w:w="5566" w:type="dxa"/>
            <w:tcBorders>
              <w:tl2br w:val="nil"/>
              <w:tr2bl w:val="nil"/>
            </w:tcBorders>
            <w:noWrap w:val="0"/>
            <w:vAlign w:val="center"/>
          </w:tcPr>
          <w:p w14:paraId="75663F32">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荔浦市杜莫镇龙珠小学</w:t>
            </w:r>
          </w:p>
        </w:tc>
        <w:tc>
          <w:tcPr>
            <w:tcW w:w="2729" w:type="dxa"/>
            <w:vMerge w:val="restart"/>
            <w:tcBorders>
              <w:tl2br w:val="nil"/>
              <w:tr2bl w:val="nil"/>
            </w:tcBorders>
            <w:noWrap w:val="0"/>
          </w:tcPr>
          <w:p w14:paraId="4B56AFD6">
            <w:pPr>
              <w:spacing w:line="246" w:lineRule="auto"/>
              <w:rPr>
                <w:rFonts w:hint="eastAsia" w:ascii="宋体" w:hAnsi="宋体" w:cs="宋体"/>
                <w:color w:val="000000" w:themeColor="text1"/>
                <w:szCs w:val="21"/>
                <w:highlight w:val="none"/>
                <w:lang w:eastAsia="zh-CN"/>
                <w14:textFill>
                  <w14:solidFill>
                    <w14:schemeClr w14:val="tx1"/>
                  </w14:solidFill>
                </w14:textFill>
              </w:rPr>
            </w:pPr>
          </w:p>
          <w:p w14:paraId="27A1EEFC">
            <w:pPr>
              <w:spacing w:line="246" w:lineRule="auto"/>
              <w:rPr>
                <w:rFonts w:hint="eastAsia" w:ascii="宋体" w:hAnsi="宋体" w:cs="宋体"/>
                <w:color w:val="000000" w:themeColor="text1"/>
                <w:szCs w:val="21"/>
                <w:highlight w:val="none"/>
                <w:lang w:eastAsia="zh-CN"/>
                <w14:textFill>
                  <w14:solidFill>
                    <w14:schemeClr w14:val="tx1"/>
                  </w14:solidFill>
                </w14:textFill>
              </w:rPr>
            </w:pPr>
          </w:p>
          <w:p w14:paraId="67688FEC">
            <w:pPr>
              <w:spacing w:line="247" w:lineRule="auto"/>
              <w:rPr>
                <w:rFonts w:hint="eastAsia" w:ascii="宋体" w:hAnsi="宋体" w:cs="宋体"/>
                <w:color w:val="000000" w:themeColor="text1"/>
                <w:szCs w:val="21"/>
                <w:highlight w:val="none"/>
                <w:lang w:eastAsia="zh-CN"/>
                <w14:textFill>
                  <w14:solidFill>
                    <w14:schemeClr w14:val="tx1"/>
                  </w14:solidFill>
                </w14:textFill>
              </w:rPr>
            </w:pPr>
          </w:p>
          <w:p w14:paraId="2D1D652F">
            <w:pPr>
              <w:pStyle w:val="343"/>
              <w:spacing w:before="78" w:line="219" w:lineRule="auto"/>
              <w:ind w:left="1309"/>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杜莫镇</w:t>
            </w:r>
          </w:p>
        </w:tc>
      </w:tr>
      <w:tr w14:paraId="25C1D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6C609C02">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58</w:t>
            </w:r>
          </w:p>
        </w:tc>
        <w:tc>
          <w:tcPr>
            <w:tcW w:w="5566" w:type="dxa"/>
            <w:tcBorders>
              <w:tl2br w:val="nil"/>
              <w:tr2bl w:val="nil"/>
            </w:tcBorders>
            <w:noWrap w:val="0"/>
            <w:vAlign w:val="center"/>
          </w:tcPr>
          <w:p w14:paraId="2071CA84">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荔浦市杜莫镇寨村小学</w:t>
            </w:r>
          </w:p>
        </w:tc>
        <w:tc>
          <w:tcPr>
            <w:tcW w:w="2729" w:type="dxa"/>
            <w:vMerge w:val="continue"/>
            <w:tcBorders>
              <w:tl2br w:val="nil"/>
              <w:tr2bl w:val="nil"/>
            </w:tcBorders>
            <w:noWrap w:val="0"/>
          </w:tcPr>
          <w:p w14:paraId="1BF0DE6E">
            <w:pPr>
              <w:rPr>
                <w:rFonts w:hint="eastAsia" w:ascii="宋体" w:hAnsi="宋体" w:cs="宋体"/>
                <w:color w:val="000000" w:themeColor="text1"/>
                <w:szCs w:val="21"/>
                <w:highlight w:val="none"/>
                <w:lang w:eastAsia="zh-CN"/>
                <w14:textFill>
                  <w14:solidFill>
                    <w14:schemeClr w14:val="tx1"/>
                  </w14:solidFill>
                </w14:textFill>
              </w:rPr>
            </w:pPr>
          </w:p>
        </w:tc>
      </w:tr>
      <w:tr w14:paraId="62A6C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2707E57C">
            <w:pPr>
              <w:keepNext w:val="0"/>
              <w:keepLines w:val="0"/>
              <w:widowControl/>
              <w:suppressLineNumbers w:val="0"/>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59</w:t>
            </w:r>
          </w:p>
        </w:tc>
        <w:tc>
          <w:tcPr>
            <w:tcW w:w="5566" w:type="dxa"/>
            <w:tcBorders>
              <w:tl2br w:val="nil"/>
              <w:tr2bl w:val="nil"/>
            </w:tcBorders>
            <w:noWrap w:val="0"/>
            <w:vAlign w:val="center"/>
          </w:tcPr>
          <w:p w14:paraId="18C42CC2">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荔浦市杜莫镇张村小学</w:t>
            </w:r>
          </w:p>
        </w:tc>
        <w:tc>
          <w:tcPr>
            <w:tcW w:w="2729" w:type="dxa"/>
            <w:vMerge w:val="continue"/>
            <w:tcBorders>
              <w:tl2br w:val="nil"/>
              <w:tr2bl w:val="nil"/>
            </w:tcBorders>
            <w:noWrap w:val="0"/>
          </w:tcPr>
          <w:p w14:paraId="79AF1D79">
            <w:pPr>
              <w:rPr>
                <w:rFonts w:hint="eastAsia" w:ascii="宋体" w:hAnsi="宋体" w:cs="宋体"/>
                <w:color w:val="000000" w:themeColor="text1"/>
                <w:szCs w:val="21"/>
                <w:highlight w:val="none"/>
                <w:lang w:eastAsia="zh-CN"/>
                <w14:textFill>
                  <w14:solidFill>
                    <w14:schemeClr w14:val="tx1"/>
                  </w14:solidFill>
                </w14:textFill>
              </w:rPr>
            </w:pPr>
          </w:p>
        </w:tc>
      </w:tr>
      <w:tr w14:paraId="08BF5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10200BB8">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60</w:t>
            </w:r>
          </w:p>
        </w:tc>
        <w:tc>
          <w:tcPr>
            <w:tcW w:w="5566" w:type="dxa"/>
            <w:tcBorders>
              <w:tl2br w:val="nil"/>
              <w:tr2bl w:val="nil"/>
            </w:tcBorders>
            <w:noWrap w:val="0"/>
            <w:vAlign w:val="center"/>
          </w:tcPr>
          <w:p w14:paraId="469B3C11">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荔浦市杜莫镇杜莫中心小学</w:t>
            </w:r>
          </w:p>
        </w:tc>
        <w:tc>
          <w:tcPr>
            <w:tcW w:w="2729" w:type="dxa"/>
            <w:vMerge w:val="continue"/>
            <w:tcBorders>
              <w:tl2br w:val="nil"/>
              <w:tr2bl w:val="nil"/>
            </w:tcBorders>
            <w:noWrap w:val="0"/>
          </w:tcPr>
          <w:p w14:paraId="7179D6AA">
            <w:pPr>
              <w:rPr>
                <w:rFonts w:hint="eastAsia" w:ascii="宋体" w:hAnsi="宋体" w:cs="宋体"/>
                <w:color w:val="000000" w:themeColor="text1"/>
                <w:szCs w:val="21"/>
                <w:highlight w:val="none"/>
                <w:lang w:eastAsia="zh-CN"/>
                <w14:textFill>
                  <w14:solidFill>
                    <w14:schemeClr w14:val="tx1"/>
                  </w14:solidFill>
                </w14:textFill>
              </w:rPr>
            </w:pPr>
          </w:p>
        </w:tc>
      </w:tr>
      <w:tr w14:paraId="5A879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5FFA7537">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61</w:t>
            </w:r>
          </w:p>
        </w:tc>
        <w:tc>
          <w:tcPr>
            <w:tcW w:w="5566" w:type="dxa"/>
            <w:tcBorders>
              <w:tl2br w:val="nil"/>
              <w:tr2bl w:val="nil"/>
            </w:tcBorders>
            <w:noWrap w:val="0"/>
            <w:vAlign w:val="center"/>
          </w:tcPr>
          <w:p w14:paraId="013C2607">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荔浦市杜莫镇中心幼儿园</w:t>
            </w:r>
          </w:p>
        </w:tc>
        <w:tc>
          <w:tcPr>
            <w:tcW w:w="2729" w:type="dxa"/>
            <w:vMerge w:val="continue"/>
            <w:tcBorders>
              <w:tl2br w:val="nil"/>
              <w:tr2bl w:val="nil"/>
            </w:tcBorders>
            <w:noWrap w:val="0"/>
          </w:tcPr>
          <w:p w14:paraId="4B895048">
            <w:pPr>
              <w:rPr>
                <w:rFonts w:hint="eastAsia" w:ascii="宋体" w:hAnsi="宋体" w:cs="宋体"/>
                <w:color w:val="000000" w:themeColor="text1"/>
                <w:szCs w:val="21"/>
                <w:highlight w:val="none"/>
                <w:lang w:eastAsia="zh-CN"/>
                <w14:textFill>
                  <w14:solidFill>
                    <w14:schemeClr w14:val="tx1"/>
                  </w14:solidFill>
                </w14:textFill>
              </w:rPr>
            </w:pPr>
          </w:p>
        </w:tc>
      </w:tr>
      <w:tr w14:paraId="12DF1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60F98EB6">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62</w:t>
            </w:r>
          </w:p>
        </w:tc>
        <w:tc>
          <w:tcPr>
            <w:tcW w:w="5566" w:type="dxa"/>
            <w:tcBorders>
              <w:tl2br w:val="nil"/>
              <w:tr2bl w:val="nil"/>
            </w:tcBorders>
            <w:noWrap w:val="0"/>
            <w:vAlign w:val="center"/>
          </w:tcPr>
          <w:p w14:paraId="5028DB5A">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荔浦市杜莫镇初级中学</w:t>
            </w:r>
          </w:p>
        </w:tc>
        <w:tc>
          <w:tcPr>
            <w:tcW w:w="2729" w:type="dxa"/>
            <w:vMerge w:val="continue"/>
            <w:tcBorders>
              <w:tl2br w:val="nil"/>
              <w:tr2bl w:val="nil"/>
            </w:tcBorders>
            <w:noWrap w:val="0"/>
          </w:tcPr>
          <w:p w14:paraId="7084407A">
            <w:pPr>
              <w:rPr>
                <w:rFonts w:hint="eastAsia" w:ascii="宋体" w:hAnsi="宋体" w:cs="宋体"/>
                <w:color w:val="000000" w:themeColor="text1"/>
                <w:szCs w:val="21"/>
                <w:highlight w:val="none"/>
                <w:lang w:eastAsia="zh-CN"/>
                <w14:textFill>
                  <w14:solidFill>
                    <w14:schemeClr w14:val="tx1"/>
                  </w14:solidFill>
                </w14:textFill>
              </w:rPr>
            </w:pPr>
          </w:p>
        </w:tc>
      </w:tr>
      <w:tr w14:paraId="3825F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444792B8">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63</w:t>
            </w:r>
          </w:p>
        </w:tc>
        <w:tc>
          <w:tcPr>
            <w:tcW w:w="5566" w:type="dxa"/>
            <w:tcBorders>
              <w:tl2br w:val="nil"/>
              <w:tr2bl w:val="nil"/>
            </w:tcBorders>
            <w:noWrap w:val="0"/>
            <w:vAlign w:val="center"/>
          </w:tcPr>
          <w:p w14:paraId="71A34DCD">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荔浦市修仁镇福旺教学点</w:t>
            </w:r>
          </w:p>
        </w:tc>
        <w:tc>
          <w:tcPr>
            <w:tcW w:w="2729" w:type="dxa"/>
            <w:vMerge w:val="restart"/>
            <w:tcBorders>
              <w:tl2br w:val="nil"/>
              <w:tr2bl w:val="nil"/>
            </w:tcBorders>
            <w:noWrap w:val="0"/>
          </w:tcPr>
          <w:p w14:paraId="39A1F882">
            <w:pPr>
              <w:rPr>
                <w:rFonts w:hint="eastAsia" w:ascii="宋体" w:hAnsi="宋体" w:cs="宋体"/>
                <w:color w:val="000000" w:themeColor="text1"/>
                <w:szCs w:val="21"/>
                <w:highlight w:val="none"/>
                <w:lang w:eastAsia="zh-CN"/>
                <w14:textFill>
                  <w14:solidFill>
                    <w14:schemeClr w14:val="tx1"/>
                  </w14:solidFill>
                </w14:textFill>
              </w:rPr>
            </w:pPr>
          </w:p>
          <w:p w14:paraId="28661A1B">
            <w:pPr>
              <w:bidi w:val="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p w14:paraId="7482F60B">
            <w:pPr>
              <w:bidi w:val="0"/>
              <w:rPr>
                <w:rFonts w:hint="eastAsia" w:ascii="宋体" w:hAnsi="宋体" w:cs="宋体"/>
                <w:color w:val="000000" w:themeColor="text1"/>
                <w:szCs w:val="21"/>
                <w:highlight w:val="none"/>
                <w:lang w:val="en-US" w:eastAsia="zh-CN"/>
                <w14:textFill>
                  <w14:solidFill>
                    <w14:schemeClr w14:val="tx1"/>
                  </w14:solidFill>
                </w14:textFill>
              </w:rPr>
            </w:pPr>
          </w:p>
          <w:p w14:paraId="708152C4">
            <w:pPr>
              <w:bidi w:val="0"/>
              <w:rPr>
                <w:rFonts w:hint="eastAsia" w:ascii="宋体" w:hAnsi="宋体" w:cs="宋体"/>
                <w:color w:val="000000" w:themeColor="text1"/>
                <w:szCs w:val="21"/>
                <w:highlight w:val="none"/>
                <w:lang w:val="en-US" w:eastAsia="zh-CN"/>
                <w14:textFill>
                  <w14:solidFill>
                    <w14:schemeClr w14:val="tx1"/>
                  </w14:solidFill>
                </w14:textFill>
              </w:rPr>
            </w:pPr>
          </w:p>
          <w:p w14:paraId="043E3BF7">
            <w:pPr>
              <w:bidi w:val="0"/>
              <w:rPr>
                <w:rFonts w:hint="eastAsia" w:ascii="宋体" w:hAnsi="宋体" w:cs="宋体"/>
                <w:color w:val="000000" w:themeColor="text1"/>
                <w:szCs w:val="21"/>
                <w:highlight w:val="none"/>
                <w:lang w:val="en-US" w:eastAsia="zh-CN"/>
                <w14:textFill>
                  <w14:solidFill>
                    <w14:schemeClr w14:val="tx1"/>
                  </w14:solidFill>
                </w14:textFill>
              </w:rPr>
            </w:pPr>
          </w:p>
          <w:p w14:paraId="0511BD70">
            <w:pPr>
              <w:bidi w:val="0"/>
              <w:rPr>
                <w:rFonts w:hint="eastAsia" w:ascii="宋体" w:hAnsi="宋体" w:cs="宋体"/>
                <w:color w:val="000000" w:themeColor="text1"/>
                <w:szCs w:val="21"/>
                <w:highlight w:val="none"/>
                <w:lang w:val="en-US" w:eastAsia="zh-CN"/>
                <w14:textFill>
                  <w14:solidFill>
                    <w14:schemeClr w14:val="tx1"/>
                  </w14:solidFill>
                </w14:textFill>
              </w:rPr>
            </w:pPr>
          </w:p>
          <w:p w14:paraId="3F4FFE12">
            <w:pPr>
              <w:bidi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ascii="宋体" w:hAnsi="宋体" w:eastAsia="宋体" w:cs="宋体"/>
                <w:color w:val="000000" w:themeColor="text1"/>
                <w:spacing w:val="-4"/>
                <w:sz w:val="21"/>
                <w:szCs w:val="21"/>
                <w:highlight w:val="none"/>
                <w:lang w:val="en-US" w:eastAsia="en-US" w:bidi="ar-SA"/>
                <w14:textFill>
                  <w14:solidFill>
                    <w14:schemeClr w14:val="tx1"/>
                  </w14:solidFill>
                </w14:textFill>
              </w:rPr>
              <w:t>修仁镇</w:t>
            </w:r>
          </w:p>
        </w:tc>
      </w:tr>
      <w:tr w14:paraId="46C1A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5F528A32">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64</w:t>
            </w:r>
          </w:p>
        </w:tc>
        <w:tc>
          <w:tcPr>
            <w:tcW w:w="5566" w:type="dxa"/>
            <w:tcBorders>
              <w:tl2br w:val="nil"/>
              <w:tr2bl w:val="nil"/>
            </w:tcBorders>
            <w:noWrap w:val="0"/>
            <w:vAlign w:val="center"/>
          </w:tcPr>
          <w:p w14:paraId="1D146695">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荔浦市修仁镇横水小学</w:t>
            </w:r>
          </w:p>
        </w:tc>
        <w:tc>
          <w:tcPr>
            <w:tcW w:w="2729" w:type="dxa"/>
            <w:vMerge w:val="continue"/>
            <w:tcBorders>
              <w:tl2br w:val="nil"/>
              <w:tr2bl w:val="nil"/>
            </w:tcBorders>
            <w:noWrap w:val="0"/>
          </w:tcPr>
          <w:p w14:paraId="73AFBAAA">
            <w:pPr>
              <w:rPr>
                <w:rFonts w:hint="eastAsia" w:ascii="宋体" w:hAnsi="宋体" w:cs="宋体"/>
                <w:color w:val="000000" w:themeColor="text1"/>
                <w:szCs w:val="21"/>
                <w:highlight w:val="none"/>
                <w:lang w:eastAsia="zh-CN"/>
                <w14:textFill>
                  <w14:solidFill>
                    <w14:schemeClr w14:val="tx1"/>
                  </w14:solidFill>
                </w14:textFill>
              </w:rPr>
            </w:pPr>
          </w:p>
        </w:tc>
      </w:tr>
      <w:tr w14:paraId="46544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104416BA">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65</w:t>
            </w:r>
          </w:p>
        </w:tc>
        <w:tc>
          <w:tcPr>
            <w:tcW w:w="5566" w:type="dxa"/>
            <w:tcBorders>
              <w:tl2br w:val="nil"/>
              <w:tr2bl w:val="nil"/>
            </w:tcBorders>
            <w:noWrap w:val="0"/>
            <w:vAlign w:val="center"/>
          </w:tcPr>
          <w:p w14:paraId="099BADEF">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荔浦市修仁镇大榕小学</w:t>
            </w:r>
          </w:p>
        </w:tc>
        <w:tc>
          <w:tcPr>
            <w:tcW w:w="2729" w:type="dxa"/>
            <w:vMerge w:val="continue"/>
            <w:tcBorders>
              <w:tl2br w:val="nil"/>
              <w:tr2bl w:val="nil"/>
            </w:tcBorders>
            <w:noWrap w:val="0"/>
          </w:tcPr>
          <w:p w14:paraId="3A018130">
            <w:pPr>
              <w:rPr>
                <w:rFonts w:hint="eastAsia" w:ascii="宋体" w:hAnsi="宋体" w:cs="宋体"/>
                <w:color w:val="000000" w:themeColor="text1"/>
                <w:szCs w:val="21"/>
                <w:highlight w:val="none"/>
                <w:lang w:eastAsia="zh-CN"/>
                <w14:textFill>
                  <w14:solidFill>
                    <w14:schemeClr w14:val="tx1"/>
                  </w14:solidFill>
                </w14:textFill>
              </w:rPr>
            </w:pPr>
          </w:p>
        </w:tc>
      </w:tr>
      <w:tr w14:paraId="13196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4361D702">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66</w:t>
            </w:r>
          </w:p>
        </w:tc>
        <w:tc>
          <w:tcPr>
            <w:tcW w:w="5566" w:type="dxa"/>
            <w:tcBorders>
              <w:tl2br w:val="nil"/>
              <w:tr2bl w:val="nil"/>
            </w:tcBorders>
            <w:noWrap w:val="0"/>
            <w:vAlign w:val="center"/>
          </w:tcPr>
          <w:p w14:paraId="0BAB24F6">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荔浦市修仁镇平村小学</w:t>
            </w:r>
          </w:p>
        </w:tc>
        <w:tc>
          <w:tcPr>
            <w:tcW w:w="2729" w:type="dxa"/>
            <w:vMerge w:val="continue"/>
            <w:tcBorders>
              <w:tl2br w:val="nil"/>
              <w:tr2bl w:val="nil"/>
            </w:tcBorders>
            <w:noWrap w:val="0"/>
          </w:tcPr>
          <w:p w14:paraId="554587FD">
            <w:pPr>
              <w:rPr>
                <w:rFonts w:hint="eastAsia" w:ascii="宋体" w:hAnsi="宋体" w:cs="宋体"/>
                <w:color w:val="000000" w:themeColor="text1"/>
                <w:szCs w:val="21"/>
                <w:highlight w:val="none"/>
                <w:lang w:eastAsia="zh-CN"/>
                <w14:textFill>
                  <w14:solidFill>
                    <w14:schemeClr w14:val="tx1"/>
                  </w14:solidFill>
                </w14:textFill>
              </w:rPr>
            </w:pPr>
          </w:p>
        </w:tc>
      </w:tr>
      <w:tr w14:paraId="3852F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4EB135B5">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67</w:t>
            </w:r>
          </w:p>
        </w:tc>
        <w:tc>
          <w:tcPr>
            <w:tcW w:w="5566" w:type="dxa"/>
            <w:tcBorders>
              <w:tl2br w:val="nil"/>
              <w:tr2bl w:val="nil"/>
            </w:tcBorders>
            <w:noWrap w:val="0"/>
            <w:vAlign w:val="center"/>
          </w:tcPr>
          <w:p w14:paraId="55169DAD">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荔浦市修仁镇四育小学</w:t>
            </w:r>
          </w:p>
        </w:tc>
        <w:tc>
          <w:tcPr>
            <w:tcW w:w="2729" w:type="dxa"/>
            <w:vMerge w:val="continue"/>
            <w:tcBorders>
              <w:tl2br w:val="nil"/>
              <w:tr2bl w:val="nil"/>
            </w:tcBorders>
            <w:noWrap w:val="0"/>
          </w:tcPr>
          <w:p w14:paraId="3313607E">
            <w:pPr>
              <w:rPr>
                <w:rFonts w:hint="eastAsia" w:ascii="宋体" w:hAnsi="宋体" w:cs="宋体"/>
                <w:color w:val="000000" w:themeColor="text1"/>
                <w:szCs w:val="21"/>
                <w:highlight w:val="none"/>
                <w:lang w:eastAsia="zh-CN"/>
                <w14:textFill>
                  <w14:solidFill>
                    <w14:schemeClr w14:val="tx1"/>
                  </w14:solidFill>
                </w14:textFill>
              </w:rPr>
            </w:pPr>
          </w:p>
        </w:tc>
      </w:tr>
      <w:tr w14:paraId="4038A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70A1E260">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68</w:t>
            </w:r>
          </w:p>
        </w:tc>
        <w:tc>
          <w:tcPr>
            <w:tcW w:w="5566" w:type="dxa"/>
            <w:tcBorders>
              <w:tl2br w:val="nil"/>
              <w:tr2bl w:val="nil"/>
            </w:tcBorders>
            <w:noWrap w:val="0"/>
            <w:vAlign w:val="center"/>
          </w:tcPr>
          <w:p w14:paraId="649309BF">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荔浦市修仁镇木山小学</w:t>
            </w:r>
          </w:p>
        </w:tc>
        <w:tc>
          <w:tcPr>
            <w:tcW w:w="2729" w:type="dxa"/>
            <w:vMerge w:val="continue"/>
            <w:tcBorders>
              <w:tl2br w:val="nil"/>
              <w:tr2bl w:val="nil"/>
            </w:tcBorders>
            <w:noWrap w:val="0"/>
          </w:tcPr>
          <w:p w14:paraId="174D1E34">
            <w:pPr>
              <w:rPr>
                <w:rFonts w:hint="eastAsia" w:ascii="宋体" w:hAnsi="宋体" w:cs="宋体"/>
                <w:color w:val="000000" w:themeColor="text1"/>
                <w:szCs w:val="21"/>
                <w:highlight w:val="none"/>
                <w:lang w:eastAsia="zh-CN"/>
                <w14:textFill>
                  <w14:solidFill>
                    <w14:schemeClr w14:val="tx1"/>
                  </w14:solidFill>
                </w14:textFill>
              </w:rPr>
            </w:pPr>
          </w:p>
        </w:tc>
      </w:tr>
      <w:tr w14:paraId="67B0E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34316B97">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69</w:t>
            </w:r>
          </w:p>
        </w:tc>
        <w:tc>
          <w:tcPr>
            <w:tcW w:w="5566" w:type="dxa"/>
            <w:tcBorders>
              <w:tl2br w:val="nil"/>
              <w:tr2bl w:val="nil"/>
            </w:tcBorders>
            <w:noWrap w:val="0"/>
            <w:vAlign w:val="center"/>
          </w:tcPr>
          <w:p w14:paraId="0472DB85">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荔浦市修仁镇念村小学</w:t>
            </w:r>
          </w:p>
        </w:tc>
        <w:tc>
          <w:tcPr>
            <w:tcW w:w="2729" w:type="dxa"/>
            <w:vMerge w:val="continue"/>
            <w:tcBorders>
              <w:tl2br w:val="nil"/>
              <w:tr2bl w:val="nil"/>
            </w:tcBorders>
            <w:noWrap w:val="0"/>
          </w:tcPr>
          <w:p w14:paraId="4DEE4FC4">
            <w:pPr>
              <w:rPr>
                <w:rFonts w:hint="eastAsia" w:ascii="宋体" w:hAnsi="宋体" w:cs="宋体"/>
                <w:color w:val="000000" w:themeColor="text1"/>
                <w:szCs w:val="21"/>
                <w:highlight w:val="none"/>
                <w:lang w:eastAsia="zh-CN"/>
                <w14:textFill>
                  <w14:solidFill>
                    <w14:schemeClr w14:val="tx1"/>
                  </w14:solidFill>
                </w14:textFill>
              </w:rPr>
            </w:pPr>
          </w:p>
        </w:tc>
      </w:tr>
      <w:tr w14:paraId="3006F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56EE3F9F">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70</w:t>
            </w:r>
          </w:p>
        </w:tc>
        <w:tc>
          <w:tcPr>
            <w:tcW w:w="5566" w:type="dxa"/>
            <w:tcBorders>
              <w:tl2br w:val="nil"/>
              <w:tr2bl w:val="nil"/>
            </w:tcBorders>
            <w:noWrap w:val="0"/>
            <w:vAlign w:val="center"/>
          </w:tcPr>
          <w:p w14:paraId="1F1777D3">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荔浦市修仁镇三诰小学</w:t>
            </w:r>
          </w:p>
        </w:tc>
        <w:tc>
          <w:tcPr>
            <w:tcW w:w="2729" w:type="dxa"/>
            <w:vMerge w:val="continue"/>
            <w:tcBorders>
              <w:tl2br w:val="nil"/>
              <w:tr2bl w:val="nil"/>
            </w:tcBorders>
            <w:noWrap w:val="0"/>
          </w:tcPr>
          <w:p w14:paraId="6C8F7761">
            <w:pPr>
              <w:rPr>
                <w:rFonts w:hint="eastAsia" w:ascii="宋体" w:hAnsi="宋体" w:cs="宋体"/>
                <w:color w:val="000000" w:themeColor="text1"/>
                <w:szCs w:val="21"/>
                <w:highlight w:val="none"/>
                <w:lang w:eastAsia="zh-CN"/>
                <w14:textFill>
                  <w14:solidFill>
                    <w14:schemeClr w14:val="tx1"/>
                  </w14:solidFill>
                </w14:textFill>
              </w:rPr>
            </w:pPr>
          </w:p>
        </w:tc>
      </w:tr>
      <w:tr w14:paraId="4E31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753419D6">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71</w:t>
            </w:r>
          </w:p>
        </w:tc>
        <w:tc>
          <w:tcPr>
            <w:tcW w:w="5566" w:type="dxa"/>
            <w:tcBorders>
              <w:tl2br w:val="nil"/>
              <w:tr2bl w:val="nil"/>
            </w:tcBorders>
            <w:noWrap w:val="0"/>
            <w:vAlign w:val="center"/>
          </w:tcPr>
          <w:p w14:paraId="4133843A">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荔浦市修仁镇中心小学</w:t>
            </w:r>
          </w:p>
        </w:tc>
        <w:tc>
          <w:tcPr>
            <w:tcW w:w="2729" w:type="dxa"/>
            <w:vMerge w:val="continue"/>
            <w:tcBorders>
              <w:tl2br w:val="nil"/>
              <w:tr2bl w:val="nil"/>
            </w:tcBorders>
            <w:noWrap w:val="0"/>
          </w:tcPr>
          <w:p w14:paraId="74BD5B38">
            <w:pPr>
              <w:rPr>
                <w:rFonts w:hint="eastAsia" w:ascii="宋体" w:hAnsi="宋体" w:cs="宋体"/>
                <w:color w:val="000000" w:themeColor="text1"/>
                <w:szCs w:val="21"/>
                <w:highlight w:val="none"/>
                <w:lang w:eastAsia="zh-CN"/>
                <w14:textFill>
                  <w14:solidFill>
                    <w14:schemeClr w14:val="tx1"/>
                  </w14:solidFill>
                </w14:textFill>
              </w:rPr>
            </w:pPr>
          </w:p>
        </w:tc>
      </w:tr>
      <w:tr w14:paraId="1D27E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34627CD2">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72</w:t>
            </w:r>
          </w:p>
        </w:tc>
        <w:tc>
          <w:tcPr>
            <w:tcW w:w="5566" w:type="dxa"/>
            <w:tcBorders>
              <w:tl2br w:val="nil"/>
              <w:tr2bl w:val="nil"/>
            </w:tcBorders>
            <w:noWrap w:val="0"/>
            <w:vAlign w:val="center"/>
          </w:tcPr>
          <w:p w14:paraId="697776A7">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荔浦市修仁镇平村教学点</w:t>
            </w:r>
          </w:p>
        </w:tc>
        <w:tc>
          <w:tcPr>
            <w:tcW w:w="2729" w:type="dxa"/>
            <w:vMerge w:val="continue"/>
            <w:tcBorders>
              <w:tl2br w:val="nil"/>
              <w:tr2bl w:val="nil"/>
            </w:tcBorders>
            <w:noWrap w:val="0"/>
          </w:tcPr>
          <w:p w14:paraId="188AEADA">
            <w:pPr>
              <w:rPr>
                <w:rFonts w:hint="eastAsia" w:ascii="宋体" w:hAnsi="宋体" w:cs="宋体"/>
                <w:color w:val="000000" w:themeColor="text1"/>
                <w:szCs w:val="21"/>
                <w:highlight w:val="none"/>
                <w:lang w:eastAsia="zh-CN"/>
                <w14:textFill>
                  <w14:solidFill>
                    <w14:schemeClr w14:val="tx1"/>
                  </w14:solidFill>
                </w14:textFill>
              </w:rPr>
            </w:pPr>
          </w:p>
        </w:tc>
      </w:tr>
      <w:tr w14:paraId="22D69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78D9FFB4">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73</w:t>
            </w:r>
          </w:p>
        </w:tc>
        <w:tc>
          <w:tcPr>
            <w:tcW w:w="5566" w:type="dxa"/>
            <w:tcBorders>
              <w:tl2br w:val="nil"/>
              <w:tr2bl w:val="nil"/>
            </w:tcBorders>
            <w:noWrap w:val="0"/>
            <w:vAlign w:val="center"/>
          </w:tcPr>
          <w:p w14:paraId="63FBB8C0">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荔浦市修仁镇中心幼儿园</w:t>
            </w:r>
          </w:p>
        </w:tc>
        <w:tc>
          <w:tcPr>
            <w:tcW w:w="2729" w:type="dxa"/>
            <w:vMerge w:val="continue"/>
            <w:tcBorders>
              <w:tl2br w:val="nil"/>
              <w:tr2bl w:val="nil"/>
            </w:tcBorders>
            <w:noWrap w:val="0"/>
          </w:tcPr>
          <w:p w14:paraId="40DB8333">
            <w:pPr>
              <w:rPr>
                <w:rFonts w:hint="eastAsia" w:ascii="宋体" w:hAnsi="宋体" w:cs="宋体"/>
                <w:color w:val="000000" w:themeColor="text1"/>
                <w:szCs w:val="21"/>
                <w:highlight w:val="none"/>
                <w:lang w:eastAsia="zh-CN"/>
                <w14:textFill>
                  <w14:solidFill>
                    <w14:schemeClr w14:val="tx1"/>
                  </w14:solidFill>
                </w14:textFill>
              </w:rPr>
            </w:pPr>
          </w:p>
        </w:tc>
      </w:tr>
      <w:tr w14:paraId="2FB70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7F6BF194">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74</w:t>
            </w:r>
          </w:p>
        </w:tc>
        <w:tc>
          <w:tcPr>
            <w:tcW w:w="5566" w:type="dxa"/>
            <w:tcBorders>
              <w:tl2br w:val="nil"/>
              <w:tr2bl w:val="nil"/>
            </w:tcBorders>
            <w:noWrap w:val="0"/>
            <w:vAlign w:val="center"/>
          </w:tcPr>
          <w:p w14:paraId="049E1629">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荔浦市修仁镇木山村幼儿园</w:t>
            </w:r>
          </w:p>
        </w:tc>
        <w:tc>
          <w:tcPr>
            <w:tcW w:w="2729" w:type="dxa"/>
            <w:vMerge w:val="continue"/>
            <w:tcBorders>
              <w:tl2br w:val="nil"/>
              <w:tr2bl w:val="nil"/>
            </w:tcBorders>
            <w:noWrap w:val="0"/>
          </w:tcPr>
          <w:p w14:paraId="3D0ED1A2">
            <w:pPr>
              <w:rPr>
                <w:rFonts w:hint="eastAsia" w:ascii="宋体" w:hAnsi="宋体" w:cs="宋体"/>
                <w:color w:val="000000" w:themeColor="text1"/>
                <w:szCs w:val="21"/>
                <w:highlight w:val="none"/>
                <w:lang w:eastAsia="zh-CN"/>
                <w14:textFill>
                  <w14:solidFill>
                    <w14:schemeClr w14:val="tx1"/>
                  </w14:solidFill>
                </w14:textFill>
              </w:rPr>
            </w:pPr>
          </w:p>
        </w:tc>
      </w:tr>
      <w:tr w14:paraId="17C5C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4F20BEFF">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75</w:t>
            </w:r>
          </w:p>
        </w:tc>
        <w:tc>
          <w:tcPr>
            <w:tcW w:w="5566" w:type="dxa"/>
            <w:tcBorders>
              <w:tl2br w:val="nil"/>
              <w:tr2bl w:val="nil"/>
            </w:tcBorders>
            <w:noWrap w:val="0"/>
            <w:vAlign w:val="center"/>
          </w:tcPr>
          <w:p w14:paraId="32B7EF64">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荔浦市修仁镇三诰村幼儿园</w:t>
            </w:r>
          </w:p>
        </w:tc>
        <w:tc>
          <w:tcPr>
            <w:tcW w:w="2729" w:type="dxa"/>
            <w:vMerge w:val="continue"/>
            <w:tcBorders>
              <w:tl2br w:val="nil"/>
              <w:tr2bl w:val="nil"/>
            </w:tcBorders>
            <w:noWrap w:val="0"/>
          </w:tcPr>
          <w:p w14:paraId="5E9F6961">
            <w:pPr>
              <w:rPr>
                <w:rFonts w:hint="eastAsia" w:ascii="宋体" w:hAnsi="宋体" w:cs="宋体"/>
                <w:color w:val="000000" w:themeColor="text1"/>
                <w:szCs w:val="21"/>
                <w:highlight w:val="none"/>
                <w:lang w:eastAsia="zh-CN"/>
                <w14:textFill>
                  <w14:solidFill>
                    <w14:schemeClr w14:val="tx1"/>
                  </w14:solidFill>
                </w14:textFill>
              </w:rPr>
            </w:pPr>
          </w:p>
        </w:tc>
      </w:tr>
      <w:tr w14:paraId="4F0A9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5A22429C">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76</w:t>
            </w:r>
          </w:p>
        </w:tc>
        <w:tc>
          <w:tcPr>
            <w:tcW w:w="5566" w:type="dxa"/>
            <w:tcBorders>
              <w:tl2br w:val="nil"/>
              <w:tr2bl w:val="nil"/>
            </w:tcBorders>
            <w:noWrap w:val="0"/>
            <w:vAlign w:val="center"/>
          </w:tcPr>
          <w:p w14:paraId="1B0FC2DA">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荔浦市修仁镇初级中学</w:t>
            </w:r>
          </w:p>
        </w:tc>
        <w:tc>
          <w:tcPr>
            <w:tcW w:w="2729" w:type="dxa"/>
            <w:vMerge w:val="continue"/>
            <w:tcBorders>
              <w:tl2br w:val="nil"/>
              <w:tr2bl w:val="nil"/>
            </w:tcBorders>
            <w:noWrap w:val="0"/>
          </w:tcPr>
          <w:p w14:paraId="3E696D2E">
            <w:pPr>
              <w:rPr>
                <w:rFonts w:hint="eastAsia" w:ascii="宋体" w:hAnsi="宋体" w:cs="宋体"/>
                <w:color w:val="000000" w:themeColor="text1"/>
                <w:szCs w:val="21"/>
                <w:highlight w:val="none"/>
                <w:lang w:eastAsia="zh-CN"/>
                <w14:textFill>
                  <w14:solidFill>
                    <w14:schemeClr w14:val="tx1"/>
                  </w14:solidFill>
                </w14:textFill>
              </w:rPr>
            </w:pPr>
          </w:p>
        </w:tc>
      </w:tr>
      <w:tr w14:paraId="0BA1E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45953457">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77</w:t>
            </w:r>
          </w:p>
        </w:tc>
        <w:tc>
          <w:tcPr>
            <w:tcW w:w="5566" w:type="dxa"/>
            <w:tcBorders>
              <w:tl2br w:val="nil"/>
              <w:tr2bl w:val="nil"/>
            </w:tcBorders>
            <w:noWrap w:val="0"/>
            <w:vAlign w:val="center"/>
          </w:tcPr>
          <w:p w14:paraId="59191584">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荔浦市龙怀乡德庆小学</w:t>
            </w:r>
          </w:p>
        </w:tc>
        <w:tc>
          <w:tcPr>
            <w:tcW w:w="2729" w:type="dxa"/>
            <w:vMerge w:val="restart"/>
            <w:tcBorders>
              <w:tl2br w:val="nil"/>
              <w:tr2bl w:val="nil"/>
            </w:tcBorders>
            <w:noWrap w:val="0"/>
          </w:tcPr>
          <w:p w14:paraId="1E33874E">
            <w:pPr>
              <w:rPr>
                <w:rFonts w:hint="eastAsia" w:ascii="宋体" w:hAnsi="宋体" w:cs="宋体"/>
                <w:color w:val="000000" w:themeColor="text1"/>
                <w:szCs w:val="21"/>
                <w:highlight w:val="none"/>
                <w:lang w:eastAsia="zh-CN"/>
                <w14:textFill>
                  <w14:solidFill>
                    <w14:schemeClr w14:val="tx1"/>
                  </w14:solidFill>
                </w14:textFill>
              </w:rPr>
            </w:pPr>
          </w:p>
          <w:p w14:paraId="7E22240C">
            <w:pPr>
              <w:bidi w:val="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p w14:paraId="0D491B0F">
            <w:pPr>
              <w:bidi w:val="0"/>
              <w:rPr>
                <w:rFonts w:hint="eastAsia" w:ascii="宋体" w:hAnsi="宋体" w:cs="宋体"/>
                <w:color w:val="000000" w:themeColor="text1"/>
                <w:szCs w:val="21"/>
                <w:highlight w:val="none"/>
                <w:lang w:val="en-US" w:eastAsia="zh-CN"/>
                <w14:textFill>
                  <w14:solidFill>
                    <w14:schemeClr w14:val="tx1"/>
                  </w14:solidFill>
                </w14:textFill>
              </w:rPr>
            </w:pPr>
          </w:p>
          <w:p w14:paraId="3BC6779C">
            <w:pPr>
              <w:bidi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ascii="宋体" w:hAnsi="宋体" w:eastAsia="宋体" w:cs="宋体"/>
                <w:color w:val="000000" w:themeColor="text1"/>
                <w:spacing w:val="-4"/>
                <w:sz w:val="21"/>
                <w:szCs w:val="21"/>
                <w:highlight w:val="none"/>
                <w:lang w:val="en-US" w:eastAsia="en-US" w:bidi="ar-SA"/>
                <w14:textFill>
                  <w14:solidFill>
                    <w14:schemeClr w14:val="tx1"/>
                  </w14:solidFill>
                </w14:textFill>
              </w:rPr>
              <w:t>龙怀乡</w:t>
            </w:r>
          </w:p>
        </w:tc>
      </w:tr>
      <w:tr w14:paraId="28267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754EF18B">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78</w:t>
            </w:r>
          </w:p>
        </w:tc>
        <w:tc>
          <w:tcPr>
            <w:tcW w:w="5566" w:type="dxa"/>
            <w:tcBorders>
              <w:tl2br w:val="nil"/>
              <w:tr2bl w:val="nil"/>
            </w:tcBorders>
            <w:noWrap w:val="0"/>
            <w:vAlign w:val="center"/>
          </w:tcPr>
          <w:p w14:paraId="6710893C">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荔浦市龙怀乡东坪小学</w:t>
            </w:r>
          </w:p>
        </w:tc>
        <w:tc>
          <w:tcPr>
            <w:tcW w:w="2729" w:type="dxa"/>
            <w:vMerge w:val="continue"/>
            <w:tcBorders>
              <w:tl2br w:val="nil"/>
              <w:tr2bl w:val="nil"/>
            </w:tcBorders>
            <w:noWrap w:val="0"/>
          </w:tcPr>
          <w:p w14:paraId="05C5FF0E">
            <w:pPr>
              <w:rPr>
                <w:rFonts w:hint="eastAsia" w:ascii="宋体" w:hAnsi="宋体" w:cs="宋体"/>
                <w:color w:val="000000" w:themeColor="text1"/>
                <w:szCs w:val="21"/>
                <w:highlight w:val="none"/>
                <w:lang w:eastAsia="zh-CN"/>
                <w14:textFill>
                  <w14:solidFill>
                    <w14:schemeClr w14:val="tx1"/>
                  </w14:solidFill>
                </w14:textFill>
              </w:rPr>
            </w:pPr>
          </w:p>
        </w:tc>
      </w:tr>
      <w:tr w14:paraId="6025F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074ED211">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79</w:t>
            </w:r>
          </w:p>
        </w:tc>
        <w:tc>
          <w:tcPr>
            <w:tcW w:w="5566" w:type="dxa"/>
            <w:tcBorders>
              <w:tl2br w:val="nil"/>
              <w:tr2bl w:val="nil"/>
            </w:tcBorders>
            <w:noWrap w:val="0"/>
            <w:vAlign w:val="center"/>
          </w:tcPr>
          <w:p w14:paraId="0133D068">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荔浦市龙怀乡庆云小学</w:t>
            </w:r>
          </w:p>
        </w:tc>
        <w:tc>
          <w:tcPr>
            <w:tcW w:w="2729" w:type="dxa"/>
            <w:vMerge w:val="continue"/>
            <w:tcBorders>
              <w:tl2br w:val="nil"/>
              <w:tr2bl w:val="nil"/>
            </w:tcBorders>
            <w:noWrap w:val="0"/>
          </w:tcPr>
          <w:p w14:paraId="2EFE88B7">
            <w:pPr>
              <w:rPr>
                <w:rFonts w:hint="eastAsia" w:ascii="宋体" w:hAnsi="宋体" w:cs="宋体"/>
                <w:color w:val="000000" w:themeColor="text1"/>
                <w:szCs w:val="21"/>
                <w:highlight w:val="none"/>
                <w:lang w:eastAsia="zh-CN"/>
                <w14:textFill>
                  <w14:solidFill>
                    <w14:schemeClr w14:val="tx1"/>
                  </w14:solidFill>
                </w14:textFill>
              </w:rPr>
            </w:pPr>
          </w:p>
        </w:tc>
      </w:tr>
      <w:tr w14:paraId="1361C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4242CF02">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80</w:t>
            </w:r>
          </w:p>
        </w:tc>
        <w:tc>
          <w:tcPr>
            <w:tcW w:w="5566" w:type="dxa"/>
            <w:tcBorders>
              <w:tl2br w:val="nil"/>
              <w:tr2bl w:val="nil"/>
            </w:tcBorders>
            <w:noWrap w:val="0"/>
            <w:vAlign w:val="center"/>
          </w:tcPr>
          <w:p w14:paraId="3A9E4BDD">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荔浦市龙怀乡中心小学</w:t>
            </w:r>
          </w:p>
        </w:tc>
        <w:tc>
          <w:tcPr>
            <w:tcW w:w="2729" w:type="dxa"/>
            <w:vMerge w:val="continue"/>
            <w:tcBorders>
              <w:tl2br w:val="nil"/>
              <w:tr2bl w:val="nil"/>
            </w:tcBorders>
            <w:noWrap w:val="0"/>
          </w:tcPr>
          <w:p w14:paraId="2D7A1864">
            <w:pPr>
              <w:rPr>
                <w:rFonts w:hint="eastAsia" w:ascii="宋体" w:hAnsi="宋体" w:cs="宋体"/>
                <w:color w:val="000000" w:themeColor="text1"/>
                <w:szCs w:val="21"/>
                <w:highlight w:val="none"/>
                <w:lang w:eastAsia="zh-CN"/>
                <w14:textFill>
                  <w14:solidFill>
                    <w14:schemeClr w14:val="tx1"/>
                  </w14:solidFill>
                </w14:textFill>
              </w:rPr>
            </w:pPr>
          </w:p>
        </w:tc>
      </w:tr>
      <w:tr w14:paraId="5F19F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3392AA6E">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81</w:t>
            </w:r>
          </w:p>
        </w:tc>
        <w:tc>
          <w:tcPr>
            <w:tcW w:w="5566" w:type="dxa"/>
            <w:tcBorders>
              <w:tl2br w:val="nil"/>
              <w:tr2bl w:val="nil"/>
            </w:tcBorders>
            <w:noWrap w:val="0"/>
            <w:vAlign w:val="center"/>
          </w:tcPr>
          <w:p w14:paraId="627E9A07">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荔浦市龙怀乡中心幼儿园</w:t>
            </w:r>
          </w:p>
        </w:tc>
        <w:tc>
          <w:tcPr>
            <w:tcW w:w="2729" w:type="dxa"/>
            <w:vMerge w:val="continue"/>
            <w:tcBorders>
              <w:tl2br w:val="nil"/>
              <w:tr2bl w:val="nil"/>
            </w:tcBorders>
            <w:noWrap w:val="0"/>
          </w:tcPr>
          <w:p w14:paraId="3B3C8E85">
            <w:pPr>
              <w:rPr>
                <w:rFonts w:hint="eastAsia" w:ascii="宋体" w:hAnsi="宋体" w:cs="宋体"/>
                <w:color w:val="000000" w:themeColor="text1"/>
                <w:szCs w:val="21"/>
                <w:highlight w:val="none"/>
                <w:lang w:eastAsia="zh-CN"/>
                <w14:textFill>
                  <w14:solidFill>
                    <w14:schemeClr w14:val="tx1"/>
                  </w14:solidFill>
                </w14:textFill>
              </w:rPr>
            </w:pPr>
          </w:p>
        </w:tc>
      </w:tr>
      <w:tr w14:paraId="4CA71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shd w:val="clear" w:color="auto" w:fill="auto"/>
            <w:noWrap w:val="0"/>
            <w:vAlign w:val="center"/>
          </w:tcPr>
          <w:p w14:paraId="0A928C6E">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82</w:t>
            </w:r>
          </w:p>
        </w:tc>
        <w:tc>
          <w:tcPr>
            <w:tcW w:w="5566" w:type="dxa"/>
            <w:tcBorders>
              <w:tl2br w:val="nil"/>
              <w:tr2bl w:val="nil"/>
            </w:tcBorders>
            <w:noWrap w:val="0"/>
            <w:vAlign w:val="center"/>
          </w:tcPr>
          <w:p w14:paraId="6264296B">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荔浦市马岭镇大地小学</w:t>
            </w:r>
          </w:p>
        </w:tc>
        <w:tc>
          <w:tcPr>
            <w:tcW w:w="2729" w:type="dxa"/>
            <w:vMerge w:val="restart"/>
            <w:tcBorders>
              <w:tl2br w:val="nil"/>
              <w:tr2bl w:val="nil"/>
            </w:tcBorders>
            <w:noWrap w:val="0"/>
          </w:tcPr>
          <w:p w14:paraId="1A1FE731">
            <w:pPr>
              <w:rPr>
                <w:rFonts w:hint="eastAsia" w:ascii="宋体" w:hAnsi="宋体" w:cs="宋体"/>
                <w:color w:val="000000" w:themeColor="text1"/>
                <w:szCs w:val="21"/>
                <w:highlight w:val="none"/>
                <w:lang w:eastAsia="zh-CN"/>
                <w14:textFill>
                  <w14:solidFill>
                    <w14:schemeClr w14:val="tx1"/>
                  </w14:solidFill>
                </w14:textFill>
              </w:rPr>
            </w:pPr>
          </w:p>
          <w:p w14:paraId="1175CCD0">
            <w:pPr>
              <w:bidi w:val="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p w14:paraId="74FEAACD">
            <w:pPr>
              <w:bidi w:val="0"/>
              <w:rPr>
                <w:rFonts w:hint="eastAsia" w:ascii="宋体" w:hAnsi="宋体" w:cs="宋体"/>
                <w:color w:val="000000" w:themeColor="text1"/>
                <w:szCs w:val="21"/>
                <w:highlight w:val="none"/>
                <w:lang w:val="en-US" w:eastAsia="zh-CN"/>
                <w14:textFill>
                  <w14:solidFill>
                    <w14:schemeClr w14:val="tx1"/>
                  </w14:solidFill>
                </w14:textFill>
              </w:rPr>
            </w:pPr>
          </w:p>
          <w:p w14:paraId="58FC58DC">
            <w:pPr>
              <w:bidi w:val="0"/>
              <w:rPr>
                <w:rFonts w:hint="eastAsia" w:ascii="宋体" w:hAnsi="宋体" w:cs="宋体"/>
                <w:color w:val="000000" w:themeColor="text1"/>
                <w:szCs w:val="21"/>
                <w:highlight w:val="none"/>
                <w:lang w:val="en-US" w:eastAsia="zh-CN"/>
                <w14:textFill>
                  <w14:solidFill>
                    <w14:schemeClr w14:val="tx1"/>
                  </w14:solidFill>
                </w14:textFill>
              </w:rPr>
            </w:pPr>
          </w:p>
          <w:p w14:paraId="66578628">
            <w:pPr>
              <w:bidi w:val="0"/>
              <w:rPr>
                <w:rFonts w:hint="eastAsia" w:ascii="宋体" w:hAnsi="宋体" w:cs="宋体"/>
                <w:color w:val="000000" w:themeColor="text1"/>
                <w:szCs w:val="21"/>
                <w:highlight w:val="none"/>
                <w:lang w:val="en-US" w:eastAsia="zh-CN"/>
                <w14:textFill>
                  <w14:solidFill>
                    <w14:schemeClr w14:val="tx1"/>
                  </w14:solidFill>
                </w14:textFill>
              </w:rPr>
            </w:pPr>
          </w:p>
          <w:p w14:paraId="6F3E79D0">
            <w:pPr>
              <w:bidi w:val="0"/>
              <w:rPr>
                <w:rFonts w:hint="eastAsia" w:ascii="宋体" w:hAnsi="宋体" w:cs="宋体"/>
                <w:color w:val="000000" w:themeColor="text1"/>
                <w:szCs w:val="21"/>
                <w:highlight w:val="none"/>
                <w:lang w:val="en-US" w:eastAsia="zh-CN"/>
                <w14:textFill>
                  <w14:solidFill>
                    <w14:schemeClr w14:val="tx1"/>
                  </w14:solidFill>
                </w14:textFill>
              </w:rPr>
            </w:pPr>
          </w:p>
          <w:p w14:paraId="177EF2E5">
            <w:pPr>
              <w:bidi w:val="0"/>
              <w:rPr>
                <w:rFonts w:hint="eastAsia" w:ascii="宋体" w:hAnsi="宋体" w:cs="宋体"/>
                <w:color w:val="000000" w:themeColor="text1"/>
                <w:szCs w:val="21"/>
                <w:highlight w:val="none"/>
                <w:lang w:val="en-US" w:eastAsia="zh-CN"/>
                <w14:textFill>
                  <w14:solidFill>
                    <w14:schemeClr w14:val="tx1"/>
                  </w14:solidFill>
                </w14:textFill>
              </w:rPr>
            </w:pPr>
          </w:p>
          <w:p w14:paraId="6D2A1296">
            <w:pPr>
              <w:bidi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ascii="宋体" w:hAnsi="宋体" w:eastAsia="宋体" w:cs="宋体"/>
                <w:color w:val="000000" w:themeColor="text1"/>
                <w:spacing w:val="-4"/>
                <w:sz w:val="21"/>
                <w:szCs w:val="21"/>
                <w:highlight w:val="none"/>
                <w:lang w:val="en-US" w:eastAsia="en-US" w:bidi="ar-SA"/>
                <w14:textFill>
                  <w14:solidFill>
                    <w14:schemeClr w14:val="tx1"/>
                  </w14:solidFill>
                </w14:textFill>
              </w:rPr>
              <w:t>马岭镇</w:t>
            </w:r>
          </w:p>
        </w:tc>
      </w:tr>
      <w:tr w14:paraId="484FC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85" w:type="dxa"/>
            <w:tcBorders>
              <w:tl2br w:val="nil"/>
              <w:tr2bl w:val="nil"/>
            </w:tcBorders>
            <w:shd w:val="clear" w:color="auto" w:fill="auto"/>
            <w:noWrap w:val="0"/>
            <w:vAlign w:val="center"/>
          </w:tcPr>
          <w:p w14:paraId="1A32004B">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83</w:t>
            </w:r>
          </w:p>
        </w:tc>
        <w:tc>
          <w:tcPr>
            <w:tcW w:w="5566" w:type="dxa"/>
            <w:tcBorders>
              <w:tl2br w:val="nil"/>
              <w:tr2bl w:val="nil"/>
            </w:tcBorders>
            <w:noWrap w:val="0"/>
            <w:vAlign w:val="center"/>
          </w:tcPr>
          <w:p w14:paraId="741A4340">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荔浦市马岭镇广安小学</w:t>
            </w:r>
          </w:p>
        </w:tc>
        <w:tc>
          <w:tcPr>
            <w:tcW w:w="2729" w:type="dxa"/>
            <w:vMerge w:val="continue"/>
            <w:tcBorders>
              <w:tl2br w:val="nil"/>
              <w:tr2bl w:val="nil"/>
            </w:tcBorders>
            <w:noWrap w:val="0"/>
          </w:tcPr>
          <w:p w14:paraId="6295EEF0">
            <w:pPr>
              <w:rPr>
                <w:rFonts w:hint="eastAsia" w:ascii="宋体" w:hAnsi="宋体" w:cs="宋体"/>
                <w:color w:val="000000" w:themeColor="text1"/>
                <w:szCs w:val="21"/>
                <w:highlight w:val="none"/>
                <w:lang w:eastAsia="zh-CN"/>
                <w14:textFill>
                  <w14:solidFill>
                    <w14:schemeClr w14:val="tx1"/>
                  </w14:solidFill>
                </w14:textFill>
              </w:rPr>
            </w:pPr>
          </w:p>
        </w:tc>
      </w:tr>
      <w:tr w14:paraId="27287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3191AD01">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84</w:t>
            </w:r>
          </w:p>
        </w:tc>
        <w:tc>
          <w:tcPr>
            <w:tcW w:w="5566" w:type="dxa"/>
            <w:tcBorders>
              <w:tl2br w:val="nil"/>
              <w:tr2bl w:val="nil"/>
            </w:tcBorders>
            <w:noWrap w:val="0"/>
            <w:vAlign w:val="center"/>
          </w:tcPr>
          <w:p w14:paraId="1810BB0F">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荔浦市马岭镇凤凰教学点</w:t>
            </w:r>
          </w:p>
        </w:tc>
        <w:tc>
          <w:tcPr>
            <w:tcW w:w="2729" w:type="dxa"/>
            <w:vMerge w:val="continue"/>
            <w:tcBorders>
              <w:tl2br w:val="nil"/>
              <w:tr2bl w:val="nil"/>
            </w:tcBorders>
            <w:noWrap w:val="0"/>
          </w:tcPr>
          <w:p w14:paraId="01C6F8AB">
            <w:pPr>
              <w:rPr>
                <w:rFonts w:hint="eastAsia" w:ascii="宋体" w:hAnsi="宋体" w:cs="宋体"/>
                <w:color w:val="000000" w:themeColor="text1"/>
                <w:szCs w:val="21"/>
                <w:highlight w:val="none"/>
                <w:lang w:eastAsia="zh-CN"/>
                <w14:textFill>
                  <w14:solidFill>
                    <w14:schemeClr w14:val="tx1"/>
                  </w14:solidFill>
                </w14:textFill>
              </w:rPr>
            </w:pPr>
          </w:p>
        </w:tc>
      </w:tr>
      <w:tr w14:paraId="1664F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5ABB3285">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85</w:t>
            </w:r>
          </w:p>
        </w:tc>
        <w:tc>
          <w:tcPr>
            <w:tcW w:w="5566" w:type="dxa"/>
            <w:tcBorders>
              <w:tl2br w:val="nil"/>
              <w:tr2bl w:val="nil"/>
            </w:tcBorders>
            <w:noWrap w:val="0"/>
            <w:vAlign w:val="center"/>
          </w:tcPr>
          <w:p w14:paraId="6B57F647">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荔浦市马岭镇合安小学</w:t>
            </w:r>
          </w:p>
        </w:tc>
        <w:tc>
          <w:tcPr>
            <w:tcW w:w="2729" w:type="dxa"/>
            <w:vMerge w:val="continue"/>
            <w:tcBorders>
              <w:tl2br w:val="nil"/>
              <w:tr2bl w:val="nil"/>
            </w:tcBorders>
            <w:noWrap w:val="0"/>
          </w:tcPr>
          <w:p w14:paraId="5811EF1C">
            <w:pPr>
              <w:rPr>
                <w:rFonts w:hint="eastAsia" w:ascii="宋体" w:hAnsi="宋体" w:cs="宋体"/>
                <w:color w:val="000000" w:themeColor="text1"/>
                <w:szCs w:val="21"/>
                <w:highlight w:val="none"/>
                <w:lang w:eastAsia="zh-CN"/>
                <w14:textFill>
                  <w14:solidFill>
                    <w14:schemeClr w14:val="tx1"/>
                  </w14:solidFill>
                </w14:textFill>
              </w:rPr>
            </w:pPr>
          </w:p>
        </w:tc>
      </w:tr>
      <w:tr w14:paraId="716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trPr>
        <w:tc>
          <w:tcPr>
            <w:tcW w:w="1185" w:type="dxa"/>
            <w:tcBorders>
              <w:tl2br w:val="nil"/>
              <w:tr2bl w:val="nil"/>
            </w:tcBorders>
            <w:shd w:val="clear" w:color="auto" w:fill="auto"/>
            <w:noWrap w:val="0"/>
            <w:vAlign w:val="center"/>
          </w:tcPr>
          <w:p w14:paraId="0B6DDBAA">
            <w:pPr>
              <w:keepNext w:val="0"/>
              <w:keepLines w:val="0"/>
              <w:widowControl/>
              <w:suppressLineNumbers w:val="0"/>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86</w:t>
            </w:r>
          </w:p>
        </w:tc>
        <w:tc>
          <w:tcPr>
            <w:tcW w:w="5566" w:type="dxa"/>
            <w:tcBorders>
              <w:tl2br w:val="nil"/>
              <w:tr2bl w:val="nil"/>
            </w:tcBorders>
            <w:noWrap w:val="0"/>
            <w:vAlign w:val="center"/>
          </w:tcPr>
          <w:p w14:paraId="26B8097D">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荔浦市马岭镇桥头小学</w:t>
            </w:r>
          </w:p>
        </w:tc>
        <w:tc>
          <w:tcPr>
            <w:tcW w:w="2729" w:type="dxa"/>
            <w:vMerge w:val="continue"/>
            <w:tcBorders>
              <w:tl2br w:val="nil"/>
              <w:tr2bl w:val="nil"/>
            </w:tcBorders>
            <w:noWrap w:val="0"/>
          </w:tcPr>
          <w:p w14:paraId="51A5EB92">
            <w:pPr>
              <w:rPr>
                <w:rFonts w:hint="eastAsia" w:ascii="宋体" w:hAnsi="宋体" w:cs="宋体"/>
                <w:color w:val="000000" w:themeColor="text1"/>
                <w:szCs w:val="21"/>
                <w:highlight w:val="none"/>
                <w:lang w:eastAsia="zh-CN"/>
                <w14:textFill>
                  <w14:solidFill>
                    <w14:schemeClr w14:val="tx1"/>
                  </w14:solidFill>
                </w14:textFill>
              </w:rPr>
            </w:pPr>
          </w:p>
        </w:tc>
      </w:tr>
      <w:tr w14:paraId="3C31D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23A02F13">
            <w:pPr>
              <w:keepNext w:val="0"/>
              <w:keepLines w:val="0"/>
              <w:widowControl/>
              <w:suppressLineNumbers w:val="0"/>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87</w:t>
            </w:r>
          </w:p>
        </w:tc>
        <w:tc>
          <w:tcPr>
            <w:tcW w:w="5566" w:type="dxa"/>
            <w:tcBorders>
              <w:tl2br w:val="nil"/>
              <w:tr2bl w:val="nil"/>
            </w:tcBorders>
            <w:noWrap w:val="0"/>
            <w:vAlign w:val="center"/>
          </w:tcPr>
          <w:p w14:paraId="0C3FA7EE">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荔浦市马岭镇协良小学</w:t>
            </w:r>
          </w:p>
        </w:tc>
        <w:tc>
          <w:tcPr>
            <w:tcW w:w="2729" w:type="dxa"/>
            <w:vMerge w:val="continue"/>
            <w:tcBorders>
              <w:tl2br w:val="nil"/>
              <w:tr2bl w:val="nil"/>
            </w:tcBorders>
            <w:noWrap w:val="0"/>
          </w:tcPr>
          <w:p w14:paraId="4FA330D2">
            <w:pPr>
              <w:rPr>
                <w:rFonts w:hint="eastAsia" w:ascii="宋体" w:hAnsi="宋体" w:cs="宋体"/>
                <w:color w:val="000000" w:themeColor="text1"/>
                <w:szCs w:val="21"/>
                <w:highlight w:val="none"/>
                <w:lang w:eastAsia="zh-CN"/>
                <w14:textFill>
                  <w14:solidFill>
                    <w14:schemeClr w14:val="tx1"/>
                  </w14:solidFill>
                </w14:textFill>
              </w:rPr>
            </w:pPr>
          </w:p>
        </w:tc>
      </w:tr>
      <w:tr w14:paraId="66D68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4AEAE263">
            <w:pPr>
              <w:keepNext w:val="0"/>
              <w:keepLines w:val="0"/>
              <w:widowControl/>
              <w:suppressLineNumbers w:val="0"/>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88</w:t>
            </w:r>
          </w:p>
        </w:tc>
        <w:tc>
          <w:tcPr>
            <w:tcW w:w="5566" w:type="dxa"/>
            <w:tcBorders>
              <w:tl2br w:val="nil"/>
              <w:tr2bl w:val="nil"/>
            </w:tcBorders>
            <w:noWrap w:val="0"/>
            <w:vAlign w:val="center"/>
          </w:tcPr>
          <w:p w14:paraId="526DD0A4">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荔浦市马岭镇永明小学</w:t>
            </w:r>
          </w:p>
        </w:tc>
        <w:tc>
          <w:tcPr>
            <w:tcW w:w="2729" w:type="dxa"/>
            <w:vMerge w:val="continue"/>
            <w:tcBorders>
              <w:tl2br w:val="nil"/>
              <w:tr2bl w:val="nil"/>
            </w:tcBorders>
            <w:noWrap w:val="0"/>
          </w:tcPr>
          <w:p w14:paraId="628F1388">
            <w:pPr>
              <w:rPr>
                <w:rFonts w:hint="eastAsia" w:ascii="宋体" w:hAnsi="宋体" w:cs="宋体"/>
                <w:color w:val="000000" w:themeColor="text1"/>
                <w:szCs w:val="21"/>
                <w:highlight w:val="none"/>
                <w:lang w:eastAsia="zh-CN"/>
                <w14:textFill>
                  <w14:solidFill>
                    <w14:schemeClr w14:val="tx1"/>
                  </w14:solidFill>
                </w14:textFill>
              </w:rPr>
            </w:pPr>
          </w:p>
        </w:tc>
      </w:tr>
      <w:tr w14:paraId="7A4CC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3CA513A9">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89</w:t>
            </w:r>
          </w:p>
        </w:tc>
        <w:tc>
          <w:tcPr>
            <w:tcW w:w="5566" w:type="dxa"/>
            <w:tcBorders>
              <w:tl2br w:val="nil"/>
              <w:tr2bl w:val="nil"/>
            </w:tcBorders>
            <w:noWrap w:val="0"/>
            <w:vAlign w:val="center"/>
          </w:tcPr>
          <w:p w14:paraId="0A6DD753">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荔浦市马岭镇中心小学</w:t>
            </w:r>
          </w:p>
        </w:tc>
        <w:tc>
          <w:tcPr>
            <w:tcW w:w="2729" w:type="dxa"/>
            <w:vMerge w:val="continue"/>
            <w:tcBorders>
              <w:tl2br w:val="nil"/>
              <w:tr2bl w:val="nil"/>
            </w:tcBorders>
            <w:noWrap w:val="0"/>
          </w:tcPr>
          <w:p w14:paraId="67583F91">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p>
        </w:tc>
      </w:tr>
      <w:tr w14:paraId="78097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shd w:val="clear" w:color="auto" w:fill="auto"/>
            <w:noWrap w:val="0"/>
            <w:vAlign w:val="center"/>
          </w:tcPr>
          <w:p w14:paraId="4A962FBC">
            <w:pPr>
              <w:keepNext w:val="0"/>
              <w:keepLines w:val="0"/>
              <w:widowControl/>
              <w:suppressLineNumbers w:val="0"/>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90</w:t>
            </w:r>
          </w:p>
        </w:tc>
        <w:tc>
          <w:tcPr>
            <w:tcW w:w="5566" w:type="dxa"/>
            <w:tcBorders>
              <w:tl2br w:val="nil"/>
              <w:tr2bl w:val="nil"/>
            </w:tcBorders>
            <w:noWrap w:val="0"/>
            <w:vAlign w:val="center"/>
          </w:tcPr>
          <w:p w14:paraId="1994A660">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荔浦市马岭镇中心幼儿园</w:t>
            </w:r>
          </w:p>
        </w:tc>
        <w:tc>
          <w:tcPr>
            <w:tcW w:w="2729" w:type="dxa"/>
            <w:vMerge w:val="continue"/>
            <w:tcBorders>
              <w:tl2br w:val="nil"/>
              <w:tr2bl w:val="nil"/>
            </w:tcBorders>
            <w:noWrap w:val="0"/>
          </w:tcPr>
          <w:p w14:paraId="7A3B555F">
            <w:pPr>
              <w:rPr>
                <w:rFonts w:hint="eastAsia" w:ascii="宋体" w:hAnsi="宋体" w:cs="宋体"/>
                <w:color w:val="000000" w:themeColor="text1"/>
                <w:szCs w:val="21"/>
                <w:highlight w:val="none"/>
                <w:lang w:eastAsia="zh-CN"/>
                <w14:textFill>
                  <w14:solidFill>
                    <w14:schemeClr w14:val="tx1"/>
                  </w14:solidFill>
                </w14:textFill>
              </w:rPr>
            </w:pPr>
          </w:p>
        </w:tc>
      </w:tr>
      <w:tr w14:paraId="5216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185" w:type="dxa"/>
            <w:tcBorders>
              <w:tl2br w:val="nil"/>
              <w:tr2bl w:val="nil"/>
            </w:tcBorders>
            <w:noWrap w:val="0"/>
            <w:vAlign w:val="center"/>
          </w:tcPr>
          <w:p w14:paraId="7F3D2856">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91</w:t>
            </w:r>
          </w:p>
        </w:tc>
        <w:tc>
          <w:tcPr>
            <w:tcW w:w="5566" w:type="dxa"/>
            <w:tcBorders>
              <w:tl2br w:val="nil"/>
              <w:tr2bl w:val="nil"/>
            </w:tcBorders>
            <w:noWrap w:val="0"/>
            <w:vAlign w:val="center"/>
          </w:tcPr>
          <w:p w14:paraId="0C9E44AB">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荔浦市职业教育中心学校</w:t>
            </w:r>
          </w:p>
        </w:tc>
        <w:tc>
          <w:tcPr>
            <w:tcW w:w="2729" w:type="dxa"/>
            <w:vMerge w:val="continue"/>
            <w:tcBorders>
              <w:tl2br w:val="nil"/>
              <w:tr2bl w:val="nil"/>
            </w:tcBorders>
            <w:noWrap w:val="0"/>
          </w:tcPr>
          <w:p w14:paraId="6074EB9B">
            <w:pPr>
              <w:rPr>
                <w:rFonts w:hint="eastAsia" w:ascii="宋体" w:hAnsi="宋体" w:cs="宋体"/>
                <w:color w:val="000000" w:themeColor="text1"/>
                <w:szCs w:val="21"/>
                <w:highlight w:val="none"/>
                <w:lang w:eastAsia="zh-CN"/>
                <w14:textFill>
                  <w14:solidFill>
                    <w14:schemeClr w14:val="tx1"/>
                  </w14:solidFill>
                </w14:textFill>
              </w:rPr>
            </w:pPr>
          </w:p>
        </w:tc>
      </w:tr>
      <w:tr w14:paraId="2B6EE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185" w:type="dxa"/>
            <w:tcBorders>
              <w:tl2br w:val="nil"/>
              <w:tr2bl w:val="nil"/>
            </w:tcBorders>
            <w:noWrap w:val="0"/>
            <w:vAlign w:val="center"/>
          </w:tcPr>
          <w:p w14:paraId="2646A936">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92</w:t>
            </w:r>
          </w:p>
        </w:tc>
        <w:tc>
          <w:tcPr>
            <w:tcW w:w="5566" w:type="dxa"/>
            <w:tcBorders>
              <w:tl2br w:val="nil"/>
              <w:tr2bl w:val="nil"/>
            </w:tcBorders>
            <w:noWrap w:val="0"/>
            <w:vAlign w:val="center"/>
          </w:tcPr>
          <w:p w14:paraId="6A5B1958">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荔浦市马岭镇初级中学</w:t>
            </w:r>
          </w:p>
        </w:tc>
        <w:tc>
          <w:tcPr>
            <w:tcW w:w="2729" w:type="dxa"/>
            <w:vMerge w:val="continue"/>
            <w:tcBorders>
              <w:tl2br w:val="nil"/>
              <w:tr2bl w:val="nil"/>
            </w:tcBorders>
            <w:noWrap w:val="0"/>
          </w:tcPr>
          <w:p w14:paraId="7D07BF8F">
            <w:pPr>
              <w:rPr>
                <w:rFonts w:hint="eastAsia" w:ascii="宋体" w:hAnsi="宋体" w:cs="宋体"/>
                <w:color w:val="000000" w:themeColor="text1"/>
                <w:szCs w:val="21"/>
                <w:highlight w:val="none"/>
                <w:lang w:eastAsia="zh-CN"/>
                <w14:textFill>
                  <w14:solidFill>
                    <w14:schemeClr w14:val="tx1"/>
                  </w14:solidFill>
                </w14:textFill>
              </w:rPr>
            </w:pPr>
          </w:p>
        </w:tc>
      </w:tr>
      <w:tr w14:paraId="71A55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85" w:type="dxa"/>
            <w:tcBorders>
              <w:tl2br w:val="nil"/>
              <w:tr2bl w:val="nil"/>
            </w:tcBorders>
            <w:shd w:val="clear" w:color="auto" w:fill="auto"/>
            <w:noWrap w:val="0"/>
            <w:vAlign w:val="center"/>
          </w:tcPr>
          <w:p w14:paraId="48634700">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93</w:t>
            </w:r>
          </w:p>
        </w:tc>
        <w:tc>
          <w:tcPr>
            <w:tcW w:w="5566" w:type="dxa"/>
            <w:tcBorders>
              <w:tl2br w:val="nil"/>
              <w:tr2bl w:val="nil"/>
            </w:tcBorders>
            <w:noWrap w:val="0"/>
            <w:vAlign w:val="center"/>
          </w:tcPr>
          <w:p w14:paraId="186944E6">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荔浦市青山镇青山中心小学大明教学点</w:t>
            </w:r>
          </w:p>
        </w:tc>
        <w:tc>
          <w:tcPr>
            <w:tcW w:w="2729" w:type="dxa"/>
            <w:vMerge w:val="restart"/>
            <w:tcBorders>
              <w:tl2br w:val="nil"/>
              <w:tr2bl w:val="nil"/>
            </w:tcBorders>
            <w:noWrap w:val="0"/>
          </w:tcPr>
          <w:p w14:paraId="3188D2E9">
            <w:pPr>
              <w:jc w:val="both"/>
              <w:rPr>
                <w:rFonts w:hint="eastAsia" w:ascii="宋体" w:hAnsi="宋体" w:cs="宋体"/>
                <w:color w:val="000000" w:themeColor="text1"/>
                <w:szCs w:val="21"/>
                <w:highlight w:val="none"/>
                <w:lang w:val="en-US" w:eastAsia="zh-CN"/>
                <w14:textFill>
                  <w14:solidFill>
                    <w14:schemeClr w14:val="tx1"/>
                  </w14:solidFill>
                </w14:textFill>
              </w:rPr>
            </w:pPr>
          </w:p>
          <w:p w14:paraId="2104570F">
            <w:pPr>
              <w:bidi w:val="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p w14:paraId="0D5731F4">
            <w:pPr>
              <w:bidi w:val="0"/>
              <w:rPr>
                <w:rFonts w:hint="eastAsia" w:ascii="宋体" w:hAnsi="宋体" w:cs="宋体"/>
                <w:color w:val="000000" w:themeColor="text1"/>
                <w:szCs w:val="21"/>
                <w:highlight w:val="none"/>
                <w:lang w:val="en-US" w:eastAsia="zh-CN"/>
                <w14:textFill>
                  <w14:solidFill>
                    <w14:schemeClr w14:val="tx1"/>
                  </w14:solidFill>
                </w14:textFill>
              </w:rPr>
            </w:pPr>
          </w:p>
          <w:p w14:paraId="7480DB16">
            <w:pPr>
              <w:bidi w:val="0"/>
              <w:rPr>
                <w:rFonts w:hint="eastAsia" w:ascii="宋体" w:hAnsi="宋体" w:cs="宋体"/>
                <w:color w:val="000000" w:themeColor="text1"/>
                <w:szCs w:val="21"/>
                <w:highlight w:val="none"/>
                <w:lang w:val="en-US" w:eastAsia="zh-CN"/>
                <w14:textFill>
                  <w14:solidFill>
                    <w14:schemeClr w14:val="tx1"/>
                  </w14:solidFill>
                </w14:textFill>
              </w:rPr>
            </w:pPr>
          </w:p>
          <w:p w14:paraId="6533D2FE">
            <w:pPr>
              <w:bidi w:val="0"/>
              <w:rPr>
                <w:rFonts w:hint="eastAsia" w:ascii="宋体" w:hAnsi="宋体" w:cs="宋体"/>
                <w:color w:val="000000" w:themeColor="text1"/>
                <w:szCs w:val="21"/>
                <w:highlight w:val="none"/>
                <w:lang w:val="en-US" w:eastAsia="zh-CN"/>
                <w14:textFill>
                  <w14:solidFill>
                    <w14:schemeClr w14:val="tx1"/>
                  </w14:solidFill>
                </w14:textFill>
              </w:rPr>
            </w:pPr>
          </w:p>
          <w:p w14:paraId="581C1E16">
            <w:pPr>
              <w:bidi w:val="0"/>
              <w:rPr>
                <w:rFonts w:hint="eastAsia" w:ascii="宋体" w:hAnsi="宋体" w:cs="宋体"/>
                <w:color w:val="000000" w:themeColor="text1"/>
                <w:szCs w:val="21"/>
                <w:highlight w:val="none"/>
                <w:lang w:val="en-US" w:eastAsia="zh-CN"/>
                <w14:textFill>
                  <w14:solidFill>
                    <w14:schemeClr w14:val="tx1"/>
                  </w14:solidFill>
                </w14:textFill>
              </w:rPr>
            </w:pPr>
          </w:p>
          <w:p w14:paraId="77498AD3">
            <w:pPr>
              <w:bidi w:val="0"/>
              <w:rPr>
                <w:rFonts w:hint="eastAsia" w:ascii="宋体" w:hAnsi="宋体" w:cs="宋体"/>
                <w:color w:val="000000" w:themeColor="text1"/>
                <w:szCs w:val="21"/>
                <w:highlight w:val="none"/>
                <w:lang w:val="en-US" w:eastAsia="zh-CN"/>
                <w14:textFill>
                  <w14:solidFill>
                    <w14:schemeClr w14:val="tx1"/>
                  </w14:solidFill>
                </w14:textFill>
              </w:rPr>
            </w:pPr>
          </w:p>
          <w:p w14:paraId="3B7114F4">
            <w:pPr>
              <w:bidi w:val="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bidi="ar-SA"/>
                <w14:textFill>
                  <w14:solidFill>
                    <w14:schemeClr w14:val="tx1"/>
                  </w14:solidFill>
                </w14:textFill>
              </w:rPr>
              <w:t>青山镇</w:t>
            </w:r>
          </w:p>
        </w:tc>
      </w:tr>
      <w:tr w14:paraId="16B2A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shd w:val="clear" w:color="auto" w:fill="auto"/>
            <w:noWrap w:val="0"/>
            <w:vAlign w:val="center"/>
          </w:tcPr>
          <w:p w14:paraId="2418FF59">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94</w:t>
            </w:r>
          </w:p>
        </w:tc>
        <w:tc>
          <w:tcPr>
            <w:tcW w:w="5566" w:type="dxa"/>
            <w:tcBorders>
              <w:tl2br w:val="nil"/>
              <w:tr2bl w:val="nil"/>
            </w:tcBorders>
            <w:noWrap w:val="0"/>
            <w:vAlign w:val="center"/>
          </w:tcPr>
          <w:p w14:paraId="68605912">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荔浦市青山镇拱秀教学点</w:t>
            </w:r>
          </w:p>
        </w:tc>
        <w:tc>
          <w:tcPr>
            <w:tcW w:w="2729" w:type="dxa"/>
            <w:vMerge w:val="continue"/>
            <w:tcBorders>
              <w:tl2br w:val="nil"/>
              <w:tr2bl w:val="nil"/>
            </w:tcBorders>
            <w:noWrap w:val="0"/>
          </w:tcPr>
          <w:p w14:paraId="6EB8D800">
            <w:pPr>
              <w:rPr>
                <w:rFonts w:hint="eastAsia" w:ascii="宋体" w:hAnsi="宋体" w:cs="宋体"/>
                <w:color w:val="000000" w:themeColor="text1"/>
                <w:szCs w:val="21"/>
                <w:highlight w:val="none"/>
                <w:lang w:eastAsia="zh-CN"/>
                <w14:textFill>
                  <w14:solidFill>
                    <w14:schemeClr w14:val="tx1"/>
                  </w14:solidFill>
                </w14:textFill>
              </w:rPr>
            </w:pPr>
          </w:p>
        </w:tc>
      </w:tr>
      <w:tr w14:paraId="3506D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shd w:val="clear" w:color="auto" w:fill="auto"/>
            <w:noWrap w:val="0"/>
            <w:vAlign w:val="center"/>
          </w:tcPr>
          <w:p w14:paraId="0225BCAF">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95</w:t>
            </w:r>
          </w:p>
        </w:tc>
        <w:tc>
          <w:tcPr>
            <w:tcW w:w="5566" w:type="dxa"/>
            <w:tcBorders>
              <w:tl2br w:val="nil"/>
              <w:tr2bl w:val="nil"/>
            </w:tcBorders>
            <w:noWrap w:val="0"/>
            <w:vAlign w:val="center"/>
          </w:tcPr>
          <w:p w14:paraId="3CAA8548">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荔浦市青山镇荔江小学</w:t>
            </w:r>
          </w:p>
        </w:tc>
        <w:tc>
          <w:tcPr>
            <w:tcW w:w="2729" w:type="dxa"/>
            <w:vMerge w:val="continue"/>
            <w:tcBorders>
              <w:tl2br w:val="nil"/>
              <w:tr2bl w:val="nil"/>
            </w:tcBorders>
            <w:noWrap w:val="0"/>
          </w:tcPr>
          <w:p w14:paraId="03FDBAD3">
            <w:pPr>
              <w:rPr>
                <w:rFonts w:hint="eastAsia" w:ascii="宋体" w:hAnsi="宋体" w:cs="宋体"/>
                <w:color w:val="000000" w:themeColor="text1"/>
                <w:szCs w:val="21"/>
                <w:highlight w:val="none"/>
                <w:lang w:eastAsia="zh-CN"/>
                <w14:textFill>
                  <w14:solidFill>
                    <w14:schemeClr w14:val="tx1"/>
                  </w14:solidFill>
                </w14:textFill>
              </w:rPr>
            </w:pPr>
          </w:p>
        </w:tc>
      </w:tr>
      <w:tr w14:paraId="059FE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85" w:type="dxa"/>
            <w:tcBorders>
              <w:tl2br w:val="nil"/>
              <w:tr2bl w:val="nil"/>
            </w:tcBorders>
            <w:shd w:val="clear" w:color="auto" w:fill="auto"/>
            <w:noWrap w:val="0"/>
            <w:vAlign w:val="center"/>
          </w:tcPr>
          <w:p w14:paraId="4823ABEB">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96</w:t>
            </w:r>
          </w:p>
        </w:tc>
        <w:tc>
          <w:tcPr>
            <w:tcW w:w="5566" w:type="dxa"/>
            <w:tcBorders>
              <w:tl2br w:val="nil"/>
              <w:tr2bl w:val="nil"/>
            </w:tcBorders>
            <w:noWrap w:val="0"/>
            <w:vAlign w:val="center"/>
          </w:tcPr>
          <w:p w14:paraId="60ED2B4C">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荔浦市青山镇满洞小学</w:t>
            </w:r>
          </w:p>
        </w:tc>
        <w:tc>
          <w:tcPr>
            <w:tcW w:w="2729" w:type="dxa"/>
            <w:vMerge w:val="continue"/>
            <w:tcBorders>
              <w:tl2br w:val="nil"/>
              <w:tr2bl w:val="nil"/>
            </w:tcBorders>
            <w:noWrap w:val="0"/>
          </w:tcPr>
          <w:p w14:paraId="242C798F">
            <w:pPr>
              <w:rPr>
                <w:rFonts w:hint="eastAsia" w:ascii="宋体" w:hAnsi="宋体" w:cs="宋体"/>
                <w:color w:val="000000" w:themeColor="text1"/>
                <w:szCs w:val="21"/>
                <w:highlight w:val="none"/>
                <w:lang w:eastAsia="zh-CN"/>
                <w14:textFill>
                  <w14:solidFill>
                    <w14:schemeClr w14:val="tx1"/>
                  </w14:solidFill>
                </w14:textFill>
              </w:rPr>
            </w:pPr>
          </w:p>
        </w:tc>
      </w:tr>
      <w:tr w14:paraId="4FEA7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85" w:type="dxa"/>
            <w:tcBorders>
              <w:tl2br w:val="nil"/>
              <w:tr2bl w:val="nil"/>
            </w:tcBorders>
            <w:shd w:val="clear" w:color="auto" w:fill="auto"/>
            <w:noWrap w:val="0"/>
            <w:vAlign w:val="center"/>
          </w:tcPr>
          <w:p w14:paraId="76B15672">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97</w:t>
            </w:r>
          </w:p>
        </w:tc>
        <w:tc>
          <w:tcPr>
            <w:tcW w:w="5566" w:type="dxa"/>
            <w:tcBorders>
              <w:tl2br w:val="nil"/>
              <w:tr2bl w:val="nil"/>
            </w:tcBorders>
            <w:noWrap w:val="0"/>
            <w:vAlign w:val="center"/>
          </w:tcPr>
          <w:p w14:paraId="0C1249CD">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荔浦市青山镇青云小学</w:t>
            </w:r>
          </w:p>
        </w:tc>
        <w:tc>
          <w:tcPr>
            <w:tcW w:w="2729" w:type="dxa"/>
            <w:vMerge w:val="continue"/>
            <w:tcBorders>
              <w:tl2br w:val="nil"/>
              <w:tr2bl w:val="nil"/>
            </w:tcBorders>
            <w:noWrap w:val="0"/>
          </w:tcPr>
          <w:p w14:paraId="7CAB3C15">
            <w:pPr>
              <w:rPr>
                <w:rFonts w:hint="eastAsia" w:ascii="宋体" w:hAnsi="宋体" w:cs="宋体"/>
                <w:color w:val="000000" w:themeColor="text1"/>
                <w:szCs w:val="21"/>
                <w:highlight w:val="none"/>
                <w:lang w:eastAsia="zh-CN"/>
                <w14:textFill>
                  <w14:solidFill>
                    <w14:schemeClr w14:val="tx1"/>
                  </w14:solidFill>
                </w14:textFill>
              </w:rPr>
            </w:pPr>
          </w:p>
        </w:tc>
      </w:tr>
      <w:tr w14:paraId="6BB7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85" w:type="dxa"/>
            <w:tcBorders>
              <w:tl2br w:val="nil"/>
              <w:tr2bl w:val="nil"/>
            </w:tcBorders>
            <w:shd w:val="clear" w:color="auto" w:fill="auto"/>
            <w:noWrap w:val="0"/>
            <w:vAlign w:val="center"/>
          </w:tcPr>
          <w:p w14:paraId="34781929">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98</w:t>
            </w:r>
          </w:p>
        </w:tc>
        <w:tc>
          <w:tcPr>
            <w:tcW w:w="5566" w:type="dxa"/>
            <w:tcBorders>
              <w:tl2br w:val="nil"/>
              <w:tr2bl w:val="nil"/>
            </w:tcBorders>
            <w:noWrap w:val="0"/>
            <w:vAlign w:val="center"/>
          </w:tcPr>
          <w:p w14:paraId="611F48F8">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荔浦市青山镇松林小学</w:t>
            </w:r>
          </w:p>
        </w:tc>
        <w:tc>
          <w:tcPr>
            <w:tcW w:w="2729" w:type="dxa"/>
            <w:vMerge w:val="continue"/>
            <w:tcBorders>
              <w:tl2br w:val="nil"/>
              <w:tr2bl w:val="nil"/>
            </w:tcBorders>
            <w:noWrap w:val="0"/>
          </w:tcPr>
          <w:p w14:paraId="6FBE2C9D">
            <w:pPr>
              <w:rPr>
                <w:rFonts w:hint="eastAsia" w:ascii="宋体" w:hAnsi="宋体" w:cs="宋体"/>
                <w:color w:val="000000" w:themeColor="text1"/>
                <w:szCs w:val="21"/>
                <w:highlight w:val="none"/>
                <w:lang w:eastAsia="zh-CN"/>
                <w14:textFill>
                  <w14:solidFill>
                    <w14:schemeClr w14:val="tx1"/>
                  </w14:solidFill>
                </w14:textFill>
              </w:rPr>
            </w:pPr>
          </w:p>
        </w:tc>
      </w:tr>
      <w:tr w14:paraId="3C7A3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shd w:val="clear" w:color="auto" w:fill="auto"/>
            <w:noWrap w:val="0"/>
            <w:vAlign w:val="center"/>
          </w:tcPr>
          <w:p w14:paraId="77116A0D">
            <w:pPr>
              <w:keepNext w:val="0"/>
              <w:keepLines w:val="0"/>
              <w:widowControl/>
              <w:suppressLineNumbers w:val="0"/>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99</w:t>
            </w:r>
          </w:p>
        </w:tc>
        <w:tc>
          <w:tcPr>
            <w:tcW w:w="5566" w:type="dxa"/>
            <w:tcBorders>
              <w:tl2br w:val="nil"/>
              <w:tr2bl w:val="nil"/>
            </w:tcBorders>
            <w:noWrap w:val="0"/>
            <w:vAlign w:val="center"/>
          </w:tcPr>
          <w:p w14:paraId="70A7FDB9">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荔浦市青山镇永华小学</w:t>
            </w:r>
          </w:p>
        </w:tc>
        <w:tc>
          <w:tcPr>
            <w:tcW w:w="2729" w:type="dxa"/>
            <w:vMerge w:val="continue"/>
            <w:tcBorders>
              <w:tl2br w:val="nil"/>
              <w:tr2bl w:val="nil"/>
            </w:tcBorders>
            <w:noWrap w:val="0"/>
          </w:tcPr>
          <w:p w14:paraId="7BB001CA">
            <w:pPr>
              <w:rPr>
                <w:rFonts w:hint="eastAsia" w:ascii="宋体" w:hAnsi="宋体" w:cs="宋体"/>
                <w:color w:val="000000" w:themeColor="text1"/>
                <w:szCs w:val="21"/>
                <w:highlight w:val="none"/>
                <w:lang w:eastAsia="zh-CN"/>
                <w14:textFill>
                  <w14:solidFill>
                    <w14:schemeClr w14:val="tx1"/>
                  </w14:solidFill>
                </w14:textFill>
              </w:rPr>
            </w:pPr>
          </w:p>
        </w:tc>
      </w:tr>
      <w:tr w14:paraId="7FE5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shd w:val="clear" w:color="auto" w:fill="auto"/>
            <w:noWrap w:val="0"/>
            <w:vAlign w:val="center"/>
          </w:tcPr>
          <w:p w14:paraId="5497FDDD">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100</w:t>
            </w:r>
          </w:p>
        </w:tc>
        <w:tc>
          <w:tcPr>
            <w:tcW w:w="5566" w:type="dxa"/>
            <w:tcBorders>
              <w:tl2br w:val="nil"/>
              <w:tr2bl w:val="nil"/>
            </w:tcBorders>
            <w:noWrap w:val="0"/>
            <w:vAlign w:val="center"/>
          </w:tcPr>
          <w:p w14:paraId="0162F96C">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荔浦市青山镇永镇小学</w:t>
            </w:r>
          </w:p>
        </w:tc>
        <w:tc>
          <w:tcPr>
            <w:tcW w:w="2729" w:type="dxa"/>
            <w:vMerge w:val="continue"/>
            <w:tcBorders>
              <w:tl2br w:val="nil"/>
              <w:tr2bl w:val="nil"/>
            </w:tcBorders>
            <w:noWrap w:val="0"/>
          </w:tcPr>
          <w:p w14:paraId="6C773EEE">
            <w:pPr>
              <w:rPr>
                <w:rFonts w:hint="eastAsia" w:ascii="宋体" w:hAnsi="宋体" w:cs="宋体"/>
                <w:color w:val="000000" w:themeColor="text1"/>
                <w:szCs w:val="21"/>
                <w:highlight w:val="none"/>
                <w:lang w:eastAsia="zh-CN"/>
                <w14:textFill>
                  <w14:solidFill>
                    <w14:schemeClr w14:val="tx1"/>
                  </w14:solidFill>
                </w14:textFill>
              </w:rPr>
            </w:pPr>
          </w:p>
        </w:tc>
      </w:tr>
      <w:tr w14:paraId="294BD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shd w:val="clear" w:color="auto" w:fill="auto"/>
            <w:noWrap w:val="0"/>
            <w:vAlign w:val="center"/>
          </w:tcPr>
          <w:p w14:paraId="6995B2E5">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101</w:t>
            </w:r>
          </w:p>
        </w:tc>
        <w:tc>
          <w:tcPr>
            <w:tcW w:w="5566" w:type="dxa"/>
            <w:tcBorders>
              <w:tl2br w:val="nil"/>
              <w:tr2bl w:val="nil"/>
            </w:tcBorders>
            <w:noWrap w:val="0"/>
            <w:vAlign w:val="center"/>
          </w:tcPr>
          <w:p w14:paraId="0D8799AF">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荔浦市青山镇中心小学</w:t>
            </w:r>
          </w:p>
        </w:tc>
        <w:tc>
          <w:tcPr>
            <w:tcW w:w="2729" w:type="dxa"/>
            <w:vMerge w:val="continue"/>
            <w:tcBorders>
              <w:tl2br w:val="nil"/>
              <w:tr2bl w:val="nil"/>
            </w:tcBorders>
            <w:noWrap w:val="0"/>
          </w:tcPr>
          <w:p w14:paraId="4268183E">
            <w:pPr>
              <w:rPr>
                <w:rFonts w:hint="eastAsia" w:ascii="宋体" w:hAnsi="宋体" w:cs="宋体"/>
                <w:color w:val="000000" w:themeColor="text1"/>
                <w:szCs w:val="21"/>
                <w:highlight w:val="none"/>
                <w:lang w:eastAsia="zh-CN"/>
                <w14:textFill>
                  <w14:solidFill>
                    <w14:schemeClr w14:val="tx1"/>
                  </w14:solidFill>
                </w14:textFill>
              </w:rPr>
            </w:pPr>
          </w:p>
        </w:tc>
      </w:tr>
      <w:tr w14:paraId="6F78A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85" w:type="dxa"/>
            <w:tcBorders>
              <w:tl2br w:val="nil"/>
              <w:tr2bl w:val="nil"/>
            </w:tcBorders>
            <w:shd w:val="clear" w:color="auto" w:fill="auto"/>
            <w:noWrap w:val="0"/>
            <w:vAlign w:val="center"/>
          </w:tcPr>
          <w:p w14:paraId="3679DAAE">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102</w:t>
            </w:r>
          </w:p>
        </w:tc>
        <w:tc>
          <w:tcPr>
            <w:tcW w:w="5566" w:type="dxa"/>
            <w:tcBorders>
              <w:tl2br w:val="nil"/>
              <w:tr2bl w:val="nil"/>
            </w:tcBorders>
            <w:noWrap w:val="0"/>
            <w:vAlign w:val="center"/>
          </w:tcPr>
          <w:p w14:paraId="547ECD40">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荔浦市青山镇中心幼儿园</w:t>
            </w:r>
          </w:p>
        </w:tc>
        <w:tc>
          <w:tcPr>
            <w:tcW w:w="2729" w:type="dxa"/>
            <w:vMerge w:val="continue"/>
            <w:tcBorders>
              <w:tl2br w:val="nil"/>
              <w:tr2bl w:val="nil"/>
            </w:tcBorders>
            <w:noWrap w:val="0"/>
          </w:tcPr>
          <w:p w14:paraId="0EF7B04F">
            <w:pPr>
              <w:rPr>
                <w:rFonts w:hint="eastAsia" w:ascii="宋体" w:hAnsi="宋体" w:cs="宋体"/>
                <w:color w:val="000000" w:themeColor="text1"/>
                <w:szCs w:val="21"/>
                <w:highlight w:val="none"/>
                <w:lang w:eastAsia="zh-CN"/>
                <w14:textFill>
                  <w14:solidFill>
                    <w14:schemeClr w14:val="tx1"/>
                  </w14:solidFill>
                </w14:textFill>
              </w:rPr>
            </w:pPr>
          </w:p>
        </w:tc>
      </w:tr>
      <w:tr w14:paraId="4C34C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shd w:val="clear" w:color="auto" w:fill="auto"/>
            <w:noWrap w:val="0"/>
            <w:vAlign w:val="center"/>
          </w:tcPr>
          <w:p w14:paraId="64476933">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103</w:t>
            </w:r>
          </w:p>
        </w:tc>
        <w:tc>
          <w:tcPr>
            <w:tcW w:w="5566" w:type="dxa"/>
            <w:tcBorders>
              <w:tl2br w:val="nil"/>
              <w:tr2bl w:val="nil"/>
            </w:tcBorders>
            <w:noWrap w:val="0"/>
            <w:vAlign w:val="center"/>
          </w:tcPr>
          <w:p w14:paraId="2FD1CDE9">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荔浦市特殊教育学校</w:t>
            </w:r>
          </w:p>
        </w:tc>
        <w:tc>
          <w:tcPr>
            <w:tcW w:w="2729" w:type="dxa"/>
            <w:vMerge w:val="continue"/>
            <w:tcBorders>
              <w:tl2br w:val="nil"/>
              <w:tr2bl w:val="nil"/>
            </w:tcBorders>
            <w:noWrap w:val="0"/>
          </w:tcPr>
          <w:p w14:paraId="4997AC71">
            <w:pPr>
              <w:rPr>
                <w:rFonts w:hint="eastAsia" w:ascii="宋体" w:hAnsi="宋体" w:cs="宋体"/>
                <w:color w:val="000000" w:themeColor="text1"/>
                <w:szCs w:val="21"/>
                <w:highlight w:val="none"/>
                <w:lang w:eastAsia="zh-CN"/>
                <w14:textFill>
                  <w14:solidFill>
                    <w14:schemeClr w14:val="tx1"/>
                  </w14:solidFill>
                </w14:textFill>
              </w:rPr>
            </w:pPr>
          </w:p>
        </w:tc>
      </w:tr>
      <w:tr w14:paraId="2C75B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shd w:val="clear" w:color="auto" w:fill="auto"/>
            <w:noWrap w:val="0"/>
            <w:vAlign w:val="center"/>
          </w:tcPr>
          <w:p w14:paraId="0FC2927E">
            <w:pPr>
              <w:keepNext w:val="0"/>
              <w:keepLines w:val="0"/>
              <w:widowControl/>
              <w:suppressLineNumbers w:val="0"/>
              <w:jc w:val="center"/>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104</w:t>
            </w:r>
          </w:p>
        </w:tc>
        <w:tc>
          <w:tcPr>
            <w:tcW w:w="5566" w:type="dxa"/>
            <w:tcBorders>
              <w:tl2br w:val="nil"/>
              <w:tr2bl w:val="nil"/>
            </w:tcBorders>
            <w:noWrap w:val="0"/>
            <w:vAlign w:val="center"/>
          </w:tcPr>
          <w:p w14:paraId="1F2736AF">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荔浦市青山镇青山初级中学</w:t>
            </w:r>
          </w:p>
        </w:tc>
        <w:tc>
          <w:tcPr>
            <w:tcW w:w="2729" w:type="dxa"/>
            <w:vMerge w:val="continue"/>
            <w:tcBorders>
              <w:tl2br w:val="nil"/>
              <w:tr2bl w:val="nil"/>
            </w:tcBorders>
            <w:noWrap w:val="0"/>
          </w:tcPr>
          <w:p w14:paraId="1E4C6FBD">
            <w:pPr>
              <w:rPr>
                <w:rFonts w:hint="eastAsia" w:ascii="宋体" w:hAnsi="宋体" w:cs="宋体"/>
                <w:color w:val="000000" w:themeColor="text1"/>
                <w:szCs w:val="21"/>
                <w:highlight w:val="none"/>
                <w:lang w:eastAsia="zh-CN"/>
                <w14:textFill>
                  <w14:solidFill>
                    <w14:schemeClr w14:val="tx1"/>
                  </w14:solidFill>
                </w14:textFill>
              </w:rPr>
            </w:pPr>
          </w:p>
        </w:tc>
      </w:tr>
      <w:tr w14:paraId="323D1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shd w:val="clear" w:color="auto" w:fill="auto"/>
            <w:noWrap w:val="0"/>
            <w:vAlign w:val="center"/>
          </w:tcPr>
          <w:p w14:paraId="6B0122E0">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en-US"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105</w:t>
            </w:r>
          </w:p>
        </w:tc>
        <w:tc>
          <w:tcPr>
            <w:tcW w:w="5566" w:type="dxa"/>
            <w:tcBorders>
              <w:tl2br w:val="nil"/>
              <w:tr2bl w:val="nil"/>
            </w:tcBorders>
            <w:noWrap w:val="0"/>
            <w:vAlign w:val="center"/>
          </w:tcPr>
          <w:p w14:paraId="2D2D27D9">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荔浦市新坪镇安民小学</w:t>
            </w:r>
          </w:p>
        </w:tc>
        <w:tc>
          <w:tcPr>
            <w:tcW w:w="2729" w:type="dxa"/>
            <w:vMerge w:val="restart"/>
            <w:tcBorders>
              <w:tl2br w:val="nil"/>
              <w:tr2bl w:val="nil"/>
            </w:tcBorders>
            <w:noWrap w:val="0"/>
          </w:tcPr>
          <w:p w14:paraId="56C50A7D">
            <w:pPr>
              <w:spacing w:line="281" w:lineRule="auto"/>
              <w:rPr>
                <w:rFonts w:hint="eastAsia" w:ascii="宋体" w:hAnsi="宋体" w:cs="宋体"/>
                <w:color w:val="000000" w:themeColor="text1"/>
                <w:szCs w:val="21"/>
                <w:highlight w:val="none"/>
                <w:lang w:eastAsia="zh-CN"/>
                <w14:textFill>
                  <w14:solidFill>
                    <w14:schemeClr w14:val="tx1"/>
                  </w14:solidFill>
                </w14:textFill>
              </w:rPr>
            </w:pPr>
          </w:p>
          <w:p w14:paraId="768DA093">
            <w:pPr>
              <w:spacing w:line="281" w:lineRule="auto"/>
              <w:rPr>
                <w:rFonts w:hint="eastAsia" w:ascii="宋体" w:hAnsi="宋体" w:cs="宋体"/>
                <w:color w:val="000000" w:themeColor="text1"/>
                <w:szCs w:val="21"/>
                <w:highlight w:val="none"/>
                <w:lang w:eastAsia="zh-CN"/>
                <w14:textFill>
                  <w14:solidFill>
                    <w14:schemeClr w14:val="tx1"/>
                  </w14:solidFill>
                </w14:textFill>
              </w:rPr>
            </w:pPr>
          </w:p>
          <w:p w14:paraId="1D05D80E">
            <w:pPr>
              <w:spacing w:line="282" w:lineRule="auto"/>
              <w:rPr>
                <w:rFonts w:hint="eastAsia" w:ascii="宋体" w:hAnsi="宋体" w:cs="宋体"/>
                <w:color w:val="000000" w:themeColor="text1"/>
                <w:szCs w:val="21"/>
                <w:highlight w:val="none"/>
                <w:lang w:eastAsia="zh-CN"/>
                <w14:textFill>
                  <w14:solidFill>
                    <w14:schemeClr w14:val="tx1"/>
                  </w14:solidFill>
                </w14:textFill>
              </w:rPr>
            </w:pPr>
          </w:p>
          <w:p w14:paraId="61127575">
            <w:pPr>
              <w:spacing w:line="282" w:lineRule="auto"/>
              <w:rPr>
                <w:rFonts w:hint="eastAsia" w:ascii="宋体" w:hAnsi="宋体" w:cs="宋体"/>
                <w:color w:val="000000" w:themeColor="text1"/>
                <w:szCs w:val="21"/>
                <w:highlight w:val="none"/>
                <w:lang w:eastAsia="zh-CN"/>
                <w14:textFill>
                  <w14:solidFill>
                    <w14:schemeClr w14:val="tx1"/>
                  </w14:solidFill>
                </w14:textFill>
              </w:rPr>
            </w:pPr>
          </w:p>
          <w:p w14:paraId="0328318D">
            <w:pPr>
              <w:spacing w:line="282" w:lineRule="auto"/>
              <w:rPr>
                <w:rFonts w:hint="eastAsia" w:ascii="宋体" w:hAnsi="宋体" w:cs="宋体"/>
                <w:color w:val="000000" w:themeColor="text1"/>
                <w:szCs w:val="21"/>
                <w:highlight w:val="none"/>
                <w:lang w:eastAsia="zh-CN"/>
                <w14:textFill>
                  <w14:solidFill>
                    <w14:schemeClr w14:val="tx1"/>
                  </w14:solidFill>
                </w14:textFill>
              </w:rPr>
            </w:pPr>
          </w:p>
          <w:p w14:paraId="05F7FEA2">
            <w:pPr>
              <w:pStyle w:val="343"/>
              <w:spacing w:before="78" w:line="219" w:lineRule="auto"/>
              <w:ind w:left="1309"/>
              <w:rPr>
                <w:color w:val="000000" w:themeColor="text1"/>
                <w:spacing w:val="-4"/>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新坪镇</w:t>
            </w:r>
          </w:p>
          <w:p w14:paraId="35B56C4C">
            <w:pPr>
              <w:rPr>
                <w:rFonts w:hint="eastAsia" w:ascii="宋体" w:hAnsi="宋体" w:cs="宋体"/>
                <w:color w:val="000000" w:themeColor="text1"/>
                <w:szCs w:val="21"/>
                <w:highlight w:val="none"/>
                <w:lang w:eastAsia="zh-CN"/>
                <w14:textFill>
                  <w14:solidFill>
                    <w14:schemeClr w14:val="tx1"/>
                  </w14:solidFill>
                </w14:textFill>
              </w:rPr>
            </w:pPr>
          </w:p>
        </w:tc>
      </w:tr>
      <w:tr w14:paraId="6922D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noWrap w:val="0"/>
            <w:vAlign w:val="center"/>
          </w:tcPr>
          <w:p w14:paraId="5E6F71E8">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106</w:t>
            </w:r>
          </w:p>
        </w:tc>
        <w:tc>
          <w:tcPr>
            <w:tcW w:w="5566" w:type="dxa"/>
            <w:tcBorders>
              <w:tl2br w:val="nil"/>
              <w:tr2bl w:val="nil"/>
            </w:tcBorders>
            <w:noWrap w:val="0"/>
            <w:vAlign w:val="center"/>
          </w:tcPr>
          <w:p w14:paraId="0406FE6B">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荔浦市新坪镇大旺小学</w:t>
            </w:r>
          </w:p>
        </w:tc>
        <w:tc>
          <w:tcPr>
            <w:tcW w:w="2729" w:type="dxa"/>
            <w:vMerge w:val="continue"/>
            <w:tcBorders>
              <w:tl2br w:val="nil"/>
              <w:tr2bl w:val="nil"/>
            </w:tcBorders>
            <w:noWrap w:val="0"/>
          </w:tcPr>
          <w:p w14:paraId="6C562AF7">
            <w:pPr>
              <w:rPr>
                <w:rFonts w:hint="eastAsia" w:ascii="宋体" w:hAnsi="宋体" w:cs="宋体"/>
                <w:color w:val="000000" w:themeColor="text1"/>
                <w:szCs w:val="21"/>
                <w:highlight w:val="none"/>
                <w:lang w:eastAsia="zh-CN"/>
                <w14:textFill>
                  <w14:solidFill>
                    <w14:schemeClr w14:val="tx1"/>
                  </w14:solidFill>
                </w14:textFill>
              </w:rPr>
            </w:pPr>
          </w:p>
        </w:tc>
      </w:tr>
      <w:tr w14:paraId="618CD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noWrap w:val="0"/>
            <w:vAlign w:val="center"/>
          </w:tcPr>
          <w:p w14:paraId="19C5F85B">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107</w:t>
            </w:r>
          </w:p>
        </w:tc>
        <w:tc>
          <w:tcPr>
            <w:tcW w:w="5566" w:type="dxa"/>
            <w:tcBorders>
              <w:tl2br w:val="nil"/>
              <w:tr2bl w:val="nil"/>
            </w:tcBorders>
            <w:noWrap w:val="0"/>
            <w:vAlign w:val="center"/>
          </w:tcPr>
          <w:p w14:paraId="29897E57">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荔浦市新坪镇凤田小学</w:t>
            </w:r>
          </w:p>
        </w:tc>
        <w:tc>
          <w:tcPr>
            <w:tcW w:w="2729" w:type="dxa"/>
            <w:vMerge w:val="continue"/>
            <w:tcBorders>
              <w:tl2br w:val="nil"/>
              <w:tr2bl w:val="nil"/>
            </w:tcBorders>
            <w:noWrap w:val="0"/>
          </w:tcPr>
          <w:p w14:paraId="6A04D5AE">
            <w:pPr>
              <w:rPr>
                <w:rFonts w:hint="eastAsia" w:ascii="宋体" w:hAnsi="宋体" w:cs="宋体"/>
                <w:color w:val="000000" w:themeColor="text1"/>
                <w:szCs w:val="21"/>
                <w:highlight w:val="none"/>
                <w:lang w:eastAsia="zh-CN"/>
                <w14:textFill>
                  <w14:solidFill>
                    <w14:schemeClr w14:val="tx1"/>
                  </w14:solidFill>
                </w14:textFill>
              </w:rPr>
            </w:pPr>
          </w:p>
        </w:tc>
      </w:tr>
      <w:tr w14:paraId="7CD73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noWrap w:val="0"/>
            <w:vAlign w:val="center"/>
          </w:tcPr>
          <w:p w14:paraId="2D21AA99">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108</w:t>
            </w:r>
          </w:p>
        </w:tc>
        <w:tc>
          <w:tcPr>
            <w:tcW w:w="5566" w:type="dxa"/>
            <w:tcBorders>
              <w:tl2br w:val="nil"/>
              <w:tr2bl w:val="nil"/>
            </w:tcBorders>
            <w:noWrap w:val="0"/>
            <w:vAlign w:val="center"/>
          </w:tcPr>
          <w:p w14:paraId="25AC397E">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荔浦市新坪镇桂东小学</w:t>
            </w:r>
          </w:p>
        </w:tc>
        <w:tc>
          <w:tcPr>
            <w:tcW w:w="2729" w:type="dxa"/>
            <w:vMerge w:val="continue"/>
            <w:tcBorders>
              <w:tl2br w:val="nil"/>
              <w:tr2bl w:val="nil"/>
            </w:tcBorders>
            <w:noWrap w:val="0"/>
          </w:tcPr>
          <w:p w14:paraId="066B4B62">
            <w:pPr>
              <w:rPr>
                <w:rFonts w:hint="eastAsia" w:ascii="宋体" w:hAnsi="宋体" w:cs="宋体"/>
                <w:color w:val="000000" w:themeColor="text1"/>
                <w:szCs w:val="21"/>
                <w:highlight w:val="none"/>
                <w:lang w:eastAsia="zh-CN"/>
                <w14:textFill>
                  <w14:solidFill>
                    <w14:schemeClr w14:val="tx1"/>
                  </w14:solidFill>
                </w14:textFill>
              </w:rPr>
            </w:pPr>
          </w:p>
        </w:tc>
      </w:tr>
      <w:tr w14:paraId="5D46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noWrap w:val="0"/>
            <w:vAlign w:val="center"/>
          </w:tcPr>
          <w:p w14:paraId="0B4EB36E">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109</w:t>
            </w:r>
          </w:p>
        </w:tc>
        <w:tc>
          <w:tcPr>
            <w:tcW w:w="5566" w:type="dxa"/>
            <w:tcBorders>
              <w:tl2br w:val="nil"/>
              <w:tr2bl w:val="nil"/>
            </w:tcBorders>
            <w:noWrap w:val="0"/>
            <w:vAlign w:val="center"/>
          </w:tcPr>
          <w:p w14:paraId="7038CE96">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荔浦市新坪镇汉田小学</w:t>
            </w:r>
          </w:p>
        </w:tc>
        <w:tc>
          <w:tcPr>
            <w:tcW w:w="2729" w:type="dxa"/>
            <w:vMerge w:val="continue"/>
            <w:tcBorders>
              <w:tl2br w:val="nil"/>
              <w:tr2bl w:val="nil"/>
            </w:tcBorders>
            <w:noWrap w:val="0"/>
          </w:tcPr>
          <w:p w14:paraId="0C03A06A">
            <w:pPr>
              <w:rPr>
                <w:rFonts w:hint="eastAsia" w:ascii="宋体" w:hAnsi="宋体" w:cs="宋体"/>
                <w:color w:val="000000" w:themeColor="text1"/>
                <w:szCs w:val="21"/>
                <w:highlight w:val="none"/>
                <w:lang w:eastAsia="zh-CN"/>
                <w14:textFill>
                  <w14:solidFill>
                    <w14:schemeClr w14:val="tx1"/>
                  </w14:solidFill>
                </w14:textFill>
              </w:rPr>
            </w:pPr>
          </w:p>
        </w:tc>
      </w:tr>
      <w:tr w14:paraId="00497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85" w:type="dxa"/>
            <w:tcBorders>
              <w:tl2br w:val="nil"/>
              <w:tr2bl w:val="nil"/>
            </w:tcBorders>
            <w:noWrap w:val="0"/>
            <w:vAlign w:val="center"/>
          </w:tcPr>
          <w:p w14:paraId="2E955EC0">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110</w:t>
            </w:r>
          </w:p>
        </w:tc>
        <w:tc>
          <w:tcPr>
            <w:tcW w:w="5566" w:type="dxa"/>
            <w:tcBorders>
              <w:tl2br w:val="nil"/>
              <w:tr2bl w:val="nil"/>
            </w:tcBorders>
            <w:noWrap w:val="0"/>
            <w:vAlign w:val="center"/>
          </w:tcPr>
          <w:p w14:paraId="32A91205">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荔浦市新坪镇兴坪中心小学黄竹教学点</w:t>
            </w:r>
          </w:p>
        </w:tc>
        <w:tc>
          <w:tcPr>
            <w:tcW w:w="2729" w:type="dxa"/>
            <w:vMerge w:val="continue"/>
            <w:tcBorders>
              <w:tl2br w:val="nil"/>
              <w:tr2bl w:val="nil"/>
            </w:tcBorders>
            <w:noWrap w:val="0"/>
          </w:tcPr>
          <w:p w14:paraId="30ACE7D8">
            <w:pPr>
              <w:rPr>
                <w:rFonts w:hint="eastAsia" w:ascii="宋体" w:hAnsi="宋体" w:cs="宋体"/>
                <w:color w:val="000000" w:themeColor="text1"/>
                <w:szCs w:val="21"/>
                <w:highlight w:val="none"/>
                <w:lang w:eastAsia="zh-CN"/>
                <w14:textFill>
                  <w14:solidFill>
                    <w14:schemeClr w14:val="tx1"/>
                  </w14:solidFill>
                </w14:textFill>
              </w:rPr>
            </w:pPr>
          </w:p>
        </w:tc>
      </w:tr>
      <w:tr w14:paraId="38430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noWrap w:val="0"/>
            <w:vAlign w:val="center"/>
          </w:tcPr>
          <w:p w14:paraId="144B7896">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111</w:t>
            </w:r>
          </w:p>
        </w:tc>
        <w:tc>
          <w:tcPr>
            <w:tcW w:w="5566" w:type="dxa"/>
            <w:tcBorders>
              <w:tl2br w:val="nil"/>
              <w:tr2bl w:val="nil"/>
            </w:tcBorders>
            <w:noWrap w:val="0"/>
            <w:vAlign w:val="center"/>
          </w:tcPr>
          <w:p w14:paraId="71AE199B">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荔浦市新坪镇兴坪中心小学</w:t>
            </w:r>
          </w:p>
        </w:tc>
        <w:tc>
          <w:tcPr>
            <w:tcW w:w="2729" w:type="dxa"/>
            <w:vMerge w:val="continue"/>
            <w:tcBorders>
              <w:tl2br w:val="nil"/>
              <w:tr2bl w:val="nil"/>
            </w:tcBorders>
            <w:noWrap w:val="0"/>
          </w:tcPr>
          <w:p w14:paraId="1F3D1863">
            <w:pPr>
              <w:rPr>
                <w:rFonts w:hint="eastAsia" w:ascii="宋体" w:hAnsi="宋体" w:cs="宋体"/>
                <w:color w:val="000000" w:themeColor="text1"/>
                <w:szCs w:val="21"/>
                <w:highlight w:val="none"/>
                <w:lang w:eastAsia="zh-CN"/>
                <w14:textFill>
                  <w14:solidFill>
                    <w14:schemeClr w14:val="tx1"/>
                  </w14:solidFill>
                </w14:textFill>
              </w:rPr>
            </w:pPr>
          </w:p>
        </w:tc>
      </w:tr>
      <w:tr w14:paraId="24325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noWrap w:val="0"/>
            <w:vAlign w:val="center"/>
          </w:tcPr>
          <w:p w14:paraId="170A9689">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112</w:t>
            </w:r>
          </w:p>
        </w:tc>
        <w:tc>
          <w:tcPr>
            <w:tcW w:w="5566" w:type="dxa"/>
            <w:tcBorders>
              <w:tl2br w:val="nil"/>
              <w:tr2bl w:val="nil"/>
            </w:tcBorders>
            <w:noWrap w:val="0"/>
            <w:vAlign w:val="center"/>
          </w:tcPr>
          <w:p w14:paraId="48C10870">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荔浦市新坪镇中心幼儿园</w:t>
            </w:r>
          </w:p>
        </w:tc>
        <w:tc>
          <w:tcPr>
            <w:tcW w:w="2729" w:type="dxa"/>
            <w:vMerge w:val="continue"/>
            <w:tcBorders>
              <w:tl2br w:val="nil"/>
              <w:tr2bl w:val="nil"/>
            </w:tcBorders>
            <w:noWrap w:val="0"/>
          </w:tcPr>
          <w:p w14:paraId="628EA9EC">
            <w:pPr>
              <w:rPr>
                <w:rFonts w:hint="eastAsia" w:ascii="宋体" w:hAnsi="宋体" w:cs="宋体"/>
                <w:color w:val="000000" w:themeColor="text1"/>
                <w:szCs w:val="21"/>
                <w:highlight w:val="none"/>
                <w:lang w:eastAsia="zh-CN"/>
                <w14:textFill>
                  <w14:solidFill>
                    <w14:schemeClr w14:val="tx1"/>
                  </w14:solidFill>
                </w14:textFill>
              </w:rPr>
            </w:pPr>
          </w:p>
        </w:tc>
      </w:tr>
      <w:tr w14:paraId="1B570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noWrap w:val="0"/>
            <w:vAlign w:val="center"/>
          </w:tcPr>
          <w:p w14:paraId="11071D14">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113</w:t>
            </w:r>
          </w:p>
        </w:tc>
        <w:tc>
          <w:tcPr>
            <w:tcW w:w="5566" w:type="dxa"/>
            <w:tcBorders>
              <w:tl2br w:val="nil"/>
              <w:tr2bl w:val="nil"/>
            </w:tcBorders>
            <w:noWrap w:val="0"/>
            <w:vAlign w:val="center"/>
          </w:tcPr>
          <w:p w14:paraId="0C642DB1">
            <w:pPr>
              <w:keepNext w:val="0"/>
              <w:keepLines w:val="0"/>
              <w:widowControl/>
              <w:suppressLineNumbers w:val="0"/>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荔浦市新坪镇初级中学</w:t>
            </w:r>
          </w:p>
        </w:tc>
        <w:tc>
          <w:tcPr>
            <w:tcW w:w="2729" w:type="dxa"/>
            <w:vMerge w:val="continue"/>
            <w:tcBorders>
              <w:tl2br w:val="nil"/>
              <w:tr2bl w:val="nil"/>
            </w:tcBorders>
            <w:noWrap w:val="0"/>
          </w:tcPr>
          <w:p w14:paraId="6E25ED10">
            <w:pPr>
              <w:rPr>
                <w:rFonts w:hint="eastAsia" w:ascii="宋体" w:hAnsi="宋体" w:cs="宋体"/>
                <w:color w:val="000000" w:themeColor="text1"/>
                <w:szCs w:val="21"/>
                <w:highlight w:val="none"/>
                <w:lang w:eastAsia="zh-CN"/>
                <w14:textFill>
                  <w14:solidFill>
                    <w14:schemeClr w14:val="tx1"/>
                  </w14:solidFill>
                </w14:textFill>
              </w:rPr>
            </w:pPr>
          </w:p>
        </w:tc>
      </w:tr>
      <w:tr w14:paraId="5844B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85" w:type="dxa"/>
            <w:tcBorders>
              <w:tl2br w:val="nil"/>
              <w:tr2bl w:val="nil"/>
            </w:tcBorders>
            <w:noWrap w:val="0"/>
            <w:vAlign w:val="center"/>
          </w:tcPr>
          <w:p w14:paraId="3BBAE1A8">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114</w:t>
            </w:r>
          </w:p>
        </w:tc>
        <w:tc>
          <w:tcPr>
            <w:tcW w:w="5566" w:type="dxa"/>
            <w:tcBorders>
              <w:tl2br w:val="nil"/>
              <w:tr2bl w:val="nil"/>
            </w:tcBorders>
            <w:shd w:val="clear" w:color="auto" w:fill="auto"/>
            <w:noWrap w:val="0"/>
            <w:vAlign w:val="center"/>
          </w:tcPr>
          <w:p w14:paraId="12A21482">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荔浦市新坪镇清江教学点</w:t>
            </w:r>
          </w:p>
        </w:tc>
        <w:tc>
          <w:tcPr>
            <w:tcW w:w="2729" w:type="dxa"/>
            <w:vMerge w:val="continue"/>
            <w:tcBorders>
              <w:tl2br w:val="nil"/>
              <w:tr2bl w:val="nil"/>
            </w:tcBorders>
            <w:noWrap w:val="0"/>
          </w:tcPr>
          <w:p w14:paraId="673D8465">
            <w:pPr>
              <w:rPr>
                <w:rFonts w:hint="eastAsia" w:ascii="宋体" w:hAnsi="宋体" w:cs="宋体"/>
                <w:color w:val="000000" w:themeColor="text1"/>
                <w:szCs w:val="21"/>
                <w:highlight w:val="none"/>
                <w:lang w:eastAsia="zh-CN"/>
                <w14:textFill>
                  <w14:solidFill>
                    <w14:schemeClr w14:val="tx1"/>
                  </w14:solidFill>
                </w14:textFill>
              </w:rPr>
            </w:pPr>
          </w:p>
        </w:tc>
      </w:tr>
    </w:tbl>
    <w:p w14:paraId="7AB73535">
      <w:pPr>
        <w:rPr>
          <w:rFonts w:hint="eastAsia"/>
        </w:rPr>
      </w:pPr>
    </w:p>
    <w:p w14:paraId="1E056EB4">
      <w:pPr>
        <w:rPr>
          <w:rFonts w:hint="eastAsia"/>
        </w:rPr>
      </w:pPr>
    </w:p>
    <w:p w14:paraId="4D05B8DA">
      <w:pPr>
        <w:rPr>
          <w:rFonts w:hint="eastAsia"/>
        </w:rPr>
      </w:pPr>
    </w:p>
    <w:p w14:paraId="5F16AA44">
      <w:pPr>
        <w:rPr>
          <w:rFonts w:hint="eastAsia"/>
        </w:rPr>
      </w:pPr>
    </w:p>
    <w:p w14:paraId="15A9D2D0">
      <w:pPr>
        <w:rPr>
          <w:rFonts w:hint="eastAsia"/>
        </w:rPr>
      </w:pPr>
    </w:p>
    <w:p w14:paraId="4221125A">
      <w:pPr>
        <w:rPr>
          <w:rFonts w:hint="eastAsia"/>
        </w:rPr>
      </w:pPr>
    </w:p>
    <w:p w14:paraId="2871002A">
      <w:pPr>
        <w:rPr>
          <w:rFonts w:hint="eastAsia"/>
        </w:rPr>
      </w:pPr>
    </w:p>
    <w:p w14:paraId="05411684">
      <w:pPr>
        <w:rPr>
          <w:rFonts w:hint="eastAsia"/>
        </w:rPr>
      </w:pPr>
    </w:p>
    <w:p w14:paraId="3E77B573">
      <w:pPr>
        <w:rPr>
          <w:rFonts w:hint="eastAsia"/>
        </w:rPr>
      </w:pPr>
    </w:p>
    <w:p w14:paraId="33D6BB68">
      <w:pPr>
        <w:rPr>
          <w:rFonts w:hint="eastAsia"/>
        </w:rPr>
      </w:pPr>
    </w:p>
    <w:p w14:paraId="2C5DBF60">
      <w:pPr>
        <w:rPr>
          <w:rFonts w:hint="eastAsia"/>
        </w:rPr>
      </w:pPr>
    </w:p>
    <w:p w14:paraId="3D5259B0">
      <w:pPr>
        <w:rPr>
          <w:rFonts w:hint="eastAsia"/>
        </w:rPr>
      </w:pPr>
    </w:p>
    <w:p w14:paraId="66E28400">
      <w:pPr>
        <w:rPr>
          <w:rFonts w:hint="eastAsia"/>
        </w:rPr>
      </w:pPr>
    </w:p>
    <w:p w14:paraId="4B4E4486">
      <w:pPr>
        <w:rPr>
          <w:rFonts w:hint="eastAsia"/>
        </w:rPr>
      </w:pPr>
    </w:p>
    <w:p w14:paraId="1D9A19BB">
      <w:pPr>
        <w:rPr>
          <w:rFonts w:hint="eastAsia"/>
        </w:rPr>
      </w:pPr>
    </w:p>
    <w:p w14:paraId="4863A682">
      <w:pPr>
        <w:rPr>
          <w:rFonts w:hint="eastAsia"/>
        </w:rPr>
      </w:pPr>
    </w:p>
    <w:p w14:paraId="0D8567CA">
      <w:pPr>
        <w:rPr>
          <w:rFonts w:hint="eastAsia"/>
        </w:rPr>
      </w:pPr>
    </w:p>
    <w:p w14:paraId="2813127A">
      <w:pPr>
        <w:rPr>
          <w:rFonts w:hint="eastAsia"/>
        </w:rPr>
      </w:pPr>
    </w:p>
    <w:p w14:paraId="18C0FECA">
      <w:pPr>
        <w:rPr>
          <w:rFonts w:hint="eastAsia"/>
        </w:rPr>
      </w:pPr>
    </w:p>
    <w:p w14:paraId="0A2C7590">
      <w:pPr>
        <w:rPr>
          <w:rFonts w:hint="eastAsia"/>
        </w:rPr>
      </w:pPr>
    </w:p>
    <w:p w14:paraId="09672CDD">
      <w:pPr>
        <w:rPr>
          <w:rFonts w:hint="eastAsia"/>
        </w:rPr>
      </w:pPr>
    </w:p>
    <w:p w14:paraId="50590E59">
      <w:pPr>
        <w:rPr>
          <w:rFonts w:hint="eastAsia"/>
        </w:rPr>
      </w:pPr>
    </w:p>
    <w:p w14:paraId="6B7C6518">
      <w:pPr>
        <w:rPr>
          <w:rFonts w:hint="eastAsia"/>
        </w:rPr>
      </w:pPr>
    </w:p>
    <w:p w14:paraId="75C6EBED">
      <w:pPr>
        <w:rPr>
          <w:rFonts w:hint="eastAsia"/>
        </w:rPr>
      </w:pPr>
    </w:p>
    <w:p w14:paraId="56B41CEC">
      <w:pPr>
        <w:rPr>
          <w:rFonts w:hint="eastAsia"/>
        </w:rPr>
      </w:pPr>
    </w:p>
    <w:p w14:paraId="717EFD5C">
      <w:pPr>
        <w:rPr>
          <w:rFonts w:hint="eastAsia"/>
        </w:rPr>
      </w:pPr>
    </w:p>
    <w:p w14:paraId="76AD1957">
      <w:pPr>
        <w:rPr>
          <w:rFonts w:hint="eastAsia"/>
        </w:rPr>
      </w:pPr>
    </w:p>
    <w:p w14:paraId="36ED88A6">
      <w:pPr>
        <w:rPr>
          <w:rFonts w:hint="eastAsia"/>
        </w:rPr>
      </w:pPr>
    </w:p>
    <w:p w14:paraId="5AFD6807">
      <w:pPr>
        <w:rPr>
          <w:rFonts w:hint="eastAsia"/>
        </w:rPr>
      </w:pPr>
    </w:p>
    <w:p w14:paraId="45A76561">
      <w:pPr>
        <w:rPr>
          <w:rFonts w:hint="eastAsia"/>
        </w:rPr>
      </w:pPr>
    </w:p>
    <w:p w14:paraId="6076321D">
      <w:pPr>
        <w:rPr>
          <w:rFonts w:hint="eastAsia"/>
        </w:rPr>
      </w:pPr>
    </w:p>
    <w:p w14:paraId="5802CA85">
      <w:pPr>
        <w:rPr>
          <w:rFonts w:hint="eastAsia"/>
        </w:rPr>
      </w:pPr>
    </w:p>
    <w:p w14:paraId="601DBFA3">
      <w:pPr>
        <w:rPr>
          <w:rFonts w:hint="eastAsia"/>
        </w:rPr>
      </w:pPr>
    </w:p>
    <w:p w14:paraId="634356B4">
      <w:pPr>
        <w:rPr>
          <w:rFonts w:hint="eastAsia"/>
        </w:rPr>
      </w:pPr>
    </w:p>
    <w:p w14:paraId="24412A66">
      <w:pPr>
        <w:rPr>
          <w:rFonts w:hint="eastAsia"/>
        </w:rPr>
      </w:pPr>
    </w:p>
    <w:p w14:paraId="092EF36E">
      <w:pPr>
        <w:rPr>
          <w:rFonts w:hint="eastAsia"/>
        </w:rPr>
      </w:pPr>
    </w:p>
    <w:p w14:paraId="792ED972">
      <w:pPr>
        <w:rPr>
          <w:rFonts w:hint="default" w:eastAsia="宋体"/>
          <w:lang w:val="en-US" w:eastAsia="zh-CN"/>
        </w:rPr>
      </w:pPr>
      <w:r>
        <w:rPr>
          <w:rFonts w:hint="eastAsia"/>
          <w:lang w:val="en-US" w:eastAsia="zh-CN"/>
        </w:rPr>
        <w:t>附件2：荔浦市教育城域网项目服务标准</w:t>
      </w:r>
    </w:p>
    <w:tbl>
      <w:tblPr>
        <w:tblStyle w:val="30"/>
        <w:tblpPr w:leftFromText="180" w:rightFromText="180" w:vertAnchor="text" w:horzAnchor="page" w:tblpX="1116" w:tblpY="123"/>
        <w:tblOverlap w:val="never"/>
        <w:tblW w:w="0" w:type="auto"/>
        <w:tblInd w:w="0" w:type="dxa"/>
        <w:tblLayout w:type="fixed"/>
        <w:tblCellMar>
          <w:top w:w="0" w:type="dxa"/>
          <w:left w:w="108" w:type="dxa"/>
          <w:bottom w:w="0" w:type="dxa"/>
          <w:right w:w="108" w:type="dxa"/>
        </w:tblCellMar>
      </w:tblPr>
      <w:tblGrid>
        <w:gridCol w:w="647"/>
        <w:gridCol w:w="4119"/>
        <w:gridCol w:w="819"/>
        <w:gridCol w:w="3658"/>
        <w:gridCol w:w="721"/>
      </w:tblGrid>
      <w:tr w14:paraId="322FAD45">
        <w:tblPrEx>
          <w:tblCellMar>
            <w:top w:w="0" w:type="dxa"/>
            <w:left w:w="108" w:type="dxa"/>
            <w:bottom w:w="0" w:type="dxa"/>
            <w:right w:w="108" w:type="dxa"/>
          </w:tblCellMar>
        </w:tblPrEx>
        <w:trPr>
          <w:trHeight w:val="562"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007330A6">
            <w:pPr>
              <w:widowControl/>
              <w:jc w:val="center"/>
              <w:rPr>
                <w:rFonts w:ascii="宋体" w:hAnsi="宋体" w:cs="Arial"/>
                <w:b/>
                <w:bCs/>
                <w:color w:val="auto"/>
                <w:kern w:val="0"/>
                <w:szCs w:val="21"/>
                <w:highlight w:val="none"/>
              </w:rPr>
            </w:pPr>
            <w:r>
              <w:rPr>
                <w:rFonts w:hint="eastAsia" w:ascii="宋体" w:hAnsi="宋体" w:cs="Arial"/>
                <w:b/>
                <w:bCs/>
                <w:color w:val="auto"/>
                <w:kern w:val="0"/>
                <w:szCs w:val="21"/>
                <w:highlight w:val="none"/>
              </w:rPr>
              <w:t>序号</w:t>
            </w:r>
          </w:p>
        </w:tc>
        <w:tc>
          <w:tcPr>
            <w:tcW w:w="4119" w:type="dxa"/>
            <w:tcBorders>
              <w:top w:val="single" w:color="auto" w:sz="4" w:space="0"/>
              <w:left w:val="nil"/>
              <w:bottom w:val="single" w:color="auto" w:sz="4" w:space="0"/>
              <w:right w:val="single" w:color="auto" w:sz="4" w:space="0"/>
            </w:tcBorders>
            <w:noWrap w:val="0"/>
            <w:vAlign w:val="center"/>
          </w:tcPr>
          <w:p w14:paraId="0BEFDE6F">
            <w:pPr>
              <w:widowControl/>
              <w:jc w:val="center"/>
              <w:rPr>
                <w:rFonts w:hint="eastAsia" w:ascii="宋体" w:hAnsi="宋体" w:cs="Arial"/>
                <w:b/>
                <w:bCs/>
                <w:color w:val="auto"/>
                <w:kern w:val="0"/>
                <w:szCs w:val="21"/>
                <w:highlight w:val="none"/>
              </w:rPr>
            </w:pPr>
            <w:r>
              <w:rPr>
                <w:rFonts w:hint="eastAsia" w:ascii="宋体" w:hAnsi="宋体" w:cs="Arial"/>
                <w:b/>
                <w:bCs/>
                <w:color w:val="auto"/>
                <w:kern w:val="0"/>
                <w:szCs w:val="21"/>
                <w:highlight w:val="none"/>
              </w:rPr>
              <w:t>服务要求</w:t>
            </w:r>
          </w:p>
        </w:tc>
        <w:tc>
          <w:tcPr>
            <w:tcW w:w="819" w:type="dxa"/>
            <w:tcBorders>
              <w:top w:val="single" w:color="auto" w:sz="4" w:space="0"/>
              <w:left w:val="nil"/>
              <w:bottom w:val="single" w:color="auto" w:sz="4" w:space="0"/>
              <w:right w:val="single" w:color="auto" w:sz="4" w:space="0"/>
            </w:tcBorders>
            <w:noWrap w:val="0"/>
            <w:vAlign w:val="center"/>
          </w:tcPr>
          <w:p w14:paraId="44E60619">
            <w:pPr>
              <w:widowControl/>
              <w:jc w:val="center"/>
              <w:rPr>
                <w:rFonts w:hint="eastAsia" w:ascii="宋体" w:hAnsi="宋体" w:cs="Arial"/>
                <w:b/>
                <w:bCs/>
                <w:color w:val="auto"/>
                <w:kern w:val="0"/>
                <w:szCs w:val="21"/>
                <w:highlight w:val="none"/>
              </w:rPr>
            </w:pPr>
            <w:r>
              <w:rPr>
                <w:rFonts w:hint="eastAsia" w:ascii="宋体" w:hAnsi="宋体" w:cs="Arial"/>
                <w:b/>
                <w:bCs/>
                <w:color w:val="auto"/>
                <w:kern w:val="0"/>
                <w:szCs w:val="21"/>
                <w:highlight w:val="none"/>
              </w:rPr>
              <w:t>分值</w:t>
            </w:r>
          </w:p>
        </w:tc>
        <w:tc>
          <w:tcPr>
            <w:tcW w:w="3658" w:type="dxa"/>
            <w:tcBorders>
              <w:top w:val="single" w:color="auto" w:sz="4" w:space="0"/>
              <w:left w:val="nil"/>
              <w:bottom w:val="single" w:color="auto" w:sz="4" w:space="0"/>
              <w:right w:val="single" w:color="auto" w:sz="4" w:space="0"/>
            </w:tcBorders>
            <w:noWrap w:val="0"/>
            <w:vAlign w:val="center"/>
          </w:tcPr>
          <w:p w14:paraId="1FE88E8C">
            <w:pPr>
              <w:widowControl/>
              <w:jc w:val="center"/>
              <w:rPr>
                <w:rFonts w:hint="eastAsia" w:ascii="宋体" w:hAnsi="宋体" w:cs="Arial"/>
                <w:b/>
                <w:bCs/>
                <w:color w:val="auto"/>
                <w:kern w:val="0"/>
                <w:szCs w:val="21"/>
                <w:highlight w:val="none"/>
              </w:rPr>
            </w:pPr>
            <w:r>
              <w:rPr>
                <w:rFonts w:hint="eastAsia" w:ascii="宋体" w:hAnsi="宋体" w:cs="Arial"/>
                <w:b/>
                <w:bCs/>
                <w:color w:val="auto"/>
                <w:kern w:val="0"/>
                <w:szCs w:val="21"/>
                <w:highlight w:val="none"/>
              </w:rPr>
              <w:t>评分标准</w:t>
            </w:r>
          </w:p>
        </w:tc>
        <w:tc>
          <w:tcPr>
            <w:tcW w:w="721" w:type="dxa"/>
            <w:tcBorders>
              <w:top w:val="single" w:color="auto" w:sz="4" w:space="0"/>
              <w:left w:val="nil"/>
              <w:bottom w:val="single" w:color="auto" w:sz="4" w:space="0"/>
              <w:right w:val="single" w:color="auto" w:sz="4" w:space="0"/>
            </w:tcBorders>
            <w:noWrap w:val="0"/>
            <w:vAlign w:val="center"/>
          </w:tcPr>
          <w:p w14:paraId="410A05C9">
            <w:pPr>
              <w:widowControl/>
              <w:jc w:val="center"/>
              <w:rPr>
                <w:rFonts w:hint="eastAsia" w:ascii="宋体" w:hAnsi="宋体" w:cs="Arial"/>
                <w:b/>
                <w:bCs/>
                <w:color w:val="auto"/>
                <w:kern w:val="0"/>
                <w:szCs w:val="21"/>
                <w:highlight w:val="none"/>
              </w:rPr>
            </w:pPr>
            <w:r>
              <w:rPr>
                <w:rFonts w:hint="eastAsia" w:ascii="宋体" w:hAnsi="宋体" w:cs="Arial"/>
                <w:b/>
                <w:bCs/>
                <w:color w:val="auto"/>
                <w:kern w:val="0"/>
                <w:szCs w:val="21"/>
                <w:highlight w:val="none"/>
              </w:rPr>
              <w:t>备注</w:t>
            </w:r>
          </w:p>
        </w:tc>
      </w:tr>
      <w:tr w14:paraId="1EB91371">
        <w:tblPrEx>
          <w:tblCellMar>
            <w:top w:w="0" w:type="dxa"/>
            <w:left w:w="108" w:type="dxa"/>
            <w:bottom w:w="0" w:type="dxa"/>
            <w:right w:w="108" w:type="dxa"/>
          </w:tblCellMar>
        </w:tblPrEx>
        <w:trPr>
          <w:trHeight w:val="1113" w:hRule="atLeast"/>
        </w:trPr>
        <w:tc>
          <w:tcPr>
            <w:tcW w:w="647" w:type="dxa"/>
            <w:tcBorders>
              <w:top w:val="nil"/>
              <w:left w:val="single" w:color="auto" w:sz="4" w:space="0"/>
              <w:bottom w:val="single" w:color="auto" w:sz="4" w:space="0"/>
              <w:right w:val="single" w:color="auto" w:sz="4" w:space="0"/>
            </w:tcBorders>
            <w:noWrap w:val="0"/>
            <w:vAlign w:val="center"/>
          </w:tcPr>
          <w:p w14:paraId="267991E1">
            <w:pPr>
              <w:widowControl/>
              <w:jc w:val="center"/>
              <w:rPr>
                <w:rFonts w:hint="eastAsia"/>
                <w:color w:val="auto"/>
                <w:kern w:val="0"/>
                <w:szCs w:val="21"/>
                <w:highlight w:val="none"/>
              </w:rPr>
            </w:pPr>
            <w:r>
              <w:rPr>
                <w:color w:val="auto"/>
                <w:kern w:val="0"/>
                <w:szCs w:val="21"/>
                <w:highlight w:val="none"/>
              </w:rPr>
              <w:t>1</w:t>
            </w:r>
          </w:p>
        </w:tc>
        <w:tc>
          <w:tcPr>
            <w:tcW w:w="4119" w:type="dxa"/>
            <w:tcBorders>
              <w:top w:val="nil"/>
              <w:left w:val="nil"/>
              <w:bottom w:val="single" w:color="auto" w:sz="4" w:space="0"/>
              <w:right w:val="single" w:color="auto" w:sz="4" w:space="0"/>
            </w:tcBorders>
            <w:noWrap w:val="0"/>
            <w:vAlign w:val="center"/>
          </w:tcPr>
          <w:p w14:paraId="2F27DD58">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提供</w:t>
            </w:r>
            <w:r>
              <w:rPr>
                <w:rFonts w:hint="eastAsia" w:ascii="宋体" w:hAnsi="宋体" w:cs="Arial"/>
                <w:color w:val="auto"/>
                <w:kern w:val="0"/>
                <w:szCs w:val="21"/>
                <w:highlight w:val="none"/>
                <w:lang w:val="en-US" w:eastAsia="zh-CN"/>
              </w:rPr>
              <w:t>114</w:t>
            </w:r>
            <w:r>
              <w:rPr>
                <w:rFonts w:hint="eastAsia" w:ascii="宋体" w:hAnsi="宋体" w:cs="Arial"/>
                <w:color w:val="auto"/>
                <w:kern w:val="0"/>
                <w:szCs w:val="21"/>
                <w:highlight w:val="none"/>
              </w:rPr>
              <w:t>条链路的网络线路测试报告，链路要求为上下行带宽对等1G独享线路，平均网络延时≤50ms，端到端电路丢包率≤1%。</w:t>
            </w:r>
          </w:p>
        </w:tc>
        <w:tc>
          <w:tcPr>
            <w:tcW w:w="819" w:type="dxa"/>
            <w:tcBorders>
              <w:top w:val="nil"/>
              <w:left w:val="nil"/>
              <w:bottom w:val="single" w:color="auto" w:sz="4" w:space="0"/>
              <w:right w:val="single" w:color="auto" w:sz="4" w:space="0"/>
            </w:tcBorders>
            <w:noWrap w:val="0"/>
            <w:vAlign w:val="center"/>
          </w:tcPr>
          <w:p w14:paraId="688B5517">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43分</w:t>
            </w:r>
          </w:p>
        </w:tc>
        <w:tc>
          <w:tcPr>
            <w:tcW w:w="3658" w:type="dxa"/>
            <w:tcBorders>
              <w:top w:val="nil"/>
              <w:left w:val="nil"/>
              <w:bottom w:val="single" w:color="auto" w:sz="4" w:space="0"/>
              <w:right w:val="single" w:color="auto" w:sz="4" w:space="0"/>
            </w:tcBorders>
            <w:noWrap w:val="0"/>
            <w:vAlign w:val="center"/>
          </w:tcPr>
          <w:p w14:paraId="50A30B25">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网络线路测试报告中链路测试的性能数值低于服务要求， 每次每条链路扣0.5分，扣完为止。</w:t>
            </w:r>
          </w:p>
        </w:tc>
        <w:tc>
          <w:tcPr>
            <w:tcW w:w="721" w:type="dxa"/>
            <w:tcBorders>
              <w:top w:val="nil"/>
              <w:left w:val="nil"/>
              <w:bottom w:val="single" w:color="auto" w:sz="4" w:space="0"/>
              <w:right w:val="single" w:color="auto" w:sz="4" w:space="0"/>
            </w:tcBorders>
            <w:noWrap w:val="0"/>
            <w:vAlign w:val="center"/>
          </w:tcPr>
          <w:p w14:paraId="4C300A5A">
            <w:pPr>
              <w:widowControl/>
              <w:jc w:val="center"/>
              <w:rPr>
                <w:rFonts w:hint="eastAsia"/>
                <w:color w:val="auto"/>
                <w:kern w:val="0"/>
                <w:szCs w:val="21"/>
                <w:highlight w:val="none"/>
              </w:rPr>
            </w:pPr>
          </w:p>
        </w:tc>
      </w:tr>
      <w:tr w14:paraId="2DC1232F">
        <w:tblPrEx>
          <w:tblCellMar>
            <w:top w:w="0" w:type="dxa"/>
            <w:left w:w="108" w:type="dxa"/>
            <w:bottom w:w="0" w:type="dxa"/>
            <w:right w:w="108" w:type="dxa"/>
          </w:tblCellMar>
        </w:tblPrEx>
        <w:trPr>
          <w:trHeight w:val="1398" w:hRule="atLeast"/>
        </w:trPr>
        <w:tc>
          <w:tcPr>
            <w:tcW w:w="647" w:type="dxa"/>
            <w:tcBorders>
              <w:top w:val="nil"/>
              <w:left w:val="single" w:color="auto" w:sz="4" w:space="0"/>
              <w:bottom w:val="single" w:color="auto" w:sz="4" w:space="0"/>
              <w:right w:val="single" w:color="auto" w:sz="4" w:space="0"/>
            </w:tcBorders>
            <w:noWrap w:val="0"/>
            <w:vAlign w:val="center"/>
          </w:tcPr>
          <w:p w14:paraId="3D20C61C">
            <w:pPr>
              <w:widowControl/>
              <w:jc w:val="center"/>
              <w:rPr>
                <w:color w:val="auto"/>
                <w:kern w:val="0"/>
                <w:szCs w:val="21"/>
                <w:highlight w:val="none"/>
              </w:rPr>
            </w:pPr>
            <w:r>
              <w:rPr>
                <w:color w:val="auto"/>
                <w:kern w:val="0"/>
                <w:szCs w:val="21"/>
                <w:highlight w:val="none"/>
              </w:rPr>
              <w:t>2</w:t>
            </w:r>
          </w:p>
        </w:tc>
        <w:tc>
          <w:tcPr>
            <w:tcW w:w="4119" w:type="dxa"/>
            <w:tcBorders>
              <w:top w:val="nil"/>
              <w:left w:val="nil"/>
              <w:bottom w:val="single" w:color="auto" w:sz="4" w:space="0"/>
              <w:right w:val="single" w:color="auto" w:sz="4" w:space="0"/>
            </w:tcBorders>
            <w:noWrap w:val="0"/>
            <w:vAlign w:val="center"/>
          </w:tcPr>
          <w:p w14:paraId="31FCF240">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提供2条独立的互联网出口线路测试报告，线路要求1Gbps带宽线路上下行对称，电脑端对Ping主流网站时端到端电路平均网络延时≤50ms；电路丢包率≤1%。</w:t>
            </w:r>
          </w:p>
        </w:tc>
        <w:tc>
          <w:tcPr>
            <w:tcW w:w="819" w:type="dxa"/>
            <w:tcBorders>
              <w:top w:val="nil"/>
              <w:left w:val="nil"/>
              <w:bottom w:val="single" w:color="auto" w:sz="4" w:space="0"/>
              <w:right w:val="single" w:color="auto" w:sz="4" w:space="0"/>
            </w:tcBorders>
            <w:noWrap w:val="0"/>
            <w:vAlign w:val="center"/>
          </w:tcPr>
          <w:p w14:paraId="263182FF">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10分</w:t>
            </w:r>
          </w:p>
        </w:tc>
        <w:tc>
          <w:tcPr>
            <w:tcW w:w="3658" w:type="dxa"/>
            <w:tcBorders>
              <w:top w:val="nil"/>
              <w:left w:val="nil"/>
              <w:bottom w:val="single" w:color="auto" w:sz="4" w:space="0"/>
              <w:right w:val="single" w:color="auto" w:sz="4" w:space="0"/>
            </w:tcBorders>
            <w:noWrap w:val="0"/>
            <w:vAlign w:val="center"/>
          </w:tcPr>
          <w:p w14:paraId="2E563269">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互联网出口线路测试报告中线路测试的性能数值低于服务要求，每次每条线路扣5分，扣完为止。</w:t>
            </w:r>
          </w:p>
        </w:tc>
        <w:tc>
          <w:tcPr>
            <w:tcW w:w="721" w:type="dxa"/>
            <w:tcBorders>
              <w:top w:val="nil"/>
              <w:left w:val="nil"/>
              <w:bottom w:val="single" w:color="auto" w:sz="4" w:space="0"/>
              <w:right w:val="single" w:color="auto" w:sz="4" w:space="0"/>
            </w:tcBorders>
            <w:noWrap w:val="0"/>
            <w:vAlign w:val="center"/>
          </w:tcPr>
          <w:p w14:paraId="1EBCFBD9">
            <w:pPr>
              <w:widowControl/>
              <w:jc w:val="center"/>
              <w:rPr>
                <w:rFonts w:hint="eastAsia"/>
                <w:color w:val="auto"/>
                <w:kern w:val="0"/>
                <w:szCs w:val="21"/>
                <w:highlight w:val="none"/>
              </w:rPr>
            </w:pPr>
          </w:p>
        </w:tc>
      </w:tr>
      <w:tr w14:paraId="1150BED0">
        <w:tblPrEx>
          <w:tblCellMar>
            <w:top w:w="0" w:type="dxa"/>
            <w:left w:w="108" w:type="dxa"/>
            <w:bottom w:w="0" w:type="dxa"/>
            <w:right w:w="108" w:type="dxa"/>
          </w:tblCellMar>
        </w:tblPrEx>
        <w:trPr>
          <w:trHeight w:val="1371" w:hRule="atLeast"/>
        </w:trPr>
        <w:tc>
          <w:tcPr>
            <w:tcW w:w="647" w:type="dxa"/>
            <w:tcBorders>
              <w:top w:val="nil"/>
              <w:left w:val="single" w:color="auto" w:sz="4" w:space="0"/>
              <w:bottom w:val="single" w:color="auto" w:sz="4" w:space="0"/>
              <w:right w:val="single" w:color="auto" w:sz="4" w:space="0"/>
            </w:tcBorders>
            <w:noWrap w:val="0"/>
            <w:vAlign w:val="center"/>
          </w:tcPr>
          <w:p w14:paraId="0E4987EF">
            <w:pPr>
              <w:widowControl/>
              <w:jc w:val="center"/>
              <w:rPr>
                <w:color w:val="auto"/>
                <w:kern w:val="0"/>
                <w:szCs w:val="21"/>
                <w:highlight w:val="none"/>
              </w:rPr>
            </w:pPr>
            <w:r>
              <w:rPr>
                <w:color w:val="auto"/>
                <w:kern w:val="0"/>
                <w:szCs w:val="21"/>
                <w:highlight w:val="none"/>
              </w:rPr>
              <w:t>3</w:t>
            </w:r>
          </w:p>
        </w:tc>
        <w:tc>
          <w:tcPr>
            <w:tcW w:w="4119" w:type="dxa"/>
            <w:tcBorders>
              <w:top w:val="nil"/>
              <w:left w:val="nil"/>
              <w:bottom w:val="single" w:color="auto" w:sz="4" w:space="0"/>
              <w:right w:val="single" w:color="auto" w:sz="4" w:space="0"/>
            </w:tcBorders>
            <w:noWrap w:val="0"/>
            <w:vAlign w:val="center"/>
          </w:tcPr>
          <w:p w14:paraId="01879082">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当互联网出口网络总带宽占用率为70%时，中标服务商应将总出口带宽扩容至3Gbps。</w:t>
            </w:r>
          </w:p>
        </w:tc>
        <w:tc>
          <w:tcPr>
            <w:tcW w:w="819" w:type="dxa"/>
            <w:tcBorders>
              <w:top w:val="nil"/>
              <w:left w:val="nil"/>
              <w:bottom w:val="single" w:color="auto" w:sz="4" w:space="0"/>
              <w:right w:val="single" w:color="auto" w:sz="4" w:space="0"/>
            </w:tcBorders>
            <w:noWrap w:val="0"/>
            <w:vAlign w:val="center"/>
          </w:tcPr>
          <w:p w14:paraId="2DD30A5F">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10分</w:t>
            </w:r>
          </w:p>
        </w:tc>
        <w:tc>
          <w:tcPr>
            <w:tcW w:w="3658" w:type="dxa"/>
            <w:tcBorders>
              <w:top w:val="nil"/>
              <w:left w:val="nil"/>
              <w:bottom w:val="single" w:color="auto" w:sz="4" w:space="0"/>
              <w:right w:val="single" w:color="auto" w:sz="4" w:space="0"/>
            </w:tcBorders>
            <w:noWrap w:val="0"/>
            <w:vAlign w:val="center"/>
          </w:tcPr>
          <w:p w14:paraId="6FB64C23">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当互联网出口网络总带宽占用率为70%时，服务期内未将总出口带宽扩容至3Gbps。每次中标服务商未按服务要求进行线路扩容则扣2分，扣完为止。</w:t>
            </w:r>
          </w:p>
        </w:tc>
        <w:tc>
          <w:tcPr>
            <w:tcW w:w="721" w:type="dxa"/>
            <w:tcBorders>
              <w:top w:val="nil"/>
              <w:left w:val="nil"/>
              <w:bottom w:val="single" w:color="auto" w:sz="4" w:space="0"/>
              <w:right w:val="single" w:color="auto" w:sz="4" w:space="0"/>
            </w:tcBorders>
            <w:noWrap w:val="0"/>
            <w:vAlign w:val="center"/>
          </w:tcPr>
          <w:p w14:paraId="3F04A7DA">
            <w:pPr>
              <w:widowControl/>
              <w:jc w:val="center"/>
              <w:rPr>
                <w:rFonts w:hint="eastAsia"/>
                <w:color w:val="auto"/>
                <w:kern w:val="0"/>
                <w:szCs w:val="21"/>
                <w:highlight w:val="none"/>
              </w:rPr>
            </w:pPr>
          </w:p>
        </w:tc>
      </w:tr>
      <w:tr w14:paraId="57E376AD">
        <w:tblPrEx>
          <w:tblCellMar>
            <w:top w:w="0" w:type="dxa"/>
            <w:left w:w="108" w:type="dxa"/>
            <w:bottom w:w="0" w:type="dxa"/>
            <w:right w:w="108" w:type="dxa"/>
          </w:tblCellMar>
        </w:tblPrEx>
        <w:trPr>
          <w:trHeight w:val="1717" w:hRule="atLeast"/>
        </w:trPr>
        <w:tc>
          <w:tcPr>
            <w:tcW w:w="647" w:type="dxa"/>
            <w:tcBorders>
              <w:top w:val="nil"/>
              <w:left w:val="single" w:color="auto" w:sz="4" w:space="0"/>
              <w:bottom w:val="single" w:color="auto" w:sz="4" w:space="0"/>
              <w:right w:val="single" w:color="auto" w:sz="4" w:space="0"/>
            </w:tcBorders>
            <w:noWrap w:val="0"/>
            <w:vAlign w:val="center"/>
          </w:tcPr>
          <w:p w14:paraId="5495FDFF">
            <w:pPr>
              <w:widowControl/>
              <w:jc w:val="center"/>
              <w:rPr>
                <w:color w:val="auto"/>
                <w:kern w:val="0"/>
                <w:szCs w:val="21"/>
                <w:highlight w:val="none"/>
              </w:rPr>
            </w:pPr>
            <w:r>
              <w:rPr>
                <w:color w:val="auto"/>
                <w:kern w:val="0"/>
                <w:szCs w:val="21"/>
                <w:highlight w:val="none"/>
              </w:rPr>
              <w:t>4</w:t>
            </w:r>
          </w:p>
        </w:tc>
        <w:tc>
          <w:tcPr>
            <w:tcW w:w="4119" w:type="dxa"/>
            <w:tcBorders>
              <w:top w:val="nil"/>
              <w:left w:val="nil"/>
              <w:bottom w:val="single" w:color="auto" w:sz="4" w:space="0"/>
              <w:right w:val="single" w:color="auto" w:sz="4" w:space="0"/>
            </w:tcBorders>
            <w:noWrap w:val="0"/>
            <w:vAlign w:val="center"/>
          </w:tcPr>
          <w:p w14:paraId="70C5D485">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提供7×24小时热线电话服务，并提供故障申告途径及绿色通道，做到全方位响应，并指定专人负责上门受理调试日常维护及平时协助采购人维护检测等工作；提供365×24小时的售后服务响应；</w:t>
            </w:r>
          </w:p>
        </w:tc>
        <w:tc>
          <w:tcPr>
            <w:tcW w:w="819" w:type="dxa"/>
            <w:tcBorders>
              <w:top w:val="nil"/>
              <w:left w:val="nil"/>
              <w:bottom w:val="single" w:color="auto" w:sz="4" w:space="0"/>
              <w:right w:val="single" w:color="auto" w:sz="4" w:space="0"/>
            </w:tcBorders>
            <w:noWrap w:val="0"/>
            <w:vAlign w:val="center"/>
          </w:tcPr>
          <w:p w14:paraId="48C60C57">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10分</w:t>
            </w:r>
          </w:p>
        </w:tc>
        <w:tc>
          <w:tcPr>
            <w:tcW w:w="3658" w:type="dxa"/>
            <w:tcBorders>
              <w:top w:val="nil"/>
              <w:left w:val="nil"/>
              <w:bottom w:val="single" w:color="auto" w:sz="4" w:space="0"/>
              <w:right w:val="single" w:color="auto" w:sz="4" w:space="0"/>
            </w:tcBorders>
            <w:noWrap w:val="0"/>
            <w:vAlign w:val="center"/>
          </w:tcPr>
          <w:p w14:paraId="4FD394F6">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学校报修的线路故障，因中标服务商自身线路质量和传输设备质量问题造成的故障，每处理一次扣0.5分，扣完为止。非中标服务商自身原因造成的故障不扣分。</w:t>
            </w:r>
          </w:p>
        </w:tc>
        <w:tc>
          <w:tcPr>
            <w:tcW w:w="721" w:type="dxa"/>
            <w:tcBorders>
              <w:top w:val="nil"/>
              <w:left w:val="nil"/>
              <w:bottom w:val="single" w:color="auto" w:sz="4" w:space="0"/>
              <w:right w:val="single" w:color="auto" w:sz="4" w:space="0"/>
            </w:tcBorders>
            <w:noWrap w:val="0"/>
            <w:vAlign w:val="center"/>
          </w:tcPr>
          <w:p w14:paraId="5ED696F7">
            <w:pPr>
              <w:widowControl/>
              <w:jc w:val="center"/>
              <w:rPr>
                <w:rFonts w:hint="eastAsia"/>
                <w:color w:val="auto"/>
                <w:kern w:val="0"/>
                <w:szCs w:val="21"/>
                <w:highlight w:val="none"/>
              </w:rPr>
            </w:pPr>
          </w:p>
        </w:tc>
      </w:tr>
      <w:tr w14:paraId="5014027F">
        <w:tblPrEx>
          <w:tblCellMar>
            <w:top w:w="0" w:type="dxa"/>
            <w:left w:w="108" w:type="dxa"/>
            <w:bottom w:w="0" w:type="dxa"/>
            <w:right w:w="108" w:type="dxa"/>
          </w:tblCellMar>
        </w:tblPrEx>
        <w:trPr>
          <w:trHeight w:val="1378" w:hRule="atLeast"/>
        </w:trPr>
        <w:tc>
          <w:tcPr>
            <w:tcW w:w="647" w:type="dxa"/>
            <w:tcBorders>
              <w:top w:val="nil"/>
              <w:left w:val="single" w:color="auto" w:sz="4" w:space="0"/>
              <w:bottom w:val="single" w:color="auto" w:sz="4" w:space="0"/>
              <w:right w:val="single" w:color="auto" w:sz="4" w:space="0"/>
            </w:tcBorders>
            <w:noWrap w:val="0"/>
            <w:vAlign w:val="center"/>
          </w:tcPr>
          <w:p w14:paraId="1D45F8CE">
            <w:pPr>
              <w:widowControl/>
              <w:jc w:val="center"/>
              <w:rPr>
                <w:color w:val="auto"/>
                <w:kern w:val="0"/>
                <w:szCs w:val="21"/>
                <w:highlight w:val="none"/>
              </w:rPr>
            </w:pPr>
            <w:r>
              <w:rPr>
                <w:color w:val="auto"/>
                <w:kern w:val="0"/>
                <w:szCs w:val="21"/>
                <w:highlight w:val="none"/>
              </w:rPr>
              <w:t>5</w:t>
            </w:r>
          </w:p>
        </w:tc>
        <w:tc>
          <w:tcPr>
            <w:tcW w:w="4119" w:type="dxa"/>
            <w:tcBorders>
              <w:top w:val="nil"/>
              <w:left w:val="nil"/>
              <w:bottom w:val="single" w:color="auto" w:sz="4" w:space="0"/>
              <w:right w:val="single" w:color="auto" w:sz="4" w:space="0"/>
            </w:tcBorders>
            <w:noWrap w:val="0"/>
            <w:vAlign w:val="center"/>
          </w:tcPr>
          <w:p w14:paraId="610D6B0A">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当城域网网络需要扩展、迁移或升级时中标服务商负责免费提供相应解决方案等技术支持</w:t>
            </w:r>
          </w:p>
        </w:tc>
        <w:tc>
          <w:tcPr>
            <w:tcW w:w="819" w:type="dxa"/>
            <w:tcBorders>
              <w:top w:val="nil"/>
              <w:left w:val="nil"/>
              <w:bottom w:val="single" w:color="auto" w:sz="4" w:space="0"/>
              <w:right w:val="single" w:color="auto" w:sz="4" w:space="0"/>
            </w:tcBorders>
            <w:noWrap w:val="0"/>
            <w:vAlign w:val="center"/>
          </w:tcPr>
          <w:p w14:paraId="24A35D44">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5分</w:t>
            </w:r>
          </w:p>
        </w:tc>
        <w:tc>
          <w:tcPr>
            <w:tcW w:w="3658" w:type="dxa"/>
            <w:tcBorders>
              <w:top w:val="nil"/>
              <w:left w:val="nil"/>
              <w:bottom w:val="single" w:color="auto" w:sz="4" w:space="0"/>
              <w:right w:val="single" w:color="auto" w:sz="4" w:space="0"/>
            </w:tcBorders>
            <w:noWrap w:val="0"/>
            <w:vAlign w:val="center"/>
          </w:tcPr>
          <w:p w14:paraId="52031AFF">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网络服务期内因城域网网络需要扩展、迁移或升级时中标服务商未向采购人提供相应解决方案等技术支持，每次扣1分，扣完为止。</w:t>
            </w:r>
          </w:p>
        </w:tc>
        <w:tc>
          <w:tcPr>
            <w:tcW w:w="721" w:type="dxa"/>
            <w:tcBorders>
              <w:top w:val="nil"/>
              <w:left w:val="nil"/>
              <w:bottom w:val="single" w:color="auto" w:sz="4" w:space="0"/>
              <w:right w:val="single" w:color="auto" w:sz="4" w:space="0"/>
            </w:tcBorders>
            <w:noWrap w:val="0"/>
            <w:vAlign w:val="center"/>
          </w:tcPr>
          <w:p w14:paraId="5DA2DCB1">
            <w:pPr>
              <w:widowControl/>
              <w:jc w:val="center"/>
              <w:rPr>
                <w:rFonts w:hint="eastAsia" w:ascii="Arial" w:hAnsi="Arial" w:cs="Arial"/>
                <w:color w:val="auto"/>
                <w:kern w:val="0"/>
                <w:szCs w:val="21"/>
                <w:highlight w:val="none"/>
              </w:rPr>
            </w:pPr>
          </w:p>
        </w:tc>
      </w:tr>
      <w:tr w14:paraId="2DA5443D">
        <w:tblPrEx>
          <w:tblCellMar>
            <w:top w:w="0" w:type="dxa"/>
            <w:left w:w="108" w:type="dxa"/>
            <w:bottom w:w="0" w:type="dxa"/>
            <w:right w:w="108" w:type="dxa"/>
          </w:tblCellMar>
        </w:tblPrEx>
        <w:trPr>
          <w:trHeight w:val="1785" w:hRule="atLeast"/>
        </w:trPr>
        <w:tc>
          <w:tcPr>
            <w:tcW w:w="647" w:type="dxa"/>
            <w:tcBorders>
              <w:top w:val="nil"/>
              <w:left w:val="single" w:color="auto" w:sz="4" w:space="0"/>
              <w:bottom w:val="single" w:color="auto" w:sz="4" w:space="0"/>
              <w:right w:val="single" w:color="auto" w:sz="4" w:space="0"/>
            </w:tcBorders>
            <w:noWrap w:val="0"/>
            <w:vAlign w:val="center"/>
          </w:tcPr>
          <w:p w14:paraId="2F82B56F">
            <w:pPr>
              <w:widowControl/>
              <w:jc w:val="center"/>
              <w:rPr>
                <w:color w:val="auto"/>
                <w:kern w:val="0"/>
                <w:szCs w:val="21"/>
                <w:highlight w:val="none"/>
              </w:rPr>
            </w:pPr>
            <w:r>
              <w:rPr>
                <w:color w:val="auto"/>
                <w:kern w:val="0"/>
                <w:szCs w:val="21"/>
                <w:highlight w:val="none"/>
              </w:rPr>
              <w:t>6</w:t>
            </w:r>
          </w:p>
        </w:tc>
        <w:tc>
          <w:tcPr>
            <w:tcW w:w="4119" w:type="dxa"/>
            <w:tcBorders>
              <w:top w:val="nil"/>
              <w:left w:val="nil"/>
              <w:bottom w:val="single" w:color="auto" w:sz="4" w:space="0"/>
              <w:right w:val="single" w:color="auto" w:sz="4" w:space="0"/>
            </w:tcBorders>
            <w:noWrap w:val="0"/>
            <w:vAlign w:val="center"/>
          </w:tcPr>
          <w:p w14:paraId="1CF0FFC6">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主干网络出现问题，必须在接到报告后2个小时内到达现场，负责排除故障，直到网络恢复正常，如设备故障在4小时内无法解决的应免费提供备用设备及备件，确保网络正常运行；</w:t>
            </w:r>
          </w:p>
        </w:tc>
        <w:tc>
          <w:tcPr>
            <w:tcW w:w="819" w:type="dxa"/>
            <w:tcBorders>
              <w:top w:val="nil"/>
              <w:left w:val="nil"/>
              <w:bottom w:val="single" w:color="auto" w:sz="4" w:space="0"/>
              <w:right w:val="single" w:color="auto" w:sz="4" w:space="0"/>
            </w:tcBorders>
            <w:noWrap w:val="0"/>
            <w:vAlign w:val="center"/>
          </w:tcPr>
          <w:p w14:paraId="2B2EA761">
            <w:pPr>
              <w:widowControl/>
              <w:jc w:val="center"/>
              <w:rPr>
                <w:rFonts w:hint="eastAsia"/>
                <w:color w:val="auto"/>
                <w:kern w:val="0"/>
                <w:szCs w:val="21"/>
                <w:highlight w:val="none"/>
              </w:rPr>
            </w:pPr>
            <w:r>
              <w:rPr>
                <w:color w:val="auto"/>
                <w:kern w:val="0"/>
                <w:szCs w:val="21"/>
                <w:highlight w:val="none"/>
              </w:rPr>
              <w:t>10</w:t>
            </w:r>
            <w:r>
              <w:rPr>
                <w:rFonts w:hint="eastAsia"/>
                <w:color w:val="auto"/>
                <w:kern w:val="0"/>
                <w:szCs w:val="21"/>
                <w:highlight w:val="none"/>
              </w:rPr>
              <w:t>分</w:t>
            </w:r>
          </w:p>
        </w:tc>
        <w:tc>
          <w:tcPr>
            <w:tcW w:w="3658" w:type="dxa"/>
            <w:tcBorders>
              <w:top w:val="nil"/>
              <w:left w:val="nil"/>
              <w:bottom w:val="single" w:color="auto" w:sz="4" w:space="0"/>
              <w:right w:val="single" w:color="auto" w:sz="4" w:space="0"/>
            </w:tcBorders>
            <w:noWrap w:val="0"/>
            <w:vAlign w:val="center"/>
          </w:tcPr>
          <w:p w14:paraId="035B9685">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网络服务期间出现因中标服务商未按照服务要求在规定时长内进行响应和故障维护，或者处理故障期间未能在服务要求时长内提供备品备件的情况，每次扣</w:t>
            </w:r>
            <w:r>
              <w:rPr>
                <w:color w:val="auto"/>
                <w:kern w:val="0"/>
                <w:szCs w:val="21"/>
                <w:highlight w:val="none"/>
              </w:rPr>
              <w:t>1</w:t>
            </w:r>
            <w:r>
              <w:rPr>
                <w:rFonts w:hint="eastAsia" w:ascii="宋体" w:hAnsi="宋体" w:cs="Arial"/>
                <w:color w:val="auto"/>
                <w:kern w:val="0"/>
                <w:szCs w:val="21"/>
                <w:highlight w:val="none"/>
              </w:rPr>
              <w:t>分，扣完为止。</w:t>
            </w:r>
          </w:p>
        </w:tc>
        <w:tc>
          <w:tcPr>
            <w:tcW w:w="721" w:type="dxa"/>
            <w:tcBorders>
              <w:top w:val="nil"/>
              <w:left w:val="nil"/>
              <w:bottom w:val="single" w:color="auto" w:sz="4" w:space="0"/>
              <w:right w:val="single" w:color="auto" w:sz="4" w:space="0"/>
            </w:tcBorders>
            <w:noWrap w:val="0"/>
            <w:vAlign w:val="center"/>
          </w:tcPr>
          <w:p w14:paraId="39D6AD8B">
            <w:pPr>
              <w:widowControl/>
              <w:jc w:val="center"/>
              <w:rPr>
                <w:rFonts w:hint="eastAsia"/>
                <w:color w:val="auto"/>
                <w:kern w:val="0"/>
                <w:szCs w:val="21"/>
                <w:highlight w:val="none"/>
              </w:rPr>
            </w:pPr>
          </w:p>
        </w:tc>
      </w:tr>
      <w:tr w14:paraId="08FF5BA0">
        <w:tblPrEx>
          <w:tblCellMar>
            <w:top w:w="0" w:type="dxa"/>
            <w:left w:w="108" w:type="dxa"/>
            <w:bottom w:w="0" w:type="dxa"/>
            <w:right w:w="108" w:type="dxa"/>
          </w:tblCellMar>
        </w:tblPrEx>
        <w:trPr>
          <w:trHeight w:val="1765" w:hRule="atLeast"/>
        </w:trPr>
        <w:tc>
          <w:tcPr>
            <w:tcW w:w="647" w:type="dxa"/>
            <w:tcBorders>
              <w:top w:val="nil"/>
              <w:left w:val="single" w:color="auto" w:sz="4" w:space="0"/>
              <w:bottom w:val="single" w:color="auto" w:sz="4" w:space="0"/>
              <w:right w:val="single" w:color="auto" w:sz="4" w:space="0"/>
            </w:tcBorders>
            <w:noWrap w:val="0"/>
            <w:vAlign w:val="center"/>
          </w:tcPr>
          <w:p w14:paraId="51A17AA2">
            <w:pPr>
              <w:widowControl/>
              <w:jc w:val="center"/>
              <w:rPr>
                <w:color w:val="auto"/>
                <w:kern w:val="0"/>
                <w:szCs w:val="21"/>
                <w:highlight w:val="none"/>
              </w:rPr>
            </w:pPr>
            <w:r>
              <w:rPr>
                <w:color w:val="auto"/>
                <w:kern w:val="0"/>
                <w:szCs w:val="21"/>
                <w:highlight w:val="none"/>
              </w:rPr>
              <w:t>7</w:t>
            </w:r>
          </w:p>
        </w:tc>
        <w:tc>
          <w:tcPr>
            <w:tcW w:w="4119" w:type="dxa"/>
            <w:tcBorders>
              <w:top w:val="nil"/>
              <w:left w:val="nil"/>
              <w:bottom w:val="single" w:color="auto" w:sz="4" w:space="0"/>
              <w:right w:val="single" w:color="auto" w:sz="4" w:space="0"/>
            </w:tcBorders>
            <w:noWrap w:val="0"/>
            <w:vAlign w:val="center"/>
          </w:tcPr>
          <w:p w14:paraId="12C735B4">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网络服务期间中标服务商有义务适当调整流量通道配置，提高互联网网络带宽利用率。中标服务商应每月对网络中心结点进行网络设备安全运维例行巡检并出具每月巡检报告。</w:t>
            </w:r>
          </w:p>
        </w:tc>
        <w:tc>
          <w:tcPr>
            <w:tcW w:w="819" w:type="dxa"/>
            <w:tcBorders>
              <w:top w:val="nil"/>
              <w:left w:val="nil"/>
              <w:bottom w:val="single" w:color="auto" w:sz="4" w:space="0"/>
              <w:right w:val="single" w:color="auto" w:sz="4" w:space="0"/>
            </w:tcBorders>
            <w:noWrap w:val="0"/>
            <w:vAlign w:val="center"/>
          </w:tcPr>
          <w:p w14:paraId="02405EBE">
            <w:pPr>
              <w:widowControl/>
              <w:jc w:val="center"/>
              <w:rPr>
                <w:rFonts w:hint="eastAsia"/>
                <w:color w:val="auto"/>
                <w:kern w:val="0"/>
                <w:szCs w:val="21"/>
                <w:highlight w:val="none"/>
              </w:rPr>
            </w:pPr>
            <w:r>
              <w:rPr>
                <w:color w:val="auto"/>
                <w:kern w:val="0"/>
                <w:szCs w:val="21"/>
                <w:highlight w:val="none"/>
              </w:rPr>
              <w:t>12</w:t>
            </w:r>
            <w:r>
              <w:rPr>
                <w:rFonts w:hint="eastAsia"/>
                <w:color w:val="auto"/>
                <w:kern w:val="0"/>
                <w:szCs w:val="21"/>
                <w:highlight w:val="none"/>
              </w:rPr>
              <w:t>分</w:t>
            </w:r>
          </w:p>
        </w:tc>
        <w:tc>
          <w:tcPr>
            <w:tcW w:w="3658" w:type="dxa"/>
            <w:tcBorders>
              <w:top w:val="nil"/>
              <w:left w:val="nil"/>
              <w:bottom w:val="single" w:color="auto" w:sz="4" w:space="0"/>
              <w:right w:val="single" w:color="auto" w:sz="4" w:space="0"/>
            </w:tcBorders>
            <w:noWrap w:val="0"/>
            <w:vAlign w:val="center"/>
          </w:tcPr>
          <w:p w14:paraId="121E1CDD">
            <w:pPr>
              <w:widowControl/>
              <w:jc w:val="left"/>
              <w:rPr>
                <w:rFonts w:ascii="宋体" w:hAnsi="宋体" w:cs="Arial"/>
                <w:color w:val="auto"/>
                <w:kern w:val="0"/>
                <w:szCs w:val="21"/>
                <w:highlight w:val="none"/>
              </w:rPr>
            </w:pPr>
            <w:r>
              <w:rPr>
                <w:rFonts w:hint="eastAsia" w:ascii="宋体" w:hAnsi="宋体" w:cs="Arial"/>
                <w:color w:val="auto"/>
                <w:kern w:val="0"/>
                <w:szCs w:val="21"/>
                <w:highlight w:val="none"/>
              </w:rPr>
              <w:t>中标服务商未按要求提供每月巡检报告，每缺少一份巡检报告则扣</w:t>
            </w:r>
            <w:r>
              <w:rPr>
                <w:color w:val="auto"/>
                <w:kern w:val="0"/>
                <w:szCs w:val="21"/>
                <w:highlight w:val="none"/>
              </w:rPr>
              <w:t>1</w:t>
            </w:r>
            <w:r>
              <w:rPr>
                <w:rFonts w:hint="eastAsia" w:ascii="宋体" w:hAnsi="宋体" w:cs="Arial"/>
                <w:color w:val="auto"/>
                <w:kern w:val="0"/>
                <w:szCs w:val="21"/>
                <w:highlight w:val="none"/>
              </w:rPr>
              <w:t>分，扣完为止。</w:t>
            </w:r>
          </w:p>
        </w:tc>
        <w:tc>
          <w:tcPr>
            <w:tcW w:w="721" w:type="dxa"/>
            <w:tcBorders>
              <w:top w:val="nil"/>
              <w:left w:val="nil"/>
              <w:bottom w:val="single" w:color="auto" w:sz="4" w:space="0"/>
              <w:right w:val="single" w:color="auto" w:sz="4" w:space="0"/>
            </w:tcBorders>
            <w:noWrap w:val="0"/>
            <w:vAlign w:val="center"/>
          </w:tcPr>
          <w:p w14:paraId="1C94B6BB">
            <w:pPr>
              <w:widowControl/>
              <w:jc w:val="center"/>
              <w:rPr>
                <w:rFonts w:hint="eastAsia"/>
                <w:color w:val="auto"/>
                <w:kern w:val="0"/>
                <w:szCs w:val="21"/>
                <w:highlight w:val="none"/>
              </w:rPr>
            </w:pPr>
          </w:p>
        </w:tc>
      </w:tr>
      <w:tr w14:paraId="2C5829BD">
        <w:tblPrEx>
          <w:tblCellMar>
            <w:top w:w="0" w:type="dxa"/>
            <w:left w:w="108" w:type="dxa"/>
            <w:bottom w:w="0" w:type="dxa"/>
            <w:right w:w="108" w:type="dxa"/>
          </w:tblCellMar>
        </w:tblPrEx>
        <w:trPr>
          <w:trHeight w:val="615" w:hRule="atLeast"/>
        </w:trPr>
        <w:tc>
          <w:tcPr>
            <w:tcW w:w="647" w:type="dxa"/>
            <w:tcBorders>
              <w:top w:val="nil"/>
              <w:left w:val="single" w:color="auto" w:sz="4" w:space="0"/>
              <w:bottom w:val="single" w:color="auto" w:sz="4" w:space="0"/>
              <w:right w:val="single" w:color="auto" w:sz="4" w:space="0"/>
            </w:tcBorders>
            <w:noWrap w:val="0"/>
            <w:vAlign w:val="center"/>
          </w:tcPr>
          <w:p w14:paraId="2A121346">
            <w:pPr>
              <w:widowControl/>
              <w:jc w:val="center"/>
              <w:rPr>
                <w:rFonts w:ascii="宋体" w:hAnsi="宋体" w:cs="Arial"/>
                <w:color w:val="auto"/>
                <w:kern w:val="0"/>
                <w:szCs w:val="21"/>
                <w:highlight w:val="none"/>
              </w:rPr>
            </w:pPr>
            <w:r>
              <w:rPr>
                <w:rFonts w:hint="eastAsia" w:ascii="宋体" w:hAnsi="宋体" w:cs="Arial"/>
                <w:color w:val="auto"/>
                <w:kern w:val="0"/>
                <w:szCs w:val="21"/>
                <w:highlight w:val="none"/>
              </w:rPr>
              <w:t>合计</w:t>
            </w:r>
          </w:p>
        </w:tc>
        <w:tc>
          <w:tcPr>
            <w:tcW w:w="4119" w:type="dxa"/>
            <w:tcBorders>
              <w:top w:val="nil"/>
              <w:left w:val="nil"/>
              <w:bottom w:val="single" w:color="auto" w:sz="4" w:space="0"/>
              <w:right w:val="single" w:color="auto" w:sz="4" w:space="0"/>
            </w:tcBorders>
            <w:noWrap w:val="0"/>
            <w:vAlign w:val="center"/>
          </w:tcPr>
          <w:p w14:paraId="184D203F">
            <w:pPr>
              <w:widowControl/>
              <w:jc w:val="center"/>
              <w:rPr>
                <w:rFonts w:hint="eastAsia" w:ascii="宋体" w:hAnsi="宋体" w:cs="Arial"/>
                <w:color w:val="auto"/>
                <w:kern w:val="0"/>
                <w:szCs w:val="21"/>
                <w:highlight w:val="none"/>
              </w:rPr>
            </w:pPr>
          </w:p>
        </w:tc>
        <w:tc>
          <w:tcPr>
            <w:tcW w:w="819" w:type="dxa"/>
            <w:tcBorders>
              <w:top w:val="nil"/>
              <w:left w:val="nil"/>
              <w:bottom w:val="single" w:color="auto" w:sz="4" w:space="0"/>
              <w:right w:val="single" w:color="auto" w:sz="4" w:space="0"/>
            </w:tcBorders>
            <w:noWrap w:val="0"/>
            <w:vAlign w:val="center"/>
          </w:tcPr>
          <w:p w14:paraId="4DFF24FF">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100分</w:t>
            </w:r>
          </w:p>
        </w:tc>
        <w:tc>
          <w:tcPr>
            <w:tcW w:w="3658" w:type="dxa"/>
            <w:tcBorders>
              <w:top w:val="nil"/>
              <w:left w:val="nil"/>
              <w:bottom w:val="single" w:color="auto" w:sz="4" w:space="0"/>
              <w:right w:val="single" w:color="auto" w:sz="4" w:space="0"/>
            </w:tcBorders>
            <w:noWrap w:val="0"/>
            <w:vAlign w:val="center"/>
          </w:tcPr>
          <w:p w14:paraId="47CA365C">
            <w:pPr>
              <w:widowControl/>
              <w:jc w:val="center"/>
              <w:rPr>
                <w:rFonts w:hint="eastAsia" w:ascii="宋体" w:hAnsi="宋体" w:cs="Arial"/>
                <w:color w:val="auto"/>
                <w:kern w:val="0"/>
                <w:szCs w:val="21"/>
                <w:highlight w:val="none"/>
              </w:rPr>
            </w:pPr>
          </w:p>
        </w:tc>
        <w:tc>
          <w:tcPr>
            <w:tcW w:w="721" w:type="dxa"/>
            <w:tcBorders>
              <w:top w:val="nil"/>
              <w:left w:val="nil"/>
              <w:bottom w:val="single" w:color="auto" w:sz="4" w:space="0"/>
              <w:right w:val="single" w:color="auto" w:sz="4" w:space="0"/>
            </w:tcBorders>
            <w:noWrap w:val="0"/>
            <w:vAlign w:val="center"/>
          </w:tcPr>
          <w:p w14:paraId="19F6A2D3">
            <w:pPr>
              <w:widowControl/>
              <w:jc w:val="center"/>
              <w:rPr>
                <w:rFonts w:hint="eastAsia" w:ascii="宋体" w:hAnsi="宋体" w:cs="Arial"/>
                <w:color w:val="auto"/>
                <w:kern w:val="0"/>
                <w:szCs w:val="21"/>
                <w:highlight w:val="none"/>
              </w:rPr>
            </w:pPr>
          </w:p>
        </w:tc>
      </w:tr>
    </w:tbl>
    <w:p w14:paraId="30AA4967">
      <w:pPr>
        <w:rPr>
          <w:rFonts w:hint="eastAsia"/>
        </w:rPr>
      </w:pPr>
    </w:p>
    <w:p w14:paraId="4ACF0DF6">
      <w:pPr>
        <w:pStyle w:val="39"/>
        <w:rPr>
          <w:rFonts w:hint="eastAsia"/>
        </w:rPr>
      </w:pPr>
    </w:p>
    <w:p w14:paraId="6A1494FB">
      <w:pPr>
        <w:rPr>
          <w:rFonts w:hint="eastAsia"/>
        </w:rPr>
      </w:pPr>
    </w:p>
    <w:p w14:paraId="451C4069">
      <w:pPr>
        <w:pStyle w:val="39"/>
        <w:rPr>
          <w:rFonts w:hint="eastAsia"/>
        </w:rPr>
      </w:pPr>
    </w:p>
    <w:p w14:paraId="3345F543">
      <w:pPr>
        <w:rPr>
          <w:rFonts w:hint="eastAsia"/>
        </w:rPr>
      </w:pPr>
    </w:p>
    <w:bookmarkEnd w:id="303"/>
    <w:bookmarkEnd w:id="304"/>
    <w:bookmarkEnd w:id="305"/>
    <w:p w14:paraId="5CA8F3CD">
      <w:pPr>
        <w:jc w:val="center"/>
        <w:outlineLvl w:val="0"/>
        <w:rPr>
          <w:rStyle w:val="199"/>
          <w:rFonts w:hint="eastAsia" w:ascii="宋体" w:hAnsi="宋体" w:cs="宋体"/>
          <w:color w:val="000000"/>
          <w:sz w:val="32"/>
          <w:szCs w:val="32"/>
          <w:highlight w:val="none"/>
        </w:rPr>
      </w:pPr>
      <w:bookmarkStart w:id="306" w:name="_Toc25535"/>
      <w:bookmarkStart w:id="307" w:name="_Toc18495"/>
      <w:bookmarkStart w:id="308" w:name="_Toc2104"/>
      <w:bookmarkStart w:id="309" w:name="_Toc7653"/>
      <w:r>
        <w:rPr>
          <w:rStyle w:val="199"/>
          <w:rFonts w:hint="eastAsia" w:ascii="宋体" w:hAnsi="宋体" w:cs="宋体"/>
          <w:color w:val="000000"/>
          <w:sz w:val="32"/>
          <w:szCs w:val="32"/>
          <w:highlight w:val="none"/>
        </w:rPr>
        <w:t>第四章评标办法</w:t>
      </w:r>
      <w:bookmarkEnd w:id="306"/>
      <w:bookmarkEnd w:id="307"/>
      <w:bookmarkEnd w:id="308"/>
    </w:p>
    <w:p w14:paraId="2631A0B4">
      <w:pPr>
        <w:spacing w:line="360" w:lineRule="auto"/>
        <w:ind w:firstLine="426"/>
        <w:jc w:val="left"/>
        <w:rPr>
          <w:rFonts w:ascii="宋体" w:hAnsi="宋体" w:cs="宋体"/>
          <w:b/>
          <w:color w:val="000000"/>
          <w:szCs w:val="21"/>
          <w:highlight w:val="none"/>
        </w:rPr>
      </w:pPr>
      <w:r>
        <w:rPr>
          <w:rFonts w:hint="eastAsia" w:ascii="宋体" w:hAnsi="宋体" w:cs="宋体"/>
          <w:b/>
          <w:color w:val="000000"/>
          <w:szCs w:val="21"/>
          <w:highlight w:val="none"/>
        </w:rPr>
        <w:t>一、评标原则</w:t>
      </w:r>
    </w:p>
    <w:p w14:paraId="0EBF2491">
      <w:pPr>
        <w:pStyle w:val="214"/>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（一）</w:t>
      </w:r>
      <w:r>
        <w:rPr>
          <w:rFonts w:hint="eastAsia" w:hAnsi="宋体" w:cs="宋体"/>
          <w:bCs/>
          <w:color w:val="000000"/>
          <w:szCs w:val="21"/>
        </w:rPr>
        <w:t>评委会</w:t>
      </w:r>
      <w:r>
        <w:rPr>
          <w:rFonts w:hint="eastAsia" w:hAnsi="宋体" w:cs="宋体"/>
          <w:bCs/>
          <w:color w:val="000000"/>
          <w:szCs w:val="21"/>
          <w:highlight w:val="none"/>
        </w:rPr>
        <w:t>组成：本招标采购项目的评标委员会由采购人代表、</w:t>
      </w:r>
      <w:r>
        <w:rPr>
          <w:rFonts w:hint="eastAsia" w:hAnsi="宋体" w:cs="宋体"/>
          <w:bCs/>
          <w:color w:val="000000"/>
          <w:szCs w:val="21"/>
          <w:highlight w:val="none"/>
          <w:lang w:eastAsia="zh-CN"/>
        </w:rPr>
        <w:t>评审专家</w:t>
      </w:r>
      <w:r>
        <w:rPr>
          <w:rFonts w:hint="eastAsia" w:hAnsi="宋体" w:cs="宋体"/>
          <w:bCs/>
          <w:color w:val="000000"/>
          <w:szCs w:val="21"/>
          <w:highlight w:val="none"/>
        </w:rPr>
        <w:t>组成。其中，</w:t>
      </w:r>
      <w:r>
        <w:rPr>
          <w:rFonts w:hint="eastAsia" w:hAnsi="宋体" w:cs="宋体"/>
          <w:bCs/>
          <w:color w:val="000000"/>
          <w:szCs w:val="21"/>
          <w:highlight w:val="none"/>
          <w:lang w:eastAsia="zh-CN"/>
        </w:rPr>
        <w:t>评审专家</w:t>
      </w:r>
      <w:r>
        <w:rPr>
          <w:rFonts w:hint="eastAsia" w:hAnsi="宋体" w:cs="宋体"/>
          <w:bCs/>
          <w:color w:val="000000"/>
          <w:szCs w:val="21"/>
          <w:highlight w:val="none"/>
        </w:rPr>
        <w:t>不得少于成员总数的三分之二。</w:t>
      </w:r>
    </w:p>
    <w:p w14:paraId="069FA085">
      <w:pPr>
        <w:pStyle w:val="214"/>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（二）评标依据：评委将以</w:t>
      </w:r>
      <w:r>
        <w:t>招标文件、投标文件</w:t>
      </w:r>
      <w:r>
        <w:rPr>
          <w:rFonts w:hint="eastAsia" w:hAnsi="宋体" w:cs="宋体"/>
          <w:bCs/>
          <w:color w:val="000000"/>
          <w:szCs w:val="21"/>
          <w:highlight w:val="none"/>
        </w:rPr>
        <w:t>为评标依据，对投标人的投标</w:t>
      </w:r>
      <w:r>
        <w:rPr>
          <w:rFonts w:hint="eastAsia" w:hAnsi="宋体" w:cs="宋体"/>
          <w:color w:val="000000"/>
          <w:szCs w:val="21"/>
          <w:highlight w:val="none"/>
        </w:rPr>
        <w:t>报价、</w:t>
      </w:r>
      <w:r>
        <w:rPr>
          <w:rFonts w:hint="eastAsia" w:hAnsi="宋体" w:cs="宋体"/>
          <w:color w:val="000000"/>
          <w:szCs w:val="21"/>
          <w:highlight w:val="none"/>
          <w:lang w:eastAsia="zh-CN"/>
        </w:rPr>
        <w:t>服务方案</w:t>
      </w:r>
      <w:r>
        <w:rPr>
          <w:rFonts w:hint="eastAsia" w:hAnsi="宋体" w:cs="宋体"/>
          <w:color w:val="000000"/>
          <w:szCs w:val="21"/>
          <w:highlight w:val="none"/>
        </w:rPr>
        <w:t>、履约能力等方面内容按百分制打分。</w:t>
      </w:r>
    </w:p>
    <w:p w14:paraId="4E434D08">
      <w:pPr>
        <w:pStyle w:val="214"/>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（三）评标方式：以封闭方式进行。</w:t>
      </w:r>
    </w:p>
    <w:p w14:paraId="151DA10E">
      <w:pPr>
        <w:spacing w:line="360" w:lineRule="auto"/>
        <w:ind w:firstLine="420"/>
        <w:rPr>
          <w:rFonts w:hint="eastAsia" w:ascii="宋体" w:hAnsi="宋体" w:cs="宋体"/>
          <w:bCs/>
          <w:color w:val="000000"/>
          <w:sz w:val="21"/>
          <w:szCs w:val="21"/>
          <w:highlight w:val="none"/>
        </w:rPr>
      </w:pPr>
      <w:r>
        <w:rPr>
          <w:rFonts w:hint="eastAsia" w:ascii="宋体" w:hAnsi="宋体" w:cs="宋体"/>
          <w:bCs/>
          <w:color w:val="000000"/>
          <w:szCs w:val="21"/>
          <w:highlight w:val="none"/>
        </w:rPr>
        <w:t>（四）采购人和采购代理机构、评标委员会成员要严格遵守政府采购相关法律制度，依法履行各自职责，公正、客观、审慎地组织和参与评审工作。</w:t>
      </w:r>
    </w:p>
    <w:p w14:paraId="37EB6C40">
      <w:pPr>
        <w:spacing w:line="360" w:lineRule="auto"/>
        <w:ind w:firstLine="487"/>
        <w:jc w:val="left"/>
        <w:rPr>
          <w:rFonts w:ascii="宋体" w:hAnsi="宋体" w:cs="宋体"/>
          <w:b/>
          <w:color w:val="000000"/>
          <w:sz w:val="24"/>
          <w:highlight w:val="none"/>
        </w:rPr>
      </w:pPr>
      <w:r>
        <w:rPr>
          <w:rFonts w:hint="eastAsia" w:ascii="宋体" w:hAnsi="宋体" w:cs="宋体"/>
          <w:b/>
          <w:color w:val="000000"/>
          <w:sz w:val="24"/>
          <w:highlight w:val="none"/>
        </w:rPr>
        <w:t>二、评定方法</w:t>
      </w:r>
    </w:p>
    <w:p w14:paraId="785BF769">
      <w:pPr>
        <w:pStyle w:val="214"/>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（一）对进入详评的，采用百分制综合评分法。</w:t>
      </w:r>
    </w:p>
    <w:p w14:paraId="40DF9A37">
      <w:pPr>
        <w:pStyle w:val="214"/>
        <w:spacing w:line="360" w:lineRule="auto"/>
        <w:ind w:firstLine="420"/>
        <w:contextualSpacing/>
        <w:rPr>
          <w:rFonts w:hAnsi="宋体" w:cs="宋体"/>
          <w:bCs/>
          <w:color w:val="000000"/>
          <w:szCs w:val="21"/>
          <w:highlight w:val="none"/>
        </w:rPr>
      </w:pPr>
      <w:r>
        <w:rPr>
          <w:rFonts w:hint="eastAsia" w:hAnsi="宋体" w:cs="宋体"/>
          <w:bCs/>
          <w:color w:val="000000"/>
          <w:szCs w:val="21"/>
          <w:highlight w:val="none"/>
        </w:rPr>
        <w:t>（二）计分办法（按四舍五入取至百分位）：</w:t>
      </w:r>
    </w:p>
    <w:p w14:paraId="4D6FD900">
      <w:pPr>
        <w:pStyle w:val="214"/>
        <w:spacing w:line="360" w:lineRule="auto"/>
        <w:rPr>
          <w:rFonts w:hAnsi="宋体" w:cs="宋体"/>
          <w:b/>
          <w:bCs/>
          <w:color w:val="000000"/>
          <w:szCs w:val="21"/>
          <w:highlight w:val="none"/>
        </w:rPr>
      </w:pPr>
      <w:r>
        <w:rPr>
          <w:rFonts w:hint="eastAsia" w:hAnsi="宋体" w:cs="宋体"/>
          <w:b/>
          <w:bCs/>
          <w:color w:val="000000"/>
          <w:szCs w:val="21"/>
          <w:highlight w:val="none"/>
        </w:rPr>
        <w:t>1、价格分………………………………………………………………………………………………</w:t>
      </w:r>
      <w:r>
        <w:rPr>
          <w:rFonts w:hint="eastAsia" w:hAnsi="宋体" w:cs="宋体"/>
          <w:b/>
          <w:bCs/>
          <w:color w:val="000000"/>
          <w:szCs w:val="21"/>
          <w:highlight w:val="none"/>
          <w:lang w:eastAsia="zh-CN"/>
        </w:rPr>
        <w:t>满分</w:t>
      </w:r>
      <w:r>
        <w:rPr>
          <w:rFonts w:hint="eastAsia" w:ascii="Times New Roman" w:hAnsi="Times New Roman"/>
          <w:b/>
          <w:color w:val="000000"/>
          <w:szCs w:val="21"/>
          <w:lang w:val="en-US" w:eastAsia="zh-CN"/>
        </w:rPr>
        <w:t>10</w:t>
      </w:r>
      <w:r>
        <w:rPr>
          <w:rFonts w:hint="eastAsia" w:ascii="Times New Roman" w:hAnsi="Times New Roman"/>
          <w:b/>
          <w:color w:val="000000"/>
          <w:szCs w:val="21"/>
        </w:rPr>
        <w:t>分</w:t>
      </w:r>
    </w:p>
    <w:p w14:paraId="1F40F6C9">
      <w:pPr>
        <w:pStyle w:val="214"/>
        <w:spacing w:line="360" w:lineRule="auto"/>
        <w:ind w:firstLine="420"/>
        <w:rPr>
          <w:rFonts w:hint="eastAsia" w:hAnsi="宋体" w:cs="宋体"/>
          <w:color w:val="000000"/>
          <w:szCs w:val="21"/>
          <w:highlight w:val="none"/>
        </w:rPr>
      </w:pPr>
      <w:r>
        <w:rPr>
          <w:rFonts w:hint="eastAsia" w:hAnsi="宋体" w:cs="宋体"/>
          <w:bCs/>
          <w:color w:val="000000"/>
          <w:szCs w:val="21"/>
          <w:highlight w:val="none"/>
        </w:rPr>
        <w:t>（1）</w:t>
      </w:r>
      <w:r>
        <w:rPr>
          <w:rFonts w:hint="eastAsia" w:hAnsi="宋体"/>
          <w:bCs/>
          <w:szCs w:val="21"/>
          <w:highlight w:val="none"/>
          <w:lang w:eastAsia="zh-CN"/>
        </w:rPr>
        <w:t>根据《广西壮族自治区财政厅关于持续优化政府采购营商环境推动高质量发展的通知》（桂财采〔2024〕55号）</w:t>
      </w:r>
      <w:r>
        <w:rPr>
          <w:rFonts w:hint="eastAsia" w:hAnsi="宋体" w:cs="宋体"/>
          <w:bCs/>
          <w:color w:val="000000"/>
          <w:szCs w:val="21"/>
          <w:highlight w:val="none"/>
          <w:lang w:val="en-US" w:eastAsia="zh-CN"/>
        </w:rPr>
        <w:t>，凡</w:t>
      </w:r>
      <w:r>
        <w:rPr>
          <w:rFonts w:hint="eastAsia" w:hAnsi="宋体" w:cs="宋体"/>
          <w:bCs/>
          <w:color w:val="000000"/>
          <w:szCs w:val="21"/>
          <w:highlight w:val="none"/>
        </w:rPr>
        <w:t>符合《政府采购促进中小企业发展管理办法》（财库〔2020〕46号）规定条件且按该办法中规定的格式提供了《中小企业声明函》的小型和微型企业，对其投标价给予</w:t>
      </w:r>
      <w:r>
        <w:rPr>
          <w:rFonts w:hint="eastAsia" w:hAnsi="宋体" w:cs="宋体"/>
          <w:bCs/>
          <w:color w:val="000000"/>
          <w:szCs w:val="21"/>
          <w:highlight w:val="none"/>
          <w:lang w:val="en-US" w:eastAsia="zh-CN"/>
        </w:rPr>
        <w:t>2</w:t>
      </w:r>
      <w:r>
        <w:rPr>
          <w:rFonts w:hint="eastAsia" w:hAnsi="宋体" w:cs="宋体"/>
          <w:bCs/>
          <w:color w:val="000000"/>
          <w:szCs w:val="21"/>
          <w:highlight w:val="none"/>
        </w:rPr>
        <w:t>0%的扣除，扣除后的价格为评标价，即评标价=投标价×（1-</w:t>
      </w:r>
      <w:r>
        <w:rPr>
          <w:rFonts w:hint="eastAsia" w:hAnsi="宋体" w:cs="宋体"/>
          <w:bCs/>
          <w:color w:val="000000"/>
          <w:szCs w:val="21"/>
          <w:highlight w:val="none"/>
          <w:lang w:val="en-US" w:eastAsia="zh-CN"/>
        </w:rPr>
        <w:t>2</w:t>
      </w:r>
      <w:r>
        <w:rPr>
          <w:rFonts w:hint="eastAsia" w:hAnsi="宋体" w:cs="宋体"/>
          <w:bCs/>
          <w:color w:val="000000"/>
          <w:szCs w:val="21"/>
          <w:highlight w:val="none"/>
        </w:rPr>
        <w:t>0%）。</w:t>
      </w:r>
    </w:p>
    <w:p w14:paraId="41C3B2DB">
      <w:pPr>
        <w:pStyle w:val="214"/>
        <w:spacing w:line="360" w:lineRule="auto"/>
        <w:ind w:firstLine="420"/>
        <w:rPr>
          <w:rFonts w:hAnsi="宋体" w:cs="宋体"/>
          <w:color w:val="000000"/>
          <w:szCs w:val="21"/>
          <w:highlight w:val="none"/>
        </w:rPr>
      </w:pPr>
      <w:r>
        <w:rPr>
          <w:rFonts w:hint="eastAsia" w:hAnsi="宋体" w:cs="宋体"/>
          <w:b/>
          <w:color w:val="000000"/>
          <w:szCs w:val="21"/>
          <w:highlight w:val="none"/>
        </w:rPr>
        <w:t>注：中小微型企业划分标准按照</w:t>
      </w:r>
      <w:r>
        <w:rPr>
          <w:rFonts w:hint="eastAsia" w:hAnsi="宋体" w:cs="宋体"/>
          <w:b/>
          <w:color w:val="000000"/>
          <w:szCs w:val="21"/>
        </w:rPr>
        <w:t>《国家统计局关于印发〈统计上大中小微型企业划分办法〉</w:t>
      </w:r>
      <w:r>
        <w:rPr>
          <w:rFonts w:hint="eastAsia" w:hAnsi="宋体" w:cs="宋体"/>
          <w:b/>
          <w:color w:val="000000"/>
          <w:szCs w:val="21"/>
          <w:lang w:eastAsia="zh-CN"/>
        </w:rPr>
        <w:t>（</w:t>
      </w:r>
      <w:r>
        <w:rPr>
          <w:rFonts w:hint="eastAsia" w:hAnsi="宋体" w:cs="宋体"/>
          <w:b/>
          <w:color w:val="000000"/>
          <w:szCs w:val="21"/>
        </w:rPr>
        <w:t>2017</w:t>
      </w:r>
      <w:r>
        <w:rPr>
          <w:rFonts w:hint="eastAsia" w:hAnsi="宋体" w:cs="宋体"/>
          <w:b/>
          <w:color w:val="000000"/>
          <w:szCs w:val="21"/>
          <w:lang w:eastAsia="zh-CN"/>
        </w:rPr>
        <w:t>）</w:t>
      </w:r>
      <w:r>
        <w:rPr>
          <w:rFonts w:hint="eastAsia" w:hAnsi="宋体" w:cs="宋体"/>
          <w:b/>
          <w:color w:val="000000"/>
          <w:szCs w:val="21"/>
        </w:rPr>
        <w:t>的通知》（国统字〔2017〕213号）</w:t>
      </w:r>
      <w:r>
        <w:rPr>
          <w:rFonts w:hint="eastAsia" w:hAnsi="宋体" w:cs="宋体"/>
          <w:b/>
          <w:color w:val="000000"/>
          <w:szCs w:val="21"/>
          <w:highlight w:val="none"/>
        </w:rPr>
        <w:t>执行，具体划分标准见附表《统计上大中小微型企业划分标准》。</w:t>
      </w:r>
    </w:p>
    <w:p w14:paraId="4408BB0D">
      <w:pPr>
        <w:pStyle w:val="214"/>
        <w:numPr>
          <w:ilvl w:val="0"/>
          <w:numId w:val="0"/>
        </w:numPr>
        <w:spacing w:line="360" w:lineRule="auto"/>
        <w:ind w:firstLine="420"/>
        <w:rPr>
          <w:rFonts w:hAnsi="宋体" w:cs="宋体"/>
          <w:color w:val="000000"/>
          <w:szCs w:val="21"/>
          <w:highlight w:val="none"/>
        </w:rPr>
      </w:pPr>
      <w:r>
        <w:rPr>
          <w:rFonts w:hint="eastAsia" w:hAnsi="宋体" w:cs="宋体"/>
          <w:color w:val="000000"/>
          <w:szCs w:val="21"/>
          <w:highlight w:val="none"/>
          <w:lang w:eastAsia="zh-CN"/>
        </w:rPr>
        <w:t>（</w:t>
      </w:r>
      <w:r>
        <w:rPr>
          <w:rFonts w:hint="eastAsia" w:hAnsi="宋体" w:cs="宋体"/>
          <w:color w:val="000000"/>
          <w:szCs w:val="21"/>
          <w:highlight w:val="none"/>
          <w:lang w:val="en-US" w:eastAsia="zh-CN"/>
        </w:rPr>
        <w:t>2</w:t>
      </w:r>
      <w:r>
        <w:rPr>
          <w:rFonts w:hint="eastAsia" w:hAnsi="宋体" w:cs="宋体"/>
          <w:color w:val="000000"/>
          <w:szCs w:val="21"/>
          <w:highlight w:val="none"/>
          <w:lang w:eastAsia="zh-CN"/>
        </w:rPr>
        <w:t>）</w:t>
      </w:r>
      <w:r>
        <w:rPr>
          <w:rFonts w:hint="eastAsia" w:hAnsi="宋体" w:cs="宋体"/>
          <w:color w:val="000000"/>
          <w:szCs w:val="21"/>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6B185D47">
      <w:pPr>
        <w:pStyle w:val="214"/>
        <w:numPr>
          <w:ilvl w:val="0"/>
          <w:numId w:val="0"/>
        </w:numPr>
        <w:spacing w:line="360" w:lineRule="auto"/>
        <w:ind w:firstLine="420"/>
        <w:rPr>
          <w:rFonts w:hAnsi="宋体" w:cs="宋体"/>
          <w:color w:val="000000"/>
          <w:szCs w:val="21"/>
          <w:highlight w:val="none"/>
        </w:rPr>
      </w:pPr>
      <w:r>
        <w:rPr>
          <w:rFonts w:hint="eastAsia" w:hAnsi="宋体" w:cs="宋体"/>
          <w:color w:val="000000"/>
          <w:szCs w:val="21"/>
          <w:highlight w:val="none"/>
          <w:lang w:eastAsia="zh-CN"/>
        </w:rPr>
        <w:t>（</w:t>
      </w:r>
      <w:r>
        <w:rPr>
          <w:rFonts w:hint="eastAsia" w:hAnsi="宋体" w:cs="宋体"/>
          <w:color w:val="000000"/>
          <w:szCs w:val="21"/>
          <w:highlight w:val="none"/>
          <w:lang w:val="en-US" w:eastAsia="zh-CN"/>
        </w:rPr>
        <w:t>3</w:t>
      </w:r>
      <w:r>
        <w:rPr>
          <w:rFonts w:hint="eastAsia" w:hAnsi="宋体" w:cs="宋体"/>
          <w:color w:val="000000"/>
          <w:szCs w:val="21"/>
          <w:highlight w:val="none"/>
          <w:lang w:eastAsia="zh-CN"/>
        </w:rPr>
        <w:t>）</w:t>
      </w:r>
      <w:r>
        <w:rPr>
          <w:rFonts w:hint="eastAsia" w:hAnsi="宋体" w:cs="宋体"/>
          <w:color w:val="000000"/>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w:t>
      </w:r>
      <w:r>
        <w:rPr>
          <w:rFonts w:hint="eastAsia" w:hAnsi="宋体" w:cs="宋体"/>
          <w:color w:val="000000"/>
          <w:szCs w:val="21"/>
        </w:rPr>
        <w:t>成交结果</w:t>
      </w:r>
      <w:r>
        <w:rPr>
          <w:rFonts w:hint="eastAsia" w:hAnsi="宋体" w:cs="宋体"/>
          <w:color w:val="000000"/>
          <w:szCs w:val="21"/>
          <w:highlight w:val="none"/>
        </w:rPr>
        <w:t>同时公告其《残疾人福利性单位声明函》，接受社会监督。</w:t>
      </w:r>
    </w:p>
    <w:p w14:paraId="393D409A">
      <w:pPr>
        <w:pStyle w:val="214"/>
        <w:spacing w:line="360" w:lineRule="auto"/>
        <w:ind w:firstLine="420"/>
        <w:rPr>
          <w:rFonts w:hAnsi="宋体" w:cs="宋体"/>
          <w:color w:val="000000"/>
          <w:szCs w:val="21"/>
          <w:highlight w:val="none"/>
        </w:rPr>
      </w:pPr>
      <w:r>
        <w:rPr>
          <w:rFonts w:hint="eastAsia" w:hAnsi="宋体" w:cs="宋体"/>
          <w:color w:val="000000"/>
          <w:szCs w:val="21"/>
          <w:highlight w:val="none"/>
        </w:rPr>
        <w:t>对于不属于以上情形的投标人，其投标报价即为评标价。</w:t>
      </w:r>
    </w:p>
    <w:p w14:paraId="7C82BB04">
      <w:pPr>
        <w:pStyle w:val="214"/>
        <w:spacing w:line="360" w:lineRule="auto"/>
        <w:ind w:firstLine="420"/>
        <w:rPr>
          <w:rFonts w:hAnsi="宋体" w:cs="宋体"/>
          <w:color w:val="000000"/>
          <w:szCs w:val="21"/>
          <w:highlight w:val="none"/>
        </w:rPr>
      </w:pPr>
      <w:r>
        <w:rPr>
          <w:rFonts w:hint="eastAsia" w:hAnsi="宋体" w:cs="宋体"/>
          <w:color w:val="000000"/>
          <w:szCs w:val="21"/>
          <w:highlight w:val="none"/>
        </w:rPr>
        <w:t>（4）价格分采用低价优先法计算，即满足招标文件要求且评标报价最低的评标报价为评标基准价，其价格分为</w:t>
      </w:r>
      <w:r>
        <w:rPr>
          <w:rFonts w:hint="eastAsia" w:hAnsi="宋体" w:cs="宋体"/>
          <w:color w:val="000000"/>
          <w:szCs w:val="21"/>
          <w:lang w:val="en-US" w:eastAsia="zh-CN"/>
        </w:rPr>
        <w:t>10</w:t>
      </w:r>
      <w:r>
        <w:rPr>
          <w:rFonts w:hint="eastAsia" w:hAnsi="宋体" w:cs="宋体"/>
          <w:color w:val="000000"/>
          <w:szCs w:val="21"/>
        </w:rPr>
        <w:t>分</w:t>
      </w:r>
      <w:r>
        <w:rPr>
          <w:rFonts w:hint="eastAsia" w:hAnsi="宋体" w:cs="宋体"/>
          <w:color w:val="000000"/>
          <w:szCs w:val="21"/>
          <w:highlight w:val="none"/>
        </w:rPr>
        <w:t>。</w:t>
      </w:r>
    </w:p>
    <w:p w14:paraId="5BAC033B">
      <w:pPr>
        <w:pStyle w:val="214"/>
        <w:spacing w:line="360" w:lineRule="auto"/>
        <w:ind w:firstLine="420"/>
        <w:rPr>
          <w:rFonts w:hint="eastAsia" w:hAnsi="宋体" w:cs="宋体"/>
          <w:color w:val="000000"/>
          <w:szCs w:val="21"/>
          <w:highlight w:val="none"/>
        </w:rPr>
      </w:pPr>
    </w:p>
    <w:p w14:paraId="5E74046F">
      <w:pPr>
        <w:pStyle w:val="214"/>
        <w:spacing w:line="360" w:lineRule="auto"/>
        <w:ind w:firstLine="420"/>
        <w:rPr>
          <w:rFonts w:hint="eastAsia" w:hAnsi="宋体" w:cs="宋体"/>
          <w:color w:val="000000"/>
          <w:szCs w:val="21"/>
          <w:highlight w:val="none"/>
        </w:rPr>
      </w:pPr>
    </w:p>
    <w:p w14:paraId="28EB7598">
      <w:pPr>
        <w:pStyle w:val="214"/>
        <w:spacing w:line="360" w:lineRule="auto"/>
        <w:ind w:firstLine="420"/>
        <w:rPr>
          <w:rFonts w:hint="eastAsia" w:hAnsi="宋体" w:cs="宋体"/>
          <w:color w:val="000000"/>
          <w:szCs w:val="21"/>
          <w:highlight w:val="none"/>
        </w:rPr>
      </w:pPr>
    </w:p>
    <w:p w14:paraId="47A03535">
      <w:pPr>
        <w:pStyle w:val="214"/>
        <w:spacing w:line="360" w:lineRule="auto"/>
        <w:ind w:firstLine="420"/>
        <w:rPr>
          <w:rFonts w:hint="eastAsia" w:hAnsi="宋体" w:cs="宋体"/>
          <w:color w:val="000000"/>
          <w:szCs w:val="21"/>
          <w:highlight w:val="none"/>
        </w:rPr>
      </w:pPr>
    </w:p>
    <w:p w14:paraId="717C5C2D">
      <w:pPr>
        <w:pStyle w:val="214"/>
        <w:spacing w:line="360" w:lineRule="auto"/>
        <w:ind w:firstLine="420"/>
        <w:rPr>
          <w:rFonts w:hAnsi="宋体" w:cs="宋体"/>
          <w:color w:val="000000"/>
          <w:szCs w:val="21"/>
          <w:highlight w:val="none"/>
        </w:rPr>
      </w:pPr>
      <w:r>
        <w:rPr>
          <w:rFonts w:hint="eastAsia" w:hAnsi="宋体" w:cs="宋体"/>
          <w:color w:val="000000"/>
          <w:szCs w:val="21"/>
          <w:highlight w:val="none"/>
        </w:rPr>
        <w:t>（5）价格分计算公式：</w:t>
      </w:r>
    </w:p>
    <w:p w14:paraId="7F14D4F3">
      <w:pPr>
        <w:pStyle w:val="214"/>
        <w:spacing w:line="360" w:lineRule="auto"/>
        <w:ind w:firstLine="3087"/>
        <w:rPr>
          <w:rFonts w:hint="eastAsia" w:hAnsi="宋体" w:eastAsia="宋体" w:cs="宋体"/>
          <w:bCs/>
          <w:color w:val="000000"/>
          <w:szCs w:val="21"/>
          <w:highlight w:val="none"/>
          <w:lang w:eastAsia="zh-CN"/>
        </w:rPr>
      </w:pPr>
      <w:r>
        <w:rPr>
          <w:rFonts w:hint="eastAsia" w:hAnsi="宋体" w:cs="宋体"/>
          <w:bCs/>
          <w:color w:val="000000"/>
          <w:szCs w:val="21"/>
          <w:highlight w:val="none"/>
        </w:rPr>
        <w:t>最低投标人</w:t>
      </w:r>
      <w:r>
        <w:rPr>
          <w:rFonts w:hint="eastAsia" w:hAnsi="宋体" w:cs="宋体"/>
          <w:color w:val="000000"/>
          <w:szCs w:val="21"/>
          <w:highlight w:val="none"/>
        </w:rPr>
        <w:t>评标报价</w:t>
      </w:r>
      <w:r>
        <w:rPr>
          <w:rFonts w:hint="eastAsia" w:hAnsi="宋体" w:cs="宋体"/>
          <w:bCs/>
          <w:color w:val="000000"/>
          <w:szCs w:val="21"/>
          <w:highlight w:val="none"/>
        </w:rPr>
        <w:t>金额</w:t>
      </w:r>
    </w:p>
    <w:p w14:paraId="3BC3685F">
      <w:pPr>
        <w:pStyle w:val="214"/>
        <w:spacing w:line="360" w:lineRule="auto"/>
        <w:ind w:firstLine="420"/>
        <w:rPr>
          <w:rFonts w:hint="default" w:hAnsi="宋体" w:eastAsia="宋体" w:cs="宋体"/>
          <w:bCs/>
          <w:color w:val="000000"/>
          <w:szCs w:val="21"/>
          <w:highlight w:val="none"/>
          <w:lang w:val="en-US" w:eastAsia="zh-CN"/>
        </w:rPr>
      </w:pPr>
      <w:r>
        <w:rPr>
          <w:rFonts w:hAnsi="宋体" w:cs="宋体"/>
          <w:bCs/>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5" name="_x0000_s2104"/>
                <wp:cNvGraphicFramePr/>
                <a:graphic xmlns:a="http://schemas.openxmlformats.org/drawingml/2006/main">
                  <a:graphicData uri="http://schemas.microsoft.com/office/word/2010/wordprocessingShape">
                    <wps:wsp>
                      <wps:cNvCnPr/>
                      <wps:spPr bwMode="auto">
                        <a:xfrm>
                          <a:off x="0" y="0"/>
                          <a:ext cx="1981200" cy="635"/>
                        </a:xfrm>
                        <a:prstGeom prst="line">
                          <a:avLst/>
                        </a:prstGeom>
                        <a:noFill/>
                        <a:ln>
                          <a:solidFill>
                            <a:srgbClr val="000000"/>
                          </a:solidFill>
                        </a:ln>
                      </wps:spPr>
                      <wps:bodyPr rot="0">
                        <a:noAutofit/>
                      </wps:bodyPr>
                    </wps:wsp>
                  </a:graphicData>
                </a:graphic>
              </wp:anchor>
            </w:drawing>
          </mc:Choice>
          <mc:Fallback>
            <w:pict>
              <v:line id="_x0000_s2104" o:spid="_x0000_s1026" o:spt="20" style="position:absolute;left:0pt;margin-left:143.25pt;margin-top:11.75pt;height:0.05pt;width:156pt;z-index:251659264;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lqfO1gAAAAkBAAAPAAAAAAAAAAEAIAAAACIAAABkcnMvZG93bnJldi54bWxQSwECFAAU&#10;AAAACACHTuJA89RY2roBAACEAwAADgAAAAAAAAABACAAAAAlAQAAZHJzL2Uyb0RvYy54bWxQSwUG&#10;AAAAAAYABgBZAQAAUQUAAAAA&#10;">
                <v:fill on="f" focussize="0,0"/>
                <v:stroke color="#000000" joinstyle="round"/>
                <v:imagedata o:title=""/>
                <o:lock v:ext="edit" aspectratio="f"/>
              </v:line>
            </w:pict>
          </mc:Fallback>
        </mc:AlternateContent>
      </w:r>
      <w:r>
        <w:rPr>
          <w:rFonts w:hint="eastAsia" w:hAnsi="宋体" w:cs="宋体"/>
          <w:bCs/>
          <w:color w:val="000000"/>
          <w:szCs w:val="21"/>
          <w:highlight w:val="none"/>
        </w:rPr>
        <w:t>某投标人价格分=</w:t>
      </w:r>
      <w:r>
        <w:rPr>
          <w:rFonts w:hint="eastAsia" w:hAnsi="宋体" w:cs="宋体"/>
          <w:bCs/>
          <w:color w:val="000000"/>
          <w:szCs w:val="21"/>
          <w:highlight w:val="none"/>
          <w:lang w:val="en-US" w:eastAsia="zh-CN"/>
        </w:rPr>
        <w:t xml:space="preserve">                                            </w:t>
      </w:r>
      <w:r>
        <w:rPr>
          <w:rFonts w:hint="eastAsia" w:hAnsi="宋体" w:cs="宋体"/>
          <w:bCs/>
          <w:color w:val="000000"/>
          <w:szCs w:val="21"/>
          <w:highlight w:val="none"/>
        </w:rPr>
        <w:t>×</w:t>
      </w:r>
      <w:r>
        <w:rPr>
          <w:rFonts w:hint="eastAsia" w:hAnsi="宋体" w:cs="宋体"/>
          <w:bCs/>
          <w:color w:val="000000"/>
          <w:szCs w:val="21"/>
          <w:highlight w:val="none"/>
          <w:lang w:val="en-US" w:eastAsia="zh-CN"/>
        </w:rPr>
        <w:t>10</w:t>
      </w:r>
      <w:r>
        <w:rPr>
          <w:rFonts w:hint="eastAsia" w:hAnsi="宋体" w:cs="宋体"/>
          <w:bCs/>
          <w:color w:val="000000"/>
          <w:szCs w:val="21"/>
        </w:rPr>
        <w:t>分</w:t>
      </w:r>
    </w:p>
    <w:p w14:paraId="1F78D3C1">
      <w:pPr>
        <w:pStyle w:val="214"/>
        <w:spacing w:line="360" w:lineRule="auto"/>
        <w:ind w:firstLine="3360" w:firstLineChars="1600"/>
        <w:rPr>
          <w:rFonts w:hint="eastAsia" w:hAnsi="宋体" w:eastAsia="宋体" w:cs="宋体"/>
          <w:bCs/>
          <w:szCs w:val="21"/>
          <w:lang w:eastAsia="zh-CN"/>
        </w:rPr>
      </w:pPr>
      <w:r>
        <w:rPr>
          <w:rFonts w:hint="eastAsia" w:hAnsi="宋体" w:cs="宋体"/>
          <w:bCs/>
          <w:szCs w:val="21"/>
        </w:rPr>
        <w:t>某投标人</w:t>
      </w:r>
      <w:r>
        <w:rPr>
          <w:rFonts w:hint="eastAsia" w:hAnsi="宋体" w:cs="宋体"/>
          <w:szCs w:val="21"/>
        </w:rPr>
        <w:t>评标报价</w:t>
      </w:r>
      <w:r>
        <w:rPr>
          <w:rFonts w:hint="eastAsia" w:hAnsi="宋体" w:cs="宋体"/>
          <w:bCs/>
          <w:szCs w:val="21"/>
        </w:rPr>
        <w:t>金额</w:t>
      </w:r>
    </w:p>
    <w:p w14:paraId="2560FF76">
      <w:pPr>
        <w:pStyle w:val="14"/>
        <w:rPr>
          <w:rFonts w:hint="eastAsia" w:hAnsi="宋体" w:cs="宋体"/>
          <w:bCs/>
          <w:szCs w:val="21"/>
        </w:rPr>
      </w:pPr>
    </w:p>
    <w:p w14:paraId="61D820B8">
      <w:pPr>
        <w:pStyle w:val="214"/>
        <w:spacing w:line="360" w:lineRule="auto"/>
        <w:ind w:firstLine="420"/>
        <w:rPr>
          <w:rFonts w:hint="eastAsia" w:hAnsi="宋体" w:cs="宋体"/>
          <w:bCs/>
          <w:color w:val="000000"/>
          <w:szCs w:val="21"/>
          <w:highlight w:val="none"/>
          <w:lang w:eastAsia="zh-CN"/>
        </w:rPr>
      </w:pPr>
      <w:r>
        <w:rPr>
          <w:rFonts w:hint="eastAsia" w:hAnsi="宋体" w:cs="宋体"/>
          <w:b/>
          <w:bCs w:val="0"/>
          <w:color w:val="000000"/>
          <w:szCs w:val="21"/>
          <w:highlight w:val="none"/>
          <w:lang w:eastAsia="zh-CN"/>
        </w:rPr>
        <w:t>2、服务质量分…………………………………………………………………………………</w:t>
      </w:r>
      <w:r>
        <w:rPr>
          <w:rFonts w:hint="eastAsia" w:hAnsi="宋体" w:cs="宋体"/>
          <w:b/>
          <w:bCs w:val="0"/>
          <w:color w:val="000000"/>
          <w:szCs w:val="21"/>
          <w:highlight w:val="none"/>
          <w:lang w:val="en-US" w:eastAsia="zh-CN"/>
        </w:rPr>
        <w:t>78</w:t>
      </w:r>
      <w:r>
        <w:rPr>
          <w:rFonts w:hint="eastAsia" w:hAnsi="宋体" w:cs="宋体"/>
          <w:b/>
          <w:bCs w:val="0"/>
          <w:color w:val="000000"/>
          <w:szCs w:val="21"/>
          <w:highlight w:val="none"/>
          <w:lang w:eastAsia="zh-CN"/>
        </w:rPr>
        <w:t>分</w:t>
      </w:r>
    </w:p>
    <w:p w14:paraId="67684D2C">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（1）</w:t>
      </w:r>
      <w:r>
        <w:rPr>
          <w:rFonts w:hint="eastAsia" w:hAnsi="宋体" w:cs="宋体"/>
          <w:bCs/>
          <w:color w:val="000000"/>
          <w:szCs w:val="21"/>
          <w:highlight w:val="none"/>
          <w:lang w:val="en-US" w:eastAsia="zh-CN"/>
        </w:rPr>
        <w:t>服务</w:t>
      </w:r>
      <w:r>
        <w:rPr>
          <w:rFonts w:hint="eastAsia" w:hAnsi="宋体" w:cs="宋体"/>
          <w:bCs/>
          <w:color w:val="000000"/>
          <w:szCs w:val="21"/>
          <w:highlight w:val="none"/>
          <w:lang w:eastAsia="zh-CN"/>
        </w:rPr>
        <w:t>性能分（满分</w:t>
      </w:r>
      <w:r>
        <w:rPr>
          <w:rFonts w:hint="eastAsia" w:hAnsi="宋体" w:cs="宋体"/>
          <w:bCs/>
          <w:color w:val="000000"/>
          <w:szCs w:val="21"/>
          <w:highlight w:val="none"/>
          <w:lang w:val="en-US" w:eastAsia="zh-CN"/>
        </w:rPr>
        <w:t>36</w:t>
      </w:r>
      <w:r>
        <w:rPr>
          <w:rFonts w:hint="eastAsia" w:hAnsi="宋体" w:cs="宋体"/>
          <w:bCs/>
          <w:color w:val="000000"/>
          <w:szCs w:val="21"/>
          <w:highlight w:val="none"/>
          <w:lang w:eastAsia="zh-CN"/>
        </w:rPr>
        <w:t>分）</w:t>
      </w:r>
    </w:p>
    <w:p w14:paraId="4D9D9234">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投标人提供《采购需求》中的配套服务相关性能参数中带“▲”号项证明材料，每有一项，得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分，最多</w:t>
      </w:r>
      <w:r>
        <w:rPr>
          <w:rFonts w:hint="eastAsia" w:hAnsi="宋体" w:cs="宋体"/>
          <w:bCs/>
          <w:color w:val="000000"/>
          <w:szCs w:val="21"/>
          <w:highlight w:val="none"/>
          <w:lang w:val="en-US" w:eastAsia="zh-CN"/>
        </w:rPr>
        <w:t>36</w:t>
      </w:r>
      <w:r>
        <w:rPr>
          <w:rFonts w:hint="eastAsia" w:hAnsi="宋体" w:cs="宋体"/>
          <w:bCs/>
          <w:color w:val="000000"/>
          <w:szCs w:val="21"/>
          <w:highlight w:val="none"/>
          <w:lang w:eastAsia="zh-CN"/>
        </w:rPr>
        <w:t>分。满分</w:t>
      </w:r>
      <w:r>
        <w:rPr>
          <w:rFonts w:hint="eastAsia" w:hAnsi="宋体" w:cs="宋体"/>
          <w:bCs/>
          <w:color w:val="000000"/>
          <w:szCs w:val="21"/>
          <w:highlight w:val="none"/>
          <w:lang w:val="en-US" w:eastAsia="zh-CN"/>
        </w:rPr>
        <w:t>36</w:t>
      </w:r>
      <w:r>
        <w:rPr>
          <w:rFonts w:hint="eastAsia" w:hAnsi="宋体" w:cs="宋体"/>
          <w:bCs/>
          <w:color w:val="000000"/>
          <w:szCs w:val="21"/>
          <w:highlight w:val="none"/>
          <w:lang w:eastAsia="zh-CN"/>
        </w:rPr>
        <w:t>分。</w:t>
      </w:r>
    </w:p>
    <w:p w14:paraId="16C55E79">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①采购需求中要求的“汇聚路由服务”项第1</w:t>
      </w:r>
      <w:r>
        <w:rPr>
          <w:rFonts w:hint="eastAsia" w:hAnsi="宋体" w:cs="宋体"/>
          <w:bCs/>
          <w:color w:val="000000"/>
          <w:szCs w:val="21"/>
          <w:highlight w:val="none"/>
          <w:lang w:val="en-US" w:eastAsia="zh-CN"/>
        </w:rPr>
        <w:t>1</w:t>
      </w:r>
      <w:r>
        <w:rPr>
          <w:rFonts w:hint="eastAsia" w:hAnsi="宋体" w:cs="宋体"/>
          <w:bCs/>
          <w:color w:val="000000"/>
          <w:szCs w:val="21"/>
          <w:highlight w:val="none"/>
          <w:lang w:eastAsia="zh-CN"/>
        </w:rPr>
        <w:t>项：教育子网互联网出口统一后，为了保证对双线路实现链路负载均衡，故所选设备需具备如下功能：支持基于管理员自定义的时间计划来进行出站访问的流量调度分发。完全满足并提供由第三方检验（检测）机构出具具有CMA标识的检验（测）报告</w:t>
      </w:r>
      <w:r>
        <w:rPr>
          <w:rFonts w:hint="eastAsia" w:hAnsi="宋体" w:cs="宋体"/>
          <w:bCs/>
          <w:color w:val="000000"/>
          <w:szCs w:val="21"/>
          <w:highlight w:val="none"/>
          <w:lang w:val="en-US" w:eastAsia="zh-CN"/>
        </w:rPr>
        <w:t>扫描件</w:t>
      </w:r>
      <w:r>
        <w:rPr>
          <w:rFonts w:hint="eastAsia" w:hAnsi="宋体" w:cs="宋体"/>
          <w:bCs/>
          <w:color w:val="000000"/>
          <w:szCs w:val="21"/>
          <w:highlight w:val="none"/>
          <w:lang w:eastAsia="zh-CN"/>
        </w:rPr>
        <w:t>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w:t>
      </w:r>
      <w:r>
        <w:rPr>
          <w:rFonts w:hint="eastAsia" w:hAnsi="宋体" w:cs="宋体"/>
          <w:bCs/>
          <w:color w:val="000000"/>
          <w:szCs w:val="21"/>
          <w:highlight w:val="none"/>
          <w:lang w:val="en-US" w:eastAsia="zh-CN"/>
        </w:rPr>
        <w:t>扫描件</w:t>
      </w:r>
      <w:r>
        <w:rPr>
          <w:rFonts w:hint="eastAsia" w:hAnsi="宋体" w:cs="宋体"/>
          <w:bCs/>
          <w:color w:val="000000"/>
          <w:szCs w:val="21"/>
          <w:highlight w:val="none"/>
          <w:lang w:eastAsia="zh-CN"/>
        </w:rPr>
        <w:t>或相应功能、性能截图证明等内容不全的不得分。</w:t>
      </w:r>
    </w:p>
    <w:p w14:paraId="30D1DE6A">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②采购需求中要求的“教育城域网出口防火墙服务”项第13项：产品支持入侵防御功能，预定义漏洞特征数量超过9000种。完全满足并提供由第三方检验（检测）机构出具具有CMA标识的检验（测）报告</w:t>
      </w:r>
      <w:r>
        <w:rPr>
          <w:rFonts w:hint="eastAsia" w:hAnsi="宋体" w:cs="宋体"/>
          <w:bCs/>
          <w:color w:val="000000"/>
          <w:szCs w:val="21"/>
          <w:highlight w:val="none"/>
          <w:lang w:val="en-US" w:eastAsia="zh-CN"/>
        </w:rPr>
        <w:t>扫描件</w:t>
      </w:r>
      <w:r>
        <w:rPr>
          <w:rFonts w:hint="eastAsia" w:hAnsi="宋体" w:cs="宋体"/>
          <w:bCs/>
          <w:color w:val="000000"/>
          <w:szCs w:val="21"/>
          <w:highlight w:val="none"/>
          <w:lang w:eastAsia="zh-CN"/>
        </w:rPr>
        <w:t>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w:t>
      </w:r>
      <w:r>
        <w:rPr>
          <w:rFonts w:hint="eastAsia" w:hAnsi="宋体" w:cs="宋体"/>
          <w:bCs/>
          <w:color w:val="000000"/>
          <w:szCs w:val="21"/>
          <w:highlight w:val="none"/>
          <w:lang w:val="en-US" w:eastAsia="zh-CN"/>
        </w:rPr>
        <w:t>扫描件</w:t>
      </w:r>
      <w:r>
        <w:rPr>
          <w:rFonts w:hint="eastAsia" w:hAnsi="宋体" w:cs="宋体"/>
          <w:bCs/>
          <w:color w:val="000000"/>
          <w:szCs w:val="21"/>
          <w:highlight w:val="none"/>
          <w:lang w:eastAsia="zh-CN"/>
        </w:rPr>
        <w:t>或相应功能、性能截图证明等内容不全的不得分。</w:t>
      </w:r>
    </w:p>
    <w:p w14:paraId="6F575645">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③采购需求要求的“教育城域网出口防火墙服务”项第16项：产品支持ftp协议命令控制功能，至少包含delete、rmdir、mkdir、rename、mget、dir、mput、get、put等，保护对外服务不被恶意篡改。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06FBD9BE">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④采购需求中“教育城域网链路及安全服务”项要求的“教育城域网出口防火墙服务”项第22项：产品支持基于地区维度设置流控策略，实现多区域流量批量快速管控功能。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7F18BA7C">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⑤采购需求中要求的“互联网出口防火墙服务”项第13项：产品支持入侵防御功能，预定义漏洞特征数量超过9000种。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17E57E27">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⑥采购需求中要求的“互联网出口防火墙服务”项第16项：产品支持ftp协议命令控制功能，至少包含delete、rmdir、mkdir、rename、mget、dir、mput、get、put等，保护对外服务不被恶意篡改。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1B880A49">
      <w:pPr>
        <w:pStyle w:val="214"/>
        <w:spacing w:line="360" w:lineRule="auto"/>
        <w:ind w:firstLine="420"/>
      </w:pPr>
      <w:r>
        <w:rPr>
          <w:rFonts w:hint="eastAsia"/>
          <w:lang w:eastAsia="zh-CN"/>
        </w:rPr>
        <w:t>⑦采购需求中要求的“互联网出口防火墙服务”项第22项：产品支持未知威胁检测能力。生产厂商或投标人需提供检测机构出具关于“未知威胁检测”的版权证书或提供由第三方检验（检测）机构出具具有CMA标识的检验（测）报告扫描件或相应功能、性能截图证明并加盖投标人公章（CA签章）的提供一份得</w:t>
      </w:r>
      <w:r>
        <w:rPr>
          <w:rFonts w:hint="eastAsia"/>
          <w:lang w:val="en-US" w:eastAsia="zh-CN"/>
        </w:rPr>
        <w:t>1.5</w:t>
      </w:r>
      <w:r>
        <w:rPr>
          <w:rFonts w:hint="eastAsia"/>
          <w:lang w:eastAsia="zh-CN"/>
        </w:rPr>
        <w:t>分，所提供的检验（测）报告扫描件或相应功能、性能截图证明等内容不全的不得分。</w:t>
      </w:r>
    </w:p>
    <w:p w14:paraId="48B4C34F">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⑧采购需求中要求的“上网行为管理服务”项第6项：为提高后续城域网内部新增用户入网的运维管理效率，故所选设备需具备如下功能：密码登录支持用户自注册，通过Web页面申请注册新账号，管理员审批后新账号可用，自注册同时支持portal认证和802.1x认证。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606FC924">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⑨采购需求中要求的“上网行为管理服务”项第11项：为保障后续城域网内部用户的使用体验，故所选设备需具备如下功能：需支持通过OAuth认证协议对接，支持阿里钉钉，口袋助理，企业微信第三方账号授权认证，支持企业微信、口袋助理、钉钉这三个平台支持同步组织结构，用户通过企业微信、口袋助理、钉钉认证上线，本地会创建与认证服务器上对应的用户组，用户会上线到对应创建的组。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11B28D41">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⑩采购需求中要求的“上网行为管理服务”项第16项：为了保证城域网线路带宽的合理分配使用，支持通过抑制P2P的下行丢包，来减缓P2P的下行流量，从而解决网络出口在做流控后仍然压力较大的问题。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0C8508D3">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⑪采购需求中要求的“安全态势感知服务”项第4项：为了方便运维人员使用，提高运维工作效率，故所选设备需具备如下功能：支持快捷菜单悬浮控件，平台全部功能可根据使用习惯自定义添加到快捷控件。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7EBC3E2F">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⑫采购需求中要求的“安全态势感知服务”项第1</w:t>
      </w:r>
      <w:r>
        <w:rPr>
          <w:rFonts w:hint="eastAsia" w:hAnsi="宋体" w:cs="宋体"/>
          <w:bCs/>
          <w:color w:val="000000"/>
          <w:szCs w:val="21"/>
          <w:highlight w:val="none"/>
          <w:lang w:val="en-US" w:eastAsia="zh-CN"/>
        </w:rPr>
        <w:t>3</w:t>
      </w:r>
      <w:r>
        <w:rPr>
          <w:rFonts w:hint="eastAsia" w:hAnsi="宋体" w:cs="宋体"/>
          <w:bCs/>
          <w:color w:val="000000"/>
          <w:szCs w:val="21"/>
          <w:highlight w:val="none"/>
          <w:lang w:eastAsia="zh-CN"/>
        </w:rPr>
        <w:t>项：为了检测城域网内部发现的异常文件的详细情况，故所选设备需具备如下功能：支持联动云沙箱，支持将恶意文件手动上传云沙箱进行验证和补充举证，支持展示云沙箱报告列表，可以看到云沙箱的结果，点击查看报告详情，可跳转到云沙箱平台查看详细报告。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4871904B">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⑬采购需求中要求的“安全日志审计服务”项第8项：</w:t>
      </w:r>
      <w:r>
        <w:rPr>
          <w:rFonts w:hint="eastAsia" w:hAnsi="宋体" w:cs="宋体"/>
          <w:bCs/>
          <w:color w:val="000000"/>
          <w:szCs w:val="21"/>
          <w:highlight w:val="none"/>
          <w:lang w:val="en-US" w:eastAsia="zh-CN"/>
        </w:rPr>
        <w:t>可</w:t>
      </w:r>
      <w:r>
        <w:rPr>
          <w:rFonts w:hint="eastAsia" w:hAnsi="宋体" w:cs="宋体"/>
          <w:bCs/>
          <w:color w:val="000000"/>
          <w:szCs w:val="21"/>
          <w:highlight w:val="none"/>
          <w:lang w:eastAsia="zh-CN"/>
        </w:rPr>
        <w:t>解码小工具，按照不同的解码方式解码成不同的目标内容，编码格式包括base64、Unicode、GBK、HEX、UTF-8等。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318D6629">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⑭采购需求中要求的“漏洞扫描服务”项第7项：为保证针对城域网内部漏洞的扫描效果，故所选设备需具备如下功能：产品支持对系统漏洞、WEB漏洞、基线配置、弱口令进行扫描和分析，可同时输出包含系统漏洞扫描、WEB漏洞扫描、基线配置核查、弱口令扫描结果的报表。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5AF4CADB">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⑮采购需求中要求的“运维堡垒机服务”项第4项：为了和现有的AD域的账号身份信息对接，故所选设备需具备如下功能：支持从windowsAD域抽取用户账号作为主账号，支持一次性抽取和周期性抽取两种方式。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171F2AF7">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⑯采购需求中要求的“运维堡垒机服务”项第12项：支持windows系统、网络设备、linux/unix系统、数据库等设备账号的收集功能。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262D68E5">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⑰采购需求中要求的“核心交换服务及设备性能要求”项第</w:t>
      </w:r>
      <w:r>
        <w:rPr>
          <w:rFonts w:hint="eastAsia" w:hAnsi="宋体" w:cs="宋体"/>
          <w:bCs/>
          <w:color w:val="000000"/>
          <w:szCs w:val="21"/>
          <w:highlight w:val="none"/>
          <w:lang w:val="en-US" w:eastAsia="zh-CN"/>
        </w:rPr>
        <w:t>5</w:t>
      </w:r>
      <w:r>
        <w:rPr>
          <w:rFonts w:hint="eastAsia" w:hAnsi="宋体" w:cs="宋体"/>
          <w:bCs/>
          <w:color w:val="000000"/>
          <w:szCs w:val="21"/>
          <w:highlight w:val="none"/>
          <w:lang w:eastAsia="zh-CN"/>
        </w:rPr>
        <w:t>项：</w:t>
      </w:r>
      <w:r>
        <w:rPr>
          <w:rFonts w:hint="eastAsia" w:hAnsi="宋体" w:cs="宋体"/>
          <w:bCs/>
          <w:color w:val="000000"/>
          <w:szCs w:val="21"/>
          <w:highlight w:val="none"/>
        </w:rPr>
        <w:t>支持集成无线控制模块，可提供精细的用户控制管理、完善的RF管理及安全机制、快速漫游、超强的QoS和对IPv6的支持等功能。</w:t>
      </w:r>
      <w:r>
        <w:rPr>
          <w:rFonts w:hint="eastAsia" w:hAnsi="宋体" w:cs="宋体"/>
          <w:bCs/>
          <w:color w:val="000000"/>
          <w:szCs w:val="21"/>
          <w:highlight w:val="none"/>
          <w:lang w:eastAsia="zh-CN"/>
        </w:rPr>
        <w:t>。完全满足并提供由第三方检验（检测）机构出具具有CMA标识的检验（测）报告</w:t>
      </w:r>
      <w:r>
        <w:rPr>
          <w:rFonts w:hint="eastAsia" w:hAnsi="宋体" w:cs="宋体"/>
          <w:bCs/>
          <w:color w:val="000000"/>
          <w:szCs w:val="21"/>
          <w:highlight w:val="none"/>
          <w:lang w:val="en-US" w:eastAsia="zh-CN"/>
        </w:rPr>
        <w:t>扫描</w:t>
      </w:r>
      <w:r>
        <w:rPr>
          <w:rFonts w:hint="eastAsia" w:hAnsi="宋体" w:cs="宋体"/>
          <w:bCs/>
          <w:color w:val="000000"/>
          <w:szCs w:val="21"/>
          <w:highlight w:val="none"/>
          <w:lang w:eastAsia="zh-CN"/>
        </w:rPr>
        <w:t>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w:t>
      </w:r>
      <w:r>
        <w:rPr>
          <w:rFonts w:hint="eastAsia" w:hAnsi="宋体" w:cs="宋体"/>
          <w:bCs/>
          <w:color w:val="000000"/>
          <w:szCs w:val="21"/>
          <w:highlight w:val="none"/>
          <w:lang w:val="en-US" w:eastAsia="zh-CN"/>
        </w:rPr>
        <w:t>扫描</w:t>
      </w:r>
      <w:r>
        <w:rPr>
          <w:rFonts w:hint="eastAsia" w:hAnsi="宋体" w:cs="宋体"/>
          <w:bCs/>
          <w:color w:val="000000"/>
          <w:szCs w:val="21"/>
          <w:highlight w:val="none"/>
          <w:lang w:eastAsia="zh-CN"/>
        </w:rPr>
        <w:t>件或相应功能、性能截图证明等内容不全的不得分。</w:t>
      </w:r>
    </w:p>
    <w:p w14:paraId="274323DD">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⑱采购需求中要求的“核心交换服务及设备性能要求”项第</w:t>
      </w:r>
      <w:r>
        <w:rPr>
          <w:rFonts w:hint="eastAsia" w:hAnsi="宋体" w:cs="宋体"/>
          <w:bCs/>
          <w:color w:val="000000"/>
          <w:szCs w:val="21"/>
          <w:highlight w:val="none"/>
          <w:lang w:val="en-US" w:eastAsia="zh-CN"/>
        </w:rPr>
        <w:t>6</w:t>
      </w:r>
      <w:r>
        <w:rPr>
          <w:rFonts w:hint="eastAsia" w:hAnsi="宋体" w:cs="宋体"/>
          <w:bCs/>
          <w:color w:val="000000"/>
          <w:szCs w:val="21"/>
          <w:highlight w:val="none"/>
          <w:lang w:eastAsia="zh-CN"/>
        </w:rPr>
        <w:t>项：</w:t>
      </w:r>
      <w:r>
        <w:rPr>
          <w:rFonts w:hint="eastAsia" w:hAnsi="宋体" w:cs="宋体"/>
          <w:bCs/>
          <w:color w:val="000000"/>
          <w:szCs w:val="21"/>
          <w:highlight w:val="none"/>
        </w:rPr>
        <w:t>支持拓展防火墙业务，提高安全防护性能</w:t>
      </w:r>
      <w:r>
        <w:rPr>
          <w:rFonts w:hint="eastAsia" w:hAnsi="宋体" w:cs="宋体"/>
          <w:bCs/>
          <w:color w:val="000000"/>
          <w:szCs w:val="21"/>
          <w:highlight w:val="none"/>
          <w:lang w:eastAsia="zh-CN"/>
        </w:rPr>
        <w:t>。完全满足并提供由第三方检验（检测）机构出具具有CMA标识的检验（测）报告</w:t>
      </w:r>
      <w:r>
        <w:rPr>
          <w:rFonts w:hint="eastAsia" w:hAnsi="宋体" w:cs="宋体"/>
          <w:bCs/>
          <w:color w:val="000000"/>
          <w:szCs w:val="21"/>
          <w:highlight w:val="none"/>
          <w:lang w:val="en-US" w:eastAsia="zh-CN"/>
        </w:rPr>
        <w:t>扫描</w:t>
      </w:r>
      <w:r>
        <w:rPr>
          <w:rFonts w:hint="eastAsia" w:hAnsi="宋体" w:cs="宋体"/>
          <w:bCs/>
          <w:color w:val="000000"/>
          <w:szCs w:val="21"/>
          <w:highlight w:val="none"/>
          <w:lang w:eastAsia="zh-CN"/>
        </w:rPr>
        <w:t>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w:t>
      </w:r>
      <w:r>
        <w:rPr>
          <w:rFonts w:hint="eastAsia" w:hAnsi="宋体" w:cs="宋体"/>
          <w:bCs/>
          <w:color w:val="000000"/>
          <w:szCs w:val="21"/>
          <w:highlight w:val="none"/>
          <w:lang w:val="en-US" w:eastAsia="zh-CN"/>
        </w:rPr>
        <w:t>扫描</w:t>
      </w:r>
      <w:r>
        <w:rPr>
          <w:rFonts w:hint="eastAsia" w:hAnsi="宋体" w:cs="宋体"/>
          <w:bCs/>
          <w:color w:val="000000"/>
          <w:szCs w:val="21"/>
          <w:highlight w:val="none"/>
          <w:lang w:eastAsia="zh-CN"/>
        </w:rPr>
        <w:t>件或相应功能、性能截图证明等内容不全的不得分。</w:t>
      </w:r>
    </w:p>
    <w:p w14:paraId="21822ECF">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⑲服务采购需求中要求的“核心交换服务及设备性能要求”项第</w:t>
      </w:r>
      <w:r>
        <w:rPr>
          <w:rFonts w:hint="eastAsia" w:hAnsi="宋体" w:cs="宋体"/>
          <w:bCs/>
          <w:color w:val="000000"/>
          <w:szCs w:val="21"/>
          <w:highlight w:val="none"/>
          <w:lang w:val="en-US" w:eastAsia="zh-CN"/>
        </w:rPr>
        <w:t>12</w:t>
      </w:r>
      <w:r>
        <w:rPr>
          <w:rFonts w:hint="eastAsia" w:hAnsi="宋体" w:cs="宋体"/>
          <w:bCs/>
          <w:color w:val="000000"/>
          <w:szCs w:val="21"/>
          <w:highlight w:val="none"/>
          <w:lang w:eastAsia="zh-CN"/>
        </w:rPr>
        <w:t>项：</w:t>
      </w:r>
      <w:r>
        <w:rPr>
          <w:rFonts w:hint="eastAsia" w:hAnsi="宋体" w:cs="宋体"/>
          <w:bCs/>
          <w:color w:val="000000"/>
          <w:szCs w:val="21"/>
          <w:highlight w:val="none"/>
        </w:rPr>
        <w:t>支持不间断转发和重启，提供毫秒级的切换时间；支持等价路由，可帮助用户建立多条等值路径，实现流量的负载均衡及冗余备份；支持RRPP快速环网保护协议；支持Smart-Link协议，保证双上行网络拓扑的业务毫秒级快速切换。</w:t>
      </w:r>
      <w:r>
        <w:rPr>
          <w:rFonts w:hint="eastAsia" w:hAnsi="宋体" w:cs="宋体"/>
          <w:bCs/>
          <w:color w:val="000000"/>
          <w:szCs w:val="21"/>
          <w:highlight w:val="none"/>
          <w:lang w:eastAsia="zh-CN"/>
        </w:rPr>
        <w:t>完全满足并提供由第三方检验（检测）机构出具具有CMA标识的检验（测）报告</w:t>
      </w:r>
      <w:r>
        <w:rPr>
          <w:rFonts w:hint="eastAsia" w:hAnsi="宋体" w:cs="宋体"/>
          <w:bCs/>
          <w:color w:val="000000"/>
          <w:szCs w:val="21"/>
          <w:highlight w:val="none"/>
          <w:lang w:val="en-US" w:eastAsia="zh-CN"/>
        </w:rPr>
        <w:t>扫描</w:t>
      </w:r>
      <w:r>
        <w:rPr>
          <w:rFonts w:hint="eastAsia" w:hAnsi="宋体" w:cs="宋体"/>
          <w:bCs/>
          <w:color w:val="000000"/>
          <w:szCs w:val="21"/>
          <w:highlight w:val="none"/>
          <w:lang w:eastAsia="zh-CN"/>
        </w:rPr>
        <w:t>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w:t>
      </w:r>
      <w:r>
        <w:rPr>
          <w:rFonts w:hint="eastAsia" w:hAnsi="宋体" w:cs="宋体"/>
          <w:bCs/>
          <w:color w:val="000000"/>
          <w:szCs w:val="21"/>
          <w:highlight w:val="none"/>
          <w:lang w:val="en-US" w:eastAsia="zh-CN"/>
        </w:rPr>
        <w:t>扫描</w:t>
      </w:r>
      <w:r>
        <w:rPr>
          <w:rFonts w:hint="eastAsia" w:hAnsi="宋体" w:cs="宋体"/>
          <w:bCs/>
          <w:color w:val="000000"/>
          <w:szCs w:val="21"/>
          <w:highlight w:val="none"/>
          <w:lang w:eastAsia="zh-CN"/>
        </w:rPr>
        <w:t>件或相应功能、性能截图证明等内容不全的不得分。</w:t>
      </w:r>
    </w:p>
    <w:p w14:paraId="14A417FB">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⑳采购需求中要求的“核心交换服务及设备性能要求”项第</w:t>
      </w:r>
      <w:r>
        <w:rPr>
          <w:rFonts w:hint="eastAsia" w:hAnsi="宋体" w:cs="宋体"/>
          <w:bCs/>
          <w:color w:val="000000"/>
          <w:szCs w:val="21"/>
          <w:highlight w:val="none"/>
          <w:lang w:val="en-US" w:eastAsia="zh-CN"/>
        </w:rPr>
        <w:t>14</w:t>
      </w:r>
      <w:r>
        <w:rPr>
          <w:rFonts w:hint="eastAsia" w:hAnsi="宋体" w:cs="宋体"/>
          <w:bCs/>
          <w:color w:val="000000"/>
          <w:szCs w:val="21"/>
          <w:highlight w:val="none"/>
          <w:lang w:eastAsia="zh-CN"/>
        </w:rPr>
        <w:t>项：</w:t>
      </w:r>
      <w:r>
        <w:rPr>
          <w:rFonts w:hint="eastAsia" w:hAnsi="宋体" w:cs="宋体"/>
          <w:bCs/>
          <w:color w:val="000000"/>
          <w:szCs w:val="21"/>
          <w:highlight w:val="none"/>
        </w:rPr>
        <w:t>支持融合无线AC功能，无需独立的AC业务板卡，即支持无线AP管理功能支持INQA功能 ，通过对业务报文进行标记，实现对网络级和设备级的丢包统计。</w:t>
      </w:r>
      <w:r>
        <w:rPr>
          <w:rFonts w:hint="eastAsia" w:hAnsi="宋体" w:cs="宋体"/>
          <w:bCs/>
          <w:color w:val="000000"/>
          <w:szCs w:val="21"/>
          <w:highlight w:val="none"/>
          <w:lang w:eastAsia="zh-CN"/>
        </w:rPr>
        <w:t>完全满足并提供由第三方检验（检测）机构出具具有CMA标识的检验（测）报告</w:t>
      </w:r>
      <w:r>
        <w:rPr>
          <w:rFonts w:hint="eastAsia" w:hAnsi="宋体" w:cs="宋体"/>
          <w:bCs/>
          <w:color w:val="000000"/>
          <w:szCs w:val="21"/>
          <w:highlight w:val="none"/>
          <w:lang w:val="en-US" w:eastAsia="zh-CN"/>
        </w:rPr>
        <w:t>扫描</w:t>
      </w:r>
      <w:r>
        <w:rPr>
          <w:rFonts w:hint="eastAsia" w:hAnsi="宋体" w:cs="宋体"/>
          <w:bCs/>
          <w:color w:val="000000"/>
          <w:szCs w:val="21"/>
          <w:highlight w:val="none"/>
          <w:lang w:eastAsia="zh-CN"/>
        </w:rPr>
        <w:t>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w:t>
      </w:r>
      <w:r>
        <w:rPr>
          <w:rFonts w:hint="eastAsia" w:hAnsi="宋体" w:cs="宋体"/>
          <w:bCs/>
          <w:color w:val="000000"/>
          <w:szCs w:val="21"/>
          <w:highlight w:val="none"/>
          <w:lang w:val="en-US" w:eastAsia="zh-CN"/>
        </w:rPr>
        <w:t>扫描</w:t>
      </w:r>
      <w:r>
        <w:rPr>
          <w:rFonts w:hint="eastAsia" w:hAnsi="宋体" w:cs="宋体"/>
          <w:bCs/>
          <w:color w:val="000000"/>
          <w:szCs w:val="21"/>
          <w:highlight w:val="none"/>
          <w:lang w:eastAsia="zh-CN"/>
        </w:rPr>
        <w:t>或相应功能、性能截图证明等内容不全的不得分。</w:t>
      </w:r>
    </w:p>
    <w:p w14:paraId="5A596EDA">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㉑采购需求中要求的“零信任服务”项第5项：为方便管理员统筹查看管理零信任系统的整体运行状态，支持对设备自身的策略基线、设备稳定性、设备自安全等进行巡检，对设备的整体状态进行打分，统计所有检查的正常项、异常项和告警项，并输出巡检报告。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62C317D8">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㉒务采购需求中要求的“零信任服务”项第13项：零信任系统支持通过票据共享的方式跟统一身份认证系统进行单点登录对接，为了适应多种身份认证系统获取票据的方式，票据共享应至少支持OAuth对接及票据注入模式。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7A420BF4">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㉓采购需求中要求的“数据库审计服务”项第6项：支持Oracle，MySQL，SQLServer，Sybase，PostgreSQL，DB2，informix，Gaussdb，VASTBASE，shentong，kingbase，HIVE，TiDB，HIGHGO，MongoDB。Redis，HBASE，HDFS，Cache，ElasticSearch，ClickHouse，TDsql（Mysql），Tbase（PG），Hbase，GreenPlum等数据库。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60DE6A88">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㉔服务采购需求中要求的“全网行为管理服务”项第9项：支持SSL中间人解密，客户端SSL解密时会自动推送根证书安装。完全满足并提供由第三方检验（检测）机构出具具有CMA标识的检验（测）报告扫描件或相应功能、性能截图证明并加盖投标人公章（CA签章）的提供一份得</w:t>
      </w:r>
      <w:r>
        <w:rPr>
          <w:rFonts w:hint="eastAsia" w:hAnsi="宋体" w:cs="宋体"/>
          <w:bCs/>
          <w:color w:val="000000"/>
          <w:szCs w:val="21"/>
          <w:highlight w:val="none"/>
          <w:lang w:val="en-US" w:eastAsia="zh-CN"/>
        </w:rPr>
        <w:t>1.5</w:t>
      </w:r>
      <w:r>
        <w:rPr>
          <w:rFonts w:hint="eastAsia" w:hAnsi="宋体" w:cs="宋体"/>
          <w:bCs/>
          <w:color w:val="000000"/>
          <w:szCs w:val="21"/>
          <w:highlight w:val="none"/>
          <w:lang w:eastAsia="zh-CN"/>
        </w:rPr>
        <w:t>分，所提供的检验（测）报告扫描件或相应功能、性能截图证明等内容不全的不得分。</w:t>
      </w:r>
    </w:p>
    <w:p w14:paraId="2C0ED23F">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（注：投标人所提供的检测（验）产品的委托单位（送检人）可以是投标产品的生产厂商或投标人，否则对应项不得分。检测（验）报告必须</w:t>
      </w:r>
      <w:r>
        <w:rPr>
          <w:rFonts w:hint="eastAsia" w:hAnsi="宋体" w:cs="宋体"/>
          <w:bCs/>
          <w:color w:val="000000"/>
          <w:szCs w:val="21"/>
          <w:highlight w:val="none"/>
          <w:lang w:val="en-US" w:eastAsia="zh-CN"/>
        </w:rPr>
        <w:t>扫描</w:t>
      </w:r>
      <w:r>
        <w:rPr>
          <w:rFonts w:hint="eastAsia" w:hAnsi="宋体" w:cs="宋体"/>
          <w:bCs/>
          <w:color w:val="000000"/>
          <w:szCs w:val="21"/>
          <w:highlight w:val="none"/>
          <w:lang w:eastAsia="zh-CN"/>
        </w:rPr>
        <w:t>清晰且完整、有效，报告中有检测（验）机构名称、检测（验）报告编号、送检单位名称、送检的项目（样品）名称、送检时间等信息。）</w:t>
      </w:r>
    </w:p>
    <w:p w14:paraId="76CDE39B">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（2）服务方案分（满分</w:t>
      </w:r>
      <w:r>
        <w:rPr>
          <w:rFonts w:hint="eastAsia" w:hAnsi="宋体" w:cs="宋体"/>
          <w:bCs/>
          <w:color w:val="000000"/>
          <w:szCs w:val="21"/>
          <w:highlight w:val="none"/>
          <w:lang w:val="en-US" w:eastAsia="zh-CN"/>
        </w:rPr>
        <w:t>42</w:t>
      </w:r>
      <w:r>
        <w:rPr>
          <w:rFonts w:hint="eastAsia" w:hAnsi="宋体" w:cs="宋体"/>
          <w:bCs/>
          <w:color w:val="000000"/>
          <w:szCs w:val="21"/>
          <w:highlight w:val="none"/>
          <w:lang w:eastAsia="zh-CN"/>
        </w:rPr>
        <w:t>分）</w:t>
      </w:r>
    </w:p>
    <w:p w14:paraId="73B0745A">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①技术方案分（满分10分）</w:t>
      </w:r>
    </w:p>
    <w:p w14:paraId="1E5F26C0">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由评委在打分前根据投标文件中的技术方案所属档次，在各档次内独立打分。</w:t>
      </w:r>
    </w:p>
    <w:p w14:paraId="283BEA20">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一档（1分）：项目技术方案没有设计方案、组网描述只有网络拓扑。</w:t>
      </w:r>
    </w:p>
    <w:p w14:paraId="771DCECC">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二档（3分）：项目技术方案制定建设和设计方案，并提供所有设备的规划及网络割接方案。</w:t>
      </w:r>
    </w:p>
    <w:p w14:paraId="76C918BE">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三档（7分）：在满足二档基础上，项目技术方案详实，方案能表明对本项目的熟悉程度，技术路线符合本项目需求。方案具有整体性，制定符合本项目需求的建设理念和设计思路，并提供符合本项目现状及需求的网络设备规划及网络割接方案，包含组网规划、IP地址规划、路由冗余设计等。</w:t>
      </w:r>
    </w:p>
    <w:p w14:paraId="4FC7D539">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四档（10分）：在满足三档基础上，项目技术方案详实，方案能表明对本项目的熟悉程度，技术路线符合本项目需求。方案具有整体性，制定符合本项目需求的建设理念和设计思路，并提供符合本项目现状及需求的网络设备规划及网络割接方案，包含组网规划、IP地址规划、路由冗余设计等。方案具有安全性，具备全局安全可视和决策能力，具备安全联动能力，满足智能防御系统要求；方案具有可靠性，保障系统稳定可靠；方案具有先进性，支持网络扩容，下一代网络通用协议；方案具有兼容性，支持兼容行业主流网络、安全产品；方案具有扩展性，考虑未来应用及业务发展需求；方案具有整体性、安全性、可靠性、先进性、兼容性、可扩展性。</w:t>
      </w:r>
    </w:p>
    <w:p w14:paraId="106B7282">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②实施方案分（满分</w:t>
      </w:r>
      <w:r>
        <w:rPr>
          <w:rFonts w:hint="eastAsia" w:hAnsi="宋体" w:cs="宋体"/>
          <w:bCs/>
          <w:color w:val="000000"/>
          <w:szCs w:val="21"/>
          <w:highlight w:val="none"/>
          <w:lang w:val="en-US" w:eastAsia="zh-CN"/>
        </w:rPr>
        <w:t>12</w:t>
      </w:r>
      <w:r>
        <w:rPr>
          <w:rFonts w:hint="eastAsia" w:hAnsi="宋体" w:cs="宋体"/>
          <w:bCs/>
          <w:color w:val="000000"/>
          <w:szCs w:val="21"/>
          <w:highlight w:val="none"/>
          <w:lang w:eastAsia="zh-CN"/>
        </w:rPr>
        <w:t>分）</w:t>
      </w:r>
    </w:p>
    <w:p w14:paraId="240C5AD1">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一档（</w:t>
      </w:r>
      <w:r>
        <w:rPr>
          <w:rFonts w:hint="eastAsia" w:hAnsi="宋体" w:cs="宋体"/>
          <w:bCs/>
          <w:color w:val="000000"/>
          <w:szCs w:val="21"/>
          <w:highlight w:val="none"/>
          <w:lang w:val="en-US" w:eastAsia="zh-CN"/>
        </w:rPr>
        <w:t>4</w:t>
      </w:r>
      <w:r>
        <w:rPr>
          <w:rFonts w:hint="eastAsia" w:hAnsi="宋体" w:cs="宋体"/>
          <w:bCs/>
          <w:color w:val="000000"/>
          <w:szCs w:val="21"/>
          <w:highlight w:val="none"/>
          <w:lang w:eastAsia="zh-CN"/>
        </w:rPr>
        <w:t>分）：项目实施方案简单，保证项目实施的技术力量和人力资源安排基本满足要求，技术服务内容和措施基本满足要求的，无风险预判、无配套保障举措，实施逻辑粗略，岗位职责划分模糊，无专项驻场人员安排进入一档；</w:t>
      </w:r>
    </w:p>
    <w:p w14:paraId="445D83A3">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二档（</w:t>
      </w:r>
      <w:r>
        <w:rPr>
          <w:rFonts w:hint="eastAsia" w:hAnsi="宋体" w:cs="宋体"/>
          <w:bCs/>
          <w:color w:val="000000"/>
          <w:szCs w:val="21"/>
          <w:highlight w:val="none"/>
          <w:lang w:val="en-US" w:eastAsia="zh-CN"/>
        </w:rPr>
        <w:t>8</w:t>
      </w:r>
      <w:r>
        <w:rPr>
          <w:rFonts w:hint="eastAsia" w:hAnsi="宋体" w:cs="宋体"/>
          <w:bCs/>
          <w:color w:val="000000"/>
          <w:szCs w:val="21"/>
          <w:highlight w:val="none"/>
          <w:lang w:eastAsia="zh-CN"/>
        </w:rPr>
        <w:t>分）：在满足一档基础上，项目实施方案较详细，保证项目实施的技术力量和人力资源安排满足项目实施要求，技术服务内容和措施较完善，满足以上相关要求的，</w:t>
      </w:r>
      <w:r>
        <w:rPr>
          <w:rFonts w:hint="eastAsia" w:hAnsi="宋体" w:cs="宋体"/>
          <w:bCs/>
          <w:color w:val="000000"/>
          <w:szCs w:val="21"/>
          <w:highlight w:val="none"/>
        </w:rPr>
        <w:t>简单列明项目潜在风险，配套基础应对措施，实施逻辑通顺</w:t>
      </w:r>
      <w:r>
        <w:rPr>
          <w:rFonts w:hint="eastAsia" w:hAnsi="宋体" w:cs="宋体"/>
          <w:bCs/>
          <w:color w:val="000000"/>
          <w:szCs w:val="21"/>
          <w:highlight w:val="none"/>
          <w:lang w:eastAsia="zh-CN"/>
        </w:rPr>
        <w:t>，进入二档；</w:t>
      </w:r>
    </w:p>
    <w:p w14:paraId="368FA14B">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三档（</w:t>
      </w:r>
      <w:r>
        <w:rPr>
          <w:rFonts w:hint="eastAsia" w:hAnsi="宋体" w:cs="宋体"/>
          <w:bCs/>
          <w:color w:val="000000"/>
          <w:szCs w:val="21"/>
          <w:highlight w:val="none"/>
          <w:lang w:val="en-US" w:eastAsia="zh-CN"/>
        </w:rPr>
        <w:t>12</w:t>
      </w:r>
      <w:r>
        <w:rPr>
          <w:rFonts w:hint="eastAsia" w:hAnsi="宋体" w:cs="宋体"/>
          <w:bCs/>
          <w:color w:val="000000"/>
          <w:szCs w:val="21"/>
          <w:highlight w:val="none"/>
          <w:lang w:eastAsia="zh-CN"/>
        </w:rPr>
        <w:t>分）：在满足二档基础上，项目实施方案详实，方案能清楚地表明对本项目的熟悉程度，技术路线清晰可信，保证项目实施的技术力量和人力资源安排充足，技术服务内容和措施完善，建议的安装、调试、验收方法或方案更完善有效、更优化、切实可行，</w:t>
      </w:r>
      <w:r>
        <w:rPr>
          <w:rFonts w:hint="eastAsia" w:hAnsi="宋体" w:cs="宋体"/>
          <w:bCs/>
          <w:color w:val="000000"/>
          <w:szCs w:val="21"/>
          <w:highlight w:val="none"/>
          <w:lang w:val="en-US" w:eastAsia="zh-CN"/>
        </w:rPr>
        <w:t>针对</w:t>
      </w:r>
      <w:r>
        <w:rPr>
          <w:rFonts w:hint="eastAsia" w:hAnsi="宋体" w:cs="宋体"/>
          <w:bCs/>
          <w:color w:val="000000"/>
          <w:szCs w:val="21"/>
          <w:highlight w:val="none"/>
        </w:rPr>
        <w:t>质量、安全、运维各类风险，</w:t>
      </w:r>
      <w:r>
        <w:rPr>
          <w:rFonts w:hint="eastAsia" w:hAnsi="宋体" w:cs="宋体"/>
          <w:bCs/>
          <w:color w:val="000000"/>
          <w:szCs w:val="21"/>
          <w:highlight w:val="none"/>
          <w:lang w:val="en-US" w:eastAsia="zh-CN"/>
        </w:rPr>
        <w:t>提供</w:t>
      </w:r>
      <w:r>
        <w:rPr>
          <w:rFonts w:hint="eastAsia" w:hAnsi="宋体" w:cs="宋体"/>
          <w:bCs/>
          <w:color w:val="000000"/>
          <w:szCs w:val="21"/>
          <w:highlight w:val="none"/>
        </w:rPr>
        <w:t>配套完整、可落地防控及应急预案</w:t>
      </w:r>
      <w:r>
        <w:rPr>
          <w:rFonts w:hint="eastAsia" w:hAnsi="宋体" w:cs="宋体"/>
          <w:bCs/>
          <w:color w:val="000000"/>
          <w:szCs w:val="21"/>
          <w:highlight w:val="none"/>
          <w:lang w:eastAsia="zh-CN"/>
        </w:rPr>
        <w:t>。</w:t>
      </w:r>
    </w:p>
    <w:p w14:paraId="5E193858">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③实施团队分（满分</w:t>
      </w:r>
      <w:r>
        <w:rPr>
          <w:rFonts w:hint="eastAsia" w:hAnsi="宋体" w:cs="宋体"/>
          <w:bCs/>
          <w:color w:val="000000"/>
          <w:szCs w:val="21"/>
          <w:highlight w:val="none"/>
          <w:lang w:val="en-US" w:eastAsia="zh-CN"/>
        </w:rPr>
        <w:t>4</w:t>
      </w:r>
      <w:r>
        <w:rPr>
          <w:rFonts w:hint="eastAsia" w:hAnsi="宋体" w:cs="宋体"/>
          <w:bCs/>
          <w:color w:val="000000"/>
          <w:szCs w:val="21"/>
          <w:highlight w:val="none"/>
          <w:lang w:eastAsia="zh-CN"/>
        </w:rPr>
        <w:t>分）</w:t>
      </w:r>
    </w:p>
    <w:p w14:paraId="502D9AA5">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1）实施团队的项目经理持有通信工程高级工程师</w:t>
      </w:r>
      <w:r>
        <w:rPr>
          <w:rFonts w:hint="eastAsia" w:hAnsi="宋体" w:cs="宋体"/>
          <w:bCs/>
          <w:color w:val="000000"/>
          <w:szCs w:val="21"/>
          <w:highlight w:val="none"/>
          <w:lang w:val="en-US" w:eastAsia="zh-CN"/>
        </w:rPr>
        <w:t>或</w:t>
      </w:r>
      <w:r>
        <w:rPr>
          <w:rFonts w:hint="eastAsia" w:hAnsi="宋体" w:cs="宋体"/>
          <w:bCs/>
          <w:color w:val="000000"/>
          <w:szCs w:val="21"/>
          <w:highlight w:val="none"/>
          <w:lang w:eastAsia="zh-CN"/>
        </w:rPr>
        <w:t>信息系统项目管理师，</w:t>
      </w:r>
      <w:r>
        <w:rPr>
          <w:rFonts w:hint="eastAsia" w:hAnsi="宋体" w:cs="宋体"/>
          <w:bCs/>
          <w:color w:val="000000"/>
          <w:szCs w:val="21"/>
          <w:highlight w:val="none"/>
          <w:lang w:val="en-US" w:eastAsia="zh-CN"/>
        </w:rPr>
        <w:t>每持有一项</w:t>
      </w:r>
      <w:r>
        <w:rPr>
          <w:rFonts w:hint="eastAsia" w:hAnsi="宋体" w:cs="宋体"/>
          <w:bCs/>
          <w:color w:val="000000"/>
          <w:szCs w:val="21"/>
          <w:highlight w:val="none"/>
          <w:lang w:eastAsia="zh-CN"/>
        </w:rPr>
        <w:t>得</w:t>
      </w:r>
      <w:r>
        <w:rPr>
          <w:rFonts w:hint="eastAsia" w:hAnsi="宋体" w:cs="宋体"/>
          <w:bCs/>
          <w:color w:val="000000"/>
          <w:szCs w:val="21"/>
          <w:highlight w:val="none"/>
          <w:lang w:val="en-US" w:eastAsia="zh-CN"/>
        </w:rPr>
        <w:t>0.5</w:t>
      </w:r>
      <w:r>
        <w:rPr>
          <w:rFonts w:hint="eastAsia" w:hAnsi="宋体" w:cs="宋体"/>
          <w:bCs/>
          <w:color w:val="000000"/>
          <w:szCs w:val="21"/>
          <w:highlight w:val="none"/>
          <w:lang w:eastAsia="zh-CN"/>
        </w:rPr>
        <w:t>分，满分1分。</w:t>
      </w:r>
    </w:p>
    <w:p w14:paraId="40746A3C">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2）实施团队的项目技术负责人持有信息系统项目管理师证书</w:t>
      </w:r>
      <w:r>
        <w:rPr>
          <w:rFonts w:hint="eastAsia" w:hAnsi="宋体" w:cs="宋体"/>
          <w:bCs/>
          <w:color w:val="000000"/>
          <w:szCs w:val="21"/>
          <w:highlight w:val="none"/>
          <w:lang w:val="en-US" w:eastAsia="zh-CN"/>
        </w:rPr>
        <w:t>或</w:t>
      </w:r>
      <w:r>
        <w:rPr>
          <w:rFonts w:hint="eastAsia" w:hAnsi="宋体" w:cs="宋体"/>
          <w:bCs/>
          <w:color w:val="000000"/>
          <w:szCs w:val="21"/>
          <w:highlight w:val="none"/>
          <w:lang w:eastAsia="zh-CN"/>
        </w:rPr>
        <w:t>网络规划设计师证书，</w:t>
      </w:r>
      <w:r>
        <w:rPr>
          <w:rFonts w:hint="eastAsia" w:hAnsi="宋体" w:cs="宋体"/>
          <w:bCs/>
          <w:color w:val="000000"/>
          <w:szCs w:val="21"/>
          <w:highlight w:val="none"/>
          <w:lang w:val="en-US" w:eastAsia="zh-CN"/>
        </w:rPr>
        <w:t>每持有一项</w:t>
      </w:r>
      <w:r>
        <w:rPr>
          <w:rFonts w:hint="eastAsia" w:hAnsi="宋体" w:cs="宋体"/>
          <w:bCs/>
          <w:color w:val="000000"/>
          <w:szCs w:val="21"/>
          <w:highlight w:val="none"/>
          <w:lang w:eastAsia="zh-CN"/>
        </w:rPr>
        <w:t>得</w:t>
      </w:r>
      <w:r>
        <w:rPr>
          <w:rFonts w:hint="eastAsia" w:hAnsi="宋体" w:cs="宋体"/>
          <w:bCs/>
          <w:color w:val="000000"/>
          <w:szCs w:val="21"/>
          <w:highlight w:val="none"/>
          <w:lang w:val="en-US" w:eastAsia="zh-CN"/>
        </w:rPr>
        <w:t>0.5</w:t>
      </w:r>
      <w:r>
        <w:rPr>
          <w:rFonts w:hint="eastAsia" w:hAnsi="宋体" w:cs="宋体"/>
          <w:bCs/>
          <w:color w:val="000000"/>
          <w:szCs w:val="21"/>
          <w:highlight w:val="none"/>
          <w:lang w:eastAsia="zh-CN"/>
        </w:rPr>
        <w:t>分，满分1分。</w:t>
      </w:r>
    </w:p>
    <w:p w14:paraId="08F0A3A8">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3）实施团队中1人持有网络工程师证书，得</w:t>
      </w:r>
      <w:r>
        <w:rPr>
          <w:rFonts w:hint="eastAsia" w:hAnsi="宋体" w:cs="宋体"/>
          <w:bCs/>
          <w:color w:val="000000"/>
          <w:szCs w:val="21"/>
          <w:highlight w:val="none"/>
          <w:lang w:val="en-US" w:eastAsia="zh-CN"/>
        </w:rPr>
        <w:t>1</w:t>
      </w:r>
      <w:r>
        <w:rPr>
          <w:rFonts w:hint="eastAsia" w:hAnsi="宋体" w:cs="宋体"/>
          <w:bCs/>
          <w:color w:val="000000"/>
          <w:szCs w:val="21"/>
          <w:highlight w:val="none"/>
          <w:lang w:eastAsia="zh-CN"/>
        </w:rPr>
        <w:t>分；1人持有注册安全工程师证书，得</w:t>
      </w:r>
      <w:r>
        <w:rPr>
          <w:rFonts w:hint="eastAsia" w:hAnsi="宋体" w:cs="宋体"/>
          <w:bCs/>
          <w:color w:val="000000"/>
          <w:szCs w:val="21"/>
          <w:highlight w:val="none"/>
          <w:lang w:val="en-US" w:eastAsia="zh-CN"/>
        </w:rPr>
        <w:t>1</w:t>
      </w:r>
      <w:r>
        <w:rPr>
          <w:rFonts w:hint="eastAsia" w:hAnsi="宋体" w:cs="宋体"/>
          <w:bCs/>
          <w:color w:val="000000"/>
          <w:szCs w:val="21"/>
          <w:highlight w:val="none"/>
          <w:lang w:eastAsia="zh-CN"/>
        </w:rPr>
        <w:t>分；满分</w:t>
      </w:r>
      <w:r>
        <w:rPr>
          <w:rFonts w:hint="eastAsia" w:hAnsi="宋体" w:cs="宋体"/>
          <w:bCs/>
          <w:color w:val="000000"/>
          <w:szCs w:val="21"/>
          <w:highlight w:val="none"/>
          <w:lang w:val="en-US" w:eastAsia="zh-CN"/>
        </w:rPr>
        <w:t>2</w:t>
      </w:r>
      <w:r>
        <w:rPr>
          <w:rFonts w:hint="eastAsia" w:hAnsi="宋体" w:cs="宋体"/>
          <w:bCs/>
          <w:color w:val="000000"/>
          <w:szCs w:val="21"/>
          <w:highlight w:val="none"/>
          <w:lang w:eastAsia="zh-CN"/>
        </w:rPr>
        <w:t>分。</w:t>
      </w:r>
    </w:p>
    <w:p w14:paraId="37212E1E">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④售后服务方案分（满分</w:t>
      </w:r>
      <w:r>
        <w:rPr>
          <w:rFonts w:hint="eastAsia" w:hAnsi="宋体" w:cs="宋体"/>
          <w:bCs/>
          <w:color w:val="000000"/>
          <w:szCs w:val="21"/>
          <w:highlight w:val="none"/>
          <w:lang w:val="en-US" w:eastAsia="zh-CN"/>
        </w:rPr>
        <w:t>12</w:t>
      </w:r>
      <w:r>
        <w:rPr>
          <w:rFonts w:hint="eastAsia" w:hAnsi="宋体" w:cs="宋体"/>
          <w:bCs/>
          <w:color w:val="000000"/>
          <w:szCs w:val="21"/>
          <w:highlight w:val="none"/>
          <w:lang w:eastAsia="zh-CN"/>
        </w:rPr>
        <w:t>分）</w:t>
      </w:r>
    </w:p>
    <w:p w14:paraId="2F041E53">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为做好项目维护及应急响应，投标人需根据服务采购需求中的条款进行设计。</w:t>
      </w:r>
    </w:p>
    <w:p w14:paraId="2CE69B80">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一档（</w:t>
      </w:r>
      <w:r>
        <w:rPr>
          <w:rFonts w:hint="eastAsia" w:hAnsi="宋体" w:cs="宋体"/>
          <w:bCs/>
          <w:color w:val="000000"/>
          <w:szCs w:val="21"/>
          <w:highlight w:val="none"/>
          <w:lang w:val="en-US" w:eastAsia="zh-CN"/>
        </w:rPr>
        <w:t>4</w:t>
      </w:r>
      <w:r>
        <w:rPr>
          <w:rFonts w:hint="eastAsia" w:hAnsi="宋体" w:cs="宋体"/>
          <w:bCs/>
          <w:color w:val="000000"/>
          <w:szCs w:val="21"/>
          <w:highlight w:val="none"/>
          <w:lang w:eastAsia="zh-CN"/>
        </w:rPr>
        <w:t>分）：无配套维保、巡检、培训、备品备件等配套服务措施，方案通用性强，未结合本项目设备规模、使用场景、业务特点定制</w:t>
      </w:r>
    </w:p>
    <w:p w14:paraId="0F7F6A2F">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二档（</w:t>
      </w:r>
      <w:r>
        <w:rPr>
          <w:rFonts w:hint="eastAsia" w:hAnsi="宋体" w:cs="宋体"/>
          <w:bCs/>
          <w:color w:val="000000"/>
          <w:szCs w:val="21"/>
          <w:highlight w:val="none"/>
          <w:lang w:val="en-US" w:eastAsia="zh-CN"/>
        </w:rPr>
        <w:t>8</w:t>
      </w:r>
      <w:r>
        <w:rPr>
          <w:rFonts w:hint="eastAsia" w:hAnsi="宋体" w:cs="宋体"/>
          <w:bCs/>
          <w:color w:val="000000"/>
          <w:szCs w:val="21"/>
          <w:highlight w:val="none"/>
          <w:lang w:eastAsia="zh-CN"/>
        </w:rPr>
        <w:t>分）：售后服务方案符合本项目需求，有人员配置、响应措施、服务能力且符合本项目需求。</w:t>
      </w:r>
    </w:p>
    <w:p w14:paraId="10611265">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三档（</w:t>
      </w:r>
      <w:r>
        <w:rPr>
          <w:rFonts w:hint="eastAsia" w:hAnsi="宋体" w:cs="宋体"/>
          <w:bCs/>
          <w:color w:val="000000"/>
          <w:szCs w:val="21"/>
          <w:highlight w:val="none"/>
          <w:lang w:val="en-US" w:eastAsia="zh-CN"/>
        </w:rPr>
        <w:t>12</w:t>
      </w:r>
      <w:r>
        <w:rPr>
          <w:rFonts w:hint="eastAsia" w:hAnsi="宋体" w:cs="宋体"/>
          <w:bCs/>
          <w:color w:val="000000"/>
          <w:szCs w:val="21"/>
          <w:highlight w:val="none"/>
          <w:lang w:eastAsia="zh-CN"/>
        </w:rPr>
        <w:t>分）：售后服务方案符合本项目需求，售后保障措施、故障响应及达到故障现场时间优于售后服务要求，对系统的维护提供整体维护解决方案和运行维护应急预案，提供一站式、全面、专业的，提供系统维护信息档案管理，有良好的免费培训计划和定期回访计划，投标人或投标人上级单位（直接管理关系或法人关系）能提供手持网络测试仪校准证书</w:t>
      </w:r>
      <w:r>
        <w:rPr>
          <w:rFonts w:hint="eastAsia" w:hAnsi="宋体" w:cs="宋体"/>
          <w:bCs/>
          <w:color w:val="000000"/>
          <w:szCs w:val="21"/>
          <w:highlight w:val="none"/>
          <w:lang w:val="en-US" w:eastAsia="zh-CN"/>
        </w:rPr>
        <w:t>扫描件</w:t>
      </w:r>
      <w:r>
        <w:rPr>
          <w:rFonts w:hint="eastAsia" w:hAnsi="宋体" w:cs="宋体"/>
          <w:bCs/>
          <w:color w:val="000000"/>
          <w:szCs w:val="21"/>
          <w:highlight w:val="none"/>
          <w:lang w:eastAsia="zh-CN"/>
        </w:rPr>
        <w:t>。</w:t>
      </w:r>
    </w:p>
    <w:p w14:paraId="25DBC660">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⑤售后团队分（满分4分）</w:t>
      </w:r>
    </w:p>
    <w:p w14:paraId="0067DE48">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为确保该项目的售后服务质量有充分保障，投标人能够为本次项目配置专业售后服务人员，负责售后维护工作。项目售后服务</w:t>
      </w:r>
      <w:r>
        <w:rPr>
          <w:rFonts w:hint="eastAsia" w:hAnsi="宋体" w:cs="宋体"/>
          <w:bCs/>
          <w:color w:val="000000"/>
          <w:szCs w:val="21"/>
          <w:highlight w:val="none"/>
          <w:lang w:val="en-US" w:eastAsia="zh-CN"/>
        </w:rPr>
        <w:t>负责人</w:t>
      </w:r>
      <w:r>
        <w:rPr>
          <w:rFonts w:hint="eastAsia" w:hAnsi="宋体" w:cs="宋体"/>
          <w:bCs/>
          <w:color w:val="000000"/>
          <w:szCs w:val="21"/>
          <w:highlight w:val="none"/>
          <w:lang w:eastAsia="zh-CN"/>
        </w:rPr>
        <w:t>持有信息与通信工程高级工程师</w:t>
      </w:r>
      <w:r>
        <w:rPr>
          <w:rFonts w:hint="eastAsia" w:hAnsi="宋体" w:cs="宋体"/>
          <w:bCs/>
          <w:color w:val="000000"/>
          <w:szCs w:val="21"/>
          <w:highlight w:val="none"/>
          <w:lang w:val="en-US" w:eastAsia="zh-CN"/>
        </w:rPr>
        <w:t>或</w:t>
      </w:r>
      <w:r>
        <w:rPr>
          <w:rFonts w:hint="eastAsia" w:hAnsi="宋体" w:cs="宋体"/>
          <w:bCs/>
          <w:color w:val="000000"/>
          <w:szCs w:val="21"/>
          <w:highlight w:val="none"/>
          <w:lang w:eastAsia="zh-CN"/>
        </w:rPr>
        <w:t>中级注册安全工程师，</w:t>
      </w:r>
      <w:r>
        <w:rPr>
          <w:rFonts w:hint="eastAsia" w:hAnsi="宋体" w:cs="宋体"/>
          <w:bCs/>
          <w:color w:val="000000"/>
          <w:szCs w:val="21"/>
          <w:highlight w:val="none"/>
          <w:lang w:val="en-US" w:eastAsia="zh-CN"/>
        </w:rPr>
        <w:t>每持有一项得0.5分，满分1分</w:t>
      </w:r>
      <w:r>
        <w:rPr>
          <w:rFonts w:hint="eastAsia" w:hAnsi="宋体" w:cs="宋体"/>
          <w:bCs/>
          <w:color w:val="000000"/>
          <w:szCs w:val="21"/>
          <w:highlight w:val="none"/>
          <w:lang w:eastAsia="zh-CN"/>
        </w:rPr>
        <w:t>；项目质量控制经理持有注册信息安全工程师</w:t>
      </w:r>
      <w:r>
        <w:rPr>
          <w:rFonts w:hint="eastAsia" w:hAnsi="宋体" w:cs="宋体"/>
          <w:bCs/>
          <w:color w:val="000000"/>
          <w:szCs w:val="21"/>
          <w:highlight w:val="none"/>
          <w:lang w:val="en-US" w:eastAsia="zh-CN"/>
        </w:rPr>
        <w:t>或信息系统项目管理师，每持有一项得0.5分，满分1分</w:t>
      </w:r>
      <w:r>
        <w:rPr>
          <w:rFonts w:hint="eastAsia" w:hAnsi="宋体" w:cs="宋体"/>
          <w:bCs/>
          <w:color w:val="000000"/>
          <w:szCs w:val="21"/>
          <w:highlight w:val="none"/>
          <w:lang w:eastAsia="zh-CN"/>
        </w:rPr>
        <w:t>；项目培训经理持有信息安全工程师证书，得1分；项目后勤经理持有信息系统项目管理师证书，得1分；满分4分。</w:t>
      </w:r>
    </w:p>
    <w:p w14:paraId="33D58899">
      <w:pPr>
        <w:pStyle w:val="214"/>
        <w:spacing w:line="360" w:lineRule="auto"/>
        <w:ind w:firstLine="420"/>
        <w:rPr>
          <w:rFonts w:hint="eastAsia" w:hAnsi="宋体" w:cs="宋体"/>
          <w:b/>
          <w:bCs w:val="0"/>
          <w:color w:val="000000"/>
          <w:szCs w:val="21"/>
          <w:highlight w:val="none"/>
          <w:lang w:eastAsia="zh-CN"/>
        </w:rPr>
      </w:pPr>
      <w:r>
        <w:rPr>
          <w:rFonts w:hint="eastAsia" w:hAnsi="宋体" w:cs="宋体"/>
          <w:b/>
          <w:bCs w:val="0"/>
          <w:color w:val="000000"/>
          <w:szCs w:val="21"/>
          <w:highlight w:val="none"/>
          <w:lang w:eastAsia="zh-CN"/>
        </w:rPr>
        <w:t>3、履约能力分…………………………………………………………………………</w:t>
      </w:r>
      <w:r>
        <w:rPr>
          <w:rFonts w:hint="eastAsia" w:hAnsi="宋体" w:cs="宋体"/>
          <w:b/>
          <w:bCs w:val="0"/>
          <w:color w:val="000000"/>
          <w:szCs w:val="21"/>
          <w:highlight w:val="none"/>
          <w:lang w:val="en-US" w:eastAsia="zh-CN"/>
        </w:rPr>
        <w:t>12</w:t>
      </w:r>
      <w:r>
        <w:rPr>
          <w:rFonts w:hint="eastAsia" w:hAnsi="宋体" w:cs="宋体"/>
          <w:b/>
          <w:bCs w:val="0"/>
          <w:color w:val="000000"/>
          <w:szCs w:val="21"/>
          <w:highlight w:val="none"/>
          <w:lang w:eastAsia="zh-CN"/>
        </w:rPr>
        <w:t>分</w:t>
      </w:r>
    </w:p>
    <w:p w14:paraId="40BB2E25">
      <w:pPr>
        <w:pStyle w:val="214"/>
        <w:spacing w:line="360" w:lineRule="auto"/>
        <w:ind w:firstLine="420"/>
        <w:rPr>
          <w:rFonts w:hint="eastAsia" w:hAnsi="宋体" w:cs="宋体"/>
          <w:bCs/>
          <w:color w:val="000000"/>
          <w:szCs w:val="21"/>
          <w:highlight w:val="none"/>
          <w:lang w:eastAsia="zh-CN"/>
        </w:rPr>
      </w:pPr>
      <w:r>
        <w:rPr>
          <w:rFonts w:hint="eastAsia" w:hAnsi="宋体" w:cs="宋体"/>
          <w:bCs/>
          <w:color w:val="000000"/>
          <w:szCs w:val="21"/>
          <w:highlight w:val="none"/>
          <w:lang w:eastAsia="zh-CN"/>
        </w:rPr>
        <w:t>（1）投标人或投标人上级单位（直接管理关系或法人关系）具有质量管理体系认证ISO9001信息技术认证证书，ISO/IEC27001信息安全管理体系认证证</w:t>
      </w:r>
      <w:bookmarkStart w:id="391" w:name="_GoBack"/>
      <w:bookmarkEnd w:id="391"/>
      <w:r>
        <w:rPr>
          <w:rFonts w:hint="eastAsia" w:hAnsi="宋体" w:cs="宋体"/>
          <w:bCs/>
          <w:color w:val="000000"/>
          <w:szCs w:val="21"/>
          <w:highlight w:val="none"/>
          <w:lang w:eastAsia="zh-CN"/>
        </w:rPr>
        <w:t>书，ISO/IEC27032:20122012网络空间安全管理体系认证证书并加盖投标人公章（或</w:t>
      </w:r>
      <w:r>
        <w:rPr>
          <w:rFonts w:hint="eastAsia" w:hAnsi="宋体" w:cs="宋体"/>
          <w:bCs/>
          <w:color w:val="000000"/>
          <w:szCs w:val="21"/>
          <w:highlight w:val="none"/>
          <w:lang w:val="en-US" w:eastAsia="zh-CN"/>
        </w:rPr>
        <w:t>CA</w:t>
      </w:r>
      <w:r>
        <w:rPr>
          <w:rFonts w:hint="eastAsia" w:hAnsi="宋体" w:cs="宋体"/>
          <w:bCs/>
          <w:color w:val="000000"/>
          <w:szCs w:val="21"/>
          <w:highlight w:val="none"/>
          <w:lang w:eastAsia="zh-CN"/>
        </w:rPr>
        <w:t>签章）的每个得</w:t>
      </w:r>
      <w:r>
        <w:rPr>
          <w:rFonts w:hint="eastAsia" w:hAnsi="宋体" w:cs="宋体"/>
          <w:bCs/>
          <w:color w:val="000000"/>
          <w:szCs w:val="21"/>
          <w:highlight w:val="none"/>
          <w:lang w:val="en-US" w:eastAsia="zh-CN"/>
        </w:rPr>
        <w:t>3</w:t>
      </w:r>
      <w:r>
        <w:rPr>
          <w:rFonts w:hint="eastAsia" w:hAnsi="宋体" w:cs="宋体"/>
          <w:bCs/>
          <w:color w:val="000000"/>
          <w:szCs w:val="21"/>
          <w:highlight w:val="none"/>
          <w:lang w:eastAsia="zh-CN"/>
        </w:rPr>
        <w:t>分，满分</w:t>
      </w:r>
      <w:r>
        <w:rPr>
          <w:rFonts w:hint="eastAsia" w:hAnsi="宋体" w:cs="宋体"/>
          <w:bCs/>
          <w:color w:val="000000"/>
          <w:szCs w:val="21"/>
          <w:highlight w:val="none"/>
          <w:lang w:val="en-US" w:eastAsia="zh-CN"/>
        </w:rPr>
        <w:t>9</w:t>
      </w:r>
      <w:r>
        <w:rPr>
          <w:rFonts w:hint="eastAsia" w:hAnsi="宋体" w:cs="宋体"/>
          <w:bCs/>
          <w:color w:val="000000"/>
          <w:szCs w:val="21"/>
          <w:highlight w:val="none"/>
          <w:lang w:eastAsia="zh-CN"/>
        </w:rPr>
        <w:t>分。</w:t>
      </w:r>
    </w:p>
    <w:p w14:paraId="13B87779">
      <w:pPr>
        <w:pStyle w:val="214"/>
        <w:spacing w:line="360" w:lineRule="auto"/>
        <w:ind w:firstLine="420"/>
        <w:rPr>
          <w:rFonts w:hint="eastAsia" w:hAnsi="宋体" w:cs="宋体"/>
          <w:bCs/>
          <w:color w:val="000000"/>
          <w:szCs w:val="21"/>
          <w:highlight w:val="none"/>
          <w:lang w:val="en-US" w:eastAsia="zh-CN"/>
        </w:rPr>
      </w:pPr>
      <w:r>
        <w:rPr>
          <w:rFonts w:hint="eastAsia" w:hAnsi="宋体" w:cs="宋体"/>
          <w:bCs/>
          <w:color w:val="000000"/>
          <w:szCs w:val="21"/>
          <w:highlight w:val="none"/>
          <w:lang w:eastAsia="zh-CN"/>
        </w:rPr>
        <w:t>（2）业绩分：投标人202</w:t>
      </w:r>
      <w:r>
        <w:rPr>
          <w:rFonts w:hint="eastAsia" w:hAnsi="宋体" w:cs="宋体"/>
          <w:bCs/>
          <w:color w:val="000000"/>
          <w:szCs w:val="21"/>
          <w:highlight w:val="none"/>
          <w:lang w:val="en-US" w:eastAsia="zh-CN"/>
        </w:rPr>
        <w:t>4</w:t>
      </w:r>
      <w:r>
        <w:rPr>
          <w:rFonts w:hint="eastAsia" w:hAnsi="宋体" w:cs="宋体"/>
          <w:bCs/>
          <w:color w:val="000000"/>
          <w:szCs w:val="21"/>
          <w:highlight w:val="none"/>
          <w:lang w:eastAsia="zh-CN"/>
        </w:rPr>
        <w:t>年1月1日至</w:t>
      </w:r>
      <w:r>
        <w:rPr>
          <w:rFonts w:hint="eastAsia" w:hAnsi="宋体" w:cs="宋体"/>
          <w:bCs/>
          <w:color w:val="000000"/>
          <w:szCs w:val="21"/>
          <w:highlight w:val="none"/>
          <w:lang w:val="en-US" w:eastAsia="zh-CN"/>
        </w:rPr>
        <w:t>投标</w:t>
      </w:r>
      <w:r>
        <w:rPr>
          <w:rFonts w:hint="eastAsia" w:hAnsi="宋体" w:cs="宋体"/>
          <w:bCs/>
          <w:color w:val="000000"/>
          <w:szCs w:val="21"/>
          <w:highlight w:val="none"/>
          <w:lang w:eastAsia="zh-CN"/>
        </w:rPr>
        <w:t>文件提交截止时间止，具有同类服务项目的业绩[无不良记录，以中标（成交）通知书或签订的采购合同</w:t>
      </w:r>
      <w:r>
        <w:rPr>
          <w:rFonts w:hint="eastAsia" w:hAnsi="宋体" w:cs="宋体"/>
          <w:bCs/>
          <w:color w:val="000000"/>
          <w:szCs w:val="21"/>
          <w:highlight w:val="none"/>
          <w:lang w:val="en-US" w:eastAsia="zh-CN"/>
        </w:rPr>
        <w:t>扫描</w:t>
      </w:r>
      <w:r>
        <w:rPr>
          <w:rFonts w:hint="eastAsia" w:hAnsi="宋体" w:cs="宋体"/>
          <w:bCs/>
          <w:color w:val="000000"/>
          <w:szCs w:val="21"/>
          <w:highlight w:val="none"/>
          <w:lang w:eastAsia="zh-CN"/>
        </w:rPr>
        <w:t>件为准，并能清晰反映服务项目的内容、服务期限、签订合同的时间，否则不得分；同一个编号的项目有两个或两个以上的分标中标的只算一次]的，每个得</w:t>
      </w:r>
      <w:r>
        <w:rPr>
          <w:rFonts w:hint="eastAsia" w:hAnsi="宋体" w:cs="宋体"/>
          <w:bCs/>
          <w:color w:val="000000"/>
          <w:szCs w:val="21"/>
          <w:highlight w:val="none"/>
          <w:lang w:val="en-US" w:eastAsia="zh-CN"/>
        </w:rPr>
        <w:t>1</w:t>
      </w:r>
      <w:r>
        <w:rPr>
          <w:rFonts w:hint="eastAsia" w:hAnsi="宋体" w:cs="宋体"/>
          <w:bCs/>
          <w:color w:val="000000"/>
          <w:szCs w:val="21"/>
          <w:highlight w:val="none"/>
          <w:lang w:eastAsia="zh-CN"/>
        </w:rPr>
        <w:t>分。满分</w:t>
      </w:r>
      <w:r>
        <w:rPr>
          <w:rFonts w:hint="eastAsia" w:hAnsi="宋体" w:cs="宋体"/>
          <w:bCs/>
          <w:color w:val="000000"/>
          <w:szCs w:val="21"/>
          <w:highlight w:val="none"/>
          <w:lang w:val="en-US" w:eastAsia="zh-CN"/>
        </w:rPr>
        <w:t>3</w:t>
      </w:r>
      <w:r>
        <w:rPr>
          <w:rFonts w:hint="eastAsia" w:hAnsi="宋体" w:cs="宋体"/>
          <w:bCs/>
          <w:color w:val="000000"/>
          <w:szCs w:val="21"/>
          <w:highlight w:val="none"/>
          <w:lang w:eastAsia="zh-CN"/>
        </w:rPr>
        <w:t>分。</w:t>
      </w:r>
    </w:p>
    <w:p w14:paraId="65C3AE74">
      <w:pPr>
        <w:pStyle w:val="214"/>
        <w:tabs>
          <w:tab w:val="left" w:pos="4214"/>
        </w:tabs>
        <w:spacing w:line="360" w:lineRule="exact"/>
        <w:ind w:firstLine="422" w:firstLineChars="200"/>
        <w:rPr>
          <w:rFonts w:hint="eastAsia" w:hAnsi="宋体" w:cs="宋体"/>
          <w:b/>
          <w:color w:val="000000"/>
          <w:szCs w:val="21"/>
          <w:highlight w:val="none"/>
        </w:rPr>
      </w:pPr>
      <w:r>
        <w:rPr>
          <w:rFonts w:hint="eastAsia" w:hAnsi="宋体" w:cs="宋体"/>
          <w:b/>
          <w:color w:val="000000"/>
          <w:szCs w:val="21"/>
          <w:highlight w:val="none"/>
        </w:rPr>
        <w:t>三、推荐及确定中标候选</w:t>
      </w:r>
      <w:r>
        <w:rPr>
          <w:rFonts w:hint="eastAsia" w:hAnsi="宋体" w:cs="宋体"/>
          <w:b/>
          <w:color w:val="000000"/>
          <w:szCs w:val="21"/>
          <w:highlight w:val="none"/>
          <w:lang w:val="en-US" w:eastAsia="zh-CN"/>
        </w:rPr>
        <w:t>人</w:t>
      </w:r>
      <w:r>
        <w:rPr>
          <w:rFonts w:hint="eastAsia" w:hAnsi="宋体" w:cs="宋体"/>
          <w:b/>
          <w:color w:val="000000"/>
          <w:szCs w:val="21"/>
          <w:highlight w:val="none"/>
        </w:rPr>
        <w:t>原则</w:t>
      </w:r>
    </w:p>
    <w:p w14:paraId="351DD67C">
      <w:pPr>
        <w:pStyle w:val="214"/>
        <w:tabs>
          <w:tab w:val="left" w:pos="4214"/>
        </w:tabs>
        <w:spacing w:line="360" w:lineRule="exact"/>
        <w:ind w:firstLine="420"/>
        <w:rPr>
          <w:rFonts w:hint="eastAsia" w:hAnsi="宋体" w:cs="宋体"/>
          <w:color w:val="000000"/>
          <w:szCs w:val="21"/>
          <w:highlight w:val="none"/>
        </w:rPr>
      </w:pPr>
      <w:r>
        <w:rPr>
          <w:rFonts w:hint="eastAsia" w:hAnsi="宋体" w:cs="宋体"/>
          <w:color w:val="000000"/>
          <w:szCs w:val="21"/>
          <w:highlight w:val="none"/>
        </w:rPr>
        <w:t>（1）评标委员会根据综合得分由高到低排列次序，若得分相同时，按评标价由低到高顺序排列；</w:t>
      </w:r>
      <w:r>
        <w:rPr>
          <w:rFonts w:hint="eastAsia" w:hAnsi="宋体" w:cs="宋体"/>
          <w:color w:val="000000"/>
          <w:szCs w:val="21"/>
        </w:rPr>
        <w:t>得分相同且评标价也相同的由评标委员会按照抽签的方式决定排次次序</w:t>
      </w:r>
      <w:r>
        <w:rPr>
          <w:rFonts w:hint="eastAsia" w:hAnsi="宋体" w:cs="宋体"/>
          <w:color w:val="000000"/>
          <w:szCs w:val="21"/>
          <w:highlight w:val="none"/>
        </w:rPr>
        <w:t>。</w:t>
      </w:r>
    </w:p>
    <w:p w14:paraId="174AF2DA">
      <w:pPr>
        <w:pStyle w:val="214"/>
        <w:tabs>
          <w:tab w:val="left" w:pos="4214"/>
        </w:tabs>
        <w:spacing w:line="360" w:lineRule="exact"/>
        <w:ind w:firstLine="420"/>
        <w:rPr>
          <w:rFonts w:hint="eastAsia" w:hAnsi="宋体" w:cs="宋体"/>
          <w:color w:val="000000"/>
          <w:szCs w:val="21"/>
          <w:highlight w:val="none"/>
        </w:rPr>
      </w:pPr>
      <w:r>
        <w:rPr>
          <w:rFonts w:hint="eastAsia" w:hAnsi="宋体" w:cs="宋体"/>
          <w:color w:val="000000"/>
          <w:szCs w:val="21"/>
          <w:highlight w:val="none"/>
        </w:rPr>
        <w:t>（2）评标委员会可推荐前三名为中标候选人，采购人应当确定评标委员会推荐排名第一的中标候选人为中标人。</w:t>
      </w:r>
    </w:p>
    <w:p w14:paraId="1E79B50A">
      <w:pPr>
        <w:pStyle w:val="214"/>
        <w:tabs>
          <w:tab w:val="left" w:pos="4214"/>
        </w:tabs>
        <w:spacing w:line="360" w:lineRule="exact"/>
        <w:ind w:firstLine="420"/>
        <w:rPr>
          <w:rFonts w:hint="eastAsia" w:ascii="宋体" w:hAnsi="宋体" w:cs="宋体"/>
          <w:b/>
          <w:color w:val="000000"/>
          <w:szCs w:val="21"/>
          <w:highlight w:val="none"/>
        </w:rPr>
      </w:pPr>
      <w:r>
        <w:rPr>
          <w:rFonts w:hint="eastAsia" w:hAnsi="宋体" w:cs="宋体"/>
          <w:color w:val="000000"/>
          <w:szCs w:val="21"/>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6444CFB8">
      <w:pPr>
        <w:keepNext w:val="0"/>
        <w:keepLines w:val="0"/>
        <w:pageBreakBefore w:val="0"/>
        <w:widowControl w:val="0"/>
        <w:kinsoku/>
        <w:wordWrap/>
        <w:overflowPunct/>
        <w:topLinePunct w:val="0"/>
        <w:autoSpaceDE/>
        <w:autoSpaceDN/>
        <w:bidi w:val="0"/>
        <w:adjustRightInd/>
        <w:snapToGrid/>
        <w:spacing w:line="360" w:lineRule="exact"/>
        <w:ind w:firstLine="426"/>
        <w:jc w:val="left"/>
        <w:textAlignment w:val="auto"/>
        <w:rPr>
          <w:rFonts w:ascii="宋体" w:hAnsi="宋体" w:cs="宋体"/>
          <w:b/>
          <w:color w:val="000000"/>
          <w:szCs w:val="21"/>
          <w:highlight w:val="none"/>
        </w:rPr>
      </w:pPr>
      <w:r>
        <w:rPr>
          <w:rFonts w:hint="eastAsia" w:ascii="宋体" w:hAnsi="宋体" w:cs="宋体"/>
          <w:b/>
          <w:color w:val="000000"/>
          <w:szCs w:val="21"/>
          <w:highlight w:val="none"/>
        </w:rPr>
        <w:t>四、特别说明</w:t>
      </w:r>
    </w:p>
    <w:p w14:paraId="218EDD4B">
      <w:pPr>
        <w:keepNext w:val="0"/>
        <w:keepLines w:val="0"/>
        <w:pageBreakBefore w:val="0"/>
        <w:widowControl w:val="0"/>
        <w:kinsoku/>
        <w:wordWrap/>
        <w:overflowPunct/>
        <w:topLinePunct w:val="0"/>
        <w:autoSpaceDE/>
        <w:autoSpaceDN/>
        <w:bidi w:val="0"/>
        <w:adjustRightInd/>
        <w:snapToGrid/>
        <w:spacing w:line="360" w:lineRule="exact"/>
        <w:ind w:firstLine="422"/>
        <w:textAlignment w:val="auto"/>
        <w:rPr>
          <w:rFonts w:hint="eastAsia"/>
          <w:b/>
          <w:bCs/>
          <w:color w:val="000000"/>
          <w:szCs w:val="21"/>
          <w:highlight w:val="none"/>
          <w:lang w:eastAsia="zh-CN"/>
        </w:rPr>
      </w:pPr>
      <w:r>
        <w:rPr>
          <w:rFonts w:hint="eastAsia" w:ascii="宋体" w:hAnsi="宋体" w:eastAsia="宋体" w:cs="宋体"/>
          <w:b/>
          <w:bCs/>
          <w:color w:val="000000"/>
          <w:sz w:val="21"/>
          <w:szCs w:val="21"/>
          <w:lang w:val="en-US"/>
        </w:rPr>
        <w:t>评审时，</w:t>
      </w:r>
      <w:r>
        <w:rPr>
          <w:rFonts w:hint="eastAsia" w:ascii="宋体" w:hAnsi="宋体" w:eastAsia="宋体" w:cs="宋体"/>
          <w:b/>
          <w:bCs/>
          <w:color w:val="000000"/>
          <w:sz w:val="21"/>
          <w:szCs w:val="21"/>
          <w:lang w:val="en-US" w:eastAsia="zh-CN"/>
        </w:rPr>
        <w:t>评审委员会</w:t>
      </w:r>
      <w:r>
        <w:rPr>
          <w:rFonts w:hint="eastAsia" w:ascii="宋体" w:hAnsi="宋体" w:eastAsia="宋体" w:cs="宋体"/>
          <w:b/>
          <w:bCs/>
          <w:color w:val="000000"/>
          <w:sz w:val="21"/>
          <w:szCs w:val="21"/>
          <w:lang w:val="en-US"/>
        </w:rPr>
        <w:t>根据《关于推动解决政府采购异常低价问题的通知》</w:t>
      </w:r>
      <w:r>
        <w:rPr>
          <w:rFonts w:hint="eastAsia" w:ascii="宋体" w:hAnsi="宋体" w:eastAsia="宋体" w:cs="宋体"/>
          <w:b/>
          <w:bCs/>
          <w:color w:val="000000"/>
          <w:sz w:val="21"/>
          <w:szCs w:val="21"/>
          <w:lang w:val="en-US" w:eastAsia="zh-CN"/>
        </w:rPr>
        <w:t>（</w:t>
      </w:r>
      <w:r>
        <w:rPr>
          <w:rFonts w:hint="eastAsia" w:ascii="宋体" w:hAnsi="宋体" w:eastAsia="宋体" w:cs="宋体"/>
          <w:b/>
          <w:bCs/>
          <w:color w:val="000000"/>
          <w:sz w:val="21"/>
          <w:szCs w:val="21"/>
          <w:lang w:val="en-US"/>
        </w:rPr>
        <w:t>财库〔2026〕2号</w:t>
      </w:r>
      <w:r>
        <w:rPr>
          <w:rFonts w:hint="eastAsia" w:ascii="宋体" w:hAnsi="宋体" w:eastAsia="宋体" w:cs="宋体"/>
          <w:b/>
          <w:bCs/>
          <w:color w:val="000000"/>
          <w:sz w:val="21"/>
          <w:szCs w:val="21"/>
          <w:lang w:val="en-US" w:eastAsia="zh-CN"/>
        </w:rPr>
        <w:t>）相关规定</w:t>
      </w:r>
      <w:r>
        <w:rPr>
          <w:rFonts w:hint="eastAsia" w:ascii="宋体" w:hAnsi="宋体" w:eastAsia="宋体" w:cs="宋体"/>
          <w:b/>
          <w:bCs/>
          <w:color w:val="000000"/>
          <w:sz w:val="21"/>
          <w:szCs w:val="21"/>
          <w:lang w:val="en-US"/>
        </w:rPr>
        <w:t>启动异常低价投标（响应）审查程序</w:t>
      </w:r>
      <w:r>
        <w:rPr>
          <w:rFonts w:hint="eastAsia" w:ascii="宋体" w:hAnsi="宋体" w:eastAsia="宋体" w:cs="宋体"/>
          <w:b/>
          <w:bCs/>
          <w:color w:val="000000"/>
          <w:sz w:val="21"/>
          <w:szCs w:val="21"/>
          <w:lang w:val="en-US" w:eastAsia="zh-CN"/>
        </w:rPr>
        <w:t>。</w:t>
      </w:r>
      <w:r>
        <w:rPr>
          <w:rFonts w:hint="eastAsia"/>
          <w:b/>
          <w:bCs/>
          <w:color w:val="000000"/>
          <w:szCs w:val="21"/>
          <w:highlight w:val="none"/>
        </w:rPr>
        <w:t>启动异常低价投标（响应）审查后，</w:t>
      </w:r>
      <w:r>
        <w:rPr>
          <w:rStyle w:val="340"/>
          <w:rFonts w:ascii="宋体" w:hAnsi="宋体"/>
          <w:b/>
          <w:bCs/>
          <w:color w:val="000000"/>
          <w:szCs w:val="21"/>
          <w:highlight w:val="none"/>
        </w:rPr>
        <w:t>应当要求</w:t>
      </w:r>
      <w:r>
        <w:rPr>
          <w:rStyle w:val="340"/>
          <w:rFonts w:hint="eastAsia" w:ascii="宋体" w:hAnsi="宋体"/>
          <w:b/>
          <w:bCs/>
          <w:color w:val="000000"/>
          <w:szCs w:val="21"/>
          <w:highlight w:val="none"/>
        </w:rPr>
        <w:t>供应商</w:t>
      </w:r>
      <w:r>
        <w:rPr>
          <w:rStyle w:val="340"/>
          <w:rFonts w:ascii="宋体" w:hAnsi="宋体"/>
          <w:b/>
          <w:bCs/>
          <w:color w:val="000000"/>
          <w:szCs w:val="21"/>
          <w:highlight w:val="none"/>
        </w:rPr>
        <w:t>在</w:t>
      </w:r>
      <w:r>
        <w:rPr>
          <w:rStyle w:val="340"/>
          <w:rFonts w:hint="eastAsia" w:ascii="宋体" w:hAnsi="宋体"/>
          <w:b/>
          <w:bCs/>
          <w:color w:val="000000"/>
          <w:szCs w:val="21"/>
          <w:highlight w:val="none"/>
          <w:lang w:val="en-US" w:eastAsia="zh-CN"/>
        </w:rPr>
        <w:t>评审委员会</w:t>
      </w:r>
      <w:r>
        <w:rPr>
          <w:rStyle w:val="340"/>
          <w:rFonts w:hint="eastAsia" w:ascii="宋体" w:hAnsi="宋体"/>
          <w:b/>
          <w:bCs/>
          <w:color w:val="000000"/>
          <w:szCs w:val="21"/>
          <w:highlight w:val="none"/>
          <w:lang w:val="en-US"/>
        </w:rPr>
        <w:t>要求的时间内</w:t>
      </w:r>
      <w:r>
        <w:rPr>
          <w:rFonts w:hint="eastAsia"/>
          <w:b/>
          <w:bCs/>
          <w:color w:val="000000"/>
          <w:szCs w:val="21"/>
          <w:highlight w:val="none"/>
        </w:rPr>
        <w:t>对投标（响应）价格作出解释，</w:t>
      </w:r>
      <w:r>
        <w:rPr>
          <w:rFonts w:hint="eastAsia"/>
          <w:b/>
          <w:bCs/>
          <w:color w:val="000000"/>
          <w:szCs w:val="21"/>
          <w:highlight w:val="none"/>
          <w:shd w:val="clear" w:color="auto" w:fill="FFFFFF"/>
        </w:rPr>
        <w:t>提供项目具体成本测算等与报价合理性相关的书面说明及必要的证明材料（包括但不限于原材料成本、人工成本、制造费用等）。</w:t>
      </w:r>
      <w:r>
        <w:rPr>
          <w:rFonts w:hint="eastAsia"/>
          <w:b/>
          <w:bCs/>
          <w:color w:val="000000"/>
          <w:szCs w:val="21"/>
          <w:highlight w:val="none"/>
        </w:rPr>
        <w:t>投标（响应）供应商不能提供书面说明、证明材料，或者提供的书面说明、证明材料不能证明其报价合理性的，评审委员会应当将其作为无效投标（响应）处理。 异常低价投标（响应）审查的启动原因、审查意见和审查结果应当在评审报告中记录</w:t>
      </w:r>
      <w:r>
        <w:rPr>
          <w:rFonts w:hint="eastAsia"/>
          <w:b/>
          <w:bCs/>
          <w:color w:val="000000"/>
          <w:szCs w:val="21"/>
          <w:highlight w:val="none"/>
          <w:lang w:eastAsia="zh-CN"/>
        </w:rPr>
        <w:t>。</w:t>
      </w:r>
    </w:p>
    <w:p w14:paraId="3C22F09D">
      <w:pPr>
        <w:keepNext w:val="0"/>
        <w:keepLines w:val="0"/>
        <w:pageBreakBefore w:val="0"/>
        <w:widowControl w:val="0"/>
        <w:kinsoku/>
        <w:wordWrap/>
        <w:overflowPunct/>
        <w:topLinePunct w:val="0"/>
        <w:autoSpaceDE/>
        <w:autoSpaceDN/>
        <w:bidi w:val="0"/>
        <w:adjustRightInd/>
        <w:snapToGrid/>
        <w:spacing w:line="360" w:lineRule="exact"/>
        <w:ind w:firstLine="422"/>
        <w:textAlignment w:val="auto"/>
        <w:rPr>
          <w:rFonts w:hint="eastAsia"/>
          <w:b/>
          <w:bCs/>
          <w:color w:val="000000"/>
          <w:sz w:val="32"/>
          <w:szCs w:val="32"/>
          <w:highlight w:val="none"/>
        </w:rPr>
      </w:pPr>
      <w:r>
        <w:rPr>
          <w:rFonts w:hint="eastAsia" w:ascii="宋体" w:hAnsi="宋体" w:eastAsia="宋体" w:cs="宋体"/>
          <w:b/>
          <w:bCs/>
          <w:color w:val="000000"/>
          <w:szCs w:val="21"/>
          <w:highlight w:val="none"/>
        </w:rPr>
        <w:t>为避免因未能及时提供说明而导致被评审委员会作为无效投标情形，</w:t>
      </w:r>
      <w:r>
        <w:rPr>
          <w:rFonts w:hint="eastAsia" w:ascii="宋体" w:hAnsi="宋体" w:eastAsia="宋体" w:cs="宋体"/>
          <w:b/>
          <w:bCs/>
          <w:color w:val="000000"/>
          <w:szCs w:val="21"/>
          <w:highlight w:val="none"/>
          <w:shd w:val="clear" w:color="auto" w:fill="auto"/>
        </w:rPr>
        <w:t>供应商可提前准备或随投标（响应）文件一并提交相关书面说明及必要的证明材料。</w:t>
      </w:r>
      <w:bookmarkEnd w:id="309"/>
    </w:p>
    <w:p w14:paraId="270BB43E">
      <w:pPr>
        <w:pStyle w:val="214"/>
        <w:spacing w:line="390" w:lineRule="exact"/>
        <w:contextualSpacing/>
        <w:rPr>
          <w:rFonts w:hAnsi="宋体" w:cs="宋体"/>
          <w:b/>
          <w:bCs/>
          <w:color w:val="000000"/>
          <w:sz w:val="32"/>
          <w:szCs w:val="32"/>
          <w:highlight w:val="none"/>
        </w:rPr>
      </w:pPr>
      <w:r>
        <w:rPr>
          <w:rFonts w:hint="eastAsia"/>
          <w:b/>
          <w:bCs/>
          <w:color w:val="000000"/>
          <w:sz w:val="32"/>
          <w:szCs w:val="32"/>
          <w:highlight w:val="none"/>
        </w:rPr>
        <w:t>附表</w:t>
      </w:r>
    </w:p>
    <w:p w14:paraId="330238F8">
      <w:pPr>
        <w:widowControl/>
        <w:spacing w:before="156" w:after="156" w:line="400" w:lineRule="exact"/>
        <w:jc w:val="center"/>
        <w:rPr>
          <w:rFonts w:ascii="宋体" w:hAnsi="宋体" w:cs="宋体"/>
          <w:b/>
          <w:bCs/>
          <w:color w:val="000000"/>
          <w:sz w:val="30"/>
          <w:szCs w:val="30"/>
          <w:highlight w:val="none"/>
        </w:rPr>
      </w:pPr>
      <w:bookmarkStart w:id="310" w:name="_Toc28361_WPSOffice_Level2"/>
      <w:r>
        <w:rPr>
          <w:rFonts w:hint="eastAsia" w:ascii="宋体" w:hAnsi="宋体" w:cs="宋体"/>
          <w:b/>
          <w:bCs/>
          <w:color w:val="000000"/>
          <w:sz w:val="30"/>
          <w:szCs w:val="30"/>
          <w:highlight w:val="none"/>
        </w:rPr>
        <w:t>统计上大中小微型企业划分标准</w:t>
      </w:r>
      <w:bookmarkEnd w:id="310"/>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445"/>
        <w:gridCol w:w="748"/>
        <w:gridCol w:w="1188"/>
        <w:gridCol w:w="1796"/>
        <w:gridCol w:w="1505"/>
        <w:gridCol w:w="1047"/>
      </w:tblGrid>
      <w:tr w14:paraId="7A7E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3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46E03A6">
            <w:pPr>
              <w:widowControl/>
              <w:spacing w:line="240" w:lineRule="exact"/>
              <w:jc w:val="center"/>
              <w:rPr>
                <w:rFonts w:ascii="宋体" w:hAnsi="宋体" w:cs="宋体"/>
                <w:b/>
                <w:bCs/>
                <w:color w:val="000000"/>
                <w:sz w:val="18"/>
                <w:szCs w:val="21"/>
                <w:highlight w:val="none"/>
              </w:rPr>
            </w:pPr>
            <w:r>
              <w:rPr>
                <w:rFonts w:hint="eastAsia" w:ascii="宋体" w:hAnsi="宋体" w:cs="宋体"/>
                <w:b/>
                <w:bCs/>
                <w:color w:val="000000"/>
                <w:sz w:val="18"/>
                <w:szCs w:val="21"/>
                <w:highlight w:val="none"/>
              </w:rPr>
              <w:t>行业名称</w:t>
            </w:r>
          </w:p>
        </w:tc>
        <w:tc>
          <w:tcPr>
            <w:tcW w:w="14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7DB6A75">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指标名称</w:t>
            </w:r>
          </w:p>
        </w:tc>
        <w:tc>
          <w:tcPr>
            <w:tcW w:w="74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DD8CB51">
            <w:pPr>
              <w:widowControl/>
              <w:jc w:val="center"/>
              <w:rPr>
                <w:rFonts w:hint="eastAsia" w:ascii="宋体" w:hAnsi="宋体" w:eastAsia="宋体" w:cs="宋体"/>
                <w:b/>
                <w:bCs/>
                <w:color w:val="000000"/>
                <w:sz w:val="18"/>
                <w:szCs w:val="18"/>
                <w:highlight w:val="none"/>
                <w:lang w:eastAsia="zh-CN"/>
              </w:rPr>
            </w:pPr>
            <w:r>
              <w:rPr>
                <w:rFonts w:hint="eastAsia" w:ascii="宋体" w:hAnsi="宋体" w:cs="宋体"/>
                <w:b/>
                <w:bCs/>
                <w:color w:val="000000"/>
                <w:sz w:val="18"/>
                <w:szCs w:val="18"/>
                <w:highlight w:val="none"/>
              </w:rPr>
              <w:t>计量</w:t>
            </w:r>
          </w:p>
          <w:p w14:paraId="3A1536A1">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单位</w:t>
            </w:r>
          </w:p>
        </w:tc>
        <w:tc>
          <w:tcPr>
            <w:tcW w:w="11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079A187">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大型</w:t>
            </w:r>
          </w:p>
        </w:tc>
        <w:tc>
          <w:tcPr>
            <w:tcW w:w="179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2752D83">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中型</w:t>
            </w:r>
          </w:p>
        </w:tc>
        <w:tc>
          <w:tcPr>
            <w:tcW w:w="150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63BDD0A">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小型</w:t>
            </w:r>
          </w:p>
        </w:tc>
        <w:tc>
          <w:tcPr>
            <w:tcW w:w="104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3FC72E3">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微型</w:t>
            </w:r>
          </w:p>
        </w:tc>
      </w:tr>
      <w:tr w14:paraId="46E1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18D80082">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农、林、牧、渔业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06B221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CA5604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761350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060CD9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1F31C5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5F1D4C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w:t>
            </w:r>
          </w:p>
        </w:tc>
      </w:tr>
      <w:tr w14:paraId="652B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2078ED1">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工业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8E0929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DF0B3A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745B10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B67788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6FF9FB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0B5988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1E59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8101887">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9A01A0C">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55FA63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DCFAFB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94C23E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807D83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43B654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w:t>
            </w:r>
          </w:p>
        </w:tc>
      </w:tr>
      <w:tr w14:paraId="0391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90F171B">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建筑业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362E2A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EC1C10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74E06B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666171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6000≤Y＜80000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A43300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300≤Y＜6000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9AF43C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w:t>
            </w:r>
          </w:p>
        </w:tc>
      </w:tr>
      <w:tr w14:paraId="160B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16C6CDD6">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5231348">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16F8AB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253B4F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F12E0B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5000≤Z＜80000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EEAAB6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B28D41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Z＜300</w:t>
            </w:r>
          </w:p>
        </w:tc>
      </w:tr>
      <w:tr w14:paraId="6B2B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6892173">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批发业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C86FCE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979BCF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19573F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8F432A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EEA280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5≤X＜20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D5903A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X＜5</w:t>
            </w:r>
          </w:p>
        </w:tc>
      </w:tr>
      <w:tr w14:paraId="1B04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C93F6FC">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FA66639">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0C9F64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1B6F1E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853A0E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00316A5">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1000≤Y＜5000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FF9A93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w:t>
            </w:r>
          </w:p>
        </w:tc>
      </w:tr>
      <w:tr w14:paraId="7A50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674C4C3">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零售业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61333D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4502D9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303F6E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9830B7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A008E2D">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10≤X＜50 </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2A2382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2EC8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4E7B5911">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5A0DD6F">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6C8304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7FFB36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472FB9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1A209C8">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100≤Y＜500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F605AC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125E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B7DF4AD">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交通运输业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B9668C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316AD3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613319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AE1677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5DE9D1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CEB5B3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78F8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09A912E">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1480072">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30B98C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2EC754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68D8A8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709B94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200≤Y＜3000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C6E629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w:t>
            </w:r>
          </w:p>
        </w:tc>
      </w:tr>
      <w:tr w14:paraId="494B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0D479638">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仓储业</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AB8C9D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7D2027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1D5CA0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0BA9D52">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3B7F92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DDD553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5E87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08BF1BB">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FD435D1">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BEA5A0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EE763F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5E3C8A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DEB48F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EAF77E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437A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0A401045">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邮政业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35FF51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0012C1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45D4CC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8308EF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1D0030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28B807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3805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5858DC9">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5896CC3">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48A282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CCC9F4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E3E08C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A26A2B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98E297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55A5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152F4F3">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住宿业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8D4BF9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C93B83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F94EF2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0B6836F">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812398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1DDEEC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7F1B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8EB538A">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53085CE">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504D8F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829CBC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27B793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EE4F79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A19EF4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57BC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076BCAF">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餐饮业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99DAFC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453B37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B4BFE6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5AA1D9F">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3542A7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F4DAFE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1C16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1528AB53">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7FBC9AF">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F97AF5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596898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704556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CEDE3E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79D60C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7EC4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B3DB37B">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信息传输业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F7461B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120E2B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6CFE5E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50E022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100≤X＜2000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D84B4A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F2AFB7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0EE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C915EED">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06236DE">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F08BE1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8FA886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8889E1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1000≤Y＜100000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60D081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E1C6AC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0C56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32C0564">
            <w:pPr>
              <w:widowControl/>
              <w:spacing w:line="240" w:lineRule="exact"/>
              <w:jc w:val="left"/>
              <w:rPr>
                <w:rFonts w:ascii="宋体" w:hAnsi="宋体" w:cs="宋体"/>
                <w:color w:val="000000"/>
                <w:spacing w:val="-12"/>
                <w:sz w:val="18"/>
                <w:szCs w:val="18"/>
                <w:highlight w:val="none"/>
              </w:rPr>
            </w:pPr>
            <w:r>
              <w:rPr>
                <w:rFonts w:hint="eastAsia" w:ascii="宋体" w:hAnsi="宋体" w:cs="宋体"/>
                <w:color w:val="000000"/>
                <w:spacing w:val="-12"/>
                <w:sz w:val="18"/>
                <w:szCs w:val="18"/>
                <w:highlight w:val="none"/>
              </w:rPr>
              <w:t>软件和信息技术服</w:t>
            </w:r>
            <w:r>
              <w:rPr>
                <w:rFonts w:hint="eastAsia" w:ascii="宋体" w:hAnsi="宋体" w:cs="宋体"/>
                <w:color w:val="000000"/>
                <w:sz w:val="18"/>
                <w:szCs w:val="18"/>
                <w:highlight w:val="none"/>
              </w:rPr>
              <w:t>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EB651C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5E0B83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08CCDC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FFF9800">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5443F9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048547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7666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FD5A77B">
            <w:pPr>
              <w:widowControl/>
              <w:jc w:val="left"/>
              <w:rPr>
                <w:rFonts w:ascii="宋体" w:hAnsi="宋体" w:cs="宋体"/>
                <w:color w:val="000000"/>
                <w:spacing w:val="-12"/>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34FCF7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8967CB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C5BC21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498732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43821C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64DEF1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w:t>
            </w:r>
          </w:p>
        </w:tc>
      </w:tr>
      <w:tr w14:paraId="346B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A1B2E8F">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房地产开发经营</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B31565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2145EA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A39AAD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B8508E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1000≤Y＜200000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471A12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4DF385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548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3197A0B3">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48B7EA8">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A104F1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717060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961CE6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5000≤Z＜10000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A893DC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C8B8E5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Z＜2000</w:t>
            </w:r>
          </w:p>
        </w:tc>
      </w:tr>
      <w:tr w14:paraId="69DA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46391F3">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物业管理</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0E8409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0A8101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E947D1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BDBFAF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0E99A5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F35377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w:t>
            </w:r>
          </w:p>
        </w:tc>
      </w:tr>
      <w:tr w14:paraId="06BF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2DAB0C7">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B5DB75E">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6EA924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C0AF15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87D95D8">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1000≤Y＜5000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475BA0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6C8527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Y＜500</w:t>
            </w:r>
          </w:p>
        </w:tc>
      </w:tr>
      <w:tr w14:paraId="2178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54AC06E">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租赁和商务服务业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246B5A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01DBCA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224686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A1971D0">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02B246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A2FAFB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500E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B65FD2F">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E1F7819">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FA983F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78DF7E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A89BC6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8000≤Z＜120000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88114F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100≤Z＜8000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67E68D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Z＜100</w:t>
            </w:r>
          </w:p>
        </w:tc>
      </w:tr>
      <w:tr w14:paraId="43F1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1C898D82">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其他未列明行业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269AB3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0ED77A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3E8700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8331EEE">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E48929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05F287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bl>
    <w:p w14:paraId="26C01D09">
      <w:pPr>
        <w:widowControl/>
        <w:spacing w:line="540" w:lineRule="exact"/>
        <w:rPr>
          <w:rFonts w:ascii="宋体" w:hAnsi="宋体" w:cs="宋体"/>
          <w:color w:val="000000"/>
          <w:spacing w:val="8"/>
          <w:sz w:val="24"/>
          <w:highlight w:val="none"/>
        </w:rPr>
      </w:pPr>
    </w:p>
    <w:p w14:paraId="4CA54F7F">
      <w:pPr>
        <w:widowControl/>
        <w:spacing w:line="540" w:lineRule="exact"/>
        <w:rPr>
          <w:rFonts w:ascii="宋体" w:hAnsi="宋体" w:cs="宋体"/>
          <w:color w:val="000000"/>
          <w:spacing w:val="8"/>
          <w:sz w:val="24"/>
          <w:highlight w:val="none"/>
        </w:rPr>
      </w:pPr>
      <w:r>
        <w:rPr>
          <w:rFonts w:hint="eastAsia" w:ascii="宋体" w:hAnsi="宋体" w:cs="宋体"/>
          <w:color w:val="000000"/>
          <w:spacing w:val="8"/>
          <w:sz w:val="24"/>
          <w:highlight w:val="none"/>
        </w:rPr>
        <w:t>说明：</w:t>
      </w:r>
    </w:p>
    <w:p w14:paraId="0BA9902C">
      <w:pPr>
        <w:pStyle w:val="214"/>
        <w:spacing w:line="380" w:lineRule="exact"/>
        <w:ind w:firstLine="512"/>
        <w:contextualSpacing/>
        <w:rPr>
          <w:rFonts w:hAnsi="宋体" w:cs="宋体"/>
          <w:color w:val="000000"/>
          <w:spacing w:val="8"/>
          <w:sz w:val="24"/>
          <w:szCs w:val="24"/>
          <w:highlight w:val="none"/>
        </w:rPr>
      </w:pPr>
      <w:r>
        <w:rPr>
          <w:rFonts w:hint="eastAsia" w:hAnsi="宋体" w:cs="宋体"/>
          <w:color w:val="000000"/>
          <w:spacing w:val="8"/>
          <w:sz w:val="24"/>
          <w:szCs w:val="24"/>
          <w:highlight w:val="none"/>
        </w:rPr>
        <w:t>1.大型、中型和小型企业须同时满足所列指标的下限，否则下划一档；微型企业只须满足所列指标中的一项即可。</w:t>
      </w:r>
    </w:p>
    <w:p w14:paraId="5BB559C6">
      <w:pPr>
        <w:pStyle w:val="214"/>
        <w:spacing w:line="380" w:lineRule="exact"/>
        <w:ind w:firstLine="512"/>
        <w:contextualSpacing/>
        <w:rPr>
          <w:rFonts w:hAnsi="宋体" w:cs="宋体"/>
          <w:color w:val="000000"/>
          <w:spacing w:val="8"/>
          <w:sz w:val="24"/>
          <w:szCs w:val="24"/>
          <w:highlight w:val="none"/>
        </w:rPr>
      </w:pPr>
      <w:r>
        <w:rPr>
          <w:rFonts w:hint="eastAsia" w:hAnsi="宋体" w:cs="宋体"/>
          <w:color w:val="000000"/>
          <w:spacing w:val="8"/>
          <w:sz w:val="24"/>
          <w:szCs w:val="24"/>
          <w:highlight w:val="none"/>
        </w:rPr>
        <w:t>2.附表中各行业的范围以</w:t>
      </w:r>
      <w:r>
        <w:rPr>
          <w:rFonts w:hint="eastAsia" w:hAnsi="宋体" w:cs="宋体"/>
          <w:color w:val="000000"/>
          <w:spacing w:val="8"/>
          <w:sz w:val="24"/>
          <w:szCs w:val="24"/>
        </w:rPr>
        <w:t>《国民经济行业分类》（GB/T</w:t>
      </w:r>
      <w:r>
        <w:rPr>
          <w:rFonts w:hint="eastAsia" w:hAnsi="宋体" w:cs="宋体"/>
          <w:color w:val="000000"/>
          <w:spacing w:val="8"/>
          <w:sz w:val="24"/>
          <w:szCs w:val="24"/>
          <w:lang w:val="en-US" w:eastAsia="zh-CN"/>
        </w:rPr>
        <w:t xml:space="preserve"> </w:t>
      </w:r>
      <w:r>
        <w:rPr>
          <w:rFonts w:hint="eastAsia" w:hAnsi="宋体" w:cs="宋体"/>
          <w:color w:val="000000"/>
          <w:spacing w:val="8"/>
          <w:sz w:val="24"/>
          <w:szCs w:val="24"/>
        </w:rPr>
        <w:t>4754-2017）</w:t>
      </w:r>
      <w:r>
        <w:rPr>
          <w:rFonts w:hint="eastAsia" w:hAnsi="宋体" w:cs="宋体"/>
          <w:color w:val="000000"/>
          <w:spacing w:val="8"/>
          <w:sz w:val="24"/>
          <w:szCs w:val="24"/>
          <w:highlight w:val="none"/>
        </w:rPr>
        <w:t>为准。带</w:t>
      </w:r>
      <w:r>
        <w:rPr>
          <w:rFonts w:hint="eastAsia" w:ascii="宋体" w:hAnsi="宋体" w:eastAsia="宋体" w:cs="宋体"/>
          <w:color w:val="000000"/>
          <w:spacing w:val="8"/>
          <w:sz w:val="24"/>
          <w:szCs w:val="24"/>
          <w:highlight w:val="none"/>
        </w:rPr>
        <w:t>※</w:t>
      </w:r>
      <w:r>
        <w:rPr>
          <w:rFonts w:hint="eastAsia" w:hAnsi="宋体" w:cs="宋体"/>
          <w:color w:val="000000"/>
          <w:spacing w:val="8"/>
          <w:sz w:val="24"/>
          <w:szCs w:val="24"/>
          <w:highlight w:val="none"/>
        </w:rPr>
        <w:t>的项为行业组合类别，其中，工业包括采矿业，制造业，电力、热力、燃气及水生产和供应业；交通运输业包括道路运输业，水上运输业，</w:t>
      </w:r>
      <w:r>
        <w:rPr>
          <w:rFonts w:hint="eastAsia" w:hAnsi="宋体" w:cs="宋体"/>
          <w:color w:val="000000"/>
          <w:spacing w:val="8"/>
          <w:sz w:val="24"/>
          <w:szCs w:val="24"/>
        </w:rPr>
        <w:t>航空运输业</w:t>
      </w:r>
      <w:r>
        <w:rPr>
          <w:rFonts w:hint="eastAsia" w:hAnsi="宋体" w:cs="宋体"/>
          <w:color w:val="000000"/>
          <w:spacing w:val="8"/>
          <w:sz w:val="24"/>
          <w:szCs w:val="24"/>
          <w:highlight w:val="none"/>
        </w:rPr>
        <w:t>，</w:t>
      </w:r>
      <w:r>
        <w:rPr>
          <w:rFonts w:hint="eastAsia" w:hAnsi="宋体" w:cs="宋体"/>
          <w:color w:val="000000"/>
          <w:spacing w:val="8"/>
          <w:sz w:val="24"/>
          <w:szCs w:val="24"/>
        </w:rPr>
        <w:t>管道运输业</w:t>
      </w:r>
      <w:r>
        <w:rPr>
          <w:rFonts w:hint="eastAsia" w:hAnsi="宋体" w:cs="宋体"/>
          <w:color w:val="000000"/>
          <w:spacing w:val="8"/>
          <w:sz w:val="24"/>
          <w:szCs w:val="24"/>
          <w:highlight w:val="none"/>
        </w:rPr>
        <w:t>，多式联运和运输代理业、装卸搬运，不包括铁路运输业；仓储业包括通用仓储，低温仓储，危险品仓储，谷物、棉花等农产品仓储，中药材仓储和其他仓储业</w:t>
      </w:r>
      <w:r>
        <w:rPr>
          <w:rFonts w:hint="eastAsia" w:hAnsi="宋体" w:cs="宋体"/>
          <w:color w:val="000000"/>
          <w:spacing w:val="8"/>
          <w:sz w:val="24"/>
          <w:szCs w:val="24"/>
          <w:highlight w:val="none"/>
          <w:lang w:eastAsia="zh-CN"/>
        </w:rPr>
        <w:t>；</w:t>
      </w:r>
      <w:r>
        <w:rPr>
          <w:rFonts w:hint="eastAsia" w:hAnsi="宋体" w:cs="宋体"/>
          <w:color w:val="000000"/>
          <w:spacing w:val="8"/>
          <w:sz w:val="24"/>
          <w:szCs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82BB48B">
      <w:pPr>
        <w:pStyle w:val="214"/>
        <w:spacing w:line="380" w:lineRule="exact"/>
        <w:ind w:firstLine="512"/>
        <w:contextualSpacing/>
        <w:rPr>
          <w:rFonts w:hAnsi="宋体" w:cs="宋体"/>
          <w:bCs/>
          <w:color w:val="000000"/>
          <w:highlight w:val="none"/>
        </w:rPr>
      </w:pPr>
      <w:r>
        <w:rPr>
          <w:rFonts w:hint="eastAsia" w:hAnsi="宋体" w:cs="宋体"/>
          <w:color w:val="000000"/>
          <w:spacing w:val="8"/>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A12DC48">
      <w:pPr>
        <w:jc w:val="center"/>
        <w:outlineLvl w:val="0"/>
        <w:rPr>
          <w:rFonts w:ascii="宋体" w:hAnsi="宋体" w:cs="宋体"/>
          <w:color w:val="000000"/>
          <w:sz w:val="32"/>
          <w:szCs w:val="32"/>
          <w:highlight w:val="none"/>
        </w:rPr>
      </w:pPr>
      <w:r>
        <w:rPr>
          <w:rFonts w:hint="eastAsia" w:ascii="宋体" w:hAnsi="宋体" w:cs="宋体"/>
          <w:color w:val="000000"/>
          <w:sz w:val="32"/>
          <w:szCs w:val="32"/>
          <w:highlight w:val="none"/>
        </w:rPr>
        <w:br w:type="page" w:clear="all"/>
      </w:r>
      <w:bookmarkStart w:id="311" w:name="_Toc8"/>
      <w:bookmarkStart w:id="312" w:name="_Toc30753"/>
      <w:bookmarkStart w:id="313" w:name="_Toc31465"/>
      <w:bookmarkStart w:id="314" w:name="_Toc19038"/>
      <w:bookmarkStart w:id="315" w:name="_Toc14595"/>
      <w:r>
        <w:rPr>
          <w:rFonts w:hint="eastAsia" w:ascii="宋体" w:hAnsi="宋体" w:cs="宋体"/>
          <w:b/>
          <w:bCs/>
          <w:color w:val="000000"/>
          <w:sz w:val="32"/>
          <w:szCs w:val="32"/>
          <w:highlight w:val="none"/>
        </w:rPr>
        <w:t>第五章采购合同（合同主要条款及格式）</w:t>
      </w:r>
      <w:bookmarkEnd w:id="311"/>
      <w:bookmarkEnd w:id="312"/>
      <w:bookmarkEnd w:id="313"/>
      <w:bookmarkEnd w:id="314"/>
      <w:bookmarkEnd w:id="315"/>
    </w:p>
    <w:p w14:paraId="6C17DBD7">
      <w:pPr>
        <w:keepLines w:val="0"/>
        <w:pageBreakBefore w:val="0"/>
        <w:widowControl w:val="0"/>
        <w:bidi w:val="0"/>
        <w:spacing w:line="360" w:lineRule="exact"/>
        <w:rPr>
          <w:rFonts w:hint="eastAsia" w:ascii="宋体" w:hAnsi="宋体" w:eastAsia="宋体" w:cs="宋体"/>
          <w:color w:val="000000"/>
          <w:highlight w:val="none"/>
          <w:lang w:eastAsia="zh-CN"/>
        </w:rPr>
      </w:pPr>
      <w:r>
        <w:rPr>
          <w:rFonts w:hint="eastAsia" w:ascii="宋体" w:hAnsi="宋体" w:cs="宋体"/>
          <w:color w:val="000000"/>
          <w:highlight w:val="none"/>
        </w:rPr>
        <w:t>项目名称：</w:t>
      </w:r>
      <w:r>
        <w:rPr>
          <w:rFonts w:hint="eastAsia" w:ascii="宋体" w:hAnsi="宋体" w:cs="宋体"/>
          <w:color w:val="000000"/>
          <w:highlight w:val="none"/>
          <w:lang w:val="en-US" w:eastAsia="zh-CN"/>
        </w:rPr>
        <w:t>荔浦市荔浦中学等114所学校教育城域网建设项目网络服务租用项目</w:t>
      </w:r>
    </w:p>
    <w:p w14:paraId="3E6F6318">
      <w:pPr>
        <w:keepLines w:val="0"/>
        <w:pageBreakBefore w:val="0"/>
        <w:widowControl w:val="0"/>
        <w:bidi w:val="0"/>
        <w:spacing w:line="360" w:lineRule="exact"/>
        <w:rPr>
          <w:rFonts w:hint="eastAsia" w:ascii="宋体" w:hAnsi="宋体" w:cs="宋体"/>
          <w:color w:val="000000"/>
          <w:highlight w:val="none"/>
          <w:lang w:eastAsia="zh-CN"/>
        </w:rPr>
      </w:pPr>
      <w:r>
        <w:rPr>
          <w:rFonts w:hint="eastAsia" w:ascii="宋体" w:hAnsi="宋体" w:cs="宋体"/>
          <w:color w:val="000000"/>
          <w:highlight w:val="none"/>
        </w:rPr>
        <w:t>项目编号：</w:t>
      </w:r>
      <w:r>
        <w:rPr>
          <w:rFonts w:hint="eastAsia" w:ascii="宋体" w:hAnsi="宋体" w:cs="宋体"/>
          <w:color w:val="auto"/>
          <w:highlight w:val="none"/>
          <w:lang w:eastAsia="zh-CN"/>
        </w:rPr>
        <w:t>GLZC2026-G3-310022-GLSZ</w:t>
      </w:r>
    </w:p>
    <w:p w14:paraId="57C2BF86">
      <w:pPr>
        <w:keepLines w:val="0"/>
        <w:pageBreakBefore w:val="0"/>
        <w:widowControl w:val="0"/>
        <w:bidi w:val="0"/>
        <w:spacing w:line="360" w:lineRule="exact"/>
        <w:rPr>
          <w:rFonts w:ascii="宋体" w:hAnsi="宋体" w:cs="宋体"/>
          <w:color w:val="000000"/>
          <w:highlight w:val="none"/>
          <w:u w:val="single"/>
        </w:rPr>
      </w:pPr>
      <w:r>
        <w:rPr>
          <w:rFonts w:hint="eastAsia" w:ascii="宋体" w:hAnsi="宋体" w:cs="宋体"/>
          <w:color w:val="000000"/>
        </w:rPr>
        <w:t>甲方</w:t>
      </w:r>
      <w:r>
        <w:rPr>
          <w:rFonts w:hint="eastAsia" w:ascii="宋体" w:hAnsi="宋体" w:cs="宋体"/>
          <w:color w:val="000000"/>
          <w:highlight w:val="none"/>
        </w:rPr>
        <w:t>：（采购人）</w:t>
      </w:r>
    </w:p>
    <w:p w14:paraId="5CB9E1A5">
      <w:pPr>
        <w:keepLines w:val="0"/>
        <w:pageBreakBefore w:val="0"/>
        <w:widowControl w:val="0"/>
        <w:bidi w:val="0"/>
        <w:spacing w:line="360" w:lineRule="exact"/>
        <w:rPr>
          <w:rFonts w:ascii="宋体" w:hAnsi="宋体" w:cs="宋体"/>
          <w:color w:val="000000"/>
          <w:highlight w:val="none"/>
        </w:rPr>
      </w:pPr>
      <w:r>
        <w:rPr>
          <w:rFonts w:hint="eastAsia" w:ascii="宋体" w:hAnsi="宋体" w:cs="宋体"/>
          <w:color w:val="000000"/>
        </w:rPr>
        <w:t>乙方</w:t>
      </w:r>
      <w:r>
        <w:rPr>
          <w:rFonts w:hint="eastAsia" w:ascii="宋体" w:hAnsi="宋体" w:cs="宋体"/>
          <w:color w:val="000000"/>
          <w:highlight w:val="none"/>
        </w:rPr>
        <w:t>：（</w:t>
      </w:r>
      <w:r>
        <w:rPr>
          <w:rFonts w:hint="eastAsia" w:ascii="宋体" w:hAnsi="宋体" w:cs="宋体"/>
          <w:color w:val="000000"/>
          <w:highlight w:val="none"/>
          <w:lang w:eastAsia="zh-CN"/>
        </w:rPr>
        <w:t>中标人</w:t>
      </w:r>
      <w:r>
        <w:rPr>
          <w:rFonts w:hint="eastAsia" w:ascii="宋体" w:hAnsi="宋体" w:cs="宋体"/>
          <w:color w:val="000000"/>
          <w:highlight w:val="none"/>
        </w:rPr>
        <w:t>）</w:t>
      </w:r>
    </w:p>
    <w:p w14:paraId="2D44DECD">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根据《中华人民共和国政府采购法》《中华人民共和国政府采购法实施条例》</w:t>
      </w:r>
      <w:r>
        <w:rPr>
          <w:rFonts w:hint="eastAsia" w:ascii="宋体" w:hAnsi="宋体" w:eastAsia="宋体" w:cs="宋体"/>
          <w:color w:val="000000"/>
          <w:sz w:val="21"/>
          <w:szCs w:val="21"/>
          <w:highlight w:val="none"/>
          <w:lang w:val="en-US" w:eastAsia="zh-CN"/>
        </w:rPr>
        <w:t>《中华人民共和国民法典》</w:t>
      </w:r>
      <w:r>
        <w:rPr>
          <w:rFonts w:hint="eastAsia" w:ascii="宋体" w:hAnsi="宋体" w:eastAsia="宋体" w:cs="宋体"/>
          <w:color w:val="000000"/>
          <w:sz w:val="21"/>
          <w:szCs w:val="21"/>
          <w:highlight w:val="none"/>
        </w:rPr>
        <w:t>等法律、法规规定，按照招、投标文件规定条款和</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承诺、</w:t>
      </w:r>
      <w:r>
        <w:rPr>
          <w:rFonts w:hint="eastAsia" w:ascii="宋体" w:hAnsi="宋体" w:eastAsia="宋体" w:cs="宋体"/>
          <w:color w:val="000000"/>
          <w:sz w:val="21"/>
          <w:szCs w:val="21"/>
        </w:rPr>
        <w:t>甲乙双方</w:t>
      </w:r>
      <w:r>
        <w:rPr>
          <w:rFonts w:hint="eastAsia" w:ascii="宋体" w:hAnsi="宋体" w:eastAsia="宋体" w:cs="宋体"/>
          <w:color w:val="000000"/>
          <w:sz w:val="21"/>
          <w:szCs w:val="21"/>
          <w:highlight w:val="none"/>
        </w:rPr>
        <w:t>签订本采购合同。</w:t>
      </w:r>
    </w:p>
    <w:p w14:paraId="0F8C8C2D">
      <w:pPr>
        <w:keepNext w:val="0"/>
        <w:keepLines w:val="0"/>
        <w:pageBreakBefore w:val="0"/>
        <w:widowControl w:val="0"/>
        <w:numPr>
          <w:ilvl w:val="0"/>
          <w:numId w:val="6"/>
        </w:numPr>
        <w:bidi w:val="0"/>
        <w:spacing w:line="360" w:lineRule="exact"/>
        <w:ind w:firstLine="413"/>
        <w:outlineLvl w:val="1"/>
        <w:rPr>
          <w:rFonts w:hint="eastAsia" w:ascii="宋体" w:hAnsi="宋体" w:eastAsia="宋体" w:cs="宋体"/>
          <w:b/>
          <w:color w:val="000000"/>
          <w:sz w:val="21"/>
          <w:szCs w:val="21"/>
          <w:highlight w:val="none"/>
        </w:rPr>
      </w:pPr>
      <w:bookmarkStart w:id="316" w:name="_Toc16758"/>
      <w:bookmarkStart w:id="317" w:name="_Toc8779"/>
      <w:bookmarkStart w:id="318" w:name="_Toc7497"/>
      <w:bookmarkStart w:id="319" w:name="_Toc3271"/>
      <w:bookmarkStart w:id="320" w:name="_Toc26058"/>
      <w:bookmarkStart w:id="321" w:name="_Toc560"/>
      <w:bookmarkStart w:id="322" w:name="_Toc6636"/>
      <w:bookmarkStart w:id="323" w:name="_Toc25378"/>
      <w:r>
        <w:rPr>
          <w:rFonts w:hint="eastAsia" w:ascii="宋体" w:hAnsi="宋体" w:eastAsia="宋体" w:cs="宋体"/>
          <w:b/>
          <w:color w:val="000000"/>
          <w:sz w:val="21"/>
          <w:szCs w:val="21"/>
          <w:highlight w:val="none"/>
        </w:rPr>
        <w:t>合同标的及合同金额</w:t>
      </w:r>
      <w:bookmarkEnd w:id="316"/>
      <w:bookmarkEnd w:id="317"/>
      <w:bookmarkEnd w:id="318"/>
      <w:bookmarkEnd w:id="319"/>
      <w:bookmarkEnd w:id="320"/>
      <w:bookmarkEnd w:id="321"/>
      <w:bookmarkEnd w:id="322"/>
      <w:bookmarkEnd w:id="323"/>
    </w:p>
    <w:p w14:paraId="7EE245E0">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根据《中标通知书》的中标内容，合同的总金额为：</w:t>
      </w:r>
      <w:r>
        <w:rPr>
          <w:rFonts w:hint="eastAsia" w:ascii="宋体" w:hAnsi="宋体" w:eastAsia="宋体" w:cs="宋体"/>
          <w:color w:val="000000"/>
          <w:sz w:val="21"/>
          <w:szCs w:val="21"/>
          <w:highlight w:val="none"/>
          <w:u w:val="single"/>
        </w:rPr>
        <w:t>人民币（大写）元</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（小写）</w:t>
      </w:r>
      <w:r>
        <w:rPr>
          <w:rFonts w:hint="eastAsia" w:ascii="宋体" w:hAnsi="宋体" w:eastAsia="宋体" w:cs="宋体"/>
          <w:color w:val="000000"/>
          <w:sz w:val="21"/>
          <w:szCs w:val="21"/>
          <w:highlight w:val="none"/>
        </w:rPr>
        <w:t>）</w:t>
      </w:r>
    </w:p>
    <w:p w14:paraId="0F6543D2">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324" w:name="_Toc25509"/>
      <w:bookmarkStart w:id="325" w:name="_Toc13279"/>
      <w:bookmarkStart w:id="326" w:name="_Toc5756"/>
      <w:bookmarkStart w:id="327" w:name="_Toc21444"/>
      <w:bookmarkStart w:id="328" w:name="_Toc5581"/>
      <w:bookmarkStart w:id="329" w:name="_Toc10163"/>
      <w:bookmarkStart w:id="330" w:name="_Toc15531"/>
      <w:r>
        <w:rPr>
          <w:rFonts w:hint="eastAsia" w:ascii="宋体" w:hAnsi="宋体" w:eastAsia="宋体" w:cs="宋体"/>
          <w:b/>
          <w:color w:val="000000"/>
          <w:sz w:val="21"/>
          <w:szCs w:val="21"/>
          <w:highlight w:val="none"/>
        </w:rPr>
        <w:t>第二条服务保证</w:t>
      </w:r>
      <w:bookmarkEnd w:id="324"/>
      <w:bookmarkEnd w:id="325"/>
      <w:bookmarkEnd w:id="326"/>
      <w:bookmarkEnd w:id="327"/>
      <w:bookmarkEnd w:id="328"/>
      <w:bookmarkEnd w:id="329"/>
      <w:bookmarkEnd w:id="330"/>
    </w:p>
    <w:p w14:paraId="6C9C1C12">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中标人应按招标文件、投标文件和承诺规定的服务内容向采购人提供相应服务。</w:t>
      </w:r>
    </w:p>
    <w:p w14:paraId="59062AE8">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331" w:name="_Toc22414"/>
      <w:bookmarkStart w:id="332" w:name="_Toc15633"/>
      <w:bookmarkStart w:id="333" w:name="_Toc3158"/>
      <w:bookmarkStart w:id="334" w:name="_Toc23736"/>
      <w:bookmarkStart w:id="335" w:name="_Toc4946"/>
      <w:bookmarkStart w:id="336" w:name="_Toc4692"/>
      <w:bookmarkStart w:id="337" w:name="_Toc26900"/>
      <w:r>
        <w:rPr>
          <w:rFonts w:hint="eastAsia" w:ascii="宋体" w:hAnsi="宋体" w:eastAsia="宋体" w:cs="宋体"/>
          <w:b/>
          <w:color w:val="000000"/>
          <w:sz w:val="21"/>
          <w:szCs w:val="21"/>
          <w:highlight w:val="none"/>
        </w:rPr>
        <w:t>第三条服务期限</w:t>
      </w:r>
      <w:bookmarkEnd w:id="331"/>
      <w:bookmarkEnd w:id="332"/>
      <w:bookmarkEnd w:id="333"/>
      <w:bookmarkEnd w:id="334"/>
      <w:bookmarkEnd w:id="335"/>
      <w:bookmarkEnd w:id="336"/>
      <w:bookmarkEnd w:id="337"/>
    </w:p>
    <w:p w14:paraId="131328E5">
      <w:pPr>
        <w:spacing w:line="360" w:lineRule="auto"/>
        <w:ind w:firstLine="411"/>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服务期限</w:t>
      </w:r>
      <w:r>
        <w:rPr>
          <w:rFonts w:hint="eastAsia" w:ascii="宋体" w:hAnsi="宋体" w:eastAsia="宋体" w:cs="宋体"/>
          <w:color w:val="000000"/>
          <w:szCs w:val="21"/>
        </w:rPr>
        <w:t>:</w:t>
      </w:r>
      <w:r>
        <w:rPr>
          <w:rFonts w:hint="eastAsia" w:ascii="宋体" w:hAnsi="宋体" w:cs="宋体"/>
          <w:color w:val="000000"/>
          <w:szCs w:val="21"/>
          <w:lang w:val="en-US" w:eastAsia="zh-CN"/>
        </w:rPr>
        <w:t>三年</w:t>
      </w:r>
      <w:r>
        <w:rPr>
          <w:rFonts w:hint="eastAsia" w:ascii="宋体" w:hAnsi="宋体" w:eastAsia="宋体" w:cs="宋体"/>
          <w:color w:val="000000"/>
          <w:szCs w:val="21"/>
          <w:u w:val="single"/>
        </w:rPr>
        <w:t>。</w:t>
      </w:r>
    </w:p>
    <w:p w14:paraId="04EB0804">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338" w:name="_Toc14680"/>
      <w:bookmarkStart w:id="339" w:name="_Toc29589"/>
      <w:bookmarkStart w:id="340" w:name="_Toc30222"/>
      <w:bookmarkStart w:id="341" w:name="_Toc5212"/>
      <w:bookmarkStart w:id="342" w:name="_Toc6659"/>
      <w:bookmarkStart w:id="343" w:name="_Toc637"/>
      <w:bookmarkStart w:id="344" w:name="_Toc22837"/>
      <w:bookmarkStart w:id="345" w:name="_Toc24251"/>
      <w:r>
        <w:rPr>
          <w:rFonts w:hint="eastAsia" w:ascii="宋体" w:hAnsi="宋体" w:eastAsia="宋体" w:cs="宋体"/>
          <w:b/>
          <w:color w:val="000000"/>
          <w:sz w:val="21"/>
          <w:szCs w:val="21"/>
          <w:highlight w:val="none"/>
        </w:rPr>
        <w:t>第四条交付</w:t>
      </w:r>
      <w:bookmarkEnd w:id="338"/>
      <w:bookmarkEnd w:id="339"/>
      <w:bookmarkEnd w:id="340"/>
      <w:bookmarkEnd w:id="341"/>
      <w:bookmarkEnd w:id="342"/>
      <w:bookmarkEnd w:id="343"/>
      <w:bookmarkEnd w:id="344"/>
      <w:bookmarkEnd w:id="345"/>
    </w:p>
    <w:p w14:paraId="3BD40ADF">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1.服务开始时间：合同签订之日起；服务地点：采购人指定地点。</w:t>
      </w:r>
    </w:p>
    <w:p w14:paraId="3B11812E">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rPr>
        <w:t>乙方</w:t>
      </w:r>
      <w:r>
        <w:rPr>
          <w:rFonts w:hint="eastAsia" w:ascii="宋体" w:hAnsi="宋体" w:eastAsia="宋体" w:cs="宋体"/>
          <w:color w:val="000000"/>
          <w:sz w:val="21"/>
          <w:szCs w:val="21"/>
          <w:highlight w:val="none"/>
        </w:rPr>
        <w:t>提供不符合</w:t>
      </w:r>
      <w:r>
        <w:rPr>
          <w:rFonts w:hint="eastAsia" w:ascii="宋体" w:hAnsi="宋体" w:eastAsia="宋体" w:cs="宋体"/>
          <w:color w:val="000000"/>
          <w:sz w:val="21"/>
          <w:szCs w:val="21"/>
        </w:rPr>
        <w:t>招投标文件</w:t>
      </w:r>
      <w:r>
        <w:rPr>
          <w:rFonts w:hint="eastAsia" w:ascii="宋体" w:hAnsi="宋体" w:eastAsia="宋体" w:cs="宋体"/>
          <w:color w:val="000000"/>
          <w:sz w:val="21"/>
          <w:szCs w:val="21"/>
          <w:highlight w:val="none"/>
        </w:rPr>
        <w:t>和本合同规定的服务，</w:t>
      </w:r>
      <w:r>
        <w:rPr>
          <w:rFonts w:hint="eastAsia" w:ascii="宋体" w:hAnsi="宋体" w:eastAsia="宋体" w:cs="宋体"/>
          <w:color w:val="000000"/>
          <w:sz w:val="21"/>
          <w:szCs w:val="21"/>
        </w:rPr>
        <w:t>甲方</w:t>
      </w:r>
      <w:r>
        <w:rPr>
          <w:rFonts w:hint="eastAsia" w:ascii="宋体" w:hAnsi="宋体" w:eastAsia="宋体" w:cs="宋体"/>
          <w:color w:val="000000"/>
          <w:sz w:val="21"/>
          <w:szCs w:val="21"/>
          <w:highlight w:val="none"/>
        </w:rPr>
        <w:t>有权拒绝接受。</w:t>
      </w:r>
    </w:p>
    <w:p w14:paraId="2C914532">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346" w:name="_Toc26776"/>
      <w:bookmarkStart w:id="347" w:name="_Toc23861"/>
      <w:bookmarkStart w:id="348" w:name="_Toc30545"/>
      <w:bookmarkStart w:id="349" w:name="_Toc29324"/>
      <w:bookmarkStart w:id="350" w:name="_Toc4426"/>
      <w:bookmarkStart w:id="351" w:name="_Toc30204"/>
      <w:bookmarkStart w:id="352" w:name="_Toc20294"/>
      <w:bookmarkStart w:id="353" w:name="_Toc9756"/>
      <w:r>
        <w:rPr>
          <w:rFonts w:hint="eastAsia" w:ascii="宋体" w:hAnsi="宋体" w:eastAsia="宋体" w:cs="宋体"/>
          <w:b/>
          <w:color w:val="000000"/>
          <w:sz w:val="21"/>
          <w:szCs w:val="21"/>
          <w:highlight w:val="none"/>
        </w:rPr>
        <w:t>第五条税费</w:t>
      </w:r>
      <w:bookmarkEnd w:id="346"/>
      <w:bookmarkEnd w:id="347"/>
      <w:bookmarkEnd w:id="348"/>
      <w:bookmarkEnd w:id="349"/>
      <w:bookmarkEnd w:id="350"/>
      <w:bookmarkEnd w:id="351"/>
      <w:bookmarkEnd w:id="352"/>
      <w:bookmarkEnd w:id="353"/>
    </w:p>
    <w:p w14:paraId="2EE4B868">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本合同执行中相关的一切税费均由</w:t>
      </w:r>
      <w:r>
        <w:rPr>
          <w:rFonts w:hint="eastAsia" w:ascii="宋体" w:hAnsi="宋体" w:eastAsia="宋体" w:cs="宋体"/>
          <w:color w:val="000000"/>
          <w:sz w:val="21"/>
          <w:szCs w:val="21"/>
        </w:rPr>
        <w:t>乙方</w:t>
      </w:r>
      <w:r>
        <w:rPr>
          <w:rFonts w:hint="eastAsia" w:ascii="宋体" w:hAnsi="宋体" w:eastAsia="宋体" w:cs="宋体"/>
          <w:color w:val="000000"/>
          <w:sz w:val="21"/>
          <w:szCs w:val="21"/>
          <w:highlight w:val="none"/>
        </w:rPr>
        <w:t>负担。</w:t>
      </w:r>
    </w:p>
    <w:p w14:paraId="4405A689">
      <w:pPr>
        <w:keepNext w:val="0"/>
        <w:keepLines w:val="0"/>
        <w:pageBreakBefore w:val="0"/>
        <w:numPr>
          <w:ilvl w:val="-1"/>
          <w:numId w:val="0"/>
        </w:numPr>
        <w:bidi w:val="0"/>
        <w:spacing w:line="360" w:lineRule="exact"/>
        <w:ind w:firstLine="413"/>
        <w:outlineLvl w:val="1"/>
        <w:rPr>
          <w:rFonts w:hint="eastAsia" w:ascii="宋体" w:hAnsi="宋体" w:eastAsia="宋体" w:cs="宋体"/>
          <w:b/>
          <w:color w:val="000000"/>
          <w:sz w:val="21"/>
          <w:szCs w:val="21"/>
          <w:highlight w:val="none"/>
        </w:rPr>
      </w:pPr>
      <w:bookmarkStart w:id="354" w:name="_Toc30852"/>
      <w:bookmarkStart w:id="355" w:name="_Toc7785"/>
      <w:bookmarkStart w:id="356" w:name="_Toc25212"/>
      <w:bookmarkStart w:id="357" w:name="_Toc24362"/>
      <w:bookmarkStart w:id="358" w:name="_Toc3777"/>
      <w:bookmarkStart w:id="359" w:name="_Toc5332"/>
      <w:r>
        <w:rPr>
          <w:rFonts w:hint="eastAsia" w:ascii="宋体" w:hAnsi="宋体" w:eastAsia="宋体" w:cs="宋体"/>
          <w:b/>
          <w:color w:val="000000"/>
          <w:sz w:val="21"/>
          <w:szCs w:val="21"/>
          <w:highlight w:val="none"/>
          <w:lang w:val="en-US" w:eastAsia="zh-CN" w:bidi="ar-SA"/>
        </w:rPr>
        <w:t>第六条</w:t>
      </w:r>
      <w:r>
        <w:rPr>
          <w:rFonts w:hint="eastAsia" w:ascii="宋体" w:hAnsi="宋体" w:eastAsia="宋体" w:cs="宋体"/>
          <w:b/>
          <w:color w:val="000000"/>
          <w:sz w:val="21"/>
          <w:szCs w:val="21"/>
          <w:highlight w:val="none"/>
        </w:rPr>
        <w:t>付款方式</w:t>
      </w:r>
      <w:bookmarkEnd w:id="354"/>
      <w:bookmarkEnd w:id="355"/>
      <w:bookmarkEnd w:id="356"/>
      <w:bookmarkEnd w:id="357"/>
      <w:bookmarkEnd w:id="358"/>
      <w:bookmarkEnd w:id="359"/>
      <w:bookmarkStart w:id="360" w:name="_Toc9369"/>
      <w:bookmarkStart w:id="361" w:name="_Toc16945"/>
      <w:bookmarkStart w:id="362" w:name="_Toc20654"/>
      <w:bookmarkStart w:id="363" w:name="_Toc26898"/>
      <w:bookmarkStart w:id="364" w:name="_Toc23778"/>
    </w:p>
    <w:p w14:paraId="4028BBEE">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bookmarkStart w:id="365" w:name="_Toc9655"/>
      <w:bookmarkStart w:id="366" w:name="_Toc18662"/>
      <w:bookmarkStart w:id="367" w:name="_Toc2444"/>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1、中标供应商应及时与采购人签订合同，合同总价包括中标供应商完成本项目服务要求后所产生的全部费用（含税），采购人不再另行向中标供应商支付其他任何费用。</w:t>
      </w:r>
    </w:p>
    <w:p w14:paraId="6FF340D2">
      <w:pPr>
        <w:pStyle w:val="343"/>
        <w:keepNext w:val="0"/>
        <w:keepLines w:val="0"/>
        <w:pageBreakBefore w:val="0"/>
        <w:widowControl w:val="0"/>
        <w:bidi w:val="0"/>
        <w:spacing w:line="240" w:lineRule="auto"/>
        <w:ind w:left="0" w:right="0" w:firstLine="468" w:firstLineChars="200"/>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2、按中标金额验收后分三年付款(次年3月逐年由学校自行支付)。</w:t>
      </w:r>
    </w:p>
    <w:p w14:paraId="13B58BDB">
      <w:pPr>
        <w:keepNext w:val="0"/>
        <w:keepLines w:val="0"/>
        <w:pageBreakBefore w:val="0"/>
        <w:widowControl w:val="0"/>
        <w:bidi w:val="0"/>
        <w:spacing w:line="360" w:lineRule="exact"/>
        <w:ind w:firstLine="413"/>
        <w:outlineLvl w:val="1"/>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2"/>
          <w:sz w:val="21"/>
          <w:szCs w:val="21"/>
          <w:highlight w:val="none"/>
          <w:lang w:val="en-US" w:eastAsia="zh-CN" w:bidi="ar-SA"/>
          <w14:textFill>
            <w14:solidFill>
              <w14:schemeClr w14:val="tx1"/>
            </w14:solidFill>
          </w14:textFill>
        </w:rPr>
        <w:t>3、采购人可根据每年财政拨款情况提前支付或延后支付，若因采购人财政拨款问题导致采购人付款迟延的，采购人不承担责任。</w:t>
      </w:r>
    </w:p>
    <w:p w14:paraId="0091BB15">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第七条违约责任</w:t>
      </w:r>
      <w:bookmarkEnd w:id="360"/>
      <w:bookmarkEnd w:id="361"/>
      <w:bookmarkEnd w:id="362"/>
      <w:bookmarkEnd w:id="363"/>
      <w:bookmarkEnd w:id="364"/>
      <w:bookmarkEnd w:id="365"/>
      <w:bookmarkEnd w:id="366"/>
      <w:bookmarkEnd w:id="367"/>
    </w:p>
    <w:p w14:paraId="349E4C81">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rPr>
        <w:t>乙方</w:t>
      </w:r>
      <w:r>
        <w:rPr>
          <w:rFonts w:hint="eastAsia" w:ascii="宋体" w:hAnsi="宋体" w:eastAsia="宋体" w:cs="宋体"/>
          <w:color w:val="000000"/>
          <w:sz w:val="21"/>
          <w:szCs w:val="21"/>
          <w:highlight w:val="none"/>
        </w:rPr>
        <w:t>所提供的服务质量不合格的，应及时更换，更换不及时的按逾期处罚，</w:t>
      </w:r>
      <w:r>
        <w:rPr>
          <w:rFonts w:hint="eastAsia" w:ascii="宋体" w:hAnsi="宋体" w:eastAsia="宋体" w:cs="宋体"/>
          <w:color w:val="000000"/>
          <w:sz w:val="21"/>
          <w:szCs w:val="21"/>
        </w:rPr>
        <w:t>乙方</w:t>
      </w:r>
      <w:r>
        <w:rPr>
          <w:rFonts w:hint="eastAsia" w:ascii="宋体" w:hAnsi="宋体" w:eastAsia="宋体" w:cs="宋体"/>
          <w:color w:val="000000"/>
          <w:sz w:val="21"/>
          <w:szCs w:val="21"/>
          <w:highlight w:val="none"/>
        </w:rPr>
        <w:t>应向</w:t>
      </w:r>
      <w:r>
        <w:rPr>
          <w:rFonts w:hint="eastAsia" w:ascii="宋体" w:hAnsi="宋体" w:eastAsia="宋体" w:cs="宋体"/>
          <w:color w:val="000000"/>
          <w:sz w:val="21"/>
          <w:szCs w:val="21"/>
        </w:rPr>
        <w:t>甲方</w:t>
      </w:r>
      <w:r>
        <w:rPr>
          <w:rFonts w:hint="eastAsia" w:ascii="宋体" w:hAnsi="宋体" w:eastAsia="宋体" w:cs="宋体"/>
          <w:color w:val="000000"/>
          <w:sz w:val="21"/>
          <w:szCs w:val="21"/>
          <w:highlight w:val="none"/>
        </w:rPr>
        <w:t>支付合同金额</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违约金并赔偿</w:t>
      </w:r>
      <w:r>
        <w:rPr>
          <w:rFonts w:hint="eastAsia" w:ascii="宋体" w:hAnsi="宋体" w:eastAsia="宋体" w:cs="宋体"/>
          <w:color w:val="000000"/>
          <w:sz w:val="21"/>
          <w:szCs w:val="21"/>
        </w:rPr>
        <w:t>甲方</w:t>
      </w:r>
      <w:r>
        <w:rPr>
          <w:rFonts w:hint="eastAsia" w:ascii="宋体" w:hAnsi="宋体" w:eastAsia="宋体" w:cs="宋体"/>
          <w:color w:val="000000"/>
          <w:sz w:val="21"/>
          <w:szCs w:val="21"/>
          <w:highlight w:val="none"/>
        </w:rPr>
        <w:t>经济损失。</w:t>
      </w:r>
    </w:p>
    <w:p w14:paraId="61D37EDB">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rPr>
        <w:t>乙方</w:t>
      </w:r>
      <w:r>
        <w:rPr>
          <w:rFonts w:hint="eastAsia" w:ascii="宋体" w:hAnsi="宋体" w:eastAsia="宋体" w:cs="宋体"/>
          <w:color w:val="000000"/>
          <w:sz w:val="21"/>
          <w:szCs w:val="21"/>
          <w:highlight w:val="none"/>
        </w:rPr>
        <w:t>提供的服务如果侵犯了第三方合法权益而引发的任何纠纷或诉讼，均由</w:t>
      </w:r>
      <w:r>
        <w:rPr>
          <w:rFonts w:hint="eastAsia" w:ascii="宋体" w:hAnsi="宋体" w:eastAsia="宋体" w:cs="宋体"/>
          <w:color w:val="000000"/>
          <w:sz w:val="21"/>
          <w:szCs w:val="21"/>
        </w:rPr>
        <w:t>乙方</w:t>
      </w:r>
      <w:r>
        <w:rPr>
          <w:rFonts w:hint="eastAsia" w:ascii="宋体" w:hAnsi="宋体" w:eastAsia="宋体" w:cs="宋体"/>
          <w:color w:val="000000"/>
          <w:sz w:val="21"/>
          <w:szCs w:val="21"/>
          <w:highlight w:val="none"/>
        </w:rPr>
        <w:t>负责交涉并承担全部责任。</w:t>
      </w:r>
    </w:p>
    <w:p w14:paraId="776D4FF1">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lang w:val="en-US" w:eastAsia="zh-CN"/>
        </w:rPr>
        <w:t>乙</w:t>
      </w:r>
      <w:r>
        <w:rPr>
          <w:rFonts w:hint="eastAsia" w:ascii="宋体" w:hAnsi="宋体" w:eastAsia="宋体" w:cs="宋体"/>
          <w:color w:val="000000"/>
          <w:sz w:val="21"/>
          <w:szCs w:val="21"/>
        </w:rPr>
        <w:t>方</w:t>
      </w:r>
      <w:r>
        <w:rPr>
          <w:rFonts w:hint="eastAsia" w:ascii="宋体" w:hAnsi="宋体" w:eastAsia="宋体" w:cs="宋体"/>
          <w:color w:val="000000"/>
          <w:sz w:val="21"/>
          <w:szCs w:val="21"/>
          <w:highlight w:val="none"/>
        </w:rPr>
        <w:t>无故延期服务交付的，每天向</w:t>
      </w:r>
      <w:r>
        <w:rPr>
          <w:rFonts w:hint="eastAsia" w:ascii="宋体" w:hAnsi="宋体" w:eastAsia="宋体" w:cs="宋体"/>
          <w:color w:val="000000"/>
          <w:sz w:val="21"/>
          <w:szCs w:val="21"/>
          <w:lang w:val="en-US" w:eastAsia="zh-CN"/>
        </w:rPr>
        <w:t>甲</w:t>
      </w:r>
      <w:r>
        <w:rPr>
          <w:rFonts w:hint="eastAsia" w:ascii="宋体" w:hAnsi="宋体" w:eastAsia="宋体" w:cs="宋体"/>
          <w:color w:val="000000"/>
          <w:sz w:val="21"/>
          <w:szCs w:val="21"/>
        </w:rPr>
        <w:t>方</w:t>
      </w:r>
      <w:r>
        <w:rPr>
          <w:rFonts w:hint="eastAsia" w:ascii="宋体" w:hAnsi="宋体" w:eastAsia="宋体" w:cs="宋体"/>
          <w:color w:val="000000"/>
          <w:sz w:val="21"/>
          <w:szCs w:val="21"/>
          <w:highlight w:val="none"/>
        </w:rPr>
        <w:t>偿付违约合同金额</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违约金，但违约金累计不得超过合同金额</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，超过天</w:t>
      </w:r>
      <w:r>
        <w:rPr>
          <w:rFonts w:hint="eastAsia" w:ascii="宋体" w:hAnsi="宋体" w:eastAsia="宋体" w:cs="宋体"/>
          <w:color w:val="000000"/>
          <w:sz w:val="21"/>
          <w:szCs w:val="21"/>
          <w:lang w:val="en-US" w:eastAsia="zh-CN"/>
        </w:rPr>
        <w:t>甲</w:t>
      </w:r>
      <w:r>
        <w:rPr>
          <w:rFonts w:hint="eastAsia" w:ascii="宋体" w:hAnsi="宋体" w:eastAsia="宋体" w:cs="宋体"/>
          <w:color w:val="000000"/>
          <w:sz w:val="21"/>
          <w:szCs w:val="21"/>
        </w:rPr>
        <w:t>方有权解除合同</w:t>
      </w:r>
      <w:r>
        <w:rPr>
          <w:rFonts w:hint="eastAsia" w:ascii="宋体" w:hAnsi="宋体" w:eastAsia="宋体" w:cs="宋体"/>
          <w:color w:val="000000"/>
          <w:sz w:val="21"/>
          <w:szCs w:val="21"/>
          <w:highlight w:val="none"/>
        </w:rPr>
        <w:t>，违约方承担因此给对方造成经济损失；</w:t>
      </w:r>
      <w:r>
        <w:rPr>
          <w:rFonts w:hint="eastAsia" w:ascii="宋体" w:hAnsi="宋体" w:eastAsia="宋体" w:cs="宋体"/>
          <w:color w:val="000000"/>
          <w:sz w:val="21"/>
          <w:szCs w:val="21"/>
        </w:rPr>
        <w:t>甲方</w:t>
      </w:r>
      <w:r>
        <w:rPr>
          <w:rFonts w:hint="eastAsia" w:ascii="宋体" w:hAnsi="宋体" w:eastAsia="宋体" w:cs="宋体"/>
          <w:color w:val="000000"/>
          <w:sz w:val="21"/>
          <w:szCs w:val="21"/>
          <w:highlight w:val="none"/>
        </w:rPr>
        <w:t>不能按期付款的，每天向</w:t>
      </w:r>
      <w:r>
        <w:rPr>
          <w:rFonts w:hint="eastAsia" w:ascii="宋体" w:hAnsi="宋体" w:eastAsia="宋体" w:cs="宋体"/>
          <w:color w:val="000000"/>
          <w:sz w:val="21"/>
          <w:szCs w:val="21"/>
        </w:rPr>
        <w:t>乙方</w:t>
      </w:r>
      <w:r>
        <w:rPr>
          <w:rFonts w:hint="eastAsia" w:ascii="宋体" w:hAnsi="宋体" w:eastAsia="宋体" w:cs="宋体"/>
          <w:color w:val="000000"/>
          <w:sz w:val="21"/>
          <w:szCs w:val="21"/>
          <w:highlight w:val="none"/>
        </w:rPr>
        <w:t>偿付延合同金额</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rPr>
        <w:t>滞纳金</w:t>
      </w:r>
      <w:r>
        <w:rPr>
          <w:rFonts w:hint="eastAsia" w:ascii="宋体" w:hAnsi="宋体" w:eastAsia="宋体" w:cs="宋体"/>
          <w:color w:val="000000"/>
          <w:sz w:val="21"/>
          <w:szCs w:val="21"/>
          <w:highlight w:val="none"/>
        </w:rPr>
        <w:t>，但</w:t>
      </w:r>
      <w:r>
        <w:rPr>
          <w:rFonts w:hint="eastAsia" w:ascii="宋体" w:hAnsi="宋体" w:eastAsia="宋体" w:cs="宋体"/>
          <w:color w:val="000000"/>
          <w:sz w:val="21"/>
          <w:szCs w:val="21"/>
        </w:rPr>
        <w:t>滞纳金</w:t>
      </w:r>
      <w:r>
        <w:rPr>
          <w:rFonts w:hint="eastAsia" w:ascii="宋体" w:hAnsi="宋体" w:eastAsia="宋体" w:cs="宋体"/>
          <w:color w:val="000000"/>
          <w:sz w:val="21"/>
          <w:szCs w:val="21"/>
          <w:highlight w:val="none"/>
        </w:rPr>
        <w:t>累计不得超过合同金额</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w:t>
      </w:r>
    </w:p>
    <w:p w14:paraId="16955A10">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rPr>
        <w:t>乙方</w:t>
      </w:r>
      <w:r>
        <w:rPr>
          <w:rFonts w:hint="eastAsia" w:ascii="宋体" w:hAnsi="宋体" w:eastAsia="宋体" w:cs="宋体"/>
          <w:color w:val="000000"/>
          <w:sz w:val="21"/>
          <w:szCs w:val="21"/>
          <w:highlight w:val="none"/>
        </w:rPr>
        <w:t>未按本合同和投标文件中规定的服务承诺提供服务的，</w:t>
      </w:r>
      <w:r>
        <w:rPr>
          <w:rFonts w:hint="eastAsia" w:ascii="宋体" w:hAnsi="宋体" w:eastAsia="宋体" w:cs="宋体"/>
          <w:color w:val="000000"/>
          <w:sz w:val="21"/>
          <w:szCs w:val="21"/>
        </w:rPr>
        <w:t>乙方</w:t>
      </w:r>
      <w:r>
        <w:rPr>
          <w:rFonts w:hint="eastAsia" w:ascii="宋体" w:hAnsi="宋体" w:eastAsia="宋体" w:cs="宋体"/>
          <w:color w:val="000000"/>
          <w:sz w:val="21"/>
          <w:szCs w:val="21"/>
          <w:highlight w:val="none"/>
        </w:rPr>
        <w:t>应按本合同金额</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向</w:t>
      </w:r>
      <w:r>
        <w:rPr>
          <w:rFonts w:hint="eastAsia" w:ascii="宋体" w:hAnsi="宋体" w:eastAsia="宋体" w:cs="宋体"/>
          <w:color w:val="000000"/>
          <w:sz w:val="21"/>
          <w:szCs w:val="21"/>
        </w:rPr>
        <w:t>甲方</w:t>
      </w:r>
      <w:r>
        <w:rPr>
          <w:rFonts w:hint="eastAsia" w:ascii="宋体" w:hAnsi="宋体" w:eastAsia="宋体" w:cs="宋体"/>
          <w:color w:val="000000"/>
          <w:sz w:val="21"/>
          <w:szCs w:val="21"/>
          <w:highlight w:val="none"/>
        </w:rPr>
        <w:t>支付违约金。</w:t>
      </w:r>
    </w:p>
    <w:p w14:paraId="56F260B4">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5.其他违约行为按照合同金额</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收取违约金并赔偿经济损失。</w:t>
      </w:r>
    </w:p>
    <w:p w14:paraId="54513BD0">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368" w:name="_Toc26465"/>
      <w:bookmarkStart w:id="369" w:name="_Toc16523"/>
      <w:bookmarkStart w:id="370" w:name="_Toc24912"/>
      <w:bookmarkStart w:id="371" w:name="_Toc20057"/>
      <w:bookmarkStart w:id="372" w:name="_Toc12396"/>
      <w:bookmarkStart w:id="373" w:name="_Toc21774"/>
      <w:bookmarkStart w:id="374" w:name="_Toc10840"/>
      <w:bookmarkStart w:id="375" w:name="_Toc28517"/>
      <w:r>
        <w:rPr>
          <w:rFonts w:hint="eastAsia" w:ascii="宋体" w:hAnsi="宋体" w:eastAsia="宋体" w:cs="宋体"/>
          <w:b/>
          <w:color w:val="000000"/>
          <w:sz w:val="21"/>
          <w:szCs w:val="21"/>
          <w:highlight w:val="none"/>
        </w:rPr>
        <w:t>第八条不可抗力事件处理</w:t>
      </w:r>
      <w:bookmarkEnd w:id="368"/>
      <w:bookmarkEnd w:id="369"/>
      <w:bookmarkEnd w:id="370"/>
      <w:bookmarkEnd w:id="371"/>
      <w:bookmarkEnd w:id="372"/>
      <w:bookmarkEnd w:id="373"/>
      <w:bookmarkEnd w:id="374"/>
      <w:bookmarkEnd w:id="375"/>
    </w:p>
    <w:p w14:paraId="37D4D4F3">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1.在合同有效期内，</w:t>
      </w:r>
      <w:r>
        <w:rPr>
          <w:rFonts w:hint="eastAsia" w:ascii="宋体" w:hAnsi="宋体" w:eastAsia="宋体" w:cs="宋体"/>
          <w:color w:val="000000"/>
          <w:sz w:val="21"/>
          <w:szCs w:val="21"/>
        </w:rPr>
        <w:t>乙方</w:t>
      </w:r>
      <w:r>
        <w:rPr>
          <w:rFonts w:hint="eastAsia" w:ascii="宋体" w:hAnsi="宋体" w:eastAsia="宋体" w:cs="宋体"/>
          <w:color w:val="000000"/>
          <w:sz w:val="21"/>
          <w:szCs w:val="21"/>
          <w:highlight w:val="none"/>
        </w:rPr>
        <w:t>因不可抗力事件导致不能履行合同，则合同履行期可延长，其延长期与不可抗力影响期相同。</w:t>
      </w:r>
    </w:p>
    <w:p w14:paraId="762BBBCD">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2.不可抗力事件发生后，应立即通知对方，并寄送有关</w:t>
      </w:r>
      <w:r>
        <w:rPr>
          <w:rFonts w:hint="eastAsia" w:ascii="宋体" w:hAnsi="宋体" w:eastAsia="宋体" w:cs="宋体"/>
          <w:color w:val="000000"/>
          <w:sz w:val="21"/>
          <w:szCs w:val="21"/>
        </w:rPr>
        <w:t>权威</w:t>
      </w:r>
      <w:r>
        <w:rPr>
          <w:rFonts w:hint="eastAsia" w:ascii="宋体" w:hAnsi="宋体" w:eastAsia="宋体" w:cs="宋体"/>
          <w:color w:val="000000"/>
          <w:sz w:val="21"/>
          <w:szCs w:val="21"/>
          <w:highlight w:val="none"/>
        </w:rPr>
        <w:t>机构出具的证明。</w:t>
      </w:r>
    </w:p>
    <w:p w14:paraId="38B1CB3C">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3.不可抗力事件延续一百二十天以上，双方应通过友好协商，确定是否继续履行合同。</w:t>
      </w:r>
    </w:p>
    <w:p w14:paraId="46648475">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376" w:name="_Toc9534"/>
      <w:bookmarkStart w:id="377" w:name="_Toc4724"/>
      <w:bookmarkStart w:id="378" w:name="_Toc30942"/>
      <w:r>
        <w:rPr>
          <w:rFonts w:hint="eastAsia" w:ascii="宋体" w:hAnsi="宋体" w:eastAsia="宋体" w:cs="宋体"/>
          <w:b/>
          <w:color w:val="000000"/>
          <w:sz w:val="21"/>
          <w:szCs w:val="21"/>
          <w:highlight w:val="none"/>
        </w:rPr>
        <w:t>第九条合同争议解决</w:t>
      </w:r>
      <w:bookmarkEnd w:id="376"/>
      <w:bookmarkEnd w:id="377"/>
      <w:bookmarkEnd w:id="378"/>
    </w:p>
    <w:p w14:paraId="03D015AD">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1、因服务问题发生争议的，应邀请国家认可的相关机构进行鉴定。服务符合要求的，鉴定费由采购人承担；服务不符合要求的，鉴定费由中标人承担。</w:t>
      </w:r>
    </w:p>
    <w:p w14:paraId="63AF36B4">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2、因履行本合同引起的或与本合同有关的争议，</w:t>
      </w:r>
      <w:r>
        <w:rPr>
          <w:rFonts w:hint="eastAsia" w:ascii="宋体" w:hAnsi="宋体" w:eastAsia="宋体" w:cs="宋体"/>
          <w:color w:val="000000"/>
          <w:sz w:val="21"/>
          <w:szCs w:val="21"/>
        </w:rPr>
        <w:t>甲乙双方</w:t>
      </w:r>
      <w:r>
        <w:rPr>
          <w:rFonts w:hint="eastAsia" w:ascii="宋体" w:hAnsi="宋体" w:eastAsia="宋体" w:cs="宋体"/>
          <w:color w:val="000000"/>
          <w:sz w:val="21"/>
          <w:szCs w:val="21"/>
          <w:highlight w:val="none"/>
        </w:rPr>
        <w:t>应首先通过友好协商解决，如果协商不能解决，可向</w:t>
      </w:r>
      <w:r>
        <w:rPr>
          <w:rFonts w:hint="eastAsia" w:ascii="宋体" w:hAnsi="宋体" w:cs="宋体"/>
          <w:szCs w:val="21"/>
          <w:lang w:val="en-US" w:eastAsia="zh-CN"/>
        </w:rPr>
        <w:t>甲方所在地有管辖权的</w:t>
      </w:r>
      <w:r>
        <w:rPr>
          <w:rFonts w:hint="eastAsia" w:ascii="宋体" w:hAnsi="宋体" w:cs="宋体"/>
          <w:szCs w:val="21"/>
        </w:rPr>
        <w:t>人民法院</w:t>
      </w:r>
      <w:r>
        <w:rPr>
          <w:rFonts w:hint="eastAsia" w:ascii="宋体" w:hAnsi="宋体" w:eastAsia="宋体" w:cs="宋体"/>
          <w:color w:val="000000"/>
          <w:sz w:val="21"/>
          <w:szCs w:val="21"/>
          <w:highlight w:val="none"/>
        </w:rPr>
        <w:t>提起诉讼。</w:t>
      </w:r>
    </w:p>
    <w:p w14:paraId="2DE8B880">
      <w:pPr>
        <w:keepNext w:val="0"/>
        <w:keepLines w:val="0"/>
        <w:pageBreakBefore w:val="0"/>
        <w:widowControl w:val="0"/>
        <w:bidi w:val="0"/>
        <w:spacing w:line="360" w:lineRule="exact"/>
        <w:ind w:left="43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3、诉讼期间，本合同继续履行。</w:t>
      </w:r>
    </w:p>
    <w:p w14:paraId="6E32B98E">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379" w:name="_Toc30524"/>
      <w:bookmarkStart w:id="380" w:name="_Toc6894"/>
      <w:bookmarkStart w:id="381" w:name="_Toc21942"/>
      <w:r>
        <w:rPr>
          <w:rFonts w:hint="eastAsia" w:ascii="宋体" w:hAnsi="宋体" w:eastAsia="宋体" w:cs="宋体"/>
          <w:b/>
          <w:color w:val="000000"/>
          <w:sz w:val="21"/>
          <w:szCs w:val="21"/>
          <w:highlight w:val="none"/>
        </w:rPr>
        <w:t>第十条合同生效及其它</w:t>
      </w:r>
      <w:bookmarkEnd w:id="379"/>
      <w:bookmarkEnd w:id="380"/>
      <w:bookmarkEnd w:id="381"/>
    </w:p>
    <w:p w14:paraId="735E7009">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1.合同经</w:t>
      </w:r>
      <w:r>
        <w:rPr>
          <w:rFonts w:hint="eastAsia" w:ascii="宋体" w:hAnsi="宋体" w:eastAsia="宋体" w:cs="宋体"/>
          <w:color w:val="000000"/>
          <w:sz w:val="21"/>
          <w:szCs w:val="21"/>
        </w:rPr>
        <w:t>甲乙双方</w:t>
      </w: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自然人或相应的授权代表签字并</w:t>
      </w:r>
      <w:r>
        <w:rPr>
          <w:rFonts w:hint="eastAsia" w:ascii="宋体" w:hAnsi="宋体" w:eastAsia="宋体" w:cs="宋体"/>
          <w:color w:val="000000"/>
          <w:sz w:val="21"/>
          <w:szCs w:val="21"/>
        </w:rPr>
        <w:t>加盖公章</w:t>
      </w:r>
      <w:r>
        <w:rPr>
          <w:rFonts w:hint="eastAsia" w:ascii="宋体" w:hAnsi="宋体" w:eastAsia="宋体" w:cs="宋体"/>
          <w:color w:val="000000"/>
          <w:sz w:val="21"/>
          <w:szCs w:val="21"/>
          <w:highlight w:val="none"/>
        </w:rPr>
        <w:t>后生效。</w:t>
      </w:r>
    </w:p>
    <w:p w14:paraId="1950420D">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2.合同执行中涉及采购资金和采购内容修改或补充的，需经本级</w:t>
      </w:r>
      <w:r>
        <w:rPr>
          <w:rFonts w:hint="eastAsia" w:ascii="宋体" w:hAnsi="宋体" w:eastAsia="宋体" w:cs="宋体"/>
          <w:color w:val="000000"/>
          <w:sz w:val="21"/>
          <w:szCs w:val="21"/>
          <w:highlight w:val="none"/>
          <w:lang w:eastAsia="zh-CN"/>
        </w:rPr>
        <w:t>财</w:t>
      </w:r>
      <w:r>
        <w:rPr>
          <w:rFonts w:hint="eastAsia" w:ascii="宋体" w:hAnsi="宋体" w:eastAsia="宋体" w:cs="宋体"/>
          <w:color w:val="000000"/>
          <w:sz w:val="21"/>
          <w:szCs w:val="21"/>
          <w:highlight w:val="none"/>
        </w:rPr>
        <w:t>政部门审批，并签订书面补充协议报本级财政部门备案，方可作为主合同不可分割的一部分。</w:t>
      </w:r>
    </w:p>
    <w:p w14:paraId="1A31689D">
      <w:pPr>
        <w:keepNext w:val="0"/>
        <w:keepLines w:val="0"/>
        <w:pageBreakBefore w:val="0"/>
        <w:widowControl w:val="0"/>
        <w:bidi w:val="0"/>
        <w:spacing w:line="360" w:lineRule="exact"/>
        <w:ind w:left="43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3.本合同未尽事宜，遵照</w:t>
      </w:r>
      <w:r>
        <w:rPr>
          <w:rFonts w:hint="eastAsia" w:ascii="宋体" w:hAnsi="宋体" w:eastAsia="宋体" w:cs="宋体"/>
          <w:color w:val="000000"/>
          <w:sz w:val="21"/>
          <w:szCs w:val="21"/>
          <w:highlight w:val="none"/>
          <w:lang w:val="en-US" w:eastAsia="zh-CN"/>
        </w:rPr>
        <w:t>《中华人民共和国民法典》</w:t>
      </w:r>
      <w:r>
        <w:rPr>
          <w:rFonts w:hint="eastAsia" w:ascii="宋体" w:hAnsi="宋体" w:eastAsia="宋体" w:cs="宋体"/>
          <w:color w:val="000000"/>
          <w:sz w:val="21"/>
          <w:szCs w:val="21"/>
          <w:highlight w:val="none"/>
        </w:rPr>
        <w:t>有关条文执行。</w:t>
      </w:r>
    </w:p>
    <w:p w14:paraId="55229D02">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382" w:name="_Toc6459"/>
      <w:bookmarkStart w:id="383" w:name="_Toc13388"/>
      <w:bookmarkStart w:id="384" w:name="_Toc30133"/>
      <w:r>
        <w:rPr>
          <w:rFonts w:hint="eastAsia" w:ascii="宋体" w:hAnsi="宋体" w:eastAsia="宋体" w:cs="宋体"/>
          <w:b/>
          <w:color w:val="000000"/>
          <w:sz w:val="21"/>
          <w:szCs w:val="21"/>
          <w:highlight w:val="none"/>
        </w:rPr>
        <w:t>第十一条合同的变更、终止与转让</w:t>
      </w:r>
      <w:bookmarkEnd w:id="382"/>
      <w:bookmarkEnd w:id="383"/>
      <w:bookmarkEnd w:id="384"/>
    </w:p>
    <w:p w14:paraId="0785EDE2">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1.除《中华人民共和国政府采购法》第五十条规定的情形外，本合同一经签订，</w:t>
      </w:r>
      <w:r>
        <w:rPr>
          <w:rFonts w:hint="eastAsia" w:ascii="宋体" w:hAnsi="宋体" w:eastAsia="宋体" w:cs="宋体"/>
          <w:color w:val="000000"/>
          <w:sz w:val="21"/>
          <w:szCs w:val="21"/>
        </w:rPr>
        <w:t>甲乙双方</w:t>
      </w:r>
      <w:r>
        <w:rPr>
          <w:rFonts w:hint="eastAsia" w:ascii="宋体" w:hAnsi="宋体" w:eastAsia="宋体" w:cs="宋体"/>
          <w:color w:val="000000"/>
          <w:sz w:val="21"/>
          <w:szCs w:val="21"/>
          <w:highlight w:val="none"/>
        </w:rPr>
        <w:t>不得擅自变更，中止或终止。</w:t>
      </w:r>
    </w:p>
    <w:p w14:paraId="46AA471A">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rPr>
        <w:t>乙方</w:t>
      </w:r>
      <w:r>
        <w:rPr>
          <w:rFonts w:hint="eastAsia" w:ascii="宋体" w:hAnsi="宋体" w:eastAsia="宋体" w:cs="宋体"/>
          <w:color w:val="000000"/>
          <w:sz w:val="21"/>
          <w:szCs w:val="21"/>
          <w:highlight w:val="none"/>
        </w:rPr>
        <w:t>不得擅自转让(无进口资格的供应商委托进口货物除外)其应履行的合同义务。</w:t>
      </w:r>
    </w:p>
    <w:p w14:paraId="39196752">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p>
    <w:p w14:paraId="099DA4EB">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385" w:name="_Toc19252"/>
      <w:bookmarkStart w:id="386" w:name="_Toc2575"/>
      <w:bookmarkStart w:id="387" w:name="_Toc11464"/>
      <w:r>
        <w:rPr>
          <w:rFonts w:hint="eastAsia" w:ascii="宋体" w:hAnsi="宋体" w:eastAsia="宋体" w:cs="宋体"/>
          <w:b/>
          <w:color w:val="000000"/>
          <w:sz w:val="21"/>
          <w:szCs w:val="21"/>
          <w:highlight w:val="none"/>
        </w:rPr>
        <w:t>第十二条签订本合同依据</w:t>
      </w:r>
      <w:bookmarkEnd w:id="385"/>
      <w:bookmarkEnd w:id="386"/>
      <w:bookmarkEnd w:id="387"/>
    </w:p>
    <w:p w14:paraId="5BF1F772">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1.招标文件；</w:t>
      </w:r>
    </w:p>
    <w:p w14:paraId="5D994CFE">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rPr>
        <w:t>乙方</w:t>
      </w:r>
      <w:r>
        <w:rPr>
          <w:rFonts w:hint="eastAsia" w:ascii="宋体" w:hAnsi="宋体" w:eastAsia="宋体" w:cs="宋体"/>
          <w:color w:val="000000"/>
          <w:sz w:val="21"/>
          <w:szCs w:val="21"/>
          <w:highlight w:val="none"/>
        </w:rPr>
        <w:t>提供的投标（或应答）文件；</w:t>
      </w:r>
    </w:p>
    <w:p w14:paraId="6CDC08CD">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3.服务承诺书；</w:t>
      </w:r>
    </w:p>
    <w:p w14:paraId="3615286A">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4.中标通知书。</w:t>
      </w:r>
    </w:p>
    <w:p w14:paraId="0804B969">
      <w:pPr>
        <w:spacing w:line="400" w:lineRule="exact"/>
        <w:ind w:firstLine="420"/>
        <w:rPr>
          <w:rFonts w:hint="eastAsia" w:ascii="宋体" w:hAnsi="宋体" w:eastAsia="宋体" w:cs="宋体"/>
          <w:color w:val="000000"/>
          <w:sz w:val="21"/>
          <w:szCs w:val="21"/>
          <w:highlight w:val="none"/>
        </w:rPr>
      </w:pPr>
      <w:r>
        <w:rPr>
          <w:rFonts w:hint="eastAsia" w:ascii="宋体" w:hAnsi="宋体" w:cs="宋体"/>
          <w:color w:val="000000"/>
          <w:szCs w:val="21"/>
        </w:rPr>
        <w:t>政府采购合同双方自签订之日起将自动存档于“</w:t>
      </w:r>
      <w:r>
        <w:rPr>
          <w:rFonts w:hint="eastAsia" w:ascii="宋体" w:hAnsi="宋体" w:cs="宋体"/>
          <w:color w:val="000000"/>
          <w:szCs w:val="21"/>
          <w:lang w:eastAsia="zh-CN"/>
        </w:rPr>
        <w:t>广西政府采购云平台</w:t>
      </w:r>
      <w:r>
        <w:rPr>
          <w:rFonts w:hint="eastAsia" w:ascii="宋体" w:hAnsi="宋体" w:cs="宋体"/>
          <w:color w:val="000000"/>
          <w:szCs w:val="21"/>
        </w:rPr>
        <w:t>”上，采购人于合同签订之日起七个工作日内将一份合同原件送本级财政部门备案。</w:t>
      </w:r>
    </w:p>
    <w:p w14:paraId="0B96C579">
      <w:pPr>
        <w:spacing w:line="400" w:lineRule="exact"/>
        <w:ind w:firstLine="420"/>
        <w:rPr>
          <w:rFonts w:hint="eastAsia" w:ascii="宋体" w:hAnsi="宋体" w:eastAsia="宋体" w:cs="宋体"/>
          <w:color w:val="000000"/>
          <w:sz w:val="21"/>
          <w:szCs w:val="21"/>
          <w:highlight w:val="none"/>
        </w:rPr>
      </w:pPr>
    </w:p>
    <w:p w14:paraId="7B06F4FA">
      <w:pPr>
        <w:keepNext w:val="0"/>
        <w:keepLines w:val="0"/>
        <w:pageBreakBefore w:val="0"/>
        <w:widowControl w:val="0"/>
        <w:bidi w:val="0"/>
        <w:spacing w:line="360" w:lineRule="exact"/>
        <w:rPr>
          <w:rFonts w:hint="eastAsia" w:ascii="宋体" w:hAnsi="宋体" w:eastAsia="宋体" w:cs="宋体"/>
          <w:color w:val="000000"/>
          <w:sz w:val="21"/>
          <w:szCs w:val="21"/>
          <w:highlight w:val="none"/>
        </w:rPr>
      </w:pPr>
    </w:p>
    <w:p w14:paraId="3BA98015">
      <w:pPr>
        <w:keepNext w:val="0"/>
        <w:keepLines w:val="0"/>
        <w:pageBreakBefore w:val="0"/>
        <w:widowControl w:val="0"/>
        <w:bidi w:val="0"/>
        <w:spacing w:line="360" w:lineRule="exact"/>
        <w:rPr>
          <w:rFonts w:hint="eastAsia" w:ascii="宋体" w:hAnsi="宋体" w:eastAsia="宋体" w:cs="宋体"/>
          <w:color w:val="000000"/>
          <w:sz w:val="21"/>
          <w:szCs w:val="21"/>
          <w:highlight w:val="none"/>
        </w:rPr>
      </w:pPr>
    </w:p>
    <w:p w14:paraId="5D4618B1">
      <w:pPr>
        <w:keepNext w:val="0"/>
        <w:keepLines w:val="0"/>
        <w:pageBreakBefore w:val="0"/>
        <w:widowControl w:val="0"/>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甲方（公章）：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乙方（公章，自然人除外）：</w:t>
      </w:r>
      <w:r>
        <w:rPr>
          <w:rFonts w:hint="eastAsia" w:ascii="宋体" w:hAnsi="宋体" w:eastAsia="宋体" w:cs="宋体"/>
          <w:color w:val="000000"/>
          <w:sz w:val="21"/>
          <w:szCs w:val="21"/>
          <w:highlight w:val="none"/>
          <w:u w:val="single"/>
        </w:rPr>
        <w:t xml:space="preserve">                        </w:t>
      </w:r>
    </w:p>
    <w:p w14:paraId="5537B196">
      <w:pPr>
        <w:keepNext w:val="0"/>
        <w:keepLines w:val="0"/>
        <w:pageBreakBefore w:val="0"/>
        <w:widowControl w:val="0"/>
        <w:bidi w:val="0"/>
        <w:spacing w:line="360" w:lineRule="exact"/>
        <w:ind w:left="4620" w:hanging="46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法定代表人签字：</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法定代表人（负责人、自然人）签字（属自然人的应在签名处加盖大拇指指印）：</w:t>
      </w:r>
      <w:r>
        <w:rPr>
          <w:rFonts w:hint="eastAsia" w:ascii="宋体" w:hAnsi="宋体" w:eastAsia="宋体" w:cs="宋体"/>
          <w:color w:val="000000"/>
          <w:sz w:val="21"/>
          <w:szCs w:val="21"/>
          <w:highlight w:val="none"/>
          <w:u w:val="single"/>
        </w:rPr>
        <w:t xml:space="preserve">                          </w:t>
      </w:r>
    </w:p>
    <w:p w14:paraId="038D5318">
      <w:pPr>
        <w:keepNext w:val="0"/>
        <w:keepLines w:val="0"/>
        <w:pageBreakBefore w:val="0"/>
        <w:widowControl w:val="0"/>
        <w:tabs>
          <w:tab w:val="left" w:pos="4680"/>
        </w:tabs>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委托代理人：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委托代理人：</w:t>
      </w:r>
      <w:r>
        <w:rPr>
          <w:rFonts w:hint="eastAsia" w:ascii="宋体" w:hAnsi="宋体" w:eastAsia="宋体" w:cs="宋体"/>
          <w:color w:val="000000"/>
          <w:sz w:val="21"/>
          <w:szCs w:val="21"/>
          <w:highlight w:val="none"/>
          <w:u w:val="single"/>
        </w:rPr>
        <w:t xml:space="preserve">                                     </w:t>
      </w:r>
    </w:p>
    <w:p w14:paraId="7C043079">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电   话： </w:t>
      </w:r>
      <w:r>
        <w:rPr>
          <w:rFonts w:hint="eastAsia" w:ascii="宋体" w:hAnsi="宋体" w:eastAsia="宋体" w:cs="宋体"/>
          <w:color w:val="000000"/>
          <w:sz w:val="21"/>
          <w:szCs w:val="21"/>
          <w:highlight w:val="none"/>
          <w:u w:val="single"/>
        </w:rPr>
        <w:t xml:space="preserve">                                       </w:t>
      </w:r>
    </w:p>
    <w:p w14:paraId="2F0D6FEC">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开户名称：</w:t>
      </w:r>
      <w:r>
        <w:rPr>
          <w:rFonts w:hint="eastAsia" w:ascii="宋体" w:hAnsi="宋体" w:eastAsia="宋体" w:cs="宋体"/>
          <w:color w:val="000000"/>
          <w:sz w:val="21"/>
          <w:szCs w:val="21"/>
          <w:highlight w:val="none"/>
          <w:u w:val="single"/>
        </w:rPr>
        <w:t xml:space="preserve">                                       </w:t>
      </w:r>
    </w:p>
    <w:p w14:paraId="474CD9BE">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开户银行：</w:t>
      </w:r>
      <w:r>
        <w:rPr>
          <w:rFonts w:hint="eastAsia" w:ascii="宋体" w:hAnsi="宋体" w:eastAsia="宋体" w:cs="宋体"/>
          <w:color w:val="000000"/>
          <w:sz w:val="21"/>
          <w:szCs w:val="21"/>
          <w:highlight w:val="none"/>
          <w:u w:val="single"/>
        </w:rPr>
        <w:t xml:space="preserve">                                       </w:t>
      </w:r>
    </w:p>
    <w:p w14:paraId="4C76C24F">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银行账号：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银行账号：</w:t>
      </w:r>
      <w:r>
        <w:rPr>
          <w:rFonts w:hint="eastAsia" w:ascii="宋体" w:hAnsi="宋体" w:eastAsia="宋体" w:cs="宋体"/>
          <w:color w:val="000000"/>
          <w:sz w:val="21"/>
          <w:szCs w:val="21"/>
          <w:highlight w:val="none"/>
          <w:u w:val="single"/>
        </w:rPr>
        <w:t xml:space="preserve">                                       </w:t>
      </w:r>
    </w:p>
    <w:p w14:paraId="4B0060EB">
      <w:pPr>
        <w:keepNext w:val="0"/>
        <w:keepLines w:val="0"/>
        <w:pageBreakBefore w:val="0"/>
        <w:widowControl w:val="0"/>
        <w:tabs>
          <w:tab w:val="left" w:pos="5040"/>
        </w:tabs>
        <w:bidi w:val="0"/>
        <w:spacing w:line="360" w:lineRule="exact"/>
        <w:rPr>
          <w:rFonts w:hint="eastAsia" w:ascii="宋体" w:hAnsi="宋体" w:eastAsia="宋体" w:cs="宋体"/>
          <w:color w:val="000000"/>
          <w:highlight w:val="none"/>
        </w:rPr>
      </w:pPr>
      <w:r>
        <w:rPr>
          <w:rFonts w:hint="eastAsia" w:ascii="宋体" w:hAnsi="宋体" w:eastAsia="宋体" w:cs="宋体"/>
          <w:color w:val="000000"/>
          <w:sz w:val="21"/>
          <w:szCs w:val="21"/>
          <w:highlight w:val="none"/>
        </w:rPr>
        <w:t>日    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日    期：</w:t>
      </w:r>
      <w:r>
        <w:rPr>
          <w:rFonts w:hint="eastAsia" w:ascii="宋体" w:hAnsi="宋体" w:eastAsia="宋体" w:cs="宋体"/>
          <w:color w:val="000000"/>
          <w:sz w:val="21"/>
          <w:szCs w:val="21"/>
          <w:highlight w:val="none"/>
          <w:u w:val="single"/>
        </w:rPr>
        <w:t xml:space="preserve">                                       </w:t>
      </w:r>
    </w:p>
    <w:p w14:paraId="237D8155">
      <w:pPr>
        <w:keepLines w:val="0"/>
        <w:pageBreakBefore w:val="0"/>
        <w:widowControl w:val="0"/>
        <w:bidi w:val="0"/>
        <w:spacing w:line="360" w:lineRule="exact"/>
        <w:jc w:val="both"/>
        <w:outlineLvl w:val="0"/>
        <w:rPr>
          <w:rFonts w:ascii="宋体" w:hAnsi="宋体" w:cs="宋体"/>
          <w:color w:val="000000"/>
          <w:sz w:val="32"/>
          <w:szCs w:val="32"/>
          <w:highlight w:val="none"/>
        </w:rPr>
      </w:pPr>
      <w:r>
        <w:rPr>
          <w:rFonts w:hint="eastAsia" w:ascii="宋体" w:hAnsi="宋体" w:cs="宋体"/>
          <w:b/>
          <w:color w:val="000000"/>
          <w:sz w:val="32"/>
          <w:szCs w:val="32"/>
          <w:highlight w:val="none"/>
        </w:rPr>
        <w:br w:type="page" w:clear="all"/>
      </w:r>
      <w:bookmarkStart w:id="388" w:name="_Toc13408"/>
      <w:bookmarkStart w:id="389" w:name="_Toc21235"/>
      <w:bookmarkStart w:id="390" w:name="_Toc3378"/>
      <w:r>
        <w:rPr>
          <w:rFonts w:hint="eastAsia" w:ascii="宋体" w:hAnsi="宋体" w:cs="宋体"/>
          <w:b/>
          <w:bCs/>
          <w:color w:val="000000"/>
          <w:sz w:val="32"/>
          <w:szCs w:val="32"/>
          <w:highlight w:val="none"/>
        </w:rPr>
        <w:t>第六章投标文件（格式）</w:t>
      </w:r>
      <w:bookmarkEnd w:id="388"/>
      <w:bookmarkEnd w:id="389"/>
      <w:bookmarkEnd w:id="390"/>
    </w:p>
    <w:p w14:paraId="61412E65">
      <w:pPr>
        <w:rPr>
          <w:b/>
          <w:bCs/>
          <w:color w:val="000000"/>
          <w:sz w:val="30"/>
          <w:szCs w:val="30"/>
          <w:highlight w:val="none"/>
        </w:rPr>
      </w:pPr>
      <w:r>
        <w:rPr>
          <w:rFonts w:hint="eastAsia"/>
          <w:b/>
          <w:bCs/>
          <w:color w:val="000000"/>
          <w:sz w:val="30"/>
          <w:szCs w:val="30"/>
          <w:highlight w:val="none"/>
        </w:rPr>
        <w:t>投标文件封面格式：</w:t>
      </w:r>
    </w:p>
    <w:p w14:paraId="11709D48">
      <w:pPr>
        <w:jc w:val="right"/>
        <w:rPr>
          <w:rFonts w:hint="eastAsia" w:ascii="宋体" w:hAnsi="宋体" w:cs="宋体"/>
          <w:b/>
          <w:color w:val="000000"/>
          <w:sz w:val="32"/>
          <w:szCs w:val="32"/>
          <w:highlight w:val="none"/>
        </w:rPr>
      </w:pPr>
    </w:p>
    <w:p w14:paraId="62B47D73">
      <w:pPr>
        <w:rPr>
          <w:rFonts w:ascii="宋体" w:hAnsi="宋体" w:cs="宋体"/>
          <w:b/>
          <w:color w:val="000000"/>
          <w:sz w:val="44"/>
          <w:szCs w:val="44"/>
          <w:highlight w:val="none"/>
        </w:rPr>
      </w:pPr>
    </w:p>
    <w:p w14:paraId="307C96A1">
      <w:pPr>
        <w:jc w:val="center"/>
        <w:rPr>
          <w:rFonts w:ascii="宋体" w:hAnsi="宋体" w:cs="宋体"/>
          <w:b/>
          <w:color w:val="000000"/>
          <w:sz w:val="44"/>
          <w:szCs w:val="44"/>
          <w:highlight w:val="none"/>
        </w:rPr>
      </w:pPr>
      <w:r>
        <w:rPr>
          <w:rFonts w:hint="eastAsia" w:ascii="宋体" w:hAnsi="宋体" w:cs="宋体"/>
          <w:bCs/>
          <w:color w:val="000000"/>
          <w:sz w:val="72"/>
          <w:szCs w:val="72"/>
          <w:highlight w:val="none"/>
        </w:rPr>
        <w:t>投标文件</w:t>
      </w:r>
    </w:p>
    <w:p w14:paraId="6D0A17CB">
      <w:pPr>
        <w:rPr>
          <w:rFonts w:ascii="宋体" w:hAnsi="宋体" w:cs="宋体"/>
          <w:b/>
          <w:color w:val="000000"/>
          <w:sz w:val="44"/>
          <w:szCs w:val="44"/>
          <w:highlight w:val="none"/>
        </w:rPr>
      </w:pPr>
    </w:p>
    <w:p w14:paraId="76FD3582">
      <w:pPr>
        <w:rPr>
          <w:rFonts w:ascii="宋体" w:hAnsi="宋体" w:cs="宋体"/>
          <w:b/>
          <w:color w:val="000000"/>
          <w:sz w:val="44"/>
          <w:szCs w:val="44"/>
          <w:highlight w:val="none"/>
        </w:rPr>
      </w:pPr>
    </w:p>
    <w:p w14:paraId="037DF405">
      <w:pPr>
        <w:pStyle w:val="251"/>
        <w:ind w:firstLine="883"/>
        <w:rPr>
          <w:rFonts w:ascii="宋体" w:hAnsi="宋体" w:cs="宋体"/>
          <w:b/>
          <w:color w:val="000000"/>
          <w:sz w:val="44"/>
          <w:szCs w:val="44"/>
          <w:highlight w:val="none"/>
        </w:rPr>
      </w:pPr>
    </w:p>
    <w:p w14:paraId="153CB493">
      <w:pPr>
        <w:jc w:val="center"/>
        <w:rPr>
          <w:rFonts w:hint="eastAsia" w:ascii="宋体" w:hAnsi="宋体" w:cs="宋体"/>
          <w:color w:val="000000"/>
          <w:sz w:val="30"/>
          <w:szCs w:val="30"/>
          <w:highlight w:val="none"/>
          <w:u w:val="single"/>
        </w:rPr>
      </w:pPr>
      <w:r>
        <w:rPr>
          <w:rFonts w:hint="eastAsia" w:ascii="宋体" w:hAnsi="宋体" w:cs="宋体"/>
          <w:bCs/>
          <w:color w:val="000000"/>
          <w:sz w:val="30"/>
          <w:szCs w:val="30"/>
          <w:highlight w:val="none"/>
        </w:rPr>
        <w:t>项目名称：</w:t>
      </w:r>
      <w:r>
        <w:rPr>
          <w:rFonts w:hint="eastAsia" w:ascii="宋体" w:hAnsi="宋体" w:cs="宋体"/>
          <w:bCs/>
          <w:color w:val="000000"/>
          <w:sz w:val="30"/>
          <w:szCs w:val="30"/>
          <w:highlight w:val="none"/>
          <w:u w:val="single"/>
          <w:lang w:val="en-US" w:eastAsia="zh-CN"/>
        </w:rPr>
        <w:t>荔浦市荔浦中学等114所学校教育城域网建设项目网络服务租用项目</w:t>
      </w:r>
    </w:p>
    <w:p w14:paraId="1F23331D">
      <w:pPr>
        <w:ind w:firstLine="2400"/>
        <w:rPr>
          <w:rFonts w:hint="eastAsia" w:ascii="宋体" w:hAnsi="宋体" w:cs="宋体"/>
          <w:bCs/>
          <w:color w:val="000000"/>
          <w:sz w:val="30"/>
          <w:szCs w:val="30"/>
          <w:highlight w:val="none"/>
          <w:u w:val="single"/>
          <w:lang w:eastAsia="zh-CN"/>
        </w:rPr>
      </w:pPr>
      <w:r>
        <w:rPr>
          <w:rFonts w:hint="eastAsia" w:ascii="宋体" w:hAnsi="宋体" w:cs="宋体"/>
          <w:bCs/>
          <w:color w:val="000000"/>
          <w:sz w:val="30"/>
          <w:szCs w:val="30"/>
          <w:highlight w:val="none"/>
        </w:rPr>
        <w:t>项目编号：</w:t>
      </w:r>
      <w:r>
        <w:rPr>
          <w:rFonts w:hint="eastAsia" w:ascii="宋体" w:hAnsi="宋体" w:cs="宋体"/>
          <w:bCs/>
          <w:color w:val="000000"/>
          <w:sz w:val="30"/>
          <w:szCs w:val="30"/>
          <w:highlight w:val="none"/>
          <w:u w:val="single"/>
          <w:lang w:eastAsia="zh-CN"/>
        </w:rPr>
        <w:t>GLZC2026-G3-310022-GLSZ</w:t>
      </w:r>
    </w:p>
    <w:p w14:paraId="1E0426EB">
      <w:pPr>
        <w:ind w:firstLine="2400"/>
        <w:rPr>
          <w:rFonts w:hint="eastAsia" w:ascii="宋体" w:hAnsi="宋体" w:cs="宋体"/>
          <w:bCs/>
          <w:color w:val="000000"/>
          <w:sz w:val="30"/>
          <w:szCs w:val="30"/>
          <w:highlight w:val="none"/>
          <w:u w:val="single"/>
          <w:lang w:eastAsia="zh-CN"/>
        </w:rPr>
      </w:pPr>
    </w:p>
    <w:p w14:paraId="2FB4D301">
      <w:pPr>
        <w:ind w:firstLine="741"/>
        <w:rPr>
          <w:rFonts w:ascii="宋体" w:hAnsi="宋体" w:cs="宋体"/>
          <w:color w:val="000000"/>
          <w:highlight w:val="none"/>
        </w:rPr>
      </w:pPr>
    </w:p>
    <w:p w14:paraId="3626756C">
      <w:pPr>
        <w:spacing w:before="156" w:after="50"/>
        <w:ind w:firstLine="1260"/>
        <w:rPr>
          <w:rFonts w:ascii="宋体" w:hAnsi="宋体" w:cs="宋体"/>
          <w:bCs/>
          <w:color w:val="000000"/>
          <w:sz w:val="28"/>
          <w:szCs w:val="28"/>
          <w:highlight w:val="none"/>
        </w:rPr>
      </w:pPr>
    </w:p>
    <w:p w14:paraId="08BA49AF">
      <w:pPr>
        <w:pStyle w:val="251"/>
        <w:ind w:firstLine="420"/>
        <w:rPr>
          <w:color w:val="000000"/>
          <w:highlight w:val="none"/>
        </w:rPr>
      </w:pPr>
    </w:p>
    <w:p w14:paraId="7D0FF1C1">
      <w:pPr>
        <w:pStyle w:val="252"/>
        <w:rPr>
          <w:color w:val="000000"/>
          <w:highlight w:val="none"/>
        </w:rPr>
      </w:pPr>
    </w:p>
    <w:p w14:paraId="0E8CC6B2">
      <w:pPr>
        <w:spacing w:before="156" w:after="50"/>
        <w:ind w:firstLine="1260"/>
        <w:rPr>
          <w:rFonts w:ascii="宋体" w:hAnsi="宋体" w:cs="宋体"/>
          <w:bCs/>
          <w:color w:val="000000"/>
          <w:sz w:val="28"/>
          <w:szCs w:val="28"/>
          <w:highlight w:val="none"/>
        </w:rPr>
      </w:pPr>
    </w:p>
    <w:p w14:paraId="7B1A5DC1">
      <w:pPr>
        <w:spacing w:before="156" w:after="50"/>
        <w:ind w:firstLine="1260"/>
        <w:rPr>
          <w:rFonts w:ascii="宋体" w:hAnsi="宋体" w:cs="宋体"/>
          <w:bCs/>
          <w:color w:val="000000"/>
          <w:sz w:val="28"/>
          <w:szCs w:val="28"/>
          <w:highlight w:val="none"/>
        </w:rPr>
      </w:pPr>
    </w:p>
    <w:p w14:paraId="2D4FA9E8">
      <w:pPr>
        <w:ind w:firstLine="964"/>
        <w:jc w:val="left"/>
        <w:rPr>
          <w:rFonts w:ascii="宋体" w:hAnsi="宋体" w:cs="宋体"/>
          <w:b/>
          <w:color w:val="000000"/>
          <w:sz w:val="32"/>
          <w:szCs w:val="32"/>
          <w:highlight w:val="none"/>
        </w:rPr>
      </w:pPr>
    </w:p>
    <w:p w14:paraId="450CDE47">
      <w:pPr>
        <w:pStyle w:val="211"/>
        <w:ind w:left="980" w:hanging="560"/>
        <w:jc w:val="center"/>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采购代理机构：</w:t>
      </w:r>
      <w:r>
        <w:rPr>
          <w:rFonts w:hint="eastAsia" w:ascii="宋体" w:hAnsi="宋体" w:cs="宋体"/>
          <w:bCs/>
          <w:color w:val="000000"/>
          <w:sz w:val="28"/>
          <w:szCs w:val="28"/>
          <w:highlight w:val="none"/>
          <w:u w:val="single"/>
        </w:rPr>
        <w:t>桂林市政府集中采购中心</w:t>
      </w:r>
    </w:p>
    <w:p w14:paraId="5F6CBEE7">
      <w:pPr>
        <w:pStyle w:val="211"/>
        <w:ind w:left="980" w:hanging="560"/>
        <w:rPr>
          <w:rFonts w:hint="eastAsia" w:ascii="宋体" w:hAnsi="宋体" w:cs="宋体"/>
          <w:bCs/>
          <w:color w:val="000000"/>
          <w:sz w:val="28"/>
          <w:szCs w:val="28"/>
          <w:highlight w:val="none"/>
        </w:rPr>
      </w:pPr>
    </w:p>
    <w:p w14:paraId="6544C584">
      <w:pPr>
        <w:pStyle w:val="211"/>
        <w:ind w:left="980" w:hanging="560"/>
        <w:rPr>
          <w:rFonts w:hint="eastAsia" w:ascii="宋体" w:hAnsi="宋体" w:cs="宋体"/>
          <w:bCs/>
          <w:color w:val="000000"/>
          <w:sz w:val="28"/>
          <w:szCs w:val="28"/>
          <w:highlight w:val="none"/>
        </w:rPr>
      </w:pPr>
    </w:p>
    <w:p w14:paraId="7A1B74C3">
      <w:pPr>
        <w:pStyle w:val="211"/>
        <w:ind w:left="980" w:hanging="560"/>
        <w:rPr>
          <w:rFonts w:hint="eastAsia" w:ascii="宋体" w:hAnsi="宋体" w:eastAsia="宋体" w:cs="宋体"/>
          <w:bCs/>
          <w:color w:val="000000"/>
          <w:sz w:val="28"/>
          <w:szCs w:val="28"/>
          <w:highlight w:val="none"/>
          <w:lang w:eastAsia="zh-CN"/>
        </w:rPr>
      </w:pPr>
      <w:r>
        <w:rPr>
          <w:rFonts w:hint="eastAsia" w:ascii="宋体" w:hAnsi="宋体" w:cs="宋体"/>
          <w:bCs/>
          <w:color w:val="000000"/>
          <w:sz w:val="28"/>
          <w:szCs w:val="28"/>
          <w:highlight w:val="none"/>
        </w:rPr>
        <w:t>投标人（公章(CA签章)、自然人除外）：</w:t>
      </w:r>
    </w:p>
    <w:p w14:paraId="70B01FC5">
      <w:pPr>
        <w:pStyle w:val="214"/>
        <w:spacing w:line="320" w:lineRule="exact"/>
        <w:ind w:firstLine="420"/>
        <w:rPr>
          <w:rFonts w:hAnsi="宋体" w:cs="宋体"/>
          <w:color w:val="000000"/>
          <w:sz w:val="28"/>
          <w:szCs w:val="28"/>
          <w:highlight w:val="none"/>
        </w:rPr>
      </w:pPr>
      <w:r>
        <w:rPr>
          <w:rFonts w:hint="eastAsia" w:hAnsi="宋体" w:cs="宋体"/>
          <w:color w:val="000000"/>
          <w:sz w:val="28"/>
          <w:szCs w:val="28"/>
          <w:highlight w:val="none"/>
        </w:rPr>
        <w:t>法定代表人、负责人、自然人或相应的委托代理人签字[或盖章(CA签章)]</w:t>
      </w:r>
    </w:p>
    <w:p w14:paraId="689F6CEA">
      <w:pPr>
        <w:pStyle w:val="211"/>
        <w:ind w:left="980" w:hanging="560"/>
        <w:rPr>
          <w:rFonts w:hint="eastAsia" w:ascii="宋体" w:hAnsi="宋体" w:eastAsia="宋体" w:cs="宋体"/>
          <w:color w:val="000000"/>
          <w:sz w:val="28"/>
          <w:szCs w:val="28"/>
          <w:highlight w:val="none"/>
          <w:u w:val="single"/>
          <w:lang w:eastAsia="zh-CN"/>
        </w:rPr>
      </w:pPr>
      <w:r>
        <w:rPr>
          <w:rFonts w:hint="eastAsia" w:ascii="宋体" w:hAnsi="宋体" w:cs="宋体"/>
          <w:color w:val="000000"/>
          <w:sz w:val="28"/>
          <w:szCs w:val="28"/>
          <w:highlight w:val="none"/>
        </w:rPr>
        <w:t>（属自然人的应在签名处加盖大拇指指印或个人CA签章）：</w:t>
      </w:r>
    </w:p>
    <w:p w14:paraId="5EE7302F">
      <w:pPr>
        <w:pStyle w:val="211"/>
        <w:ind w:left="980" w:hanging="560"/>
        <w:rPr>
          <w:rFonts w:hint="eastAsia" w:ascii="宋体" w:hAnsi="宋体" w:eastAsia="宋体" w:cs="宋体"/>
          <w:bCs/>
          <w:color w:val="000000"/>
          <w:sz w:val="28"/>
          <w:szCs w:val="28"/>
          <w:highlight w:val="none"/>
          <w:u w:val="single"/>
          <w:lang w:eastAsia="zh-CN"/>
        </w:rPr>
      </w:pPr>
      <w:r>
        <w:rPr>
          <w:rFonts w:hint="eastAsia" w:ascii="宋体" w:hAnsi="宋体" w:cs="宋体"/>
          <w:bCs/>
          <w:color w:val="000000"/>
          <w:sz w:val="28"/>
          <w:szCs w:val="28"/>
          <w:highlight w:val="none"/>
        </w:rPr>
        <w:t>联系电话：</w:t>
      </w:r>
    </w:p>
    <w:p w14:paraId="2E836E74">
      <w:pPr>
        <w:pStyle w:val="211"/>
        <w:ind w:left="980" w:hanging="560"/>
        <w:rPr>
          <w:rFonts w:ascii="宋体" w:hAnsi="宋体" w:cs="宋体"/>
          <w:b/>
          <w:color w:val="000000"/>
          <w:sz w:val="32"/>
          <w:szCs w:val="32"/>
          <w:highlight w:val="none"/>
        </w:rPr>
      </w:pPr>
      <w:r>
        <w:rPr>
          <w:rFonts w:hint="eastAsia" w:ascii="宋体" w:hAnsi="宋体" w:cs="宋体"/>
          <w:bCs/>
          <w:color w:val="000000"/>
          <w:sz w:val="28"/>
          <w:szCs w:val="28"/>
          <w:highlight w:val="none"/>
        </w:rPr>
        <w:t>日期：</w:t>
      </w:r>
      <w:r>
        <w:rPr>
          <w:rFonts w:hint="eastAsia" w:ascii="宋体" w:hAnsi="宋体" w:cs="宋体"/>
          <w:bCs/>
          <w:color w:val="000000"/>
          <w:sz w:val="28"/>
          <w:szCs w:val="28"/>
          <w:highlight w:val="none"/>
          <w:lang w:val="en-US" w:eastAsia="zh-CN"/>
        </w:rPr>
        <w:t xml:space="preserve">   </w:t>
      </w:r>
      <w:r>
        <w:rPr>
          <w:rFonts w:hint="eastAsia" w:ascii="宋体" w:hAnsi="宋体" w:cs="宋体"/>
          <w:bCs/>
          <w:color w:val="000000"/>
          <w:sz w:val="28"/>
          <w:szCs w:val="28"/>
          <w:highlight w:val="none"/>
        </w:rPr>
        <w:t>年</w:t>
      </w:r>
      <w:r>
        <w:rPr>
          <w:rFonts w:hint="eastAsia" w:ascii="宋体" w:hAnsi="宋体" w:cs="宋体"/>
          <w:bCs/>
          <w:color w:val="000000"/>
          <w:sz w:val="28"/>
          <w:szCs w:val="28"/>
          <w:highlight w:val="none"/>
          <w:lang w:val="en-US" w:eastAsia="zh-CN"/>
        </w:rPr>
        <w:t xml:space="preserve">   </w:t>
      </w:r>
      <w:r>
        <w:rPr>
          <w:rFonts w:hint="eastAsia" w:ascii="宋体" w:hAnsi="宋体" w:cs="宋体"/>
          <w:bCs/>
          <w:color w:val="000000"/>
          <w:sz w:val="28"/>
          <w:szCs w:val="28"/>
          <w:highlight w:val="none"/>
        </w:rPr>
        <w:t>月</w:t>
      </w:r>
      <w:r>
        <w:rPr>
          <w:rFonts w:hint="eastAsia" w:ascii="宋体" w:hAnsi="宋体" w:cs="宋体"/>
          <w:bCs/>
          <w:color w:val="000000"/>
          <w:sz w:val="28"/>
          <w:szCs w:val="28"/>
          <w:highlight w:val="none"/>
          <w:lang w:val="en-US" w:eastAsia="zh-CN"/>
        </w:rPr>
        <w:t xml:space="preserve">    </w:t>
      </w:r>
      <w:r>
        <w:rPr>
          <w:rFonts w:hint="eastAsia" w:ascii="宋体" w:hAnsi="宋体" w:cs="宋体"/>
          <w:bCs/>
          <w:color w:val="000000"/>
          <w:sz w:val="28"/>
          <w:szCs w:val="28"/>
          <w:highlight w:val="none"/>
        </w:rPr>
        <w:t>日</w:t>
      </w:r>
    </w:p>
    <w:p w14:paraId="18F56846">
      <w:pPr>
        <w:jc w:val="center"/>
        <w:rPr>
          <w:rFonts w:hint="eastAsia"/>
          <w:b/>
          <w:bCs/>
          <w:color w:val="000000"/>
          <w:sz w:val="32"/>
          <w:szCs w:val="32"/>
          <w:highlight w:val="none"/>
        </w:rPr>
      </w:pPr>
    </w:p>
    <w:p w14:paraId="7CD1A3B0">
      <w:pPr>
        <w:jc w:val="center"/>
        <w:rPr>
          <w:rFonts w:hint="eastAsia"/>
          <w:b/>
          <w:bCs/>
          <w:color w:val="000000"/>
          <w:sz w:val="32"/>
          <w:szCs w:val="32"/>
          <w:highlight w:val="none"/>
        </w:rPr>
      </w:pPr>
    </w:p>
    <w:p w14:paraId="3F3BC10B">
      <w:pPr>
        <w:jc w:val="center"/>
        <w:rPr>
          <w:rFonts w:hint="eastAsia"/>
          <w:b/>
          <w:bCs/>
          <w:color w:val="000000"/>
          <w:sz w:val="32"/>
          <w:szCs w:val="32"/>
          <w:highlight w:val="none"/>
        </w:rPr>
      </w:pPr>
    </w:p>
    <w:p w14:paraId="7778951F">
      <w:pPr>
        <w:jc w:val="center"/>
        <w:rPr>
          <w:rFonts w:hint="eastAsia"/>
          <w:b/>
          <w:bCs/>
          <w:color w:val="000000"/>
          <w:sz w:val="32"/>
          <w:szCs w:val="32"/>
          <w:highlight w:val="none"/>
        </w:rPr>
      </w:pPr>
    </w:p>
    <w:p w14:paraId="317BEF66">
      <w:pPr>
        <w:jc w:val="center"/>
        <w:rPr>
          <w:rFonts w:hint="eastAsia"/>
          <w:b/>
          <w:bCs/>
          <w:color w:val="000000"/>
          <w:sz w:val="32"/>
          <w:szCs w:val="32"/>
          <w:highlight w:val="none"/>
        </w:rPr>
      </w:pPr>
    </w:p>
    <w:p w14:paraId="46DE8971">
      <w:pPr>
        <w:jc w:val="center"/>
        <w:rPr>
          <w:rFonts w:hint="eastAsia"/>
          <w:b/>
          <w:bCs/>
          <w:color w:val="000000"/>
          <w:sz w:val="32"/>
          <w:szCs w:val="32"/>
          <w:highlight w:val="none"/>
        </w:rPr>
      </w:pPr>
    </w:p>
    <w:p w14:paraId="5765778A">
      <w:pPr>
        <w:jc w:val="center"/>
        <w:rPr>
          <w:rFonts w:hint="eastAsia"/>
          <w:b/>
          <w:bCs/>
          <w:color w:val="000000"/>
          <w:sz w:val="32"/>
          <w:szCs w:val="32"/>
          <w:highlight w:val="none"/>
        </w:rPr>
      </w:pPr>
    </w:p>
    <w:p w14:paraId="656AC2D2">
      <w:pPr>
        <w:jc w:val="center"/>
        <w:rPr>
          <w:b/>
          <w:bCs/>
          <w:color w:val="000000"/>
          <w:sz w:val="32"/>
          <w:szCs w:val="32"/>
          <w:highlight w:val="none"/>
        </w:rPr>
      </w:pPr>
      <w:r>
        <w:rPr>
          <w:rFonts w:hint="eastAsia"/>
          <w:b/>
          <w:bCs/>
          <w:color w:val="000000"/>
          <w:sz w:val="32"/>
          <w:szCs w:val="32"/>
          <w:highlight w:val="none"/>
        </w:rPr>
        <w:t>投标文件目录</w:t>
      </w:r>
    </w:p>
    <w:p w14:paraId="688E1D46">
      <w:pPr>
        <w:tabs>
          <w:tab w:val="left" w:pos="1305"/>
        </w:tabs>
        <w:spacing w:line="380" w:lineRule="exact"/>
        <w:ind w:firstLine="422"/>
        <w:rPr>
          <w:rFonts w:ascii="宋体" w:hAnsi="宋体" w:cs="宋体"/>
          <w:b/>
          <w:color w:val="000000"/>
          <w:sz w:val="28"/>
          <w:szCs w:val="28"/>
          <w:highlight w:val="none"/>
        </w:rPr>
      </w:pPr>
      <w:r>
        <w:rPr>
          <w:rFonts w:hint="eastAsia" w:ascii="宋体" w:hAnsi="宋体" w:cs="宋体"/>
          <w:b/>
          <w:color w:val="000000"/>
          <w:sz w:val="28"/>
          <w:szCs w:val="28"/>
          <w:highlight w:val="none"/>
        </w:rPr>
        <w:t>一、资格性响应证明材料：</w:t>
      </w:r>
    </w:p>
    <w:p w14:paraId="5A5D5271">
      <w:pPr>
        <w:tabs>
          <w:tab w:val="left" w:pos="1305"/>
        </w:tabs>
        <w:spacing w:line="380" w:lineRule="exact"/>
        <w:ind w:firstLine="420"/>
        <w:rPr>
          <w:rFonts w:ascii="宋体" w:hAnsi="宋体" w:cs="宋体"/>
          <w:color w:val="000000"/>
          <w:szCs w:val="21"/>
          <w:highlight w:val="none"/>
        </w:rPr>
      </w:pPr>
      <w:r>
        <w:rPr>
          <w:rFonts w:hint="eastAsia" w:ascii="宋体" w:hAnsi="宋体" w:cs="宋体"/>
          <w:color w:val="000000"/>
          <w:szCs w:val="21"/>
          <w:highlight w:val="none"/>
        </w:rPr>
        <w:t>1.投标人相应的法定代表人、负责人、自然人身份证正反面</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p>
    <w:p w14:paraId="2DA8F25A">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2.投标人的授权委托书原件、委托代理人身份证正反面</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以及由县级以上（含县级）社会养老保险经办机构出具的投标人为委托代理人交纳的开标截止时间前</w:t>
      </w:r>
      <w:r>
        <w:rPr>
          <w:rFonts w:hint="eastAsia" w:ascii="宋体" w:hAnsi="宋体" w:cs="宋体"/>
          <w:color w:val="000000"/>
          <w:szCs w:val="21"/>
          <w:highlight w:val="none"/>
          <w:lang w:eastAsia="zh-CN"/>
        </w:rPr>
        <w:t>三个月内任意一个月</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，除投标人为以下</w:t>
      </w:r>
      <w:r>
        <w:rPr>
          <w:rFonts w:hint="eastAsia" w:ascii="宋体" w:hAnsi="宋体" w:cs="宋体"/>
          <w:color w:val="000000"/>
          <w:szCs w:val="21"/>
          <w:highlight w:val="none"/>
          <w:lang w:eastAsia="zh-CN"/>
        </w:rPr>
        <w:t>四</w:t>
      </w:r>
      <w:r>
        <w:rPr>
          <w:rFonts w:hint="eastAsia" w:ascii="宋体" w:hAnsi="宋体" w:cs="宋体"/>
          <w:color w:val="000000"/>
          <w:szCs w:val="21"/>
          <w:highlight w:val="none"/>
        </w:rPr>
        <w:t>种情形的：</w:t>
      </w:r>
    </w:p>
    <w:p w14:paraId="0FD6EDCA">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①如投标人为截标时间前60日以内成立的公司，可以提供投标人与委托代理人签订的劳动合同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575C41B6">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②如投标人为事业单位，可以提供事业单位机构编制管理证</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或事业单位机构为其发放工资的工资条</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0D0F96A1">
      <w:pPr>
        <w:spacing w:line="400" w:lineRule="exact"/>
        <w:ind w:firstLine="411"/>
        <w:rPr>
          <w:rFonts w:hint="eastAsia" w:ascii="宋体" w:hAnsi="宋体" w:cs="宋体"/>
          <w:color w:val="000000"/>
          <w:szCs w:val="21"/>
          <w:highlight w:val="none"/>
        </w:rPr>
      </w:pPr>
      <w:r>
        <w:rPr>
          <w:rFonts w:hint="eastAsia" w:ascii="宋体" w:hAnsi="宋体" w:cs="宋体"/>
          <w:color w:val="000000"/>
          <w:szCs w:val="21"/>
          <w:highlight w:val="none"/>
        </w:rPr>
        <w:t>③如委托代理人为免缴纳社保人员，提供免缴纳社保的证明材料</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及投标人与委托代理人签订的劳动合同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79742457">
      <w:pPr>
        <w:pStyle w:val="39"/>
        <w:ind w:firstLine="420"/>
      </w:pPr>
      <w:r>
        <w:rPr>
          <w:rFonts w:hint="eastAsia" w:ascii="宋体" w:hAnsi="宋体" w:eastAsia="宋体" w:cs="宋体"/>
          <w:sz w:val="21"/>
          <w:szCs w:val="21"/>
          <w:lang w:val="en-US" w:eastAsia="zh-CN" w:bidi="ar-SA"/>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3A58519E">
      <w:pPr>
        <w:spacing w:line="400" w:lineRule="exact"/>
        <w:ind w:firstLine="413"/>
        <w:rPr>
          <w:rFonts w:ascii="宋体" w:hAnsi="宋体" w:cs="宋体"/>
          <w:color w:val="000000"/>
          <w:szCs w:val="21"/>
          <w:highlight w:val="none"/>
        </w:rPr>
      </w:pPr>
      <w:r>
        <w:rPr>
          <w:rFonts w:hint="eastAsia" w:ascii="宋体" w:hAnsi="宋体" w:cs="宋体"/>
          <w:b/>
          <w:bCs/>
          <w:color w:val="000000"/>
          <w:szCs w:val="21"/>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Cs w:val="21"/>
          <w:highlight w:val="none"/>
          <w:lang w:eastAsia="zh-CN"/>
        </w:rPr>
        <w:t>三个月内任意一个月</w:t>
      </w:r>
      <w:r>
        <w:rPr>
          <w:rFonts w:hint="eastAsia" w:ascii="宋体" w:hAnsi="宋体" w:cs="宋体"/>
          <w:b/>
          <w:bCs/>
          <w:color w:val="000000"/>
          <w:szCs w:val="21"/>
          <w:highlight w:val="none"/>
          <w:lang w:val="en-US" w:eastAsia="zh-CN"/>
        </w:rPr>
        <w:t>养老保险</w:t>
      </w:r>
      <w:r>
        <w:rPr>
          <w:rFonts w:hint="eastAsia" w:ascii="宋体" w:hAnsi="宋体" w:cs="宋体"/>
          <w:b/>
          <w:bCs/>
          <w:color w:val="000000"/>
          <w:szCs w:val="21"/>
          <w:highlight w:val="none"/>
        </w:rPr>
        <w:t>证明</w:t>
      </w:r>
      <w:r>
        <w:rPr>
          <w:rFonts w:hint="eastAsia" w:ascii="宋体" w:hAnsi="宋体" w:cs="宋体"/>
          <w:b/>
          <w:bCs/>
          <w:color w:val="000000"/>
          <w:szCs w:val="21"/>
          <w:highlight w:val="none"/>
          <w:lang w:eastAsia="zh-CN"/>
        </w:rPr>
        <w:t>扫描件。</w:t>
      </w:r>
      <w:r>
        <w:rPr>
          <w:rFonts w:hint="eastAsia" w:ascii="宋体" w:hAnsi="宋体" w:cs="宋体"/>
          <w:b/>
          <w:bCs/>
          <w:color w:val="000000"/>
          <w:szCs w:val="21"/>
          <w:highlight w:val="none"/>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Cs w:val="21"/>
          <w:highlight w:val="none"/>
        </w:rPr>
        <w:t>】</w:t>
      </w:r>
      <w:r>
        <w:rPr>
          <w:rFonts w:hint="eastAsia" w:ascii="宋体" w:hAnsi="宋体" w:cs="宋体"/>
          <w:b/>
          <w:color w:val="000000"/>
          <w:szCs w:val="21"/>
          <w:highlight w:val="none"/>
        </w:rPr>
        <w:t>（委托代理时必须提供；</w:t>
      </w:r>
      <w:r>
        <w:rPr>
          <w:rFonts w:hint="eastAsia" w:ascii="宋体" w:hAnsi="宋体" w:cs="宋体"/>
          <w:b/>
          <w:bCs/>
          <w:color w:val="000000"/>
          <w:szCs w:val="21"/>
          <w:highlight w:val="none"/>
        </w:rPr>
        <w:t>如为联合体的，授权委托书原件须由牵头人出具</w:t>
      </w:r>
      <w:r>
        <w:rPr>
          <w:rFonts w:hint="eastAsia" w:ascii="宋体" w:hAnsi="宋体" w:cs="宋体"/>
          <w:b/>
          <w:color w:val="000000"/>
          <w:szCs w:val="21"/>
          <w:highlight w:val="none"/>
        </w:rPr>
        <w:t>）；</w:t>
      </w:r>
    </w:p>
    <w:p w14:paraId="2B3D574E">
      <w:pPr>
        <w:tabs>
          <w:tab w:val="left" w:pos="1305"/>
        </w:tabs>
        <w:spacing w:line="380" w:lineRule="exact"/>
        <w:ind w:firstLine="420"/>
        <w:rPr>
          <w:rFonts w:ascii="宋体" w:hAnsi="宋体" w:cs="宋体"/>
          <w:color w:val="000000"/>
          <w:szCs w:val="21"/>
          <w:highlight w:val="none"/>
        </w:rPr>
      </w:pPr>
      <w:r>
        <w:rPr>
          <w:rFonts w:hint="eastAsia" w:ascii="宋体" w:hAnsi="宋体" w:cs="宋体"/>
          <w:color w:val="000000"/>
          <w:szCs w:val="21"/>
          <w:highlight w:val="none"/>
        </w:rPr>
        <w:t>3.投标人的法人或者其他组织营业执照等证明文件</w:t>
      </w:r>
      <w:r>
        <w:rPr>
          <w:rFonts w:hint="eastAsia" w:ascii="宋体" w:hAnsi="宋体" w:cs="宋体"/>
          <w:color w:val="000000"/>
          <w:szCs w:val="21"/>
          <w:highlight w:val="none"/>
          <w:lang w:eastAsia="zh-CN"/>
        </w:rPr>
        <w:t>扫描件</w:t>
      </w:r>
      <w:r>
        <w:rPr>
          <w:rFonts w:hint="eastAsia" w:ascii="宋体" w:hAnsi="宋体" w:cs="宋体"/>
          <w:b/>
          <w:color w:val="000000"/>
          <w:szCs w:val="21"/>
          <w:highlight w:val="none"/>
        </w:rPr>
        <w:t>（必须提供，自然人除外）</w:t>
      </w:r>
      <w:r>
        <w:rPr>
          <w:rFonts w:hint="eastAsia" w:ascii="宋体" w:hAnsi="宋体" w:cs="宋体"/>
          <w:color w:val="000000"/>
          <w:szCs w:val="21"/>
          <w:highlight w:val="none"/>
        </w:rPr>
        <w:t>；</w:t>
      </w:r>
    </w:p>
    <w:p w14:paraId="07D02AE8">
      <w:pPr>
        <w:spacing w:line="400" w:lineRule="exact"/>
        <w:ind w:firstLine="420"/>
        <w:rPr>
          <w:color w:val="000000"/>
          <w:szCs w:val="21"/>
          <w:highlight w:val="none"/>
        </w:rPr>
      </w:pPr>
      <w:r>
        <w:rPr>
          <w:rFonts w:hint="eastAsia" w:ascii="宋体" w:hAnsi="宋体" w:cs="宋体"/>
          <w:color w:val="000000"/>
          <w:szCs w:val="21"/>
          <w:highlight w:val="none"/>
        </w:rPr>
        <w:t>4.财务状况报告</w:t>
      </w:r>
      <w:r>
        <w:rPr>
          <w:rFonts w:hint="eastAsia" w:ascii="宋体" w:hAnsi="宋体" w:cs="宋体"/>
          <w:b/>
          <w:bCs/>
          <w:szCs w:val="21"/>
          <w:lang w:eastAsia="zh-CN"/>
        </w:rPr>
        <w:t>（格式自拟，必须提供）</w:t>
      </w:r>
      <w:r>
        <w:rPr>
          <w:rFonts w:hint="eastAsia" w:ascii="宋体" w:hAnsi="宋体" w:cs="宋体"/>
          <w:color w:val="000000"/>
          <w:szCs w:val="21"/>
        </w:rPr>
        <w:t>；</w:t>
      </w:r>
    </w:p>
    <w:p w14:paraId="171C8007">
      <w:pPr>
        <w:tabs>
          <w:tab w:val="left" w:pos="1305"/>
        </w:tabs>
        <w:spacing w:line="38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eastAsia="zh-CN"/>
        </w:rPr>
        <w:t>投标人参加政府采购活动前3年内在经营活动中没有重大违法记录及有关信用信息的书面声明或专项信用报告</w:t>
      </w:r>
      <w:r>
        <w:rPr>
          <w:rFonts w:hint="eastAsia" w:ascii="宋体" w:hAnsi="宋体" w:cs="宋体"/>
          <w:b/>
          <w:bCs/>
          <w:color w:val="000000"/>
          <w:szCs w:val="21"/>
          <w:highlight w:val="none"/>
        </w:rPr>
        <w:t>（必须提供）；</w:t>
      </w:r>
    </w:p>
    <w:p w14:paraId="28DA8D09">
      <w:pPr>
        <w:tabs>
          <w:tab w:val="left" w:pos="1305"/>
        </w:tabs>
        <w:spacing w:line="380" w:lineRule="exact"/>
        <w:ind w:firstLine="422"/>
        <w:rPr>
          <w:rFonts w:hint="eastAsia" w:ascii="宋体" w:hAnsi="宋体" w:eastAsia="宋体" w:cs="宋体"/>
          <w:b/>
          <w:bCs/>
          <w:color w:val="000000"/>
          <w:szCs w:val="21"/>
          <w:highlight w:val="none"/>
          <w:u w:val="single"/>
          <w:lang w:eastAsia="zh-CN"/>
        </w:rPr>
      </w:pPr>
      <w:r>
        <w:rPr>
          <w:rFonts w:hint="eastAsia" w:ascii="宋体" w:hAnsi="宋体" w:cs="宋体"/>
          <w:b/>
          <w:bCs/>
          <w:color w:val="000000"/>
          <w:szCs w:val="21"/>
          <w:highlight w:val="none"/>
          <w:u w:val="single"/>
        </w:rPr>
        <w:t>注：供应商为广西经营主体的，可通过信用中国(广西)网站(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w:t>
      </w:r>
      <w:r>
        <w:rPr>
          <w:rFonts w:hint="eastAsia" w:ascii="宋体" w:hAnsi="宋体" w:cs="宋体"/>
          <w:b/>
          <w:bCs/>
          <w:color w:val="000000"/>
          <w:szCs w:val="21"/>
          <w:highlight w:val="none"/>
          <w:u w:val="single"/>
          <w:lang w:eastAsia="zh-CN"/>
        </w:rPr>
        <w:t>中国网站的要求获取。</w:t>
      </w:r>
    </w:p>
    <w:p w14:paraId="7B1B8773">
      <w:pPr>
        <w:tabs>
          <w:tab w:val="left" w:pos="1305"/>
        </w:tabs>
        <w:spacing w:line="380" w:lineRule="exact"/>
        <w:ind w:firstLine="420"/>
        <w:rPr>
          <w:rFonts w:hint="eastAsia" w:ascii="宋体" w:hAnsi="宋体" w:cs="宋体"/>
          <w:color w:val="000000"/>
          <w:sz w:val="21"/>
          <w:szCs w:val="21"/>
          <w:highlight w:val="none"/>
          <w:lang w:eastAsia="zh-CN"/>
        </w:rPr>
      </w:pPr>
      <w:r>
        <w:rPr>
          <w:rFonts w:hint="eastAsia" w:ascii="宋体" w:hAnsi="宋体" w:cs="宋体"/>
          <w:color w:val="000000"/>
          <w:szCs w:val="21"/>
          <w:highlight w:val="none"/>
        </w:rPr>
        <w:t>6.</w:t>
      </w:r>
      <w:r>
        <w:rPr>
          <w:rFonts w:hint="eastAsia" w:ascii="宋体" w:hAnsi="宋体" w:eastAsia="宋体" w:cs="宋体"/>
          <w:color w:val="000000"/>
          <w:sz w:val="21"/>
          <w:szCs w:val="21"/>
          <w:lang w:val="en-US" w:eastAsia="zh-CN" w:bidi="ar-SA"/>
        </w:rPr>
        <w:t>投标人开标截标日期前近半年内任意</w:t>
      </w:r>
      <w:r>
        <w:rPr>
          <w:rFonts w:hint="eastAsia" w:ascii="宋体" w:hAnsi="宋体" w:cs="宋体"/>
          <w:color w:val="000000"/>
          <w:szCs w:val="21"/>
          <w:highlight w:val="none"/>
        </w:rPr>
        <w:t>一个月或任一季度依法缴纳税收的证明材料【增值税发票(税收完税证明)或企业所得税完税证明或税务部门出具的免税证明</w:t>
      </w:r>
      <w:r>
        <w:rPr>
          <w:rFonts w:hint="eastAsia" w:ascii="宋体" w:hAnsi="宋体" w:cs="宋体"/>
          <w:szCs w:val="21"/>
          <w:lang w:eastAsia="zh-CN"/>
        </w:rPr>
        <w:t>或税务部门出具的无欠税证明</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r>
        <w:rPr>
          <w:rFonts w:hint="eastAsia" w:ascii="宋体" w:hAnsi="宋体" w:cs="宋体"/>
          <w:color w:val="000000"/>
          <w:sz w:val="21"/>
          <w:szCs w:val="21"/>
          <w:highlight w:val="none"/>
          <w:lang w:eastAsia="zh-CN"/>
        </w:rPr>
        <w:t>；</w:t>
      </w:r>
    </w:p>
    <w:p w14:paraId="61B4C270">
      <w:pPr>
        <w:tabs>
          <w:tab w:val="left" w:pos="1305"/>
        </w:tabs>
        <w:spacing w:line="380" w:lineRule="exact"/>
        <w:ind w:firstLine="422"/>
        <w:rPr>
          <w:rFonts w:ascii="宋体" w:hAnsi="宋体" w:cs="宋体"/>
          <w:b/>
          <w:color w:val="000000"/>
          <w:sz w:val="28"/>
          <w:szCs w:val="28"/>
          <w:highlight w:val="none"/>
        </w:rPr>
      </w:pPr>
      <w:r>
        <w:rPr>
          <w:rFonts w:hint="eastAsia" w:ascii="宋体" w:hAnsi="宋体" w:cs="宋体"/>
          <w:b/>
          <w:color w:val="000000"/>
          <w:sz w:val="28"/>
          <w:szCs w:val="28"/>
          <w:highlight w:val="none"/>
        </w:rPr>
        <w:t>二、商务、技术性响应及其他证明材料：</w:t>
      </w:r>
    </w:p>
    <w:p w14:paraId="3657CD39">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1.投标报价表</w:t>
      </w:r>
      <w:r>
        <w:rPr>
          <w:rFonts w:hint="eastAsia" w:ascii="宋体" w:hAnsi="宋体" w:eastAsia="宋体" w:cs="宋体"/>
          <w:color w:val="000000"/>
          <w:szCs w:val="21"/>
          <w:highlight w:val="none"/>
        </w:rPr>
        <w:t>（格式见附件）</w:t>
      </w:r>
      <w:r>
        <w:rPr>
          <w:rFonts w:hint="eastAsia" w:ascii="宋体" w:hAnsi="宋体" w:eastAsia="宋体" w:cs="宋体"/>
          <w:b/>
          <w:bCs/>
          <w:color w:val="000000"/>
          <w:szCs w:val="21"/>
          <w:highlight w:val="none"/>
        </w:rPr>
        <w:t>（必须提供）</w:t>
      </w:r>
      <w:r>
        <w:rPr>
          <w:rFonts w:hint="eastAsia" w:ascii="宋体" w:hAnsi="宋体" w:eastAsia="宋体" w:cs="宋体"/>
          <w:b/>
          <w:bCs/>
          <w:color w:val="000000"/>
          <w:szCs w:val="21"/>
          <w:highlight w:val="none"/>
          <w:lang w:val="en-US" w:eastAsia="zh-CN"/>
        </w:rPr>
        <w:t>；</w:t>
      </w:r>
    </w:p>
    <w:p w14:paraId="67F996DE">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eastAsia="zh-CN"/>
        </w:rPr>
        <w:t>服务响应表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78BC7244">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商务响应表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bCs/>
          <w:color w:val="000000"/>
          <w:szCs w:val="21"/>
          <w:highlight w:val="none"/>
        </w:rPr>
        <w:t>；</w:t>
      </w:r>
    </w:p>
    <w:p w14:paraId="55F27E5C">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“采购需求”需提供的有效证明文件</w:t>
      </w:r>
      <w:r>
        <w:rPr>
          <w:rFonts w:hint="eastAsia" w:ascii="宋体" w:hAnsi="宋体" w:eastAsia="宋体" w:cs="宋体"/>
          <w:b/>
          <w:color w:val="000000"/>
          <w:szCs w:val="21"/>
          <w:highlight w:val="none"/>
        </w:rPr>
        <w:t>（按其要求提供）</w:t>
      </w:r>
      <w:r>
        <w:rPr>
          <w:rFonts w:hint="eastAsia" w:ascii="宋体" w:hAnsi="宋体" w:eastAsia="宋体" w:cs="宋体"/>
          <w:color w:val="000000"/>
          <w:szCs w:val="21"/>
          <w:highlight w:val="none"/>
        </w:rPr>
        <w:t>；</w:t>
      </w:r>
    </w:p>
    <w:p w14:paraId="79643326">
      <w:pPr>
        <w:numPr>
          <w:ilvl w:val="0"/>
          <w:numId w:val="0"/>
        </w:numPr>
        <w:tabs>
          <w:tab w:val="left" w:pos="1305"/>
        </w:tabs>
        <w:spacing w:line="400" w:lineRule="exact"/>
        <w:ind w:firstLine="420"/>
        <w:rPr>
          <w:rFonts w:hint="eastAsia" w:ascii="宋体" w:hAnsi="宋体" w:eastAsia="宋体" w:cs="宋体"/>
          <w:color w:val="000000"/>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lang w:eastAsia="zh-CN"/>
        </w:rPr>
        <w:t>服务承诺书（由供应商根据本项目采购需求、特点及供应商自身的处理能力自行编写）</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383D3166">
      <w:pPr>
        <w:tabs>
          <w:tab w:val="left" w:pos="1305"/>
        </w:tabs>
        <w:spacing w:line="400" w:lineRule="exact"/>
        <w:ind w:firstLine="42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lang w:eastAsia="zh-CN"/>
        </w:rPr>
        <w:t>针对本项目的服务方案</w:t>
      </w:r>
      <w:r>
        <w:rPr>
          <w:rFonts w:hint="eastAsia" w:ascii="宋体" w:hAnsi="宋体" w:eastAsia="宋体" w:cs="宋体"/>
          <w:b/>
          <w:bCs/>
          <w:color w:val="000000"/>
          <w:szCs w:val="21"/>
          <w:highlight w:val="none"/>
        </w:rPr>
        <w:t>（</w:t>
      </w:r>
      <w:r>
        <w:rPr>
          <w:rFonts w:hint="eastAsia" w:ascii="宋体" w:hAnsi="宋体" w:eastAsia="宋体" w:cs="宋体"/>
          <w:b/>
          <w:color w:val="000000"/>
          <w:szCs w:val="21"/>
          <w:highlight w:val="none"/>
        </w:rPr>
        <w:t>必须提供</w:t>
      </w:r>
      <w:r>
        <w:rPr>
          <w:rFonts w:hint="eastAsia" w:ascii="宋体" w:hAnsi="宋体" w:eastAsia="宋体" w:cs="宋体"/>
          <w:b/>
          <w:bCs/>
          <w:color w:val="000000"/>
          <w:szCs w:val="21"/>
          <w:highlight w:val="none"/>
        </w:rPr>
        <w:t>）</w:t>
      </w:r>
      <w:r>
        <w:rPr>
          <w:rFonts w:hint="eastAsia" w:ascii="宋体" w:hAnsi="宋体" w:eastAsia="宋体" w:cs="宋体"/>
          <w:b/>
          <w:bCs/>
          <w:color w:val="000000"/>
          <w:szCs w:val="21"/>
          <w:highlight w:val="none"/>
          <w:lang w:eastAsia="zh-CN"/>
        </w:rPr>
        <w:t>；</w:t>
      </w:r>
    </w:p>
    <w:p w14:paraId="0848E5E0">
      <w:pPr>
        <w:numPr>
          <w:ilvl w:val="0"/>
          <w:numId w:val="0"/>
        </w:numPr>
        <w:tabs>
          <w:tab w:val="left" w:pos="1305"/>
        </w:tabs>
        <w:spacing w:line="400" w:lineRule="exact"/>
        <w:ind w:firstLine="42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自</w:t>
      </w:r>
      <w:r>
        <w:rPr>
          <w:rFonts w:hint="eastAsia" w:ascii="宋体" w:hAnsi="宋体" w:cs="宋体"/>
          <w:color w:val="000000"/>
          <w:szCs w:val="21"/>
          <w:highlight w:val="none"/>
          <w:lang w:val="en-US" w:eastAsia="zh-CN"/>
        </w:rPr>
        <w:t>2024</w:t>
      </w:r>
      <w:r>
        <w:rPr>
          <w:rFonts w:hint="eastAsia" w:ascii="宋体" w:hAnsi="宋体" w:eastAsia="宋体" w:cs="宋体"/>
          <w:color w:val="000000"/>
          <w:szCs w:val="21"/>
          <w:highlight w:val="none"/>
          <w:lang w:val="en-US" w:eastAsia="zh-CN"/>
        </w:rPr>
        <w:t>年1月1日以来</w:t>
      </w:r>
      <w:r>
        <w:rPr>
          <w:rFonts w:hint="eastAsia" w:ascii="宋体" w:hAnsi="宋体" w:eastAsia="宋体" w:cs="宋体"/>
          <w:color w:val="000000"/>
          <w:highlight w:val="none"/>
          <w:lang w:eastAsia="zh-CN"/>
        </w:rPr>
        <w:t>同类业绩</w:t>
      </w:r>
      <w:r>
        <w:rPr>
          <w:rFonts w:hint="eastAsia" w:ascii="宋体" w:hAnsi="宋体" w:eastAsia="宋体" w:cs="宋体"/>
          <w:color w:val="000000"/>
          <w:highlight w:val="none"/>
        </w:rPr>
        <w:t>的相关证明材料</w:t>
      </w:r>
      <w:r>
        <w:rPr>
          <w:rFonts w:hint="eastAsia" w:ascii="宋体" w:hAnsi="宋体" w:eastAsia="宋体" w:cs="宋体"/>
          <w:color w:val="000000"/>
          <w:szCs w:val="21"/>
          <w:highlight w:val="none"/>
        </w:rPr>
        <w:t>（以中标、成交通知书或签订的采购合同</w:t>
      </w:r>
      <w:r>
        <w:rPr>
          <w:rFonts w:hint="eastAsia" w:ascii="宋体" w:hAnsi="宋体" w:eastAsia="宋体" w:cs="宋体"/>
          <w:color w:val="000000"/>
          <w:szCs w:val="21"/>
          <w:highlight w:val="none"/>
          <w:lang w:eastAsia="zh-CN"/>
        </w:rPr>
        <w:t>扫描件</w:t>
      </w:r>
      <w:r>
        <w:rPr>
          <w:rFonts w:hint="eastAsia" w:ascii="宋体" w:hAnsi="宋体" w:eastAsia="宋体" w:cs="宋体"/>
          <w:color w:val="000000"/>
          <w:szCs w:val="21"/>
          <w:highlight w:val="none"/>
        </w:rPr>
        <w:t>为准，并能清晰反映所</w:t>
      </w:r>
      <w:r>
        <w:rPr>
          <w:rFonts w:hint="eastAsia" w:ascii="宋体" w:hAnsi="宋体" w:eastAsia="宋体" w:cs="宋体"/>
          <w:color w:val="000000"/>
          <w:szCs w:val="21"/>
          <w:highlight w:val="none"/>
          <w:lang w:val="en-US" w:eastAsia="zh-CN"/>
        </w:rPr>
        <w:t>提供</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val="en-US" w:eastAsia="zh-CN"/>
        </w:rPr>
        <w:t>服务类型</w:t>
      </w:r>
      <w:r>
        <w:rPr>
          <w:rFonts w:hint="eastAsia" w:ascii="宋体" w:hAnsi="宋体" w:eastAsia="宋体" w:cs="宋体"/>
          <w:color w:val="000000"/>
          <w:szCs w:val="21"/>
          <w:highlight w:val="none"/>
        </w:rPr>
        <w:t>、种类、金额</w:t>
      </w:r>
      <w:r>
        <w:rPr>
          <w:rFonts w:hint="eastAsia" w:ascii="宋体" w:hAnsi="宋体" w:eastAsia="宋体" w:cs="宋体"/>
          <w:color w:val="000000"/>
          <w:highlight w:val="none"/>
        </w:rPr>
        <w:t>）</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lang w:val="en-US" w:eastAsia="zh-CN"/>
        </w:rPr>
        <w:t>；</w:t>
      </w:r>
    </w:p>
    <w:p w14:paraId="38D05E5B">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项目实施人员一览表</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rPr>
        <w:t>；</w:t>
      </w:r>
    </w:p>
    <w:p w14:paraId="59A36C70">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投标人相关获奖证书、认证证书等</w:t>
      </w:r>
      <w:r>
        <w:rPr>
          <w:rFonts w:hint="eastAsia" w:ascii="宋体" w:hAnsi="宋体" w:eastAsia="宋体" w:cs="宋体"/>
          <w:color w:val="000000"/>
          <w:szCs w:val="21"/>
          <w:highlight w:val="none"/>
          <w:lang w:eastAsia="zh-CN"/>
        </w:rPr>
        <w:t>扫描件</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7CD92846">
      <w:pPr>
        <w:tabs>
          <w:tab w:val="left" w:pos="1305"/>
        </w:tabs>
        <w:spacing w:line="400" w:lineRule="exact"/>
        <w:ind w:firstLine="420"/>
        <w:rPr>
          <w:rFonts w:hint="eastAsia" w:ascii="宋体" w:hAnsi="宋体" w:cs="宋体"/>
          <w:color w:val="000000"/>
        </w:rPr>
      </w:pPr>
      <w:r>
        <w:rPr>
          <w:rFonts w:hint="eastAsia" w:ascii="宋体" w:hAnsi="宋体" w:eastAsia="宋体" w:cs="宋体"/>
          <w:color w:val="000000"/>
          <w:szCs w:val="21"/>
          <w:lang w:val="en-US" w:eastAsia="zh-CN"/>
        </w:rPr>
        <w:t>10.</w:t>
      </w:r>
      <w:r>
        <w:rPr>
          <w:rFonts w:hint="eastAsia" w:ascii="宋体" w:hAnsi="宋体" w:cs="宋体"/>
          <w:color w:val="000000"/>
        </w:rPr>
        <w:t>如所提供服务的</w:t>
      </w:r>
      <w:r>
        <w:rPr>
          <w:rFonts w:hint="eastAsia" w:ascii="宋体" w:hAnsi="宋体" w:cs="宋体"/>
          <w:color w:val="000000"/>
          <w:szCs w:val="21"/>
        </w:rPr>
        <w:t>供应商</w:t>
      </w:r>
      <w:r>
        <w:rPr>
          <w:rFonts w:hint="eastAsia" w:ascii="宋体" w:hAnsi="宋体" w:cs="宋体"/>
          <w:color w:val="000000"/>
        </w:rPr>
        <w:t>属于小型、微型企业【中小微型企业划分标准按照《国家统计局关于印发&lt;统计上大中小微型企业划分办法〔2017〕&gt;的通知》（国统字〔2017〕213号）执行，具体划分标准见第四章评标办法中附表《统计上大中小微型企业划分标准》】，以提供的《中小企业声明函》（见附件）为准</w:t>
      </w:r>
      <w:r>
        <w:rPr>
          <w:rFonts w:hint="eastAsia" w:ascii="宋体" w:hAnsi="宋体" w:cs="宋体"/>
          <w:b/>
          <w:bCs/>
          <w:color w:val="000000"/>
        </w:rPr>
        <w:t>（如有，请提供）</w:t>
      </w:r>
      <w:r>
        <w:rPr>
          <w:rFonts w:hint="eastAsia" w:ascii="宋体" w:hAnsi="宋体" w:cs="宋体"/>
          <w:color w:val="000000"/>
        </w:rPr>
        <w:t>；</w:t>
      </w:r>
    </w:p>
    <w:p w14:paraId="0567C632">
      <w:pPr>
        <w:tabs>
          <w:tab w:val="left" w:pos="1305"/>
        </w:tabs>
        <w:spacing w:line="400" w:lineRule="exact"/>
        <w:ind w:firstLine="420"/>
        <w:rPr>
          <w:rFonts w:hint="eastAsia" w:ascii="宋体" w:hAnsi="宋体" w:cs="宋体"/>
          <w:color w:val="000000"/>
          <w:szCs w:val="21"/>
        </w:rPr>
      </w:pPr>
      <w:r>
        <w:rPr>
          <w:rFonts w:hint="eastAsia" w:ascii="宋体" w:hAnsi="宋体" w:cs="宋体"/>
          <w:color w:val="000000"/>
          <w:lang w:val="en-US" w:eastAsia="zh-CN"/>
        </w:rPr>
        <w:t>11.</w:t>
      </w:r>
      <w:r>
        <w:rPr>
          <w:rFonts w:hint="eastAsia" w:ascii="宋体" w:hAnsi="宋体" w:cs="宋体"/>
          <w:color w:val="000000"/>
          <w:szCs w:val="21"/>
        </w:rPr>
        <w:t>如提供服务的供应商属于监狱企业的，应当提供由省级以上监狱管理局、戒毒管理局等（含新疆生产建设兵团）出具的属于监狱企业的证明文件</w:t>
      </w:r>
      <w:r>
        <w:rPr>
          <w:rFonts w:hint="eastAsia" w:ascii="宋体" w:hAnsi="宋体" w:cs="宋体"/>
          <w:color w:val="000000"/>
          <w:sz w:val="24"/>
        </w:rPr>
        <w:t>（</w:t>
      </w:r>
      <w:r>
        <w:rPr>
          <w:rFonts w:hint="eastAsia" w:ascii="宋体" w:hAnsi="宋体" w:cs="宋体"/>
          <w:b/>
          <w:color w:val="000000"/>
        </w:rPr>
        <w:t>如有，请提供</w:t>
      </w:r>
      <w:r>
        <w:rPr>
          <w:rFonts w:hint="eastAsia" w:ascii="宋体" w:hAnsi="宋体" w:cs="宋体"/>
          <w:color w:val="000000"/>
          <w:sz w:val="24"/>
        </w:rPr>
        <w:t>）；</w:t>
      </w:r>
    </w:p>
    <w:p w14:paraId="228047B7">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sz w:val="21"/>
          <w:lang w:val="en-US" w:eastAsia="zh-CN"/>
        </w:rPr>
        <w:t>12.</w:t>
      </w:r>
      <w:r>
        <w:rPr>
          <w:rFonts w:hint="eastAsia" w:ascii="宋体" w:hAnsi="宋体" w:eastAsia="宋体" w:cs="宋体"/>
          <w:sz w:val="21"/>
          <w:szCs w:val="21"/>
        </w:rPr>
        <w:t>符合条件的残疾人福利性单位在参加政府采购活动时，应当提供《残疾人福利性单位声明函》，并对声明的真实性负责</w:t>
      </w:r>
      <w:r>
        <w:rPr>
          <w:rFonts w:hint="eastAsia" w:ascii="宋体" w:hAnsi="宋体" w:eastAsia="宋体" w:cs="宋体"/>
          <w:sz w:val="21"/>
        </w:rPr>
        <w:t>（见附件）</w:t>
      </w:r>
      <w:r>
        <w:rPr>
          <w:rFonts w:hint="eastAsia" w:ascii="宋体" w:hAnsi="宋体" w:eastAsia="宋体" w:cs="宋体"/>
          <w:b/>
          <w:bCs/>
          <w:sz w:val="21"/>
        </w:rPr>
        <w:t>（如有，请提供）</w:t>
      </w:r>
    </w:p>
    <w:p w14:paraId="34BC100E">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 w:val="21"/>
          <w:szCs w:val="24"/>
          <w:highlight w:val="none"/>
          <w:lang w:val="en-US" w:eastAsia="zh-CN" w:bidi="ar-SA"/>
        </w:rPr>
        <w:t>13.</w:t>
      </w:r>
      <w:r>
        <w:rPr>
          <w:rFonts w:hint="eastAsia" w:ascii="宋体" w:hAnsi="宋体" w:eastAsia="宋体" w:cs="宋体"/>
          <w:color w:val="000000"/>
          <w:szCs w:val="21"/>
          <w:highlight w:val="none"/>
        </w:rPr>
        <w:t>投标人可结合本项目的评标办法视自身情况自行提交相关证明材料</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22442AAF">
      <w:pPr>
        <w:spacing w:line="400" w:lineRule="exact"/>
        <w:ind w:firstLine="420"/>
        <w:rPr>
          <w:rFonts w:hint="eastAsia" w:ascii="宋体" w:hAnsi="宋体" w:cs="宋体"/>
          <w:b/>
          <w:bCs/>
          <w:color w:val="000000"/>
          <w:highlight w:val="none"/>
        </w:rPr>
      </w:pPr>
      <w:r>
        <w:rPr>
          <w:rFonts w:hint="eastAsia" w:ascii="宋体" w:hAnsi="宋体" w:cs="宋体"/>
          <w:b/>
          <w:bCs/>
          <w:color w:val="000000"/>
          <w:highlight w:val="none"/>
        </w:rPr>
        <w:t>投标人提供的以上相关证明材料属于“必须提供”的文件应加盖投标人公章（CA签章）/自然人签字或加盖个人CA签章，否则投标无效。</w:t>
      </w:r>
    </w:p>
    <w:p w14:paraId="61456139">
      <w:pPr>
        <w:pStyle w:val="39"/>
        <w:rPr>
          <w:rFonts w:ascii="宋体" w:hAnsi="宋体" w:cs="宋体"/>
          <w:color w:val="000000"/>
          <w:szCs w:val="21"/>
          <w:highlight w:val="none"/>
        </w:rPr>
      </w:pPr>
    </w:p>
    <w:p w14:paraId="43B130EC">
      <w:pPr>
        <w:pStyle w:val="39"/>
        <w:rPr>
          <w:rFonts w:ascii="宋体" w:hAnsi="宋体" w:cs="宋体"/>
          <w:color w:val="000000"/>
          <w:szCs w:val="21"/>
          <w:highlight w:val="none"/>
        </w:rPr>
      </w:pPr>
    </w:p>
    <w:p w14:paraId="6260557D">
      <w:pPr>
        <w:pStyle w:val="39"/>
        <w:rPr>
          <w:rFonts w:ascii="宋体" w:hAnsi="宋体" w:cs="宋体"/>
          <w:color w:val="000000"/>
          <w:szCs w:val="21"/>
          <w:highlight w:val="none"/>
        </w:rPr>
      </w:pPr>
    </w:p>
    <w:p w14:paraId="030C936F">
      <w:pPr>
        <w:pStyle w:val="39"/>
        <w:rPr>
          <w:rFonts w:ascii="宋体" w:hAnsi="宋体" w:cs="宋体"/>
          <w:color w:val="000000"/>
          <w:szCs w:val="21"/>
          <w:highlight w:val="none"/>
        </w:rPr>
      </w:pPr>
    </w:p>
    <w:p w14:paraId="363473FA">
      <w:pPr>
        <w:pStyle w:val="39"/>
        <w:rPr>
          <w:rFonts w:ascii="宋体" w:hAnsi="宋体" w:cs="宋体"/>
          <w:color w:val="000000"/>
          <w:szCs w:val="21"/>
          <w:highlight w:val="none"/>
        </w:rPr>
      </w:pPr>
    </w:p>
    <w:p w14:paraId="595FA579">
      <w:pPr>
        <w:pStyle w:val="39"/>
        <w:rPr>
          <w:rFonts w:ascii="宋体" w:hAnsi="宋体" w:cs="宋体"/>
          <w:color w:val="000000"/>
          <w:szCs w:val="21"/>
          <w:highlight w:val="none"/>
        </w:rPr>
      </w:pPr>
    </w:p>
    <w:p w14:paraId="3D725915">
      <w:pPr>
        <w:pStyle w:val="39"/>
        <w:rPr>
          <w:rFonts w:ascii="宋体" w:hAnsi="宋体" w:cs="宋体"/>
          <w:color w:val="000000"/>
          <w:szCs w:val="21"/>
          <w:highlight w:val="none"/>
        </w:rPr>
      </w:pPr>
    </w:p>
    <w:p w14:paraId="5F7E77C7">
      <w:pPr>
        <w:pStyle w:val="39"/>
        <w:rPr>
          <w:rFonts w:ascii="宋体" w:hAnsi="宋体" w:cs="宋体"/>
          <w:color w:val="000000"/>
          <w:szCs w:val="21"/>
          <w:highlight w:val="none"/>
        </w:rPr>
      </w:pPr>
    </w:p>
    <w:p w14:paraId="2D01F2D0">
      <w:pPr>
        <w:pStyle w:val="39"/>
        <w:rPr>
          <w:rFonts w:ascii="宋体" w:hAnsi="宋体" w:cs="宋体"/>
          <w:color w:val="000000"/>
          <w:szCs w:val="21"/>
          <w:highlight w:val="none"/>
        </w:rPr>
      </w:pPr>
    </w:p>
    <w:p w14:paraId="0E184EFF">
      <w:pPr>
        <w:pStyle w:val="39"/>
        <w:rPr>
          <w:rFonts w:ascii="宋体" w:hAnsi="宋体" w:cs="宋体"/>
          <w:color w:val="000000"/>
          <w:szCs w:val="21"/>
          <w:highlight w:val="none"/>
        </w:rPr>
      </w:pPr>
    </w:p>
    <w:p w14:paraId="12431BED">
      <w:pPr>
        <w:pStyle w:val="39"/>
        <w:rPr>
          <w:rFonts w:ascii="宋体" w:hAnsi="宋体" w:cs="宋体"/>
          <w:color w:val="000000"/>
          <w:szCs w:val="21"/>
          <w:highlight w:val="none"/>
        </w:rPr>
      </w:pPr>
    </w:p>
    <w:p w14:paraId="116C506C">
      <w:pPr>
        <w:pStyle w:val="39"/>
        <w:rPr>
          <w:rFonts w:ascii="宋体" w:hAnsi="宋体" w:cs="宋体"/>
          <w:color w:val="000000"/>
          <w:szCs w:val="21"/>
          <w:highlight w:val="none"/>
        </w:rPr>
      </w:pPr>
    </w:p>
    <w:p w14:paraId="2F4928EC">
      <w:pPr>
        <w:pStyle w:val="204"/>
        <w:rPr>
          <w:rFonts w:ascii="宋体" w:hAnsi="宋体" w:cs="宋体"/>
          <w:color w:val="000000"/>
          <w:szCs w:val="21"/>
          <w:highlight w:val="none"/>
        </w:rPr>
      </w:pPr>
    </w:p>
    <w:p w14:paraId="08FEFCBC">
      <w:pPr>
        <w:rPr>
          <w:rFonts w:ascii="宋体" w:hAnsi="宋体" w:cs="宋体"/>
          <w:b/>
          <w:bCs/>
          <w:color w:val="000000"/>
          <w:sz w:val="32"/>
          <w:szCs w:val="32"/>
          <w:highlight w:val="none"/>
        </w:rPr>
      </w:pPr>
      <w:r>
        <w:rPr>
          <w:rFonts w:hint="eastAsia"/>
          <w:b/>
          <w:bCs/>
          <w:color w:val="000000"/>
          <w:sz w:val="32"/>
          <w:szCs w:val="32"/>
          <w:highlight w:val="none"/>
        </w:rPr>
        <w:t>一、资格性响应证明材料（格式）</w:t>
      </w:r>
    </w:p>
    <w:p w14:paraId="1EDDD0C1">
      <w:pPr>
        <w:rPr>
          <w:rFonts w:ascii="宋体" w:hAnsi="宋体" w:cs="宋体"/>
          <w:b/>
          <w:bCs/>
          <w:color w:val="000000"/>
          <w:sz w:val="32"/>
          <w:szCs w:val="32"/>
          <w:highlight w:val="none"/>
        </w:rPr>
      </w:pPr>
    </w:p>
    <w:p w14:paraId="3FDA8FE3">
      <w:pPr>
        <w:rPr>
          <w:rFonts w:ascii="宋体" w:hAnsi="宋体" w:cs="宋体"/>
          <w:b/>
          <w:bCs/>
          <w:color w:val="000000"/>
          <w:sz w:val="32"/>
          <w:szCs w:val="32"/>
          <w:highlight w:val="none"/>
        </w:rPr>
      </w:pPr>
      <w:r>
        <w:rPr>
          <w:rFonts w:hint="eastAsia" w:ascii="宋体" w:hAnsi="宋体" w:cs="宋体"/>
          <w:b/>
          <w:bCs/>
          <w:color w:val="000000"/>
          <w:sz w:val="32"/>
          <w:szCs w:val="32"/>
          <w:highlight w:val="none"/>
        </w:rPr>
        <w:t>1.投标人相应的法定代表人、负责人、自然人身份证正反面</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（必须提供）；</w:t>
      </w:r>
    </w:p>
    <w:p w14:paraId="7D6D9599">
      <w:pPr>
        <w:rPr>
          <w:rFonts w:ascii="宋体" w:hAnsi="宋体" w:cs="宋体"/>
          <w:b/>
          <w:bCs/>
          <w:color w:val="000000"/>
          <w:sz w:val="32"/>
          <w:szCs w:val="32"/>
          <w:highlight w:val="none"/>
        </w:rPr>
      </w:pPr>
    </w:p>
    <w:p w14:paraId="0F82515C">
      <w:pPr>
        <w:rPr>
          <w:rFonts w:ascii="宋体" w:hAnsi="宋体" w:cs="宋体"/>
          <w:b/>
          <w:bCs/>
          <w:color w:val="000000"/>
          <w:sz w:val="32"/>
          <w:szCs w:val="32"/>
          <w:highlight w:val="none"/>
        </w:rPr>
      </w:pPr>
    </w:p>
    <w:p w14:paraId="22270536">
      <w:pPr>
        <w:pStyle w:val="39"/>
        <w:rPr>
          <w:rFonts w:ascii="宋体" w:hAnsi="宋体" w:cs="宋体"/>
          <w:b/>
          <w:bCs/>
          <w:color w:val="000000"/>
          <w:sz w:val="32"/>
          <w:szCs w:val="32"/>
          <w:highlight w:val="none"/>
        </w:rPr>
      </w:pPr>
      <w:r>
        <w:rPr>
          <w:rFonts w:hint="eastAsia" w:ascii="宋体" w:hAnsi="宋体" w:cs="宋体"/>
          <w:b/>
          <w:bCs/>
          <w:color w:val="000000"/>
          <w:sz w:val="32"/>
          <w:szCs w:val="32"/>
          <w:highlight w:val="none"/>
        </w:rPr>
        <w:t>2.投标人的授权委托书原件、委托代理人身份证正反面</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以及由县级以上（含县级）社会养老保险经办机构出具的投标人为委托代理人交纳的开标截止时间前</w:t>
      </w:r>
      <w:r>
        <w:rPr>
          <w:rFonts w:hint="eastAsia" w:ascii="宋体" w:hAnsi="宋体" w:cs="宋体"/>
          <w:b/>
          <w:bCs/>
          <w:color w:val="000000"/>
          <w:sz w:val="32"/>
          <w:szCs w:val="32"/>
          <w:highlight w:val="none"/>
          <w:lang w:eastAsia="zh-CN"/>
        </w:rPr>
        <w:t>三个月内任意一个月</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，除投标人为以下</w:t>
      </w:r>
      <w:r>
        <w:rPr>
          <w:rFonts w:hint="eastAsia" w:ascii="宋体" w:hAnsi="宋体" w:cs="宋体"/>
          <w:b/>
          <w:bCs/>
          <w:color w:val="000000"/>
          <w:sz w:val="32"/>
          <w:szCs w:val="32"/>
          <w:highlight w:val="none"/>
          <w:lang w:eastAsia="zh-CN"/>
        </w:rPr>
        <w:t>四</w:t>
      </w:r>
      <w:r>
        <w:rPr>
          <w:rFonts w:hint="eastAsia" w:ascii="宋体" w:hAnsi="宋体" w:cs="宋体"/>
          <w:b/>
          <w:bCs/>
          <w:color w:val="000000"/>
          <w:sz w:val="32"/>
          <w:szCs w:val="32"/>
          <w:highlight w:val="none"/>
        </w:rPr>
        <w:t>种情形的：</w:t>
      </w:r>
    </w:p>
    <w:p w14:paraId="06702166">
      <w:pPr>
        <w:pStyle w:val="39"/>
        <w:ind w:firstLine="643"/>
        <w:rPr>
          <w:rFonts w:ascii="宋体" w:hAnsi="宋体" w:cs="宋体"/>
          <w:b/>
          <w:bCs/>
          <w:color w:val="000000"/>
          <w:sz w:val="32"/>
          <w:szCs w:val="32"/>
          <w:highlight w:val="none"/>
        </w:rPr>
      </w:pPr>
      <w:r>
        <w:rPr>
          <w:rFonts w:hint="eastAsia" w:ascii="宋体" w:hAnsi="宋体" w:cs="宋体"/>
          <w:b/>
          <w:bCs/>
          <w:color w:val="000000"/>
          <w:sz w:val="32"/>
          <w:szCs w:val="32"/>
          <w:highlight w:val="none"/>
        </w:rPr>
        <w:t>①如投标人为截标时间前60日以内成立的公司，可以提供投标人与委托代理人签订的劳动合同</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3F05191F">
      <w:pPr>
        <w:pStyle w:val="39"/>
        <w:ind w:firstLine="643"/>
        <w:rPr>
          <w:rFonts w:ascii="宋体" w:hAnsi="宋体" w:cs="宋体"/>
          <w:b/>
          <w:bCs/>
          <w:color w:val="000000"/>
          <w:sz w:val="32"/>
          <w:szCs w:val="32"/>
          <w:highlight w:val="none"/>
        </w:rPr>
      </w:pPr>
      <w:r>
        <w:rPr>
          <w:rFonts w:hint="eastAsia" w:ascii="宋体" w:hAnsi="宋体" w:cs="宋体"/>
          <w:b/>
          <w:bCs/>
          <w:color w:val="000000"/>
          <w:sz w:val="32"/>
          <w:szCs w:val="32"/>
          <w:highlight w:val="none"/>
        </w:rPr>
        <w:t>②如投标人为事业单位，可以提供事业单位机构编制管理证</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或事业单位机构为其发放工资的工资条</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5B5BF240">
      <w:pPr>
        <w:pStyle w:val="39"/>
        <w:ind w:firstLine="643"/>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③如委托代理人为免缴纳社保人员，提供免缴纳社保的证明材料</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及投标人与委托代理人签订的劳动合同</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1C44E905">
      <w:pPr>
        <w:pStyle w:val="39"/>
        <w:ind w:firstLine="643"/>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0F3B740F">
      <w:pPr>
        <w:pStyle w:val="39"/>
        <w:ind w:firstLine="643"/>
        <w:rPr>
          <w:rFonts w:ascii="宋体" w:hAnsi="宋体"/>
          <w:color w:val="000000"/>
          <w:highlight w:val="none"/>
        </w:rPr>
      </w:pPr>
      <w:r>
        <w:rPr>
          <w:rFonts w:hint="eastAsia" w:ascii="宋体" w:hAnsi="宋体" w:cs="宋体"/>
          <w:b/>
          <w:bCs/>
          <w:color w:val="000000"/>
          <w:sz w:val="32"/>
          <w:szCs w:val="32"/>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 w:val="32"/>
          <w:szCs w:val="32"/>
          <w:highlight w:val="none"/>
          <w:lang w:eastAsia="zh-CN"/>
        </w:rPr>
        <w:t>三个月内任意一个月</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 w:val="32"/>
          <w:szCs w:val="32"/>
          <w:highlight w:val="none"/>
        </w:rPr>
        <w:t>】（委托代理时必须提供；如为联合体的，授权委托书原件须由牵头人出具）；</w:t>
      </w:r>
    </w:p>
    <w:p w14:paraId="049049A4">
      <w:pPr>
        <w:pStyle w:val="39"/>
        <w:rPr>
          <w:rFonts w:ascii="宋体" w:hAnsi="宋体"/>
          <w:color w:val="000000"/>
          <w:highlight w:val="none"/>
        </w:rPr>
      </w:pPr>
    </w:p>
    <w:p w14:paraId="5C509103">
      <w:pPr>
        <w:pStyle w:val="39"/>
        <w:rPr>
          <w:rFonts w:ascii="宋体" w:hAnsi="宋体"/>
          <w:color w:val="000000"/>
          <w:highlight w:val="none"/>
        </w:rPr>
      </w:pPr>
    </w:p>
    <w:p w14:paraId="050D378D">
      <w:pPr>
        <w:rPr>
          <w:color w:val="000000"/>
          <w:highlight w:val="none"/>
        </w:rPr>
      </w:pPr>
    </w:p>
    <w:p w14:paraId="30787382">
      <w:pPr>
        <w:jc w:val="center"/>
        <w:rPr>
          <w:rFonts w:hint="eastAsia" w:ascii="宋体" w:hAnsi="宋体" w:cs="宋体"/>
          <w:b/>
          <w:color w:val="000000"/>
          <w:sz w:val="32"/>
          <w:highlight w:val="none"/>
        </w:rPr>
      </w:pPr>
    </w:p>
    <w:p w14:paraId="3474F804">
      <w:pPr>
        <w:jc w:val="center"/>
        <w:rPr>
          <w:rFonts w:hint="eastAsia" w:ascii="宋体" w:hAnsi="宋体" w:cs="宋体"/>
          <w:b/>
          <w:color w:val="000000"/>
          <w:sz w:val="32"/>
          <w:highlight w:val="none"/>
        </w:rPr>
      </w:pPr>
    </w:p>
    <w:p w14:paraId="30D6086F">
      <w:pPr>
        <w:jc w:val="center"/>
        <w:rPr>
          <w:rFonts w:hint="eastAsia" w:ascii="宋体" w:hAnsi="宋体" w:cs="宋体"/>
          <w:b/>
          <w:color w:val="000000"/>
          <w:sz w:val="32"/>
          <w:highlight w:val="none"/>
        </w:rPr>
      </w:pPr>
    </w:p>
    <w:p w14:paraId="19A08FDD">
      <w:pPr>
        <w:jc w:val="center"/>
        <w:rPr>
          <w:rFonts w:ascii="宋体" w:hAnsi="宋体" w:cs="宋体"/>
          <w:b/>
          <w:color w:val="000000"/>
          <w:sz w:val="32"/>
          <w:highlight w:val="none"/>
        </w:rPr>
      </w:pPr>
      <w:r>
        <w:rPr>
          <w:rFonts w:hint="eastAsia" w:ascii="宋体" w:hAnsi="宋体" w:cs="宋体"/>
          <w:b/>
          <w:color w:val="000000"/>
          <w:sz w:val="32"/>
          <w:highlight w:val="none"/>
        </w:rPr>
        <w:t>授权委托书（格式一）</w:t>
      </w:r>
    </w:p>
    <w:p w14:paraId="5848FFC8">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51EC52E8">
      <w:pPr>
        <w:spacing w:line="400" w:lineRule="exact"/>
        <w:ind w:firstLine="525"/>
        <w:rPr>
          <w:rFonts w:ascii="宋体" w:hAnsi="宋体" w:cs="宋体"/>
          <w:color w:val="000000"/>
          <w:highlight w:val="none"/>
        </w:rPr>
      </w:pPr>
      <w:r>
        <w:rPr>
          <w:rFonts w:hint="eastAsia" w:ascii="宋体" w:hAnsi="宋体" w:cs="宋体"/>
          <w:color w:val="000000"/>
          <w:highlight w:val="none"/>
        </w:rPr>
        <w:t>我（姓名）系（投标人名称）的法定代表人（负责人），现授权委托本单位在职职工（姓名），身份证号码：以</w:t>
      </w:r>
      <w:r>
        <w:rPr>
          <w:rFonts w:hint="eastAsia" w:ascii="宋体" w:hAnsi="宋体" w:cs="宋体"/>
          <w:color w:val="000000"/>
        </w:rPr>
        <w:t>我公司</w:t>
      </w:r>
      <w:r>
        <w:rPr>
          <w:rFonts w:hint="eastAsia" w:ascii="宋体" w:hAnsi="宋体" w:cs="宋体"/>
          <w:color w:val="000000"/>
          <w:highlight w:val="none"/>
        </w:rPr>
        <w:t>名义参加</w:t>
      </w:r>
      <w:r>
        <w:rPr>
          <w:rFonts w:hint="eastAsia" w:ascii="宋体" w:hAnsi="宋体" w:cs="宋体"/>
          <w:color w:val="000000"/>
          <w:highlight w:val="none"/>
          <w:u w:val="single"/>
        </w:rPr>
        <w:t>（项目名称及项目编号）</w:t>
      </w:r>
      <w:r>
        <w:rPr>
          <w:rFonts w:hint="eastAsia" w:ascii="宋体" w:hAnsi="宋体" w:cs="宋体"/>
          <w:color w:val="000000"/>
          <w:highlight w:val="none"/>
        </w:rPr>
        <w:t>项目的投标活动，并代表</w:t>
      </w:r>
      <w:r>
        <w:rPr>
          <w:rFonts w:hint="eastAsia" w:ascii="宋体" w:hAnsi="宋体" w:cs="宋体"/>
          <w:color w:val="000000"/>
        </w:rPr>
        <w:t>我方</w:t>
      </w:r>
      <w:r>
        <w:rPr>
          <w:rFonts w:hint="eastAsia" w:ascii="宋体" w:hAnsi="宋体" w:cs="宋体"/>
          <w:color w:val="000000"/>
          <w:highlight w:val="none"/>
        </w:rPr>
        <w:t>全权办理针对上述项目的投标、开标、评标、签约等具体事务和签署相关文件。</w:t>
      </w:r>
    </w:p>
    <w:p w14:paraId="55ED844C">
      <w:pPr>
        <w:spacing w:line="400" w:lineRule="exact"/>
        <w:ind w:firstLine="420"/>
        <w:rPr>
          <w:rFonts w:ascii="宋体" w:hAnsi="宋体" w:cs="宋体"/>
          <w:color w:val="000000"/>
          <w:highlight w:val="none"/>
        </w:rPr>
      </w:pPr>
      <w:r>
        <w:rPr>
          <w:rFonts w:hint="eastAsia" w:ascii="宋体" w:hAnsi="宋体" w:cs="宋体"/>
          <w:color w:val="000000"/>
        </w:rPr>
        <w:t>我方</w:t>
      </w:r>
      <w:r>
        <w:rPr>
          <w:rFonts w:hint="eastAsia" w:ascii="宋体" w:hAnsi="宋体" w:cs="宋体"/>
          <w:color w:val="000000"/>
          <w:highlight w:val="none"/>
        </w:rPr>
        <w:t>对被授权人的签字事项负全部责任。</w:t>
      </w:r>
    </w:p>
    <w:p w14:paraId="37E07879">
      <w:pPr>
        <w:spacing w:line="400" w:lineRule="exact"/>
        <w:ind w:firstLine="420"/>
        <w:rPr>
          <w:rFonts w:ascii="宋体" w:hAnsi="宋体" w:cs="宋体"/>
          <w:color w:val="000000"/>
          <w:highlight w:val="none"/>
          <w:u w:val="single"/>
        </w:rPr>
      </w:pPr>
      <w:r>
        <w:rPr>
          <w:rFonts w:hint="eastAsia" w:ascii="宋体" w:hAnsi="宋体" w:cs="宋体"/>
          <w:color w:val="000000"/>
          <w:highlight w:val="none"/>
        </w:rPr>
        <w:t>授权委托代理期限：自即日起至该项目政府采购活动结束。</w:t>
      </w:r>
    </w:p>
    <w:p w14:paraId="2C59B9F2">
      <w:pPr>
        <w:spacing w:line="400" w:lineRule="exact"/>
        <w:rPr>
          <w:rFonts w:hint="eastAsia" w:ascii="宋体" w:hAnsi="宋体" w:eastAsia="宋体" w:cs="宋体"/>
          <w:color w:val="000000"/>
          <w:highlight w:val="none"/>
          <w:u w:val="single"/>
          <w:lang w:eastAsia="zh-CN"/>
        </w:rPr>
      </w:pPr>
    </w:p>
    <w:p w14:paraId="390B75A3">
      <w:pPr>
        <w:spacing w:line="400" w:lineRule="exact"/>
        <w:ind w:firstLine="420"/>
        <w:rPr>
          <w:rFonts w:hint="eastAsia" w:ascii="宋体" w:hAnsi="宋体" w:eastAsia="宋体" w:cs="宋体"/>
          <w:color w:val="000000"/>
          <w:highlight w:val="none"/>
          <w:lang w:eastAsia="zh-CN"/>
        </w:rPr>
      </w:pPr>
      <w:r>
        <w:rPr>
          <w:rFonts w:hint="eastAsia" w:ascii="宋体" w:hAnsi="宋体" w:cs="宋体"/>
          <w:color w:val="000000"/>
          <w:highlight w:val="none"/>
        </w:rPr>
        <w:t>代理人无转委托权</w:t>
      </w:r>
      <w:r>
        <w:rPr>
          <w:rFonts w:hint="eastAsia" w:ascii="宋体" w:hAnsi="宋体" w:cs="宋体"/>
          <w:color w:val="000000"/>
        </w:rPr>
        <w:t>,</w:t>
      </w:r>
      <w:r>
        <w:rPr>
          <w:rFonts w:hint="eastAsia" w:ascii="宋体" w:hAnsi="宋体" w:cs="宋体"/>
          <w:color w:val="000000"/>
          <w:highlight w:val="none"/>
        </w:rPr>
        <w:t>特此委托。</w:t>
      </w:r>
    </w:p>
    <w:p w14:paraId="658C59FA">
      <w:pPr>
        <w:spacing w:line="400" w:lineRule="exact"/>
        <w:ind w:firstLine="525"/>
        <w:rPr>
          <w:rFonts w:ascii="宋体" w:hAnsi="宋体" w:cs="宋体"/>
          <w:color w:val="000000"/>
          <w:szCs w:val="21"/>
          <w:highlight w:val="none"/>
        </w:rPr>
      </w:pPr>
    </w:p>
    <w:p w14:paraId="4F4538F1">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我已在下面签字，以资证明。</w:t>
      </w:r>
    </w:p>
    <w:p w14:paraId="13D942ED">
      <w:pPr>
        <w:spacing w:line="400" w:lineRule="exact"/>
        <w:ind w:firstLine="420"/>
        <w:rPr>
          <w:rFonts w:ascii="宋体" w:hAnsi="宋体" w:cs="宋体"/>
          <w:color w:val="000000"/>
          <w:szCs w:val="21"/>
          <w:highlight w:val="none"/>
        </w:rPr>
      </w:pPr>
    </w:p>
    <w:p w14:paraId="4639190D">
      <w:pPr>
        <w:spacing w:line="400" w:lineRule="exact"/>
        <w:ind w:firstLine="420"/>
        <w:rPr>
          <w:rFonts w:hint="eastAsia" w:ascii="宋体" w:hAnsi="宋体" w:eastAsia="宋体" w:cs="宋体"/>
          <w:color w:val="000000"/>
          <w:szCs w:val="21"/>
          <w:highlight w:val="none"/>
          <w:u w:val="single"/>
          <w:lang w:eastAsia="zh-CN"/>
        </w:rPr>
      </w:pPr>
      <w:r>
        <w:rPr>
          <w:rFonts w:hint="eastAsia" w:ascii="宋体" w:hAnsi="宋体" w:cs="宋体"/>
          <w:color w:val="000000"/>
          <w:szCs w:val="21"/>
          <w:highlight w:val="none"/>
        </w:rPr>
        <w:t>投标人[公章（CA签章）]：</w:t>
      </w:r>
    </w:p>
    <w:p w14:paraId="166DB12E">
      <w:pPr>
        <w:spacing w:line="400" w:lineRule="exact"/>
        <w:ind w:firstLine="420"/>
        <w:rPr>
          <w:rFonts w:ascii="宋体" w:hAnsi="宋体" w:cs="宋体"/>
          <w:color w:val="000000"/>
          <w:szCs w:val="21"/>
          <w:highlight w:val="none"/>
        </w:rPr>
      </w:pPr>
    </w:p>
    <w:p w14:paraId="76803727">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法定代表人（负责人）签字（或个人CA签章）：　　年月日</w:t>
      </w:r>
    </w:p>
    <w:p w14:paraId="0E437A51">
      <w:pPr>
        <w:spacing w:line="400" w:lineRule="exact"/>
        <w:ind w:firstLine="420"/>
        <w:rPr>
          <w:rFonts w:ascii="宋体" w:hAnsi="宋体" w:cs="宋体"/>
          <w:color w:val="000000"/>
          <w:szCs w:val="21"/>
          <w:highlight w:val="none"/>
        </w:rPr>
      </w:pPr>
    </w:p>
    <w:p w14:paraId="2EB03F8C">
      <w:pPr>
        <w:spacing w:line="400" w:lineRule="exact"/>
        <w:ind w:firstLine="602"/>
        <w:rPr>
          <w:rFonts w:ascii="宋体" w:hAnsi="宋体" w:cs="宋体"/>
          <w:b/>
          <w:color w:val="000000"/>
          <w:sz w:val="24"/>
          <w:highlight w:val="none"/>
        </w:rPr>
      </w:pPr>
      <w:r>
        <w:rPr>
          <w:rFonts w:hint="eastAsia" w:ascii="宋体" w:hAnsi="宋体" w:cs="宋体"/>
          <w:b/>
          <w:color w:val="000000"/>
          <w:sz w:val="24"/>
          <w:highlight w:val="none"/>
          <w:lang w:eastAsia="zh-CN"/>
        </w:rPr>
        <w:t>注</w:t>
      </w:r>
      <w:r>
        <w:rPr>
          <w:rFonts w:hint="eastAsia" w:ascii="宋体" w:hAnsi="宋体" w:cs="宋体"/>
          <w:b/>
          <w:color w:val="000000"/>
          <w:sz w:val="24"/>
          <w:highlight w:val="none"/>
        </w:rPr>
        <w:t>：投标人的授权委托书原件、委托代理人身份证正反面</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以及由县级以上（含县级）社会养老保险经办机构出具的投标人为委托代理人交纳的开标截止时间前</w:t>
      </w:r>
      <w:r>
        <w:rPr>
          <w:rFonts w:hint="eastAsia" w:ascii="宋体" w:hAnsi="宋体" w:cs="宋体"/>
          <w:b/>
          <w:color w:val="000000"/>
          <w:sz w:val="24"/>
          <w:highlight w:val="none"/>
          <w:lang w:eastAsia="zh-CN"/>
        </w:rPr>
        <w:t>三个月内任意一个月</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（如投标人为截标时间前60日以内成立的公司，可以提供投标人与委托代理人签订的劳动合同</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；如投标人为事业单位，可以提供事业单位机构编制管理证</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或事业单位机构为其发放工资的工资条</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；如委托代理人为免缴纳社保人员，提供免缴纳社保的证明材料</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及投标人与委托代理人签订的劳动合同</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sz w:val="24"/>
          <w:lang w:eastAsia="zh-CN"/>
        </w:rPr>
        <w:t>；</w:t>
      </w:r>
      <w:r>
        <w:rPr>
          <w:rFonts w:hint="eastAsia" w:ascii="宋体" w:hAnsi="宋体" w:cs="宋体"/>
          <w:b/>
          <w:sz w:val="24"/>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color w:val="000000"/>
          <w:sz w:val="24"/>
          <w:highlight w:val="none"/>
        </w:rPr>
        <w:t>）（委托代理时必须提供）。</w:t>
      </w:r>
    </w:p>
    <w:p w14:paraId="41487FA9">
      <w:pPr>
        <w:pStyle w:val="214"/>
        <w:jc w:val="center"/>
        <w:rPr>
          <w:rFonts w:hAnsi="宋体" w:cs="宋体"/>
          <w:b/>
          <w:color w:val="000000"/>
          <w:sz w:val="32"/>
          <w:highlight w:val="none"/>
        </w:rPr>
      </w:pPr>
    </w:p>
    <w:p w14:paraId="4ADC668D">
      <w:pPr>
        <w:pStyle w:val="214"/>
        <w:jc w:val="center"/>
        <w:rPr>
          <w:rFonts w:hAnsi="宋体" w:cs="宋体"/>
          <w:b/>
          <w:color w:val="000000"/>
          <w:sz w:val="32"/>
          <w:highlight w:val="none"/>
        </w:rPr>
      </w:pPr>
    </w:p>
    <w:p w14:paraId="107B1BAE">
      <w:pPr>
        <w:pStyle w:val="214"/>
        <w:jc w:val="center"/>
        <w:rPr>
          <w:rFonts w:hAnsi="宋体" w:cs="宋体"/>
          <w:b/>
          <w:color w:val="000000"/>
          <w:sz w:val="32"/>
          <w:highlight w:val="none"/>
        </w:rPr>
      </w:pPr>
    </w:p>
    <w:p w14:paraId="40505FE2">
      <w:pPr>
        <w:pStyle w:val="214"/>
        <w:jc w:val="both"/>
        <w:rPr>
          <w:rFonts w:hAnsi="宋体" w:cs="宋体"/>
          <w:b/>
          <w:color w:val="000000"/>
          <w:sz w:val="32"/>
          <w:highlight w:val="none"/>
        </w:rPr>
      </w:pPr>
    </w:p>
    <w:p w14:paraId="761CFD0B">
      <w:pPr>
        <w:pStyle w:val="214"/>
        <w:jc w:val="center"/>
        <w:rPr>
          <w:rFonts w:hint="eastAsia" w:hAnsi="宋体" w:cs="宋体"/>
          <w:b/>
          <w:color w:val="000000"/>
          <w:sz w:val="32"/>
          <w:highlight w:val="none"/>
        </w:rPr>
      </w:pPr>
    </w:p>
    <w:p w14:paraId="16CE0531">
      <w:pPr>
        <w:pStyle w:val="214"/>
        <w:jc w:val="center"/>
        <w:rPr>
          <w:rFonts w:hint="eastAsia" w:hAnsi="宋体" w:cs="宋体"/>
          <w:b/>
          <w:color w:val="000000"/>
          <w:sz w:val="32"/>
          <w:highlight w:val="none"/>
        </w:rPr>
      </w:pPr>
    </w:p>
    <w:p w14:paraId="7D40F383">
      <w:pPr>
        <w:pStyle w:val="214"/>
        <w:jc w:val="center"/>
        <w:rPr>
          <w:rFonts w:hint="eastAsia" w:hAnsi="宋体" w:cs="宋体"/>
          <w:b/>
          <w:color w:val="000000"/>
          <w:sz w:val="32"/>
          <w:highlight w:val="none"/>
        </w:rPr>
      </w:pPr>
    </w:p>
    <w:p w14:paraId="5A9FA4B6">
      <w:pPr>
        <w:pStyle w:val="214"/>
        <w:jc w:val="center"/>
        <w:rPr>
          <w:rFonts w:hAnsi="宋体" w:cs="宋体"/>
          <w:b/>
          <w:color w:val="000000"/>
          <w:sz w:val="32"/>
          <w:highlight w:val="none"/>
        </w:rPr>
      </w:pPr>
      <w:r>
        <w:rPr>
          <w:rFonts w:hint="eastAsia" w:hAnsi="宋体" w:cs="宋体"/>
          <w:b/>
          <w:color w:val="000000"/>
          <w:sz w:val="32"/>
          <w:highlight w:val="none"/>
        </w:rPr>
        <w:t>授权委托书（格式二）</w:t>
      </w:r>
    </w:p>
    <w:p w14:paraId="3C413DD4">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01099C9B">
      <w:pPr>
        <w:spacing w:line="400" w:lineRule="exact"/>
        <w:rPr>
          <w:rFonts w:ascii="宋体" w:hAnsi="宋体" w:cs="宋体"/>
          <w:color w:val="000000"/>
          <w:szCs w:val="21"/>
          <w:highlight w:val="none"/>
          <w:u w:val="single"/>
        </w:rPr>
      </w:pPr>
    </w:p>
    <w:p w14:paraId="080696CC">
      <w:pPr>
        <w:pStyle w:val="214"/>
        <w:spacing w:line="340" w:lineRule="exact"/>
        <w:ind w:firstLine="420"/>
        <w:rPr>
          <w:rFonts w:hAnsi="宋体" w:cs="宋体"/>
          <w:color w:val="000000"/>
          <w:highlight w:val="none"/>
        </w:rPr>
      </w:pPr>
      <w:r>
        <w:rPr>
          <w:rFonts w:hint="eastAsia" w:hAnsi="宋体" w:cs="宋体"/>
          <w:color w:val="000000"/>
          <w:highlight w:val="none"/>
        </w:rPr>
        <w:t>我（姓名）系自然人，现授权委托（姓名），身份证号码：以本人名义参加</w:t>
      </w:r>
      <w:r>
        <w:rPr>
          <w:rFonts w:hint="eastAsia" w:hAnsi="宋体" w:cs="宋体"/>
          <w:color w:val="000000"/>
          <w:highlight w:val="none"/>
          <w:u w:val="single"/>
        </w:rPr>
        <w:t>（项目名称及项目编号）</w:t>
      </w:r>
      <w:r>
        <w:rPr>
          <w:rFonts w:hint="eastAsia" w:hAnsi="宋体" w:cs="宋体"/>
          <w:color w:val="000000"/>
          <w:highlight w:val="none"/>
        </w:rPr>
        <w:t>项目的投标活动，并代表本人全权办理针对上述项目的投标、开标、评标、签约等具体事务和签署相关文件。</w:t>
      </w:r>
    </w:p>
    <w:p w14:paraId="101819B6">
      <w:pPr>
        <w:pStyle w:val="214"/>
        <w:spacing w:line="340" w:lineRule="exact"/>
        <w:ind w:firstLine="420"/>
        <w:rPr>
          <w:rFonts w:hAnsi="宋体" w:cs="宋体"/>
          <w:color w:val="000000"/>
          <w:highlight w:val="none"/>
        </w:rPr>
      </w:pPr>
      <w:r>
        <w:rPr>
          <w:rFonts w:hint="eastAsia" w:hAnsi="宋体" w:cs="宋体"/>
          <w:color w:val="000000"/>
          <w:highlight w:val="none"/>
        </w:rPr>
        <w:t>本人对被授权人的签字事项负全部责任。</w:t>
      </w:r>
    </w:p>
    <w:p w14:paraId="5335445B">
      <w:pPr>
        <w:pStyle w:val="214"/>
        <w:spacing w:line="400" w:lineRule="exact"/>
        <w:ind w:firstLine="420"/>
        <w:rPr>
          <w:rFonts w:hAnsi="宋体" w:cs="宋体"/>
          <w:color w:val="000000"/>
          <w:highlight w:val="none"/>
          <w:u w:val="single"/>
        </w:rPr>
      </w:pPr>
      <w:r>
        <w:rPr>
          <w:rFonts w:hint="eastAsia" w:hAnsi="宋体" w:cs="宋体"/>
          <w:color w:val="000000"/>
          <w:highlight w:val="none"/>
        </w:rPr>
        <w:t>授权委托代理期限：自即日起至该项目政府采购活动结束。</w:t>
      </w:r>
    </w:p>
    <w:p w14:paraId="17932361">
      <w:pPr>
        <w:pStyle w:val="214"/>
        <w:spacing w:line="340" w:lineRule="exact"/>
        <w:ind w:firstLine="420"/>
        <w:rPr>
          <w:rFonts w:hAnsi="宋体" w:cs="宋体"/>
          <w:color w:val="000000"/>
          <w:highlight w:val="none"/>
          <w:u w:val="single"/>
        </w:rPr>
      </w:pPr>
    </w:p>
    <w:p w14:paraId="1F25E4A4">
      <w:pPr>
        <w:pStyle w:val="214"/>
        <w:spacing w:line="340" w:lineRule="exact"/>
        <w:rPr>
          <w:rFonts w:hint="eastAsia" w:hAnsi="宋体" w:eastAsia="宋体" w:cs="宋体"/>
          <w:color w:val="000000"/>
          <w:highlight w:val="none"/>
          <w:u w:val="single"/>
          <w:lang w:eastAsia="zh-CN"/>
        </w:rPr>
      </w:pPr>
    </w:p>
    <w:p w14:paraId="150EDC9D">
      <w:pPr>
        <w:spacing w:line="340" w:lineRule="exact"/>
        <w:ind w:firstLine="420"/>
        <w:rPr>
          <w:rFonts w:hint="eastAsia" w:ascii="宋体" w:hAnsi="宋体" w:eastAsia="宋体" w:cs="宋体"/>
          <w:color w:val="000000"/>
          <w:highlight w:val="none"/>
          <w:lang w:eastAsia="zh-CN"/>
        </w:rPr>
      </w:pPr>
      <w:r>
        <w:rPr>
          <w:rFonts w:hint="eastAsia" w:ascii="宋体" w:hAnsi="宋体" w:cs="宋体"/>
          <w:color w:val="000000"/>
          <w:highlight w:val="none"/>
        </w:rPr>
        <w:t>代理人无转委托权</w:t>
      </w:r>
      <w:r>
        <w:rPr>
          <w:rFonts w:hint="eastAsia" w:ascii="宋体" w:hAnsi="宋体" w:cs="宋体"/>
          <w:color w:val="000000"/>
        </w:rPr>
        <w:t>,</w:t>
      </w:r>
      <w:r>
        <w:rPr>
          <w:rFonts w:hint="eastAsia" w:ascii="宋体" w:hAnsi="宋体" w:cs="宋体"/>
          <w:color w:val="000000"/>
          <w:highlight w:val="none"/>
        </w:rPr>
        <w:t>特此委托。</w:t>
      </w:r>
    </w:p>
    <w:p w14:paraId="30F0B545">
      <w:pPr>
        <w:spacing w:line="340" w:lineRule="exact"/>
        <w:ind w:firstLine="525"/>
        <w:rPr>
          <w:rFonts w:ascii="宋体" w:hAnsi="宋体" w:cs="宋体"/>
          <w:color w:val="000000"/>
          <w:szCs w:val="21"/>
          <w:highlight w:val="none"/>
        </w:rPr>
      </w:pPr>
    </w:p>
    <w:p w14:paraId="7F4DB9F9">
      <w:pPr>
        <w:spacing w:line="340" w:lineRule="exact"/>
        <w:ind w:firstLine="420"/>
        <w:rPr>
          <w:rFonts w:ascii="宋体" w:hAnsi="宋体" w:cs="宋体"/>
          <w:color w:val="000000"/>
          <w:szCs w:val="21"/>
          <w:highlight w:val="none"/>
        </w:rPr>
      </w:pPr>
      <w:r>
        <w:rPr>
          <w:rFonts w:hint="eastAsia" w:ascii="宋体" w:hAnsi="宋体" w:cs="宋体"/>
          <w:color w:val="000000"/>
          <w:szCs w:val="21"/>
          <w:highlight w:val="none"/>
        </w:rPr>
        <w:t>我已在下面签字，以资证明。</w:t>
      </w:r>
    </w:p>
    <w:p w14:paraId="55FF9626">
      <w:pPr>
        <w:spacing w:line="340" w:lineRule="exact"/>
        <w:ind w:firstLine="420"/>
        <w:rPr>
          <w:rFonts w:ascii="宋体" w:hAnsi="宋体" w:cs="宋体"/>
          <w:color w:val="000000"/>
          <w:szCs w:val="21"/>
          <w:highlight w:val="none"/>
        </w:rPr>
      </w:pPr>
    </w:p>
    <w:p w14:paraId="5579A370">
      <w:pPr>
        <w:spacing w:line="340" w:lineRule="exact"/>
        <w:ind w:firstLine="420"/>
        <w:rPr>
          <w:rFonts w:ascii="宋体" w:hAnsi="宋体" w:cs="宋体"/>
          <w:color w:val="000000"/>
          <w:szCs w:val="21"/>
          <w:highlight w:val="none"/>
        </w:rPr>
      </w:pPr>
      <w:r>
        <w:rPr>
          <w:rFonts w:hint="eastAsia" w:ascii="宋体" w:hAnsi="宋体" w:cs="宋体"/>
          <w:color w:val="000000"/>
          <w:szCs w:val="21"/>
          <w:highlight w:val="none"/>
        </w:rPr>
        <w:t>自然人签字并在签名处加盖大拇指指印或个人CA签章：年月日</w:t>
      </w:r>
    </w:p>
    <w:p w14:paraId="58CC0499">
      <w:pPr>
        <w:spacing w:line="340" w:lineRule="exact"/>
        <w:ind w:firstLine="420"/>
        <w:rPr>
          <w:rFonts w:ascii="宋体" w:hAnsi="宋体" w:cs="宋体"/>
          <w:color w:val="000000"/>
          <w:szCs w:val="21"/>
          <w:highlight w:val="none"/>
        </w:rPr>
      </w:pPr>
    </w:p>
    <w:p w14:paraId="422E4D1A">
      <w:pPr>
        <w:rPr>
          <w:rFonts w:ascii="宋体" w:hAnsi="宋体" w:cs="宋体"/>
          <w:b/>
          <w:bCs/>
          <w:color w:val="000000"/>
          <w:sz w:val="32"/>
          <w:szCs w:val="32"/>
          <w:highlight w:val="none"/>
        </w:rPr>
      </w:pPr>
    </w:p>
    <w:p w14:paraId="749B0638">
      <w:pPr>
        <w:rPr>
          <w:rFonts w:ascii="宋体" w:hAnsi="宋体" w:cs="宋体"/>
          <w:b/>
          <w:bCs/>
          <w:color w:val="000000"/>
          <w:sz w:val="32"/>
          <w:szCs w:val="32"/>
          <w:highlight w:val="none"/>
        </w:rPr>
      </w:pPr>
    </w:p>
    <w:p w14:paraId="07EE1E8A">
      <w:pPr>
        <w:rPr>
          <w:rFonts w:ascii="宋体" w:hAnsi="宋体" w:cs="宋体"/>
          <w:b/>
          <w:bCs/>
          <w:color w:val="000000"/>
          <w:sz w:val="32"/>
          <w:szCs w:val="32"/>
          <w:highlight w:val="none"/>
        </w:rPr>
      </w:pPr>
      <w:r>
        <w:rPr>
          <w:rFonts w:hint="eastAsia" w:ascii="宋体" w:hAnsi="宋体" w:cs="宋体"/>
          <w:b/>
          <w:bCs/>
          <w:color w:val="000000"/>
          <w:sz w:val="32"/>
          <w:szCs w:val="32"/>
          <w:highlight w:val="none"/>
        </w:rPr>
        <w:t>3.投标人的法人或者其他组织营业执照等证明文件</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（必须提供，自然人除外）；</w:t>
      </w:r>
    </w:p>
    <w:p w14:paraId="028A0EC8">
      <w:pPr>
        <w:tabs>
          <w:tab w:val="left" w:pos="1305"/>
        </w:tabs>
        <w:spacing w:line="400" w:lineRule="exact"/>
        <w:rPr>
          <w:rFonts w:ascii="宋体" w:hAnsi="宋体" w:cs="宋体"/>
          <w:b/>
          <w:color w:val="000000"/>
          <w:szCs w:val="21"/>
          <w:highlight w:val="none"/>
        </w:rPr>
      </w:pPr>
      <w:r>
        <w:rPr>
          <w:rFonts w:hint="eastAsia" w:ascii="宋体" w:hAnsi="宋体" w:cs="宋体"/>
          <w:b/>
          <w:color w:val="000000"/>
          <w:szCs w:val="21"/>
          <w:highlight w:val="none"/>
        </w:rPr>
        <w:t>注：供应商为企业（包括合伙企业），应提供</w:t>
      </w:r>
      <w:r>
        <w:rPr>
          <w:rFonts w:hint="eastAsia" w:ascii="宋体" w:hAnsi="宋体" w:cs="宋体"/>
          <w:b/>
          <w:color w:val="000000"/>
          <w:szCs w:val="21"/>
          <w:highlight w:val="none"/>
          <w:lang w:eastAsia="zh-CN"/>
        </w:rPr>
        <w:t>市场监管部门（登记机关）</w:t>
      </w:r>
      <w:r>
        <w:rPr>
          <w:rFonts w:hint="eastAsia" w:ascii="宋体" w:hAnsi="宋体" w:cs="宋体"/>
          <w:b/>
          <w:color w:val="000000"/>
          <w:szCs w:val="21"/>
          <w:highlight w:val="none"/>
        </w:rPr>
        <w:t>注册的有效“企业法人营业执照”或“</w:t>
      </w:r>
      <w:r>
        <w:rPr>
          <w:rFonts w:hint="eastAsia" w:ascii="宋体" w:hAnsi="宋体" w:cs="宋体"/>
          <w:b/>
          <w:color w:val="000000"/>
          <w:szCs w:val="21"/>
        </w:rPr>
        <w:t>营业执照</w:t>
      </w:r>
      <w:r>
        <w:rPr>
          <w:rFonts w:hint="eastAsia" w:ascii="宋体" w:hAnsi="宋体" w:cs="宋体"/>
          <w:b/>
          <w:color w:val="000000"/>
          <w:szCs w:val="21"/>
          <w:lang w:eastAsia="zh-CN"/>
        </w:rPr>
        <w:t>”</w:t>
      </w:r>
      <w:r>
        <w:rPr>
          <w:rFonts w:hint="eastAsia" w:ascii="宋体" w:hAnsi="宋体" w:cs="宋体"/>
          <w:b/>
          <w:color w:val="000000"/>
          <w:szCs w:val="21"/>
        </w:rPr>
        <w:t>；</w:t>
      </w:r>
      <w:r>
        <w:rPr>
          <w:rFonts w:hint="eastAsia" w:ascii="宋体" w:hAnsi="宋体" w:cs="宋体"/>
          <w:b/>
          <w:color w:val="000000"/>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43A6FA11">
      <w:pPr>
        <w:spacing w:line="400" w:lineRule="exact"/>
        <w:ind w:left="420" w:firstLine="157"/>
        <w:rPr>
          <w:rFonts w:ascii="宋体" w:hAnsi="宋体" w:cs="宋体"/>
          <w:b/>
          <w:color w:val="000000"/>
          <w:sz w:val="32"/>
          <w:szCs w:val="32"/>
          <w:highlight w:val="none"/>
        </w:rPr>
      </w:pPr>
    </w:p>
    <w:p w14:paraId="0CF200D7">
      <w:pPr>
        <w:pStyle w:val="318"/>
        <w:rPr>
          <w:rFonts w:ascii="宋体" w:hAnsi="宋体" w:cs="宋体"/>
          <w:color w:val="000000"/>
          <w:highlight w:val="none"/>
        </w:rPr>
      </w:pPr>
    </w:p>
    <w:p w14:paraId="0D746165">
      <w:pPr>
        <w:rPr>
          <w:rFonts w:ascii="宋体" w:hAnsi="宋体" w:cs="宋体"/>
          <w:color w:val="000000"/>
          <w:highlight w:val="none"/>
        </w:rPr>
      </w:pPr>
    </w:p>
    <w:p w14:paraId="05428033">
      <w:pPr>
        <w:rPr>
          <w:rFonts w:ascii="宋体" w:hAnsi="宋体" w:cs="宋体"/>
          <w:b/>
          <w:bCs/>
          <w:color w:val="000000"/>
          <w:sz w:val="32"/>
          <w:szCs w:val="32"/>
          <w:highlight w:val="none"/>
        </w:rPr>
      </w:pPr>
      <w:r>
        <w:rPr>
          <w:rFonts w:hint="eastAsia" w:ascii="宋体" w:hAnsi="宋体" w:cs="宋体"/>
          <w:b/>
          <w:bCs/>
          <w:color w:val="000000"/>
          <w:sz w:val="32"/>
          <w:szCs w:val="32"/>
          <w:highlight w:val="none"/>
        </w:rPr>
        <w:t>4.财务状况报告</w:t>
      </w:r>
      <w:r>
        <w:rPr>
          <w:rFonts w:hint="eastAsia" w:ascii="宋体" w:hAnsi="宋体" w:eastAsia="宋体" w:cs="宋体"/>
          <w:b/>
          <w:bCs/>
          <w:color w:val="000000"/>
          <w:sz w:val="32"/>
          <w:szCs w:val="32"/>
          <w:highlight w:val="none"/>
          <w:lang w:eastAsia="zh-CN"/>
        </w:rPr>
        <w:t>（格式自拟，必须提供）</w:t>
      </w:r>
      <w:r>
        <w:rPr>
          <w:rFonts w:hint="eastAsia" w:ascii="宋体" w:hAnsi="宋体" w:cs="宋体"/>
          <w:b/>
          <w:bCs/>
          <w:color w:val="000000"/>
          <w:sz w:val="32"/>
          <w:szCs w:val="32"/>
          <w:highlight w:val="none"/>
        </w:rPr>
        <w:t>；</w:t>
      </w:r>
    </w:p>
    <w:p w14:paraId="61775C8B">
      <w:pPr>
        <w:pStyle w:val="214"/>
        <w:ind w:firstLine="420"/>
        <w:jc w:val="left"/>
        <w:rPr>
          <w:rFonts w:hint="eastAsia" w:hAnsi="宋体" w:cs="宋体"/>
          <w:color w:val="000000"/>
          <w:szCs w:val="21"/>
          <w:highlight w:val="none"/>
        </w:rPr>
      </w:pPr>
    </w:p>
    <w:p w14:paraId="7FC36796">
      <w:pPr>
        <w:pStyle w:val="214"/>
        <w:ind w:firstLine="420"/>
        <w:jc w:val="left"/>
        <w:rPr>
          <w:rFonts w:hint="eastAsia" w:hAnsi="宋体" w:cs="宋体"/>
          <w:color w:val="000000"/>
          <w:szCs w:val="21"/>
          <w:highlight w:val="none"/>
        </w:rPr>
      </w:pPr>
    </w:p>
    <w:p w14:paraId="18187492">
      <w:pPr>
        <w:pStyle w:val="214"/>
        <w:ind w:firstLine="420"/>
        <w:jc w:val="left"/>
        <w:rPr>
          <w:rFonts w:hint="eastAsia" w:hAnsi="宋体" w:cs="宋体"/>
          <w:color w:val="000000"/>
          <w:szCs w:val="21"/>
          <w:highlight w:val="none"/>
        </w:rPr>
      </w:pPr>
    </w:p>
    <w:p w14:paraId="6C02589A">
      <w:pPr>
        <w:rPr>
          <w:rFonts w:hint="eastAsia" w:ascii="宋体" w:hAnsi="宋体" w:cs="宋体"/>
          <w:b/>
          <w:bCs/>
          <w:color w:val="000000"/>
          <w:sz w:val="32"/>
          <w:szCs w:val="32"/>
          <w:highlight w:val="none"/>
        </w:rPr>
      </w:pPr>
    </w:p>
    <w:p w14:paraId="71E54F5B">
      <w:pPr>
        <w:pStyle w:val="39"/>
        <w:rPr>
          <w:rFonts w:hint="eastAsia" w:ascii="宋体" w:hAnsi="宋体" w:cs="宋体"/>
          <w:b/>
          <w:bCs/>
          <w:color w:val="000000"/>
          <w:sz w:val="32"/>
          <w:szCs w:val="32"/>
          <w:highlight w:val="none"/>
        </w:rPr>
      </w:pPr>
    </w:p>
    <w:p w14:paraId="2E99AAAA">
      <w:pPr>
        <w:rPr>
          <w:rFonts w:hint="eastAsia" w:ascii="宋体" w:hAnsi="宋体" w:cs="宋体"/>
          <w:b/>
          <w:bCs/>
          <w:color w:val="000000"/>
          <w:sz w:val="32"/>
          <w:szCs w:val="32"/>
          <w:highlight w:val="none"/>
        </w:rPr>
      </w:pPr>
    </w:p>
    <w:p w14:paraId="26020136">
      <w:pPr>
        <w:pStyle w:val="39"/>
        <w:rPr>
          <w:rFonts w:hint="eastAsia" w:ascii="宋体" w:hAnsi="宋体" w:cs="宋体"/>
          <w:b/>
          <w:bCs/>
          <w:color w:val="000000"/>
          <w:sz w:val="32"/>
          <w:szCs w:val="32"/>
          <w:highlight w:val="none"/>
        </w:rPr>
      </w:pPr>
    </w:p>
    <w:p w14:paraId="0A17CDF0">
      <w:pPr>
        <w:rPr>
          <w:rFonts w:hint="eastAsia" w:ascii="宋体" w:hAnsi="宋体" w:cs="宋体"/>
          <w:b/>
          <w:bCs/>
          <w:color w:val="000000"/>
          <w:sz w:val="32"/>
          <w:szCs w:val="32"/>
          <w:highlight w:val="none"/>
        </w:rPr>
      </w:pPr>
    </w:p>
    <w:p w14:paraId="6578681B">
      <w:pPr>
        <w:pStyle w:val="39"/>
        <w:rPr>
          <w:rFonts w:hint="eastAsia"/>
        </w:rPr>
      </w:pPr>
    </w:p>
    <w:p w14:paraId="6BCBAFC0">
      <w:pPr>
        <w:rPr>
          <w:rFonts w:hint="eastAsia"/>
          <w:color w:val="000000"/>
          <w:highlight w:val="none"/>
        </w:rPr>
      </w:pPr>
    </w:p>
    <w:p w14:paraId="2E26DE38">
      <w:pPr>
        <w:rPr>
          <w:rFonts w:ascii="宋体" w:hAnsi="宋体" w:cs="宋体"/>
          <w:b/>
          <w:bCs/>
          <w:color w:val="000000"/>
          <w:sz w:val="32"/>
          <w:szCs w:val="32"/>
          <w:highlight w:val="none"/>
        </w:rPr>
      </w:pPr>
      <w:r>
        <w:rPr>
          <w:rFonts w:hint="eastAsia" w:ascii="宋体" w:hAnsi="宋体" w:cs="宋体"/>
          <w:b/>
          <w:bCs/>
          <w:color w:val="000000"/>
          <w:sz w:val="32"/>
          <w:szCs w:val="32"/>
          <w:highlight w:val="none"/>
        </w:rPr>
        <w:t>5.</w:t>
      </w:r>
      <w:r>
        <w:rPr>
          <w:rFonts w:hint="eastAsia" w:ascii="宋体" w:hAnsi="宋体" w:cs="宋体"/>
          <w:b/>
          <w:bCs/>
          <w:color w:val="000000"/>
          <w:sz w:val="32"/>
          <w:szCs w:val="32"/>
          <w:highlight w:val="none"/>
          <w:lang w:eastAsia="zh-CN"/>
        </w:rPr>
        <w:t>投标人参加政府采购活动前3年内在经营活动中没有重大违法记录及有关信用信息的书面声明或专项信用报告</w:t>
      </w:r>
      <w:r>
        <w:rPr>
          <w:rFonts w:hint="eastAsia" w:ascii="宋体" w:hAnsi="宋体" w:cs="宋体"/>
          <w:b/>
          <w:bCs/>
          <w:color w:val="000000"/>
          <w:sz w:val="32"/>
          <w:szCs w:val="32"/>
          <w:highlight w:val="none"/>
        </w:rPr>
        <w:t>（必须提供）；</w:t>
      </w:r>
    </w:p>
    <w:p w14:paraId="30EE2C1D">
      <w:pPr>
        <w:tabs>
          <w:tab w:val="left" w:pos="1305"/>
        </w:tabs>
        <w:spacing w:line="400" w:lineRule="exact"/>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u w:val="single"/>
        </w:rPr>
        <w:t>注：供应商为广西经营主体的，可通过信用中国(广西)网站(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w:t>
      </w:r>
      <w:r>
        <w:rPr>
          <w:rFonts w:hint="eastAsia" w:ascii="宋体" w:hAnsi="宋体" w:eastAsia="宋体" w:cs="宋体"/>
          <w:b/>
          <w:color w:val="000000"/>
          <w:szCs w:val="21"/>
          <w:highlight w:val="none"/>
          <w:u w:val="single"/>
          <w:lang w:eastAsia="zh-CN"/>
        </w:rPr>
        <w:t>中国网站的要求获取。</w:t>
      </w:r>
    </w:p>
    <w:p w14:paraId="10EF0BA0">
      <w:pPr>
        <w:spacing w:line="400" w:lineRule="exact"/>
        <w:jc w:val="center"/>
        <w:rPr>
          <w:rFonts w:hint="eastAsia" w:ascii="宋体" w:hAnsi="宋体" w:cs="宋体"/>
          <w:b/>
          <w:color w:val="000000"/>
          <w:sz w:val="32"/>
          <w:szCs w:val="32"/>
          <w:highlight w:val="none"/>
        </w:rPr>
      </w:pPr>
    </w:p>
    <w:p w14:paraId="365E6D0A">
      <w:pPr>
        <w:spacing w:line="400" w:lineRule="exact"/>
        <w:jc w:val="center"/>
        <w:rPr>
          <w:rFonts w:hint="eastAsia" w:ascii="宋体" w:hAnsi="宋体" w:cs="宋体"/>
          <w:b/>
          <w:color w:val="000000"/>
          <w:sz w:val="32"/>
          <w:szCs w:val="32"/>
          <w:highlight w:val="none"/>
        </w:rPr>
      </w:pPr>
    </w:p>
    <w:p w14:paraId="603D6B4C">
      <w:pPr>
        <w:spacing w:line="40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rPr>
        <w:t>声明</w:t>
      </w:r>
    </w:p>
    <w:p w14:paraId="1E7B8E39">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1D969AAA">
      <w:pPr>
        <w:spacing w:line="400" w:lineRule="exact"/>
        <w:rPr>
          <w:rFonts w:ascii="宋体" w:hAnsi="宋体" w:cs="宋体"/>
          <w:color w:val="000000"/>
          <w:szCs w:val="21"/>
          <w:highlight w:val="none"/>
          <w:u w:val="single"/>
        </w:rPr>
      </w:pPr>
    </w:p>
    <w:p w14:paraId="2139F64A">
      <w:pPr>
        <w:pStyle w:val="214"/>
        <w:spacing w:line="380" w:lineRule="exact"/>
        <w:ind w:firstLine="420"/>
        <w:rPr>
          <w:rFonts w:hAnsi="宋体" w:cs="宋体"/>
          <w:color w:val="000000"/>
          <w:highlight w:val="none"/>
        </w:rPr>
      </w:pPr>
      <w:r>
        <w:rPr>
          <w:rFonts w:hint="eastAsia" w:hAnsi="宋体" w:cs="宋体"/>
          <w:color w:val="00000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000000"/>
        </w:rPr>
        <w:t>重大税收违法案件当事人</w:t>
      </w:r>
      <w:r>
        <w:rPr>
          <w:rFonts w:hint="eastAsia" w:hAnsi="宋体" w:cs="宋体"/>
          <w:color w:val="000000"/>
          <w:highlight w:val="none"/>
        </w:rPr>
        <w:t>名单、政府采购严重违法失信行为记录名单，完全符合《中华人民共和国政府采购法》第二十二条规定的供应商资格条件，</w:t>
      </w:r>
      <w:r>
        <w:rPr>
          <w:rFonts w:hint="eastAsia" w:hAnsi="宋体" w:cs="宋体"/>
          <w:color w:val="000000"/>
        </w:rPr>
        <w:t>我方</w:t>
      </w:r>
      <w:r>
        <w:rPr>
          <w:rFonts w:hint="eastAsia" w:hAnsi="宋体" w:cs="宋体"/>
          <w:color w:val="000000"/>
          <w:highlight w:val="none"/>
        </w:rPr>
        <w:t>对此声明负全部法律责任。</w:t>
      </w:r>
    </w:p>
    <w:p w14:paraId="25A0519B">
      <w:pPr>
        <w:spacing w:line="400" w:lineRule="exact"/>
        <w:ind w:firstLine="4515"/>
        <w:rPr>
          <w:rFonts w:ascii="宋体" w:hAnsi="宋体" w:cs="宋体"/>
          <w:color w:val="000000"/>
          <w:szCs w:val="21"/>
          <w:highlight w:val="none"/>
        </w:rPr>
      </w:pPr>
    </w:p>
    <w:p w14:paraId="4329FF21">
      <w:pPr>
        <w:spacing w:line="400" w:lineRule="exact"/>
        <w:ind w:firstLine="1890"/>
        <w:rPr>
          <w:rFonts w:hint="eastAsia" w:ascii="宋体" w:hAnsi="宋体" w:eastAsia="宋体" w:cs="宋体"/>
          <w:color w:val="000000"/>
          <w:szCs w:val="21"/>
          <w:highlight w:val="none"/>
          <w:u w:val="single"/>
          <w:lang w:eastAsia="zh-CN"/>
        </w:rPr>
      </w:pPr>
      <w:r>
        <w:rPr>
          <w:rFonts w:hint="eastAsia" w:ascii="宋体" w:hAnsi="宋体" w:cs="宋体"/>
          <w:color w:val="000000"/>
          <w:szCs w:val="21"/>
          <w:highlight w:val="none"/>
        </w:rPr>
        <w:t>投标人[公章(CA签章)，自然人签字或个人CA签章]：</w:t>
      </w:r>
    </w:p>
    <w:p w14:paraId="07C7495F">
      <w:pPr>
        <w:spacing w:line="340" w:lineRule="exact"/>
        <w:ind w:firstLine="1680"/>
        <w:rPr>
          <w:rFonts w:ascii="宋体" w:hAnsi="宋体" w:cs="宋体"/>
          <w:color w:val="000000"/>
          <w:szCs w:val="21"/>
          <w:highlight w:val="none"/>
          <w:u w:val="single"/>
        </w:rPr>
      </w:pPr>
    </w:p>
    <w:p w14:paraId="344C9BA9">
      <w:pPr>
        <w:spacing w:line="400" w:lineRule="exact"/>
        <w:ind w:firstLine="1890"/>
        <w:rPr>
          <w:rFonts w:hint="eastAsia" w:ascii="宋体" w:hAnsi="宋体" w:eastAsia="宋体" w:cs="宋体"/>
          <w:color w:val="000000"/>
          <w:highlight w:val="none"/>
          <w:lang w:eastAsia="zh-CN"/>
        </w:rPr>
      </w:pPr>
    </w:p>
    <w:p w14:paraId="3FD41F60">
      <w:pPr>
        <w:spacing w:line="400" w:lineRule="exact"/>
        <w:ind w:firstLine="1890"/>
        <w:rPr>
          <w:rFonts w:hint="eastAsia" w:ascii="宋体" w:hAnsi="宋体" w:eastAsia="宋体" w:cs="宋体"/>
          <w:color w:val="000000"/>
          <w:highlight w:val="none"/>
          <w:u w:val="single"/>
          <w:lang w:eastAsia="zh-CN"/>
        </w:rPr>
      </w:pPr>
      <w:r>
        <w:rPr>
          <w:rFonts w:hint="eastAsia" w:ascii="宋体" w:hAnsi="宋体" w:cs="宋体"/>
          <w:color w:val="000000"/>
          <w:highlight w:val="none"/>
        </w:rPr>
        <w:t>日期：</w:t>
      </w:r>
    </w:p>
    <w:p w14:paraId="13CE6647">
      <w:pPr>
        <w:pStyle w:val="39"/>
        <w:rPr>
          <w:rFonts w:ascii="宋体" w:hAnsi="宋体" w:cs="宋体"/>
          <w:color w:val="000000"/>
          <w:highlight w:val="none"/>
          <w:u w:val="single"/>
        </w:rPr>
      </w:pPr>
    </w:p>
    <w:p w14:paraId="515D2E70">
      <w:pPr>
        <w:pStyle w:val="39"/>
        <w:rPr>
          <w:rFonts w:ascii="宋体" w:hAnsi="宋体" w:cs="宋体"/>
          <w:color w:val="000000"/>
          <w:highlight w:val="none"/>
          <w:u w:val="single"/>
        </w:rPr>
      </w:pPr>
    </w:p>
    <w:p w14:paraId="441AFDE8">
      <w:pPr>
        <w:pStyle w:val="39"/>
        <w:rPr>
          <w:rFonts w:ascii="宋体" w:hAnsi="宋体" w:cs="宋体"/>
          <w:color w:val="000000"/>
          <w:highlight w:val="none"/>
          <w:u w:val="single"/>
        </w:rPr>
      </w:pPr>
    </w:p>
    <w:p w14:paraId="5C2D75C8">
      <w:pPr>
        <w:pStyle w:val="39"/>
        <w:rPr>
          <w:rFonts w:ascii="宋体" w:hAnsi="宋体" w:cs="宋体"/>
          <w:color w:val="000000"/>
          <w:highlight w:val="none"/>
          <w:u w:val="single"/>
        </w:rPr>
      </w:pPr>
    </w:p>
    <w:p w14:paraId="642DF7A6">
      <w:pPr>
        <w:pStyle w:val="39"/>
        <w:rPr>
          <w:rFonts w:ascii="宋体" w:hAnsi="宋体" w:cs="宋体"/>
          <w:color w:val="000000"/>
          <w:highlight w:val="none"/>
          <w:u w:val="single"/>
        </w:rPr>
      </w:pPr>
    </w:p>
    <w:p w14:paraId="43B21FDB">
      <w:pPr>
        <w:pStyle w:val="39"/>
        <w:rPr>
          <w:rFonts w:ascii="宋体" w:hAnsi="宋体" w:cs="宋体"/>
          <w:color w:val="000000"/>
          <w:highlight w:val="none"/>
          <w:u w:val="single"/>
        </w:rPr>
      </w:pPr>
    </w:p>
    <w:p w14:paraId="61BFA5FA">
      <w:pPr>
        <w:ind w:left="-31"/>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6.</w:t>
      </w:r>
      <w:r>
        <w:rPr>
          <w:rFonts w:hint="eastAsia" w:ascii="宋体" w:hAnsi="宋体" w:cs="宋体"/>
          <w:b/>
          <w:bCs/>
          <w:color w:val="000000"/>
          <w:sz w:val="32"/>
          <w:szCs w:val="32"/>
          <w:highlight w:val="none"/>
          <w:lang w:val="en-US" w:eastAsia="zh-CN"/>
        </w:rPr>
        <w:t>投标人开标截标日期前近半年内任意</w:t>
      </w:r>
      <w:r>
        <w:rPr>
          <w:rFonts w:hint="eastAsia" w:ascii="宋体" w:hAnsi="宋体" w:cs="宋体"/>
          <w:b/>
          <w:bCs/>
          <w:color w:val="000000"/>
          <w:sz w:val="32"/>
          <w:szCs w:val="32"/>
          <w:highlight w:val="none"/>
        </w:rPr>
        <w:t>一个月或任一季度依法缴纳税收的证明材料【增值税发票(税收完税证明)或企业所得税完税证明或税务部门出具的免税证明</w:t>
      </w:r>
      <w:r>
        <w:rPr>
          <w:rFonts w:hint="eastAsia" w:ascii="宋体" w:hAnsi="宋体" w:cs="宋体"/>
          <w:b/>
          <w:bCs/>
          <w:color w:val="000000"/>
          <w:sz w:val="32"/>
          <w:szCs w:val="32"/>
          <w:highlight w:val="none"/>
          <w:lang w:eastAsia="zh-CN"/>
        </w:rPr>
        <w:t>或税务部门出具的无欠税证明</w:t>
      </w:r>
      <w:r>
        <w:rPr>
          <w:rFonts w:hint="eastAsia" w:ascii="宋体" w:hAnsi="宋体" w:cs="宋体"/>
          <w:b/>
          <w:bCs/>
          <w:color w:val="000000"/>
          <w:sz w:val="32"/>
          <w:szCs w:val="32"/>
          <w:highlight w:val="none"/>
        </w:rPr>
        <w:t>】</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（必须提供）；</w:t>
      </w:r>
    </w:p>
    <w:p w14:paraId="65823C5B">
      <w:pPr>
        <w:pStyle w:val="39"/>
        <w:ind w:left="-31"/>
        <w:rPr>
          <w:rFonts w:hint="eastAsia" w:ascii="宋体" w:hAnsi="宋体" w:cs="宋体"/>
          <w:b/>
          <w:bCs/>
          <w:color w:val="000000"/>
          <w:sz w:val="32"/>
          <w:szCs w:val="32"/>
          <w:highlight w:val="none"/>
        </w:rPr>
      </w:pPr>
    </w:p>
    <w:p w14:paraId="04618C75">
      <w:pPr>
        <w:rPr>
          <w:rFonts w:hint="eastAsia"/>
          <w:color w:val="000000"/>
          <w:highlight w:val="none"/>
        </w:rPr>
      </w:pPr>
    </w:p>
    <w:p w14:paraId="5182280D">
      <w:pPr>
        <w:pStyle w:val="39"/>
        <w:ind w:left="-31"/>
        <w:rPr>
          <w:rFonts w:hint="eastAsia" w:ascii="宋体" w:hAnsi="宋体" w:cs="宋体"/>
          <w:b/>
          <w:bCs/>
          <w:color w:val="000000"/>
          <w:sz w:val="32"/>
          <w:szCs w:val="32"/>
          <w:highlight w:val="none"/>
        </w:rPr>
      </w:pPr>
    </w:p>
    <w:p w14:paraId="4D2E51E1">
      <w:pPr>
        <w:rPr>
          <w:rFonts w:hint="eastAsia" w:ascii="宋体" w:hAnsi="宋体" w:cs="宋体"/>
          <w:b/>
          <w:bCs/>
          <w:color w:val="000000"/>
          <w:sz w:val="32"/>
          <w:szCs w:val="32"/>
          <w:highlight w:val="none"/>
        </w:rPr>
      </w:pPr>
    </w:p>
    <w:p w14:paraId="48F6E5B3">
      <w:pPr>
        <w:pStyle w:val="39"/>
        <w:rPr>
          <w:rFonts w:hint="eastAsia" w:ascii="宋体" w:hAnsi="宋体" w:cs="宋体"/>
          <w:b/>
          <w:bCs/>
          <w:color w:val="000000"/>
          <w:sz w:val="32"/>
          <w:szCs w:val="32"/>
          <w:highlight w:val="none"/>
        </w:rPr>
      </w:pPr>
    </w:p>
    <w:p w14:paraId="25DA0872">
      <w:pPr>
        <w:rPr>
          <w:rFonts w:hint="eastAsia"/>
        </w:rPr>
      </w:pPr>
    </w:p>
    <w:p w14:paraId="40F467D9">
      <w:pPr>
        <w:rPr>
          <w:rFonts w:ascii="宋体" w:hAnsi="宋体" w:cs="宋体"/>
          <w:b/>
          <w:bCs/>
          <w:color w:val="000000"/>
          <w:sz w:val="32"/>
          <w:szCs w:val="32"/>
          <w:highlight w:val="none"/>
        </w:rPr>
      </w:pPr>
      <w:r>
        <w:rPr>
          <w:rFonts w:hint="eastAsia" w:ascii="宋体" w:hAnsi="宋体" w:cs="宋体"/>
          <w:b/>
          <w:bCs/>
          <w:color w:val="000000"/>
          <w:sz w:val="32"/>
          <w:szCs w:val="32"/>
          <w:highlight w:val="none"/>
        </w:rPr>
        <w:t>二、商务、技术性响应及其他有效证明材料（格式）</w:t>
      </w:r>
    </w:p>
    <w:p w14:paraId="22CBAA23">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1.投标报价表（格式见附件）（必须提供）</w:t>
      </w:r>
      <w:r>
        <w:rPr>
          <w:rFonts w:hint="eastAsia" w:ascii="宋体" w:hAnsi="宋体" w:cs="宋体"/>
          <w:b/>
          <w:bCs/>
          <w:color w:val="000000"/>
          <w:sz w:val="32"/>
          <w:szCs w:val="32"/>
          <w:highlight w:val="none"/>
          <w:lang w:eastAsia="zh-CN"/>
        </w:rPr>
        <w:t>；</w:t>
      </w:r>
    </w:p>
    <w:p w14:paraId="728A4C7C">
      <w:pPr>
        <w:jc w:val="center"/>
        <w:rPr>
          <w:rFonts w:hint="eastAsia" w:ascii="宋体" w:hAnsi="宋体"/>
          <w:b/>
          <w:bCs/>
          <w:color w:val="000000"/>
          <w:sz w:val="24"/>
          <w:highlight w:val="none"/>
        </w:rPr>
      </w:pPr>
    </w:p>
    <w:p w14:paraId="0414E05E">
      <w:pPr>
        <w:pStyle w:val="202"/>
        <w:ind w:left="0" w:firstLine="0"/>
        <w:rPr>
          <w:rFonts w:hint="eastAsia" w:ascii="宋体" w:hAnsi="宋体" w:eastAsia="宋体" w:cs="宋体"/>
          <w:color w:val="000000"/>
          <w:highlight w:val="none"/>
          <w:lang w:val="en-US" w:eastAsia="zh-CN"/>
        </w:rPr>
      </w:pPr>
      <w:r>
        <w:rPr>
          <w:rFonts w:hint="eastAsia" w:ascii="宋体" w:hAnsi="宋体" w:eastAsia="宋体" w:cs="宋体"/>
          <w:b/>
          <w:bCs/>
          <w:color w:val="000000"/>
          <w:sz w:val="30"/>
          <w:szCs w:val="30"/>
          <w:highlight w:val="none"/>
        </w:rPr>
        <w:t>附件：</w:t>
      </w:r>
    </w:p>
    <w:p w14:paraId="29BAA577">
      <w:pPr>
        <w:pStyle w:val="214"/>
        <w:keepNext w:val="0"/>
        <w:keepLines w:val="0"/>
        <w:pageBreakBefore w:val="0"/>
        <w:widowControl w:val="0"/>
        <w:bidi w:val="0"/>
        <w:spacing w:line="480" w:lineRule="exact"/>
        <w:ind w:left="42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bidi="ar-SA"/>
        </w:rPr>
        <w:t>投标报价表（格式）</w:t>
      </w:r>
    </w:p>
    <w:tbl>
      <w:tblPr>
        <w:tblStyle w:val="30"/>
        <w:tblW w:w="967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1D907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4F1F0A43">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B6E361F">
            <w:pPr>
              <w:spacing w:line="28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535D695">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A55E4E7">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2DC48F3">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56F2BE2">
            <w:pPr>
              <w:spacing w:line="30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FEA3085">
            <w:pPr>
              <w:spacing w:line="300" w:lineRule="exact"/>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eastAsia="zh-CN"/>
              </w:rPr>
              <w:t>单项合计</w:t>
            </w:r>
            <w:r>
              <w:rPr>
                <w:rFonts w:hint="eastAsia" w:ascii="宋体" w:hAnsi="宋体" w:eastAsia="宋体" w:cs="宋体"/>
                <w:color w:val="000000"/>
                <w:highlight w:val="none"/>
                <w:lang w:val="en-US" w:eastAsia="zh-CN"/>
              </w:rPr>
              <w:t>=数量×单价</w:t>
            </w:r>
          </w:p>
          <w:p w14:paraId="0310CA09">
            <w:pPr>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③=</w:t>
            </w:r>
            <w:r>
              <w:rPr>
                <w:rFonts w:hint="eastAsia" w:ascii="宋体" w:hAnsi="宋体" w:eastAsia="宋体" w:cs="宋体"/>
                <w:color w:val="000000"/>
                <w:sz w:val="21"/>
                <w:szCs w:val="21"/>
                <w:highlight w:val="none"/>
              </w:rPr>
              <w:t>①</w:t>
            </w:r>
            <w:r>
              <w:rPr>
                <w:rFonts w:hint="eastAsia" w:ascii="宋体" w:hAnsi="宋体" w:eastAsia="宋体" w:cs="宋体"/>
                <w:color w:val="000000"/>
                <w:highlight w:val="none"/>
                <w:lang w:val="en-US" w:eastAsia="zh-CN"/>
              </w:rPr>
              <w:t>×</w:t>
            </w:r>
            <w:r>
              <w:rPr>
                <w:rFonts w:hint="eastAsia" w:ascii="宋体" w:hAnsi="宋体" w:eastAsia="宋体" w:cs="宋体"/>
                <w:color w:val="000000"/>
                <w:sz w:val="21"/>
                <w:szCs w:val="21"/>
                <w:highlight w:val="none"/>
                <w:lang w:val="en-US" w:eastAsia="zh-CN"/>
              </w:rPr>
              <w:t>②</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AA595AB">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r>
      <w:tr w14:paraId="47823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1E08CECA">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C1989A2">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08DE1707">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2F769D4">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0347FCE">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422836C">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A646EFC">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61C44D4">
            <w:pPr>
              <w:spacing w:line="300" w:lineRule="exact"/>
              <w:jc w:val="center"/>
              <w:rPr>
                <w:rFonts w:hint="eastAsia" w:ascii="宋体" w:hAnsi="宋体" w:eastAsia="宋体" w:cs="宋体"/>
                <w:b/>
                <w:bCs/>
                <w:color w:val="000000"/>
                <w:sz w:val="21"/>
                <w:szCs w:val="21"/>
                <w:highlight w:val="none"/>
              </w:rPr>
            </w:pPr>
          </w:p>
        </w:tc>
      </w:tr>
      <w:tr w14:paraId="2E2F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62B3345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5D21A4B">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7FCC314">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0B0226">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1D9754C">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4D1E90B">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30AD6C9">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00BBA35B">
            <w:pPr>
              <w:spacing w:line="300" w:lineRule="exact"/>
              <w:jc w:val="center"/>
              <w:rPr>
                <w:rFonts w:hint="eastAsia" w:ascii="宋体" w:hAnsi="宋体" w:eastAsia="宋体" w:cs="宋体"/>
                <w:b/>
                <w:bCs/>
                <w:color w:val="000000"/>
                <w:sz w:val="21"/>
                <w:szCs w:val="21"/>
                <w:highlight w:val="none"/>
              </w:rPr>
            </w:pPr>
          </w:p>
        </w:tc>
      </w:tr>
      <w:tr w14:paraId="42C29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5F12DD6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7A93904">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B255AAA">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862909A">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E99C7DA">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D054F99">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EADAD67">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4207F18">
            <w:pPr>
              <w:spacing w:line="300" w:lineRule="exact"/>
              <w:jc w:val="center"/>
              <w:rPr>
                <w:rFonts w:hint="eastAsia" w:ascii="宋体" w:hAnsi="宋体" w:eastAsia="宋体" w:cs="宋体"/>
                <w:b/>
                <w:bCs/>
                <w:color w:val="000000"/>
                <w:sz w:val="21"/>
                <w:szCs w:val="21"/>
                <w:highlight w:val="none"/>
              </w:rPr>
            </w:pPr>
          </w:p>
        </w:tc>
      </w:tr>
      <w:tr w14:paraId="3FE31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3888C98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DB09287">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4A23198">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65A990C">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B822FE2">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556B85B">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64D0873">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C35F798">
            <w:pPr>
              <w:spacing w:line="300" w:lineRule="exact"/>
              <w:jc w:val="center"/>
              <w:rPr>
                <w:rFonts w:hint="eastAsia" w:ascii="宋体" w:hAnsi="宋体" w:eastAsia="宋体" w:cs="宋体"/>
                <w:b/>
                <w:bCs/>
                <w:color w:val="000000"/>
                <w:sz w:val="21"/>
                <w:szCs w:val="21"/>
                <w:highlight w:val="none"/>
              </w:rPr>
            </w:pPr>
          </w:p>
        </w:tc>
      </w:tr>
      <w:tr w14:paraId="50838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0FB5146D">
            <w:pPr>
              <w:spacing w:line="300" w:lineRule="exact"/>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投标总报价（大写）：人民币（</w:t>
            </w:r>
            <w:r>
              <w:rPr>
                <w:rFonts w:hint="eastAsia" w:ascii="宋体" w:hAnsi="宋体" w:eastAsia="宋体" w:cs="宋体"/>
                <w:color w:val="000000"/>
                <w:spacing w:val="-6"/>
                <w:sz w:val="21"/>
                <w:szCs w:val="21"/>
                <w:highlight w:val="none"/>
                <w:lang w:val="en-US" w:eastAsia="zh-CN"/>
              </w:rPr>
              <w:t>¥</w:t>
            </w:r>
            <w:r>
              <w:rPr>
                <w:rFonts w:hint="eastAsia" w:ascii="宋体" w:hAnsi="宋体" w:eastAsia="宋体" w:cs="宋体"/>
                <w:color w:val="000000"/>
                <w:spacing w:val="-6"/>
                <w:sz w:val="21"/>
                <w:szCs w:val="21"/>
                <w:highlight w:val="none"/>
              </w:rPr>
              <w:t>）</w:t>
            </w:r>
          </w:p>
        </w:tc>
      </w:tr>
      <w:tr w14:paraId="3905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5021C90A">
            <w:pPr>
              <w:spacing w:line="300" w:lineRule="exact"/>
              <w:rPr>
                <w:rFonts w:hint="eastAsia" w:ascii="宋体" w:hAnsi="宋体" w:eastAsia="宋体" w:cs="宋体"/>
                <w:b w:val="0"/>
                <w:bCs w:val="0"/>
                <w:color w:val="000000"/>
                <w:spacing w:val="-6"/>
                <w:sz w:val="21"/>
                <w:szCs w:val="21"/>
                <w:highlight w:val="none"/>
              </w:rPr>
            </w:pPr>
            <w:r>
              <w:rPr>
                <w:rFonts w:hint="eastAsia" w:ascii="宋体" w:hAnsi="宋体" w:eastAsia="宋体" w:cs="宋体"/>
                <w:b w:val="0"/>
                <w:bCs w:val="0"/>
                <w:color w:val="000000"/>
                <w:spacing w:val="-6"/>
                <w:sz w:val="21"/>
                <w:szCs w:val="21"/>
                <w:highlight w:val="none"/>
              </w:rPr>
              <w:t>服务时间：</w:t>
            </w:r>
          </w:p>
        </w:tc>
      </w:tr>
      <w:tr w14:paraId="593CF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12A6F199">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说明：投标报价指本次招标采购范围内</w:t>
            </w:r>
            <w:r>
              <w:rPr>
                <w:rFonts w:hint="eastAsia" w:ascii="宋体" w:hAnsi="宋体" w:eastAsia="宋体" w:cs="宋体"/>
              </w:rPr>
              <w:t>所需服务的人员工资及社保、服装、工具、管理、培训、加班费、节假日奖金、税费及其他成本等所有费用</w:t>
            </w:r>
            <w:r>
              <w:rPr>
                <w:rFonts w:hint="eastAsia" w:ascii="宋体" w:hAnsi="宋体" w:eastAsia="宋体" w:cs="宋体"/>
                <w:lang w:eastAsia="zh-CN"/>
              </w:rPr>
              <w:t>，供应商</w:t>
            </w:r>
            <w:r>
              <w:rPr>
                <w:rFonts w:hint="eastAsia" w:ascii="宋体" w:hAnsi="宋体" w:eastAsia="宋体" w:cs="宋体"/>
              </w:rPr>
              <w:t>综合考虑在报价中</w:t>
            </w:r>
            <w:r>
              <w:rPr>
                <w:rFonts w:hint="eastAsia" w:ascii="宋体" w:hAnsi="宋体" w:eastAsia="宋体" w:cs="宋体"/>
                <w:color w:val="000000"/>
                <w:sz w:val="21"/>
                <w:szCs w:val="21"/>
                <w:highlight w:val="none"/>
              </w:rPr>
              <w:t>。</w:t>
            </w:r>
          </w:p>
        </w:tc>
      </w:tr>
    </w:tbl>
    <w:p w14:paraId="08F4E6E7">
      <w:pPr>
        <w:spacing w:line="340" w:lineRule="exact"/>
        <w:rPr>
          <w:rFonts w:hint="eastAsia" w:ascii="宋体" w:hAnsi="宋体" w:eastAsia="宋体" w:cs="宋体"/>
          <w:color w:val="000000"/>
          <w:szCs w:val="21"/>
          <w:highlight w:val="none"/>
        </w:rPr>
      </w:pPr>
    </w:p>
    <w:p w14:paraId="4003AF19">
      <w:pPr>
        <w:spacing w:line="340" w:lineRule="exact"/>
        <w:rPr>
          <w:rFonts w:hint="eastAsia" w:ascii="宋体" w:hAnsi="宋体" w:eastAsia="宋体" w:cs="宋体"/>
          <w:color w:val="000000"/>
          <w:szCs w:val="21"/>
          <w:highlight w:val="none"/>
          <w:u w:val="single"/>
          <w:lang w:eastAsia="zh-CN"/>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，自然人除外）：</w:t>
      </w:r>
    </w:p>
    <w:p w14:paraId="172ABB2E">
      <w:pPr>
        <w:spacing w:line="340" w:lineRule="exact"/>
        <w:rPr>
          <w:rFonts w:hint="eastAsia" w:ascii="宋体" w:hAnsi="宋体" w:eastAsia="宋体" w:cs="宋体"/>
          <w:color w:val="000000"/>
          <w:szCs w:val="21"/>
          <w:highlight w:val="none"/>
          <w:u w:val="single"/>
          <w:lang w:eastAsia="zh-CN"/>
        </w:rPr>
      </w:pPr>
      <w:r>
        <w:rPr>
          <w:rFonts w:hint="eastAsia" w:ascii="宋体" w:hAnsi="宋体" w:eastAsia="宋体" w:cs="宋体"/>
          <w:color w:val="000000"/>
          <w:highlight w:val="none"/>
        </w:rPr>
        <w:t>法定代表人、负责人、自然人或相应的委托代理人签字或</w:t>
      </w:r>
      <w:r>
        <w:rPr>
          <w:rFonts w:hint="eastAsia" w:ascii="宋体" w:hAnsi="宋体" w:eastAsia="宋体" w:cs="宋体"/>
          <w:color w:val="000000"/>
          <w:highlight w:val="none"/>
          <w:lang w:eastAsia="zh-CN"/>
        </w:rPr>
        <w:t>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（属自然人的应在签名处加盖</w:t>
      </w:r>
      <w:r>
        <w:rPr>
          <w:rFonts w:hint="eastAsia" w:ascii="宋体" w:hAnsi="宋体" w:cs="宋体"/>
          <w:color w:val="000000"/>
          <w:lang w:eastAsia="zh-CN"/>
        </w:rPr>
        <w:t>大拇指</w:t>
      </w:r>
      <w:r>
        <w:rPr>
          <w:rFonts w:hint="eastAsia" w:ascii="宋体" w:hAnsi="宋体" w:eastAsia="宋体" w:cs="宋体"/>
          <w:color w:val="000000"/>
        </w:rPr>
        <w:t>指印</w:t>
      </w:r>
      <w:r>
        <w:rPr>
          <w:rFonts w:hint="eastAsia" w:ascii="宋体" w:hAnsi="宋体" w:eastAsia="宋体" w:cs="宋体"/>
          <w:color w:val="000000"/>
          <w:highlight w:val="none"/>
          <w:lang w:eastAsia="zh-CN"/>
        </w:rPr>
        <w:t>或个人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w:t>
      </w:r>
    </w:p>
    <w:p w14:paraId="7CF53598">
      <w:pPr>
        <w:tabs>
          <w:tab w:val="left" w:pos="1305"/>
        </w:tabs>
        <w:spacing w:line="340" w:lineRule="exact"/>
        <w:rPr>
          <w:rFonts w:hint="eastAsia" w:ascii="宋体" w:hAnsi="宋体" w:eastAsia="宋体" w:cs="宋体"/>
          <w:bCs/>
          <w:color w:val="000000"/>
          <w:sz w:val="21"/>
          <w:szCs w:val="21"/>
          <w:highlight w:val="none"/>
        </w:rPr>
      </w:pPr>
    </w:p>
    <w:p w14:paraId="5CE73293">
      <w:pPr>
        <w:tabs>
          <w:tab w:val="left" w:pos="1305"/>
        </w:tabs>
        <w:spacing w:line="340" w:lineRule="exac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注</w:t>
      </w:r>
      <w:r>
        <w:rPr>
          <w:rFonts w:hint="eastAsia" w:ascii="宋体" w:hAnsi="宋体" w:eastAsia="宋体" w:cs="宋体"/>
          <w:b/>
          <w:bCs/>
          <w:color w:val="000000"/>
          <w:sz w:val="21"/>
          <w:szCs w:val="21"/>
          <w:highlight w:val="none"/>
        </w:rPr>
        <w:t>：</w:t>
      </w:r>
      <w:r>
        <w:rPr>
          <w:rFonts w:hint="eastAsia" w:ascii="宋体" w:hAnsi="宋体" w:eastAsia="宋体" w:cs="宋体"/>
          <w:bCs/>
          <w:color w:val="000000"/>
          <w:sz w:val="21"/>
          <w:szCs w:val="21"/>
          <w:highlight w:val="none"/>
        </w:rPr>
        <w:t>1.各投标人</w:t>
      </w:r>
      <w:r>
        <w:rPr>
          <w:rFonts w:hint="eastAsia" w:ascii="宋体" w:hAnsi="宋体" w:eastAsia="宋体" w:cs="宋体"/>
          <w:color w:val="000000"/>
          <w:sz w:val="21"/>
          <w:szCs w:val="21"/>
          <w:highlight w:val="none"/>
        </w:rPr>
        <w:t>必须就“采购需求”中所投分标的所有内容作完整唯一报价，否则，其投标将被拒绝。投标文件只允许有一个报价。</w:t>
      </w:r>
    </w:p>
    <w:p w14:paraId="3C2636ED">
      <w:pPr>
        <w:pStyle w:val="214"/>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2.投标人应根据所投</w:t>
      </w:r>
      <w:r>
        <w:rPr>
          <w:rFonts w:hint="eastAsia" w:ascii="宋体" w:hAnsi="宋体" w:eastAsia="宋体" w:cs="宋体"/>
          <w:color w:val="000000"/>
          <w:sz w:val="21"/>
          <w:szCs w:val="21"/>
          <w:highlight w:val="none"/>
          <w:lang w:val="en-US" w:eastAsia="zh-CN"/>
        </w:rPr>
        <w:t>项目</w:t>
      </w:r>
      <w:r>
        <w:rPr>
          <w:rFonts w:hint="eastAsia" w:ascii="宋体" w:hAnsi="宋体" w:eastAsia="宋体" w:cs="宋体"/>
          <w:color w:val="000000"/>
          <w:sz w:val="21"/>
          <w:szCs w:val="21"/>
          <w:highlight w:val="none"/>
        </w:rPr>
        <w:t>如实填写投标报价表</w:t>
      </w:r>
      <w:r>
        <w:rPr>
          <w:rFonts w:hint="eastAsia" w:ascii="宋体" w:hAnsi="宋体" w:eastAsia="宋体" w:cs="宋体"/>
          <w:bCs/>
          <w:color w:val="000000"/>
          <w:sz w:val="21"/>
          <w:szCs w:val="21"/>
          <w:highlight w:val="none"/>
        </w:rPr>
        <w:t>的各项内容。</w:t>
      </w:r>
    </w:p>
    <w:p w14:paraId="0AB08DFB">
      <w:pPr>
        <w:ind w:firstLine="420"/>
        <w:rPr>
          <w:rFonts w:hint="eastAsia" w:ascii="宋体" w:hAnsi="宋体" w:eastAsia="宋体" w:cs="宋体"/>
          <w:b/>
          <w:bCs/>
          <w:color w:val="000000"/>
          <w:sz w:val="32"/>
          <w:szCs w:val="32"/>
          <w:highlight w:val="none"/>
          <w:lang w:val="en-US"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highlight w:val="none"/>
        </w:rPr>
        <w:t>投标报价表须由法定代表人负责人、自然人或相应的委托代理人签字或</w:t>
      </w:r>
      <w:r>
        <w:rPr>
          <w:rFonts w:hint="eastAsia" w:ascii="宋体" w:hAnsi="宋体" w:eastAsia="宋体" w:cs="宋体"/>
          <w:color w:val="000000"/>
          <w:highlight w:val="none"/>
          <w:lang w:eastAsia="zh-CN"/>
        </w:rPr>
        <w:t>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（属自然人的应在签名处加盖</w:t>
      </w:r>
      <w:r>
        <w:rPr>
          <w:rFonts w:hint="eastAsia" w:ascii="宋体" w:hAnsi="宋体" w:cs="宋体"/>
          <w:color w:val="000000"/>
          <w:lang w:eastAsia="zh-CN"/>
        </w:rPr>
        <w:t>大拇指</w:t>
      </w:r>
      <w:r>
        <w:rPr>
          <w:rFonts w:hint="eastAsia" w:ascii="宋体" w:hAnsi="宋体" w:eastAsia="宋体" w:cs="宋体"/>
          <w:color w:val="000000"/>
        </w:rPr>
        <w:t>指印</w:t>
      </w:r>
      <w:r>
        <w:rPr>
          <w:rFonts w:hint="eastAsia" w:ascii="宋体" w:hAnsi="宋体" w:eastAsia="宋体" w:cs="宋体"/>
          <w:color w:val="000000"/>
          <w:highlight w:val="none"/>
          <w:lang w:eastAsia="zh-CN"/>
        </w:rPr>
        <w:t>或个人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）并加盖投标人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（自然人除外）。</w:t>
      </w:r>
      <w:r>
        <w:rPr>
          <w:rFonts w:hint="eastAsia" w:ascii="宋体" w:hAnsi="宋体" w:eastAsia="宋体" w:cs="宋体"/>
          <w:b/>
          <w:color w:val="000000"/>
          <w:highlight w:val="none"/>
        </w:rPr>
        <w:t>当本表由多页构成时，需逐页加盖投标人公章（属自然人的须逐页签字</w:t>
      </w:r>
      <w:r>
        <w:rPr>
          <w:rFonts w:hint="eastAsia" w:ascii="宋体" w:hAnsi="宋体" w:eastAsia="宋体" w:cs="宋体"/>
          <w:b/>
          <w:color w:val="000000"/>
          <w:highlight w:val="none"/>
          <w:lang w:eastAsia="zh-CN"/>
        </w:rPr>
        <w:t>或个人</w:t>
      </w:r>
      <w:r>
        <w:rPr>
          <w:rFonts w:hint="eastAsia" w:ascii="宋体" w:hAnsi="宋体" w:eastAsia="宋体" w:cs="宋体"/>
          <w:b/>
          <w:color w:val="000000"/>
          <w:highlight w:val="none"/>
          <w:lang w:val="en-US" w:eastAsia="zh-CN"/>
        </w:rPr>
        <w:t>CA签章</w:t>
      </w:r>
      <w:r>
        <w:rPr>
          <w:rFonts w:hint="eastAsia" w:ascii="宋体" w:hAnsi="宋体" w:eastAsia="宋体" w:cs="宋体"/>
          <w:b/>
          <w:color w:val="000000"/>
          <w:highlight w:val="none"/>
        </w:rPr>
        <w:t>）</w:t>
      </w:r>
    </w:p>
    <w:p w14:paraId="31E95E76">
      <w:pPr>
        <w:rPr>
          <w:rFonts w:hint="eastAsia" w:ascii="宋体" w:hAnsi="宋体" w:eastAsia="宋体" w:cs="宋体"/>
          <w:b/>
          <w:bCs/>
          <w:color w:val="000000"/>
          <w:sz w:val="32"/>
          <w:szCs w:val="32"/>
          <w:highlight w:val="none"/>
        </w:rPr>
      </w:pPr>
    </w:p>
    <w:p w14:paraId="460123A7">
      <w:pPr>
        <w:pStyle w:val="39"/>
        <w:rPr>
          <w:rFonts w:hint="eastAsia" w:ascii="宋体" w:hAnsi="宋体"/>
          <w:color w:val="000000"/>
          <w:sz w:val="21"/>
          <w:szCs w:val="20"/>
          <w:highlight w:val="none"/>
        </w:rPr>
      </w:pPr>
    </w:p>
    <w:p w14:paraId="30F075E9">
      <w:pPr>
        <w:rPr>
          <w:rFonts w:hint="eastAsia" w:ascii="宋体" w:hAnsi="宋体"/>
          <w:color w:val="000000"/>
          <w:sz w:val="21"/>
          <w:szCs w:val="20"/>
          <w:highlight w:val="none"/>
        </w:rPr>
      </w:pPr>
    </w:p>
    <w:p w14:paraId="4EAC4D31">
      <w:pPr>
        <w:pStyle w:val="39"/>
        <w:rPr>
          <w:rFonts w:hint="eastAsia" w:ascii="宋体" w:hAnsi="宋体"/>
          <w:color w:val="000000"/>
          <w:sz w:val="21"/>
          <w:szCs w:val="20"/>
          <w:highlight w:val="none"/>
        </w:rPr>
      </w:pPr>
    </w:p>
    <w:p w14:paraId="5A07B3BC">
      <w:pPr>
        <w:rPr>
          <w:rFonts w:hint="eastAsia" w:ascii="宋体" w:hAnsi="宋体"/>
          <w:color w:val="000000"/>
          <w:sz w:val="21"/>
          <w:szCs w:val="20"/>
          <w:highlight w:val="none"/>
        </w:rPr>
      </w:pPr>
    </w:p>
    <w:p w14:paraId="665B6169">
      <w:pPr>
        <w:pStyle w:val="39"/>
        <w:rPr>
          <w:rFonts w:hint="eastAsia"/>
          <w:color w:val="000000"/>
          <w:highlight w:val="none"/>
        </w:rPr>
      </w:pPr>
    </w:p>
    <w:p w14:paraId="63670598">
      <w:pPr>
        <w:rPr>
          <w:rFonts w:hint="eastAsia"/>
          <w:color w:val="000000"/>
          <w:highlight w:val="none"/>
        </w:rPr>
      </w:pPr>
    </w:p>
    <w:p w14:paraId="12E9B77C">
      <w:pPr>
        <w:pStyle w:val="39"/>
        <w:rPr>
          <w:rFonts w:hint="eastAsia"/>
          <w:color w:val="000000"/>
          <w:highlight w:val="none"/>
        </w:rPr>
      </w:pPr>
    </w:p>
    <w:p w14:paraId="6A881558">
      <w:pPr>
        <w:rPr>
          <w:rFonts w:hint="eastAsia"/>
          <w:color w:val="000000"/>
          <w:highlight w:val="none"/>
        </w:rPr>
      </w:pPr>
    </w:p>
    <w:p w14:paraId="42FD100D">
      <w:pPr>
        <w:pStyle w:val="39"/>
        <w:rPr>
          <w:rFonts w:hint="eastAsia"/>
          <w:color w:val="000000"/>
          <w:highlight w:val="none"/>
        </w:rPr>
      </w:pPr>
    </w:p>
    <w:p w14:paraId="4E93D065">
      <w:pPr>
        <w:rPr>
          <w:rFonts w:hint="eastAsia"/>
        </w:rPr>
      </w:pPr>
    </w:p>
    <w:p w14:paraId="351885DE">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2.</w:t>
      </w:r>
      <w:r>
        <w:rPr>
          <w:rFonts w:hint="eastAsia" w:ascii="宋体" w:hAnsi="宋体" w:cs="宋体"/>
          <w:b/>
          <w:bCs/>
          <w:color w:val="000000"/>
          <w:sz w:val="32"/>
          <w:szCs w:val="32"/>
          <w:highlight w:val="none"/>
          <w:lang w:eastAsia="zh-CN"/>
        </w:rPr>
        <w:t>服务响应表</w:t>
      </w:r>
      <w:r>
        <w:rPr>
          <w:rFonts w:hint="eastAsia" w:ascii="宋体" w:hAnsi="宋体" w:cs="宋体"/>
          <w:b/>
          <w:bCs/>
          <w:color w:val="000000"/>
          <w:sz w:val="32"/>
          <w:szCs w:val="32"/>
          <w:highlight w:val="none"/>
        </w:rPr>
        <w:t>（格式见附件）（必须提供）</w:t>
      </w:r>
      <w:r>
        <w:rPr>
          <w:rFonts w:hint="eastAsia" w:ascii="宋体" w:hAnsi="宋体" w:cs="宋体"/>
          <w:b/>
          <w:bCs/>
          <w:color w:val="000000"/>
          <w:sz w:val="32"/>
          <w:szCs w:val="32"/>
          <w:highlight w:val="none"/>
          <w:lang w:eastAsia="zh-CN"/>
        </w:rPr>
        <w:t>；</w:t>
      </w:r>
    </w:p>
    <w:p w14:paraId="39EB082B">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67E66F6A">
      <w:pPr>
        <w:jc w:val="center"/>
        <w:rPr>
          <w:rFonts w:hint="eastAsia" w:ascii="宋体" w:hAnsi="宋体" w:cs="宋体"/>
          <w:b/>
          <w:bCs/>
          <w:color w:val="000000"/>
          <w:sz w:val="32"/>
          <w:highlight w:val="none"/>
        </w:rPr>
      </w:pPr>
      <w:r>
        <w:rPr>
          <w:rFonts w:hint="eastAsia" w:ascii="宋体" w:hAnsi="宋体" w:cs="宋体"/>
          <w:b/>
          <w:color w:val="000000"/>
          <w:sz w:val="32"/>
          <w:szCs w:val="32"/>
          <w:highlight w:val="none"/>
          <w:lang w:eastAsia="zh-CN"/>
        </w:rPr>
        <w:t>服务响应表</w:t>
      </w:r>
      <w:r>
        <w:rPr>
          <w:rFonts w:hint="eastAsia" w:ascii="宋体" w:hAnsi="宋体" w:cs="宋体"/>
          <w:b/>
          <w:bCs/>
          <w:color w:val="000000"/>
          <w:sz w:val="32"/>
          <w:highlight w:val="none"/>
        </w:rPr>
        <w:t>（格式）</w:t>
      </w:r>
    </w:p>
    <w:p w14:paraId="29983F00">
      <w:pPr>
        <w:pStyle w:val="39"/>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2CB85DDE">
      <w:pPr>
        <w:pStyle w:val="39"/>
        <w:rPr>
          <w:rFonts w:hint="eastAsia"/>
          <w:sz w:val="18"/>
          <w:szCs w:val="21"/>
          <w:lang w:eastAsia="zh-CN"/>
        </w:rPr>
      </w:pPr>
      <w:r>
        <w:rPr>
          <w:rFonts w:hint="eastAsia" w:ascii="宋体" w:hAnsi="宋体" w:cs="宋体"/>
          <w:b/>
          <w:bCs/>
          <w:color w:val="000000"/>
          <w:sz w:val="24"/>
          <w:szCs w:val="21"/>
          <w:highlight w:val="none"/>
          <w:lang w:eastAsia="zh-CN"/>
        </w:rPr>
        <w:t>项目名称：</w:t>
      </w:r>
    </w:p>
    <w:p w14:paraId="6D3688B9">
      <w:pPr>
        <w:pStyle w:val="252"/>
        <w:rPr>
          <w:color w:val="000000"/>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32"/>
        <w:gridCol w:w="3168"/>
        <w:gridCol w:w="2604"/>
      </w:tblGrid>
      <w:tr w14:paraId="769C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CF2DD29">
            <w:pPr>
              <w:spacing w:line="400" w:lineRule="exact"/>
              <w:jc w:val="center"/>
              <w:rPr>
                <w:rFonts w:ascii="宋体" w:hAnsi="宋体" w:cs="宋体"/>
                <w:b/>
                <w:color w:val="000000"/>
                <w:highlight w:val="none"/>
              </w:rPr>
            </w:pPr>
            <w:r>
              <w:rPr>
                <w:rFonts w:hint="eastAsia" w:ascii="宋体" w:hAnsi="宋体" w:cs="宋体"/>
                <w:b/>
                <w:color w:val="000000"/>
                <w:highlight w:val="none"/>
              </w:rPr>
              <w:t>序号</w:t>
            </w:r>
          </w:p>
        </w:tc>
        <w:tc>
          <w:tcPr>
            <w:tcW w:w="3232"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9852854">
            <w:pPr>
              <w:spacing w:line="400" w:lineRule="exact"/>
              <w:jc w:val="center"/>
              <w:rPr>
                <w:rFonts w:hint="eastAsia" w:ascii="宋体" w:hAnsi="宋体" w:eastAsia="宋体" w:cs="宋体"/>
                <w:b/>
                <w:color w:val="000000"/>
                <w:highlight w:val="none"/>
                <w:lang w:eastAsia="zh-CN"/>
              </w:rPr>
            </w:pPr>
            <w:r>
              <w:rPr>
                <w:rFonts w:hint="eastAsia" w:ascii="宋体" w:hAnsi="宋体" w:cs="宋体"/>
                <w:b/>
                <w:color w:val="000000"/>
                <w:szCs w:val="21"/>
                <w:highlight w:val="none"/>
                <w:lang w:eastAsia="zh-CN"/>
              </w:rPr>
              <w:t>招标文件的</w:t>
            </w:r>
            <w:r>
              <w:rPr>
                <w:rFonts w:hint="eastAsia" w:ascii="宋体" w:hAnsi="宋体" w:eastAsia="宋体" w:cs="宋体"/>
                <w:b/>
                <w:color w:val="000000"/>
                <w:sz w:val="21"/>
                <w:szCs w:val="21"/>
                <w:highlight w:val="none"/>
              </w:rPr>
              <w:t>采购需求</w:t>
            </w:r>
          </w:p>
        </w:tc>
        <w:tc>
          <w:tcPr>
            <w:tcW w:w="316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8988CEC">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投标文件的响应情况</w:t>
            </w:r>
          </w:p>
        </w:tc>
        <w:tc>
          <w:tcPr>
            <w:tcW w:w="260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BDA9EB1">
            <w:pPr>
              <w:spacing w:line="400" w:lineRule="exact"/>
              <w:jc w:val="center"/>
              <w:rPr>
                <w:rFonts w:ascii="宋体" w:hAnsi="宋体" w:cs="宋体"/>
                <w:b/>
                <w:color w:val="000000"/>
                <w:highlight w:val="none"/>
              </w:rPr>
            </w:pPr>
            <w:r>
              <w:rPr>
                <w:rFonts w:hint="eastAsia" w:ascii="宋体" w:hAnsi="宋体" w:cs="宋体"/>
                <w:b/>
                <w:color w:val="000000"/>
                <w:highlight w:val="none"/>
              </w:rPr>
              <w:t>偏离情况说明</w:t>
            </w:r>
          </w:p>
        </w:tc>
      </w:tr>
      <w:tr w14:paraId="0FF3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452240CF">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3232" w:type="dxa"/>
            <w:tcBorders>
              <w:top w:val="single" w:color="auto" w:sz="4" w:space="0"/>
              <w:left w:val="single" w:color="auto" w:sz="4" w:space="0"/>
              <w:bottom w:val="single" w:color="auto" w:sz="4" w:space="0"/>
              <w:right w:val="single" w:color="auto" w:sz="4" w:space="0"/>
            </w:tcBorders>
            <w:noWrap w:val="0"/>
            <w:vAlign w:val="center"/>
          </w:tcPr>
          <w:p w14:paraId="65A2BD10">
            <w:pPr>
              <w:spacing w:line="400" w:lineRule="exact"/>
              <w:jc w:val="left"/>
              <w:rPr>
                <w:rFonts w:ascii="宋体" w:hAnsi="宋体" w:cs="宋体"/>
                <w:color w:val="000000"/>
                <w:highlight w:val="none"/>
              </w:rPr>
            </w:pPr>
          </w:p>
        </w:tc>
        <w:tc>
          <w:tcPr>
            <w:tcW w:w="3168" w:type="dxa"/>
            <w:tcBorders>
              <w:top w:val="single" w:color="auto" w:sz="4" w:space="0"/>
              <w:left w:val="single" w:color="auto" w:sz="4" w:space="0"/>
              <w:bottom w:val="single" w:color="auto" w:sz="4" w:space="0"/>
              <w:right w:val="single" w:color="auto" w:sz="4" w:space="0"/>
            </w:tcBorders>
            <w:noWrap w:val="0"/>
            <w:vAlign w:val="top"/>
          </w:tcPr>
          <w:p w14:paraId="09197C17">
            <w:pPr>
              <w:spacing w:line="400" w:lineRule="exact"/>
              <w:jc w:val="left"/>
              <w:rPr>
                <w:rFonts w:ascii="宋体" w:hAnsi="宋体" w:cs="宋体"/>
                <w:color w:val="000000"/>
                <w:highlight w:val="none"/>
              </w:rPr>
            </w:pPr>
          </w:p>
        </w:tc>
        <w:tc>
          <w:tcPr>
            <w:tcW w:w="2604" w:type="dxa"/>
            <w:tcBorders>
              <w:top w:val="single" w:color="auto" w:sz="4" w:space="0"/>
              <w:left w:val="single" w:color="auto" w:sz="4" w:space="0"/>
              <w:bottom w:val="single" w:color="auto" w:sz="4" w:space="0"/>
              <w:right w:val="single" w:color="auto" w:sz="4" w:space="0"/>
            </w:tcBorders>
            <w:noWrap w:val="0"/>
            <w:vAlign w:val="center"/>
          </w:tcPr>
          <w:p w14:paraId="4DC32EA7">
            <w:pPr>
              <w:spacing w:line="400" w:lineRule="exact"/>
              <w:jc w:val="left"/>
              <w:rPr>
                <w:rFonts w:ascii="宋体" w:hAnsi="宋体" w:cs="宋体"/>
                <w:color w:val="000000"/>
                <w:highlight w:val="none"/>
              </w:rPr>
            </w:pPr>
          </w:p>
        </w:tc>
      </w:tr>
      <w:tr w14:paraId="3F94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20571944">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3232" w:type="dxa"/>
            <w:tcBorders>
              <w:top w:val="single" w:color="auto" w:sz="4" w:space="0"/>
              <w:left w:val="single" w:color="auto" w:sz="4" w:space="0"/>
              <w:bottom w:val="single" w:color="auto" w:sz="4" w:space="0"/>
              <w:right w:val="single" w:color="auto" w:sz="4" w:space="0"/>
            </w:tcBorders>
            <w:noWrap w:val="0"/>
            <w:vAlign w:val="center"/>
          </w:tcPr>
          <w:p w14:paraId="779A7604">
            <w:pPr>
              <w:spacing w:line="400" w:lineRule="exact"/>
              <w:jc w:val="left"/>
              <w:rPr>
                <w:rFonts w:ascii="宋体" w:hAnsi="宋体" w:cs="宋体"/>
                <w:color w:val="000000"/>
                <w:highlight w:val="none"/>
              </w:rPr>
            </w:pPr>
          </w:p>
        </w:tc>
        <w:tc>
          <w:tcPr>
            <w:tcW w:w="3168" w:type="dxa"/>
            <w:tcBorders>
              <w:top w:val="single" w:color="auto" w:sz="4" w:space="0"/>
              <w:left w:val="single" w:color="auto" w:sz="4" w:space="0"/>
              <w:bottom w:val="single" w:color="auto" w:sz="4" w:space="0"/>
              <w:right w:val="single" w:color="auto" w:sz="4" w:space="0"/>
            </w:tcBorders>
            <w:noWrap w:val="0"/>
            <w:vAlign w:val="top"/>
          </w:tcPr>
          <w:p w14:paraId="32BF4841">
            <w:pPr>
              <w:spacing w:line="400" w:lineRule="exact"/>
              <w:jc w:val="left"/>
              <w:rPr>
                <w:rFonts w:ascii="宋体" w:hAnsi="宋体" w:cs="宋体"/>
                <w:color w:val="000000"/>
                <w:highlight w:val="none"/>
              </w:rPr>
            </w:pPr>
          </w:p>
        </w:tc>
        <w:tc>
          <w:tcPr>
            <w:tcW w:w="2604" w:type="dxa"/>
            <w:tcBorders>
              <w:top w:val="single" w:color="auto" w:sz="4" w:space="0"/>
              <w:left w:val="single" w:color="auto" w:sz="4" w:space="0"/>
              <w:bottom w:val="single" w:color="auto" w:sz="4" w:space="0"/>
              <w:right w:val="single" w:color="auto" w:sz="4" w:space="0"/>
            </w:tcBorders>
            <w:noWrap w:val="0"/>
            <w:vAlign w:val="center"/>
          </w:tcPr>
          <w:p w14:paraId="38FF70F9">
            <w:pPr>
              <w:spacing w:line="400" w:lineRule="exact"/>
              <w:jc w:val="left"/>
              <w:rPr>
                <w:rFonts w:ascii="宋体" w:hAnsi="宋体" w:cs="宋体"/>
                <w:color w:val="000000"/>
                <w:highlight w:val="none"/>
              </w:rPr>
            </w:pPr>
          </w:p>
        </w:tc>
      </w:tr>
      <w:tr w14:paraId="6045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788A61D">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3232" w:type="dxa"/>
            <w:tcBorders>
              <w:top w:val="single" w:color="auto" w:sz="4" w:space="0"/>
              <w:left w:val="single" w:color="auto" w:sz="4" w:space="0"/>
              <w:bottom w:val="single" w:color="auto" w:sz="4" w:space="0"/>
              <w:right w:val="single" w:color="auto" w:sz="4" w:space="0"/>
            </w:tcBorders>
            <w:noWrap w:val="0"/>
            <w:vAlign w:val="top"/>
          </w:tcPr>
          <w:p w14:paraId="1590414A">
            <w:pPr>
              <w:spacing w:line="400" w:lineRule="exact"/>
              <w:jc w:val="left"/>
              <w:rPr>
                <w:rFonts w:ascii="宋体" w:hAnsi="宋体" w:cs="宋体"/>
                <w:color w:val="000000"/>
                <w:highlight w:val="none"/>
              </w:rPr>
            </w:pPr>
          </w:p>
        </w:tc>
        <w:tc>
          <w:tcPr>
            <w:tcW w:w="3168" w:type="dxa"/>
            <w:tcBorders>
              <w:top w:val="single" w:color="auto" w:sz="4" w:space="0"/>
              <w:left w:val="single" w:color="auto" w:sz="4" w:space="0"/>
              <w:bottom w:val="single" w:color="auto" w:sz="4" w:space="0"/>
              <w:right w:val="single" w:color="auto" w:sz="4" w:space="0"/>
            </w:tcBorders>
            <w:noWrap w:val="0"/>
            <w:vAlign w:val="top"/>
          </w:tcPr>
          <w:p w14:paraId="6B4718C6">
            <w:pPr>
              <w:spacing w:line="400" w:lineRule="exact"/>
              <w:jc w:val="left"/>
              <w:rPr>
                <w:rFonts w:ascii="宋体" w:hAnsi="宋体" w:cs="宋体"/>
                <w:color w:val="000000"/>
                <w:highlight w:val="none"/>
              </w:rPr>
            </w:pPr>
          </w:p>
        </w:tc>
        <w:tc>
          <w:tcPr>
            <w:tcW w:w="2604" w:type="dxa"/>
            <w:tcBorders>
              <w:top w:val="single" w:color="auto" w:sz="4" w:space="0"/>
              <w:left w:val="single" w:color="auto" w:sz="4" w:space="0"/>
              <w:bottom w:val="single" w:color="auto" w:sz="4" w:space="0"/>
              <w:right w:val="single" w:color="auto" w:sz="4" w:space="0"/>
            </w:tcBorders>
            <w:noWrap w:val="0"/>
            <w:vAlign w:val="top"/>
          </w:tcPr>
          <w:p w14:paraId="6BF6B882">
            <w:pPr>
              <w:spacing w:line="400" w:lineRule="exact"/>
              <w:jc w:val="left"/>
              <w:rPr>
                <w:rFonts w:ascii="宋体" w:hAnsi="宋体" w:cs="宋体"/>
                <w:color w:val="000000"/>
                <w:highlight w:val="none"/>
              </w:rPr>
            </w:pPr>
          </w:p>
        </w:tc>
      </w:tr>
      <w:tr w14:paraId="1E24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4AAF8E00">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3232" w:type="dxa"/>
            <w:tcBorders>
              <w:top w:val="single" w:color="auto" w:sz="4" w:space="0"/>
              <w:left w:val="single" w:color="auto" w:sz="4" w:space="0"/>
              <w:bottom w:val="single" w:color="auto" w:sz="4" w:space="0"/>
              <w:right w:val="single" w:color="auto" w:sz="4" w:space="0"/>
            </w:tcBorders>
            <w:noWrap w:val="0"/>
            <w:vAlign w:val="top"/>
          </w:tcPr>
          <w:p w14:paraId="78AB607C">
            <w:pPr>
              <w:spacing w:line="400" w:lineRule="exact"/>
              <w:jc w:val="left"/>
              <w:rPr>
                <w:rFonts w:ascii="宋体" w:hAnsi="宋体" w:cs="宋体"/>
                <w:color w:val="000000"/>
                <w:highlight w:val="none"/>
              </w:rPr>
            </w:pPr>
          </w:p>
        </w:tc>
        <w:tc>
          <w:tcPr>
            <w:tcW w:w="3168" w:type="dxa"/>
            <w:tcBorders>
              <w:top w:val="single" w:color="auto" w:sz="4" w:space="0"/>
              <w:left w:val="single" w:color="auto" w:sz="4" w:space="0"/>
              <w:bottom w:val="single" w:color="auto" w:sz="4" w:space="0"/>
              <w:right w:val="single" w:color="auto" w:sz="4" w:space="0"/>
            </w:tcBorders>
            <w:noWrap w:val="0"/>
            <w:vAlign w:val="top"/>
          </w:tcPr>
          <w:p w14:paraId="12384A3F">
            <w:pPr>
              <w:spacing w:line="400" w:lineRule="exact"/>
              <w:jc w:val="left"/>
              <w:rPr>
                <w:rFonts w:ascii="宋体" w:hAnsi="宋体" w:cs="宋体"/>
                <w:color w:val="000000"/>
                <w:highlight w:val="none"/>
              </w:rPr>
            </w:pPr>
          </w:p>
        </w:tc>
        <w:tc>
          <w:tcPr>
            <w:tcW w:w="2604" w:type="dxa"/>
            <w:tcBorders>
              <w:top w:val="single" w:color="auto" w:sz="4" w:space="0"/>
              <w:left w:val="single" w:color="auto" w:sz="4" w:space="0"/>
              <w:bottom w:val="single" w:color="auto" w:sz="4" w:space="0"/>
              <w:right w:val="single" w:color="auto" w:sz="4" w:space="0"/>
            </w:tcBorders>
            <w:noWrap w:val="0"/>
            <w:vAlign w:val="top"/>
          </w:tcPr>
          <w:p w14:paraId="0FB94311">
            <w:pPr>
              <w:spacing w:line="400" w:lineRule="exact"/>
              <w:jc w:val="left"/>
              <w:rPr>
                <w:rFonts w:ascii="宋体" w:hAnsi="宋体" w:cs="宋体"/>
                <w:color w:val="000000"/>
                <w:highlight w:val="none"/>
              </w:rPr>
            </w:pPr>
          </w:p>
        </w:tc>
      </w:tr>
      <w:tr w14:paraId="20EC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0055C660">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3232" w:type="dxa"/>
            <w:tcBorders>
              <w:top w:val="single" w:color="auto" w:sz="4" w:space="0"/>
              <w:left w:val="single" w:color="auto" w:sz="4" w:space="0"/>
              <w:bottom w:val="single" w:color="auto" w:sz="4" w:space="0"/>
              <w:right w:val="single" w:color="auto" w:sz="4" w:space="0"/>
            </w:tcBorders>
            <w:noWrap w:val="0"/>
            <w:vAlign w:val="top"/>
          </w:tcPr>
          <w:p w14:paraId="484E1AFF">
            <w:pPr>
              <w:spacing w:line="400" w:lineRule="exact"/>
              <w:jc w:val="left"/>
              <w:rPr>
                <w:rFonts w:ascii="宋体" w:hAnsi="宋体" w:cs="宋体"/>
                <w:color w:val="000000"/>
                <w:highlight w:val="none"/>
              </w:rPr>
            </w:pPr>
          </w:p>
        </w:tc>
        <w:tc>
          <w:tcPr>
            <w:tcW w:w="3168" w:type="dxa"/>
            <w:tcBorders>
              <w:top w:val="single" w:color="auto" w:sz="4" w:space="0"/>
              <w:left w:val="single" w:color="auto" w:sz="4" w:space="0"/>
              <w:bottom w:val="single" w:color="auto" w:sz="4" w:space="0"/>
              <w:right w:val="single" w:color="auto" w:sz="4" w:space="0"/>
            </w:tcBorders>
            <w:noWrap w:val="0"/>
            <w:vAlign w:val="top"/>
          </w:tcPr>
          <w:p w14:paraId="24E1B781">
            <w:pPr>
              <w:spacing w:line="400" w:lineRule="exact"/>
              <w:jc w:val="left"/>
              <w:rPr>
                <w:rFonts w:ascii="宋体" w:hAnsi="宋体" w:cs="宋体"/>
                <w:color w:val="000000"/>
                <w:highlight w:val="none"/>
              </w:rPr>
            </w:pPr>
          </w:p>
        </w:tc>
        <w:tc>
          <w:tcPr>
            <w:tcW w:w="2604" w:type="dxa"/>
            <w:tcBorders>
              <w:top w:val="single" w:color="auto" w:sz="4" w:space="0"/>
              <w:left w:val="single" w:color="auto" w:sz="4" w:space="0"/>
              <w:bottom w:val="single" w:color="auto" w:sz="4" w:space="0"/>
              <w:right w:val="single" w:color="auto" w:sz="4" w:space="0"/>
            </w:tcBorders>
            <w:noWrap w:val="0"/>
            <w:vAlign w:val="top"/>
          </w:tcPr>
          <w:p w14:paraId="6CED0F9A">
            <w:pPr>
              <w:spacing w:line="400" w:lineRule="exact"/>
              <w:jc w:val="left"/>
              <w:rPr>
                <w:rFonts w:ascii="宋体" w:hAnsi="宋体" w:cs="宋体"/>
                <w:color w:val="000000"/>
                <w:highlight w:val="none"/>
              </w:rPr>
            </w:pPr>
          </w:p>
        </w:tc>
      </w:tr>
      <w:tr w14:paraId="61F6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32E6515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N</w:t>
            </w:r>
          </w:p>
        </w:tc>
        <w:tc>
          <w:tcPr>
            <w:tcW w:w="3232" w:type="dxa"/>
            <w:tcBorders>
              <w:top w:val="single" w:color="auto" w:sz="4" w:space="0"/>
              <w:left w:val="single" w:color="auto" w:sz="4" w:space="0"/>
              <w:bottom w:val="single" w:color="auto" w:sz="4" w:space="0"/>
              <w:right w:val="single" w:color="auto" w:sz="4" w:space="0"/>
            </w:tcBorders>
            <w:noWrap w:val="0"/>
            <w:vAlign w:val="top"/>
          </w:tcPr>
          <w:p w14:paraId="1CC214B5">
            <w:pPr>
              <w:spacing w:line="400" w:lineRule="exact"/>
              <w:jc w:val="left"/>
              <w:rPr>
                <w:rFonts w:ascii="宋体" w:hAnsi="宋体" w:cs="宋体"/>
                <w:color w:val="000000"/>
                <w:highlight w:val="none"/>
              </w:rPr>
            </w:pPr>
          </w:p>
        </w:tc>
        <w:tc>
          <w:tcPr>
            <w:tcW w:w="3168" w:type="dxa"/>
            <w:tcBorders>
              <w:top w:val="single" w:color="auto" w:sz="4" w:space="0"/>
              <w:left w:val="single" w:color="auto" w:sz="4" w:space="0"/>
              <w:bottom w:val="single" w:color="auto" w:sz="4" w:space="0"/>
              <w:right w:val="single" w:color="auto" w:sz="4" w:space="0"/>
            </w:tcBorders>
            <w:noWrap w:val="0"/>
            <w:vAlign w:val="top"/>
          </w:tcPr>
          <w:p w14:paraId="739E0880">
            <w:pPr>
              <w:spacing w:line="400" w:lineRule="exact"/>
              <w:jc w:val="left"/>
              <w:rPr>
                <w:rFonts w:ascii="宋体" w:hAnsi="宋体" w:cs="宋体"/>
                <w:color w:val="000000"/>
                <w:highlight w:val="none"/>
              </w:rPr>
            </w:pPr>
          </w:p>
        </w:tc>
        <w:tc>
          <w:tcPr>
            <w:tcW w:w="2604" w:type="dxa"/>
            <w:tcBorders>
              <w:top w:val="single" w:color="auto" w:sz="4" w:space="0"/>
              <w:left w:val="single" w:color="auto" w:sz="4" w:space="0"/>
              <w:bottom w:val="single" w:color="auto" w:sz="4" w:space="0"/>
              <w:right w:val="single" w:color="auto" w:sz="4" w:space="0"/>
            </w:tcBorders>
            <w:noWrap w:val="0"/>
            <w:vAlign w:val="top"/>
          </w:tcPr>
          <w:p w14:paraId="2EF4404B">
            <w:pPr>
              <w:spacing w:line="400" w:lineRule="exact"/>
              <w:jc w:val="left"/>
              <w:rPr>
                <w:rFonts w:ascii="宋体" w:hAnsi="宋体" w:cs="宋体"/>
                <w:color w:val="000000"/>
                <w:highlight w:val="none"/>
              </w:rPr>
            </w:pPr>
          </w:p>
        </w:tc>
      </w:tr>
    </w:tbl>
    <w:p w14:paraId="24FB352C">
      <w:pPr>
        <w:spacing w:line="400" w:lineRule="exact"/>
        <w:rPr>
          <w:rFonts w:ascii="宋体" w:hAnsi="宋体" w:cs="宋体"/>
          <w:color w:val="000000"/>
          <w:szCs w:val="20"/>
          <w:highlight w:val="none"/>
          <w:u w:val="single"/>
        </w:rPr>
      </w:pPr>
    </w:p>
    <w:p w14:paraId="48418BEC">
      <w:pPr>
        <w:spacing w:line="400" w:lineRule="exact"/>
        <w:ind w:firstLine="3780"/>
        <w:rPr>
          <w:rFonts w:ascii="宋体" w:hAnsi="宋体" w:cs="宋体"/>
          <w:color w:val="000000"/>
          <w:szCs w:val="20"/>
          <w:highlight w:val="none"/>
          <w:u w:val="single"/>
        </w:rPr>
      </w:pPr>
    </w:p>
    <w:p w14:paraId="79C09310">
      <w:pPr>
        <w:spacing w:line="400" w:lineRule="exact"/>
        <w:ind w:firstLine="1890"/>
        <w:rPr>
          <w:rFonts w:hint="eastAsia" w:ascii="宋体" w:hAnsi="宋体" w:eastAsia="宋体" w:cs="宋体"/>
          <w:color w:val="000000"/>
          <w:szCs w:val="21"/>
          <w:highlight w:val="none"/>
          <w:u w:val="single"/>
          <w:lang w:eastAsia="zh-CN"/>
        </w:rPr>
      </w:pPr>
      <w:r>
        <w:rPr>
          <w:rFonts w:hint="eastAsia" w:ascii="宋体" w:hAnsi="宋体" w:cs="宋体"/>
          <w:color w:val="000000"/>
          <w:szCs w:val="21"/>
          <w:highlight w:val="none"/>
        </w:rPr>
        <w:t>投标人[公章(CA签章)，自然人签字或个人CA签章]：</w:t>
      </w:r>
    </w:p>
    <w:p w14:paraId="724B945B">
      <w:pPr>
        <w:spacing w:line="340" w:lineRule="exact"/>
        <w:rPr>
          <w:rFonts w:ascii="宋体" w:hAnsi="宋体" w:cs="宋体"/>
          <w:color w:val="000000"/>
          <w:szCs w:val="21"/>
          <w:highlight w:val="none"/>
          <w:u w:val="single"/>
        </w:rPr>
      </w:pPr>
    </w:p>
    <w:p w14:paraId="740ED651">
      <w:pPr>
        <w:ind w:firstLine="1890"/>
        <w:rPr>
          <w:rFonts w:hint="eastAsia" w:ascii="宋体" w:hAnsi="宋体" w:eastAsia="宋体" w:cs="宋体"/>
          <w:color w:val="000000"/>
          <w:highlight w:val="none"/>
          <w:u w:val="single"/>
          <w:lang w:eastAsia="zh-CN"/>
        </w:rPr>
      </w:pPr>
      <w:r>
        <w:rPr>
          <w:rFonts w:hint="eastAsia" w:ascii="宋体" w:hAnsi="宋体" w:cs="宋体"/>
          <w:color w:val="000000"/>
          <w:highlight w:val="none"/>
        </w:rPr>
        <w:t>日期：</w:t>
      </w:r>
    </w:p>
    <w:p w14:paraId="2B0DA390">
      <w:pPr>
        <w:spacing w:line="360" w:lineRule="exact"/>
        <w:rPr>
          <w:rFonts w:ascii="宋体" w:hAnsi="宋体" w:cs="宋体"/>
          <w:color w:val="000000"/>
          <w:highlight w:val="none"/>
        </w:rPr>
      </w:pPr>
    </w:p>
    <w:p w14:paraId="50479DE2">
      <w:pPr>
        <w:spacing w:line="400" w:lineRule="exact"/>
        <w:ind w:left="902" w:hanging="482"/>
        <w:rPr>
          <w:rFonts w:ascii="宋体" w:hAnsi="宋体" w:cs="宋体"/>
          <w:b/>
          <w:color w:val="000000"/>
          <w:sz w:val="24"/>
          <w:highlight w:val="none"/>
        </w:rPr>
      </w:pPr>
      <w:r>
        <w:rPr>
          <w:rFonts w:hint="eastAsia" w:ascii="宋体" w:hAnsi="宋体" w:cs="宋体"/>
          <w:b/>
          <w:bCs/>
          <w:color w:val="000000"/>
          <w:sz w:val="24"/>
          <w:szCs w:val="24"/>
          <w:highlight w:val="none"/>
        </w:rPr>
        <w:t>注：</w:t>
      </w:r>
      <w:r>
        <w:rPr>
          <w:rFonts w:hint="eastAsia" w:ascii="宋体" w:hAnsi="宋体" w:cs="宋体"/>
          <w:b/>
          <w:color w:val="000000"/>
          <w:sz w:val="24"/>
          <w:highlight w:val="none"/>
        </w:rPr>
        <w:t>1.“</w:t>
      </w:r>
      <w:r>
        <w:rPr>
          <w:rFonts w:hint="eastAsia" w:ascii="宋体" w:hAnsi="宋体" w:cs="宋体"/>
          <w:b/>
          <w:color w:val="000000"/>
          <w:sz w:val="24"/>
          <w:highlight w:val="none"/>
          <w:lang w:eastAsia="zh-CN"/>
        </w:rPr>
        <w:t>服务响应表</w:t>
      </w:r>
      <w:r>
        <w:rPr>
          <w:rFonts w:hint="eastAsia" w:ascii="宋体" w:hAnsi="宋体" w:cs="宋体"/>
          <w:b/>
          <w:color w:val="000000"/>
          <w:sz w:val="24"/>
          <w:highlight w:val="none"/>
        </w:rPr>
        <w:t>”各项内容必须如实填写。</w:t>
      </w:r>
    </w:p>
    <w:p w14:paraId="349685CB">
      <w:pPr>
        <w:spacing w:line="400" w:lineRule="exact"/>
        <w:ind w:left="840" w:firstLine="181"/>
        <w:rPr>
          <w:rFonts w:ascii="宋体" w:hAnsi="宋体" w:cs="宋体"/>
          <w:b/>
          <w:color w:val="000000"/>
          <w:sz w:val="24"/>
          <w:highlight w:val="none"/>
        </w:rPr>
      </w:pPr>
      <w:r>
        <w:rPr>
          <w:rFonts w:hint="eastAsia" w:ascii="宋体" w:hAnsi="宋体" w:cs="宋体"/>
          <w:b/>
          <w:color w:val="000000"/>
          <w:sz w:val="24"/>
          <w:highlight w:val="none"/>
        </w:rPr>
        <w:t>2.当本表由多页构成时，需逐页加盖投标人公章（CA签章）（属自然人的须逐页签字或个人CA签章）。</w:t>
      </w:r>
    </w:p>
    <w:p w14:paraId="001990D5">
      <w:pPr>
        <w:pStyle w:val="214"/>
        <w:ind w:firstLine="964" w:firstLineChars="400"/>
        <w:jc w:val="both"/>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投标人应对照招标文件中</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第三章采购需求</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的</w:t>
      </w:r>
      <w:r>
        <w:rPr>
          <w:rFonts w:hint="eastAsia" w:ascii="宋体" w:hAnsi="宋体" w:eastAsia="宋体" w:cs="宋体"/>
          <w:b/>
          <w:color w:val="000000"/>
          <w:sz w:val="24"/>
          <w:szCs w:val="24"/>
          <w:highlight w:val="none"/>
          <w:lang w:eastAsia="zh-CN"/>
        </w:rPr>
        <w:t>全部</w:t>
      </w:r>
      <w:r>
        <w:rPr>
          <w:rFonts w:hint="eastAsia" w:ascii="宋体" w:hAnsi="宋体" w:eastAsia="宋体" w:cs="宋体"/>
          <w:b/>
          <w:color w:val="000000"/>
          <w:sz w:val="24"/>
          <w:szCs w:val="24"/>
          <w:highlight w:val="none"/>
        </w:rPr>
        <w:t>内容</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商务要求</w:t>
      </w:r>
      <w:r>
        <w:rPr>
          <w:rFonts w:hint="eastAsia" w:ascii="宋体" w:hAnsi="宋体" w:eastAsia="宋体" w:cs="宋体"/>
          <w:b/>
          <w:color w:val="000000"/>
          <w:sz w:val="24"/>
          <w:szCs w:val="24"/>
          <w:highlight w:val="none"/>
          <w:lang w:eastAsia="zh-CN"/>
        </w:rPr>
        <w:t>除外）</w:t>
      </w:r>
      <w:r>
        <w:rPr>
          <w:rFonts w:hint="eastAsia" w:ascii="宋体" w:hAnsi="宋体" w:eastAsia="宋体" w:cs="宋体"/>
          <w:b/>
          <w:color w:val="000000"/>
          <w:sz w:val="24"/>
          <w:szCs w:val="24"/>
          <w:highlight w:val="none"/>
        </w:rPr>
        <w:t>逐条响应，并在“偏离情况说明”栏注明“正偏离”、“负偏离”或“无偏离”。</w:t>
      </w:r>
      <w:r>
        <w:rPr>
          <w:rFonts w:hint="eastAsia" w:ascii="宋体" w:hAnsi="宋体" w:eastAsia="宋体" w:cs="宋体"/>
          <w:b/>
          <w:color w:val="000000"/>
          <w:sz w:val="24"/>
          <w:szCs w:val="24"/>
          <w:highlight w:val="none"/>
          <w:lang w:eastAsia="zh-CN"/>
        </w:rPr>
        <w:t>否则，投标无效。</w:t>
      </w:r>
    </w:p>
    <w:p w14:paraId="3FBB963E">
      <w:pPr>
        <w:pStyle w:val="214"/>
        <w:jc w:val="both"/>
        <w:rPr>
          <w:rFonts w:hint="eastAsia" w:ascii="宋体" w:hAnsi="宋体" w:eastAsia="宋体" w:cs="宋体"/>
          <w:b/>
          <w:color w:val="000000"/>
          <w:sz w:val="24"/>
          <w:szCs w:val="24"/>
          <w:highlight w:val="none"/>
          <w:lang w:val="en-US" w:eastAsia="zh-CN"/>
        </w:rPr>
      </w:pPr>
    </w:p>
    <w:p w14:paraId="6A654B5B">
      <w:pPr>
        <w:pStyle w:val="214"/>
        <w:jc w:val="center"/>
        <w:rPr>
          <w:rFonts w:hAnsi="宋体" w:cs="宋体"/>
          <w:b/>
          <w:color w:val="000000"/>
          <w:sz w:val="32"/>
          <w:highlight w:val="none"/>
        </w:rPr>
      </w:pPr>
    </w:p>
    <w:p w14:paraId="271734E0">
      <w:pPr>
        <w:pStyle w:val="214"/>
        <w:jc w:val="center"/>
        <w:rPr>
          <w:rFonts w:hAnsi="宋体" w:cs="宋体"/>
          <w:b/>
          <w:color w:val="000000"/>
          <w:sz w:val="32"/>
          <w:highlight w:val="none"/>
        </w:rPr>
      </w:pPr>
    </w:p>
    <w:p w14:paraId="021F3B70">
      <w:pPr>
        <w:pStyle w:val="214"/>
        <w:jc w:val="center"/>
        <w:rPr>
          <w:rFonts w:hAnsi="宋体" w:cs="宋体"/>
          <w:b/>
          <w:color w:val="000000"/>
          <w:sz w:val="32"/>
          <w:highlight w:val="none"/>
        </w:rPr>
      </w:pPr>
    </w:p>
    <w:p w14:paraId="6288EECE">
      <w:pPr>
        <w:pStyle w:val="214"/>
        <w:jc w:val="center"/>
        <w:rPr>
          <w:rFonts w:hAnsi="宋体" w:cs="宋体"/>
          <w:b/>
          <w:color w:val="000000"/>
          <w:sz w:val="32"/>
          <w:highlight w:val="none"/>
        </w:rPr>
      </w:pPr>
    </w:p>
    <w:p w14:paraId="68CDF7BB">
      <w:pPr>
        <w:pStyle w:val="39"/>
        <w:rPr>
          <w:color w:val="000000"/>
          <w:highlight w:val="none"/>
        </w:rPr>
      </w:pPr>
    </w:p>
    <w:p w14:paraId="483F96B3">
      <w:pPr>
        <w:rPr>
          <w:color w:val="000000"/>
          <w:highlight w:val="none"/>
        </w:rPr>
      </w:pPr>
    </w:p>
    <w:p w14:paraId="54983FE7">
      <w:pPr>
        <w:pStyle w:val="39"/>
        <w:rPr>
          <w:color w:val="000000"/>
          <w:highlight w:val="none"/>
        </w:rPr>
      </w:pPr>
    </w:p>
    <w:p w14:paraId="33802D99">
      <w:pPr>
        <w:rPr>
          <w:color w:val="000000"/>
          <w:highlight w:val="none"/>
        </w:rPr>
      </w:pPr>
    </w:p>
    <w:p w14:paraId="4E0F1FDB">
      <w:pPr>
        <w:pStyle w:val="39"/>
      </w:pPr>
    </w:p>
    <w:p w14:paraId="289BF02E">
      <w:pPr>
        <w:pStyle w:val="39"/>
        <w:rPr>
          <w:color w:val="000000"/>
          <w:highlight w:val="none"/>
        </w:rPr>
      </w:pPr>
    </w:p>
    <w:p w14:paraId="7EBAB541">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3.商务响应表（格式见附件）（必须提供）</w:t>
      </w:r>
      <w:r>
        <w:rPr>
          <w:rFonts w:hint="eastAsia" w:ascii="宋体" w:hAnsi="宋体" w:cs="宋体"/>
          <w:b/>
          <w:bCs/>
          <w:color w:val="000000"/>
          <w:sz w:val="32"/>
          <w:szCs w:val="32"/>
          <w:highlight w:val="none"/>
          <w:lang w:eastAsia="zh-CN"/>
        </w:rPr>
        <w:t>；</w:t>
      </w:r>
    </w:p>
    <w:p w14:paraId="4C52BF74">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4D290D41">
      <w:pPr>
        <w:jc w:val="center"/>
        <w:rPr>
          <w:rFonts w:ascii="宋体" w:hAnsi="宋体" w:cs="宋体"/>
          <w:b/>
          <w:bCs/>
          <w:color w:val="000000"/>
          <w:sz w:val="32"/>
          <w:szCs w:val="32"/>
          <w:highlight w:val="none"/>
        </w:rPr>
      </w:pPr>
      <w:r>
        <w:rPr>
          <w:rFonts w:hint="eastAsia" w:ascii="宋体" w:hAnsi="宋体" w:cs="宋体"/>
          <w:b/>
          <w:bCs/>
          <w:color w:val="000000"/>
          <w:sz w:val="32"/>
          <w:szCs w:val="32"/>
          <w:highlight w:val="none"/>
        </w:rPr>
        <w:t>商务响应表（格式）</w:t>
      </w:r>
    </w:p>
    <w:p w14:paraId="4A630153">
      <w:pPr>
        <w:pStyle w:val="39"/>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7786242F">
      <w:pPr>
        <w:pStyle w:val="39"/>
        <w:rPr>
          <w:rFonts w:hint="eastAsia"/>
          <w:sz w:val="18"/>
          <w:szCs w:val="21"/>
          <w:lang w:eastAsia="zh-CN"/>
        </w:rPr>
      </w:pPr>
      <w:r>
        <w:rPr>
          <w:rFonts w:hint="eastAsia" w:ascii="宋体" w:hAnsi="宋体" w:cs="宋体"/>
          <w:b/>
          <w:bCs/>
          <w:color w:val="000000"/>
          <w:sz w:val="24"/>
          <w:szCs w:val="21"/>
          <w:highlight w:val="none"/>
          <w:lang w:eastAsia="zh-CN"/>
        </w:rPr>
        <w:t>项目名称：</w:t>
      </w:r>
    </w:p>
    <w:p w14:paraId="342FA866">
      <w:pPr>
        <w:pStyle w:val="252"/>
        <w:rPr>
          <w:color w:val="000000"/>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373"/>
        <w:gridCol w:w="2835"/>
        <w:gridCol w:w="2410"/>
      </w:tblGrid>
      <w:tr w14:paraId="32682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51F230D">
            <w:pPr>
              <w:spacing w:line="36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项号</w:t>
            </w:r>
          </w:p>
        </w:tc>
        <w:tc>
          <w:tcPr>
            <w:tcW w:w="337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3E0C6EB">
            <w:pPr>
              <w:pStyle w:val="214"/>
              <w:spacing w:line="360" w:lineRule="exact"/>
              <w:jc w:val="center"/>
              <w:rPr>
                <w:rFonts w:hAnsi="宋体" w:cs="宋体"/>
                <w:b/>
                <w:bCs/>
                <w:color w:val="000000"/>
                <w:highlight w:val="none"/>
              </w:rPr>
            </w:pPr>
            <w:r>
              <w:rPr>
                <w:rFonts w:hint="eastAsia" w:hAnsi="宋体" w:cs="宋体"/>
                <w:b/>
                <w:bCs/>
                <w:color w:val="000000"/>
                <w:szCs w:val="24"/>
                <w:highlight w:val="none"/>
              </w:rPr>
              <w:t>招标文件的商务</w:t>
            </w:r>
            <w:r>
              <w:rPr>
                <w:rFonts w:hint="eastAsia" w:hAnsi="宋体" w:cs="宋体"/>
                <w:b/>
                <w:bCs/>
                <w:color w:val="000000"/>
                <w:szCs w:val="24"/>
                <w:highlight w:val="none"/>
                <w:lang w:eastAsia="zh-CN"/>
              </w:rPr>
              <w:t>要求</w:t>
            </w:r>
          </w:p>
        </w:tc>
        <w:tc>
          <w:tcPr>
            <w:tcW w:w="283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AED9E83">
            <w:pPr>
              <w:pStyle w:val="214"/>
              <w:spacing w:line="360" w:lineRule="exact"/>
              <w:jc w:val="center"/>
              <w:rPr>
                <w:rFonts w:hAnsi="宋体" w:cs="宋体"/>
                <w:b/>
                <w:bCs/>
                <w:color w:val="000000"/>
                <w:highlight w:val="none"/>
              </w:rPr>
            </w:pPr>
            <w:r>
              <w:rPr>
                <w:rFonts w:hint="eastAsia" w:hAnsi="宋体" w:cs="宋体"/>
                <w:b/>
                <w:bCs/>
                <w:color w:val="000000"/>
                <w:szCs w:val="24"/>
                <w:highlight w:val="none"/>
              </w:rPr>
              <w:t>投标文件承诺的商务</w:t>
            </w:r>
            <w:r>
              <w:rPr>
                <w:rFonts w:hint="eastAsia" w:hAnsi="宋体" w:cs="宋体"/>
                <w:b/>
                <w:bCs/>
                <w:color w:val="000000"/>
                <w:szCs w:val="24"/>
                <w:highlight w:val="none"/>
                <w:lang w:eastAsia="zh-CN"/>
              </w:rPr>
              <w:t>要求</w:t>
            </w:r>
          </w:p>
        </w:tc>
        <w:tc>
          <w:tcPr>
            <w:tcW w:w="241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7FE1F81">
            <w:pPr>
              <w:pStyle w:val="214"/>
              <w:spacing w:line="360" w:lineRule="exact"/>
              <w:jc w:val="center"/>
              <w:rPr>
                <w:rFonts w:hAnsi="宋体" w:cs="宋体"/>
                <w:b/>
                <w:bCs/>
                <w:color w:val="000000"/>
                <w:highlight w:val="none"/>
              </w:rPr>
            </w:pPr>
            <w:r>
              <w:rPr>
                <w:rFonts w:hint="eastAsia" w:hAnsi="宋体" w:cs="宋体"/>
                <w:b/>
                <w:bCs/>
                <w:color w:val="000000"/>
                <w:szCs w:val="24"/>
                <w:highlight w:val="none"/>
              </w:rPr>
              <w:t>偏离情况说明</w:t>
            </w:r>
          </w:p>
        </w:tc>
      </w:tr>
      <w:tr w14:paraId="0E3DD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43482D8C">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top"/>
          </w:tcPr>
          <w:p w14:paraId="5FA825AC">
            <w:pPr>
              <w:spacing w:before="156"/>
              <w:jc w:val="left"/>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B649293">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446069D">
            <w:pPr>
              <w:spacing w:before="156"/>
              <w:jc w:val="center"/>
              <w:rPr>
                <w:rFonts w:ascii="宋体" w:hAnsi="宋体" w:cs="宋体"/>
                <w:color w:val="000000"/>
                <w:szCs w:val="21"/>
                <w:highlight w:val="none"/>
              </w:rPr>
            </w:pPr>
          </w:p>
        </w:tc>
      </w:tr>
      <w:tr w14:paraId="4F0AA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0862541E">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7DDC6BE4">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531660E">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2BAC0B3">
            <w:pPr>
              <w:spacing w:before="156"/>
              <w:jc w:val="center"/>
              <w:rPr>
                <w:rFonts w:ascii="宋体" w:hAnsi="宋体" w:cs="宋体"/>
                <w:color w:val="000000"/>
                <w:szCs w:val="21"/>
                <w:highlight w:val="none"/>
              </w:rPr>
            </w:pPr>
          </w:p>
        </w:tc>
      </w:tr>
      <w:tr w14:paraId="0DD05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0EE19248">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5F216F19">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A2E61C4">
            <w:pPr>
              <w:spacing w:before="156"/>
              <w:ind w:left="43"/>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8414881">
            <w:pPr>
              <w:spacing w:before="156"/>
              <w:ind w:left="43"/>
              <w:jc w:val="center"/>
              <w:rPr>
                <w:rFonts w:ascii="宋体" w:hAnsi="宋体" w:cs="宋体"/>
                <w:color w:val="000000"/>
                <w:szCs w:val="21"/>
                <w:highlight w:val="none"/>
              </w:rPr>
            </w:pPr>
          </w:p>
        </w:tc>
      </w:tr>
      <w:tr w14:paraId="6F310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5A433E3F">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1C9CC6B4">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44E8CDE">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68BFE7D">
            <w:pPr>
              <w:spacing w:before="156"/>
              <w:jc w:val="center"/>
              <w:rPr>
                <w:rFonts w:ascii="宋体" w:hAnsi="宋体" w:cs="宋体"/>
                <w:color w:val="000000"/>
                <w:szCs w:val="21"/>
                <w:highlight w:val="none"/>
              </w:rPr>
            </w:pPr>
          </w:p>
        </w:tc>
      </w:tr>
      <w:tr w14:paraId="5CAB3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5B6B3D58">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56E5F805">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E4A069C">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A428086">
            <w:pPr>
              <w:spacing w:before="156"/>
              <w:jc w:val="center"/>
              <w:rPr>
                <w:rFonts w:ascii="宋体" w:hAnsi="宋体" w:cs="宋体"/>
                <w:color w:val="000000"/>
                <w:szCs w:val="21"/>
                <w:highlight w:val="none"/>
              </w:rPr>
            </w:pPr>
          </w:p>
        </w:tc>
      </w:tr>
      <w:tr w14:paraId="27FCB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62E7754D">
            <w:pPr>
              <w:spacing w:before="156"/>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3373" w:type="dxa"/>
            <w:tcBorders>
              <w:top w:val="single" w:color="auto" w:sz="4" w:space="0"/>
              <w:left w:val="single" w:color="auto" w:sz="4" w:space="0"/>
              <w:bottom w:val="single" w:color="auto" w:sz="4" w:space="0"/>
              <w:right w:val="single" w:color="auto" w:sz="4" w:space="0"/>
            </w:tcBorders>
            <w:noWrap w:val="0"/>
            <w:vAlign w:val="center"/>
          </w:tcPr>
          <w:p w14:paraId="0C0E0D94">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E7EE69E">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B91C141">
            <w:pPr>
              <w:spacing w:before="156"/>
              <w:jc w:val="center"/>
              <w:rPr>
                <w:rFonts w:ascii="宋体" w:hAnsi="宋体" w:cs="宋体"/>
                <w:color w:val="000000"/>
                <w:szCs w:val="21"/>
                <w:highlight w:val="none"/>
              </w:rPr>
            </w:pPr>
          </w:p>
        </w:tc>
      </w:tr>
    </w:tbl>
    <w:p w14:paraId="3BDA21DC">
      <w:pPr>
        <w:spacing w:before="50" w:after="50"/>
        <w:rPr>
          <w:rFonts w:ascii="宋体" w:hAnsi="宋体" w:cs="宋体"/>
          <w:color w:val="000000"/>
          <w:highlight w:val="none"/>
        </w:rPr>
      </w:pPr>
    </w:p>
    <w:p w14:paraId="589E5B62">
      <w:pPr>
        <w:spacing w:before="50" w:after="50"/>
        <w:rPr>
          <w:rFonts w:ascii="宋体" w:hAnsi="宋体" w:cs="宋体"/>
          <w:color w:val="000000"/>
          <w:spacing w:val="20"/>
          <w:sz w:val="24"/>
          <w:highlight w:val="none"/>
        </w:rPr>
      </w:pPr>
    </w:p>
    <w:p w14:paraId="06336551">
      <w:pPr>
        <w:spacing w:line="400" w:lineRule="exact"/>
        <w:ind w:firstLine="1890"/>
        <w:rPr>
          <w:rFonts w:hint="eastAsia" w:ascii="宋体" w:hAnsi="宋体" w:eastAsia="宋体" w:cs="宋体"/>
          <w:color w:val="000000"/>
          <w:szCs w:val="21"/>
          <w:highlight w:val="none"/>
          <w:u w:val="single"/>
          <w:lang w:eastAsia="zh-CN"/>
        </w:rPr>
      </w:pPr>
      <w:r>
        <w:rPr>
          <w:rFonts w:hint="eastAsia" w:ascii="宋体" w:hAnsi="宋体" w:cs="宋体"/>
          <w:color w:val="000000"/>
          <w:szCs w:val="21"/>
          <w:highlight w:val="none"/>
        </w:rPr>
        <w:t>投标人[公章(CA签章)，自然人签字或个人CA签章]：</w:t>
      </w:r>
    </w:p>
    <w:p w14:paraId="0BCE7095">
      <w:pPr>
        <w:spacing w:line="340" w:lineRule="exact"/>
        <w:rPr>
          <w:color w:val="000000"/>
          <w:highlight w:val="none"/>
        </w:rPr>
      </w:pPr>
    </w:p>
    <w:p w14:paraId="52D5C4A6">
      <w:pPr>
        <w:spacing w:line="400" w:lineRule="exact"/>
        <w:ind w:firstLine="1680"/>
        <w:rPr>
          <w:rFonts w:hint="eastAsia" w:ascii="宋体" w:hAnsi="宋体" w:cs="宋体"/>
          <w:color w:val="000000"/>
          <w:highlight w:val="none"/>
        </w:rPr>
      </w:pPr>
    </w:p>
    <w:p w14:paraId="35F2EC98">
      <w:pPr>
        <w:spacing w:line="400" w:lineRule="exact"/>
        <w:ind w:firstLine="1680"/>
        <w:rPr>
          <w:rFonts w:hint="eastAsia" w:ascii="宋体" w:hAnsi="宋体" w:eastAsia="宋体" w:cs="宋体"/>
          <w:color w:val="000000"/>
          <w:highlight w:val="none"/>
          <w:lang w:eastAsia="zh-CN"/>
        </w:rPr>
      </w:pPr>
      <w:r>
        <w:rPr>
          <w:rFonts w:hint="eastAsia" w:ascii="宋体" w:hAnsi="宋体" w:cs="宋体"/>
          <w:color w:val="000000"/>
          <w:highlight w:val="none"/>
        </w:rPr>
        <w:t>日期：</w:t>
      </w:r>
    </w:p>
    <w:p w14:paraId="27939803">
      <w:pPr>
        <w:ind w:firstLine="1890"/>
        <w:rPr>
          <w:rFonts w:ascii="宋体" w:hAnsi="宋体" w:cs="宋体"/>
          <w:color w:val="000000"/>
          <w:highlight w:val="none"/>
          <w:u w:val="single"/>
        </w:rPr>
      </w:pPr>
    </w:p>
    <w:p w14:paraId="42179ED2">
      <w:pPr>
        <w:ind w:firstLine="1890"/>
        <w:rPr>
          <w:rFonts w:ascii="宋体" w:hAnsi="宋体" w:cs="宋体"/>
          <w:color w:val="000000"/>
          <w:highlight w:val="none"/>
          <w:u w:val="single"/>
        </w:rPr>
      </w:pPr>
    </w:p>
    <w:p w14:paraId="0C53F0EC">
      <w:pPr>
        <w:spacing w:line="400" w:lineRule="exact"/>
        <w:ind w:left="982" w:hanging="562"/>
        <w:rPr>
          <w:rFonts w:ascii="宋体" w:hAnsi="宋体" w:cs="宋体"/>
          <w:b/>
          <w:bCs/>
          <w:color w:val="000000"/>
          <w:sz w:val="28"/>
          <w:szCs w:val="28"/>
          <w:highlight w:val="none"/>
        </w:rPr>
      </w:pPr>
      <w:r>
        <w:rPr>
          <w:rFonts w:hint="eastAsia" w:ascii="宋体" w:hAnsi="宋体" w:cs="宋体"/>
          <w:b/>
          <w:bCs/>
          <w:color w:val="000000"/>
          <w:sz w:val="28"/>
          <w:szCs w:val="28"/>
          <w:highlight w:val="none"/>
        </w:rPr>
        <w:t>注：</w:t>
      </w:r>
      <w:r>
        <w:rPr>
          <w:rFonts w:hint="eastAsia" w:ascii="宋体" w:hAnsi="宋体" w:cs="宋体"/>
          <w:b/>
          <w:color w:val="000000"/>
          <w:sz w:val="24"/>
          <w:highlight w:val="none"/>
        </w:rPr>
        <w:t>1.“商务响应表”各项内容必须如实填写。</w:t>
      </w:r>
    </w:p>
    <w:p w14:paraId="60D387C9">
      <w:pPr>
        <w:spacing w:line="400" w:lineRule="exact"/>
        <w:ind w:firstLine="964"/>
        <w:rPr>
          <w:rFonts w:hint="eastAsia" w:ascii="宋体" w:hAnsi="宋体" w:cs="宋体"/>
          <w:b/>
          <w:color w:val="000000"/>
          <w:sz w:val="24"/>
          <w:highlight w:val="none"/>
        </w:rPr>
      </w:pPr>
      <w:r>
        <w:rPr>
          <w:rFonts w:hint="eastAsia" w:ascii="宋体" w:hAnsi="宋体" w:cs="宋体"/>
          <w:b/>
          <w:color w:val="000000"/>
          <w:sz w:val="24"/>
          <w:highlight w:val="none"/>
        </w:rPr>
        <w:t>2.当本表由多页构成时，需逐页加盖投标人公章（CA签章）（属自然人的须逐页签字或个人CA签章）。</w:t>
      </w:r>
    </w:p>
    <w:p w14:paraId="5B84435E">
      <w:pPr>
        <w:pStyle w:val="39"/>
        <w:ind w:firstLine="964" w:firstLineChars="400"/>
        <w:rPr>
          <w:rFonts w:hint="eastAsia" w:ascii="宋体" w:hAnsi="宋体" w:eastAsia="宋体" w:cs="宋体"/>
          <w:b/>
          <w:color w:val="000000"/>
          <w:highlight w:val="none"/>
          <w:lang w:val="en-US" w:eastAsia="zh-CN"/>
        </w:rPr>
      </w:pPr>
      <w:r>
        <w:rPr>
          <w:rFonts w:hint="eastAsia" w:ascii="宋体" w:hAnsi="宋体" w:eastAsia="宋体" w:cs="宋体"/>
          <w:b/>
          <w:color w:val="000000"/>
          <w:highlight w:val="none"/>
          <w:lang w:val="en-US" w:eastAsia="zh-CN"/>
        </w:rPr>
        <w:t>3.</w:t>
      </w:r>
      <w:r>
        <w:rPr>
          <w:rFonts w:hint="eastAsia" w:ascii="宋体" w:hAnsi="宋体" w:eastAsia="宋体" w:cs="宋体"/>
          <w:b/>
          <w:color w:val="000000"/>
          <w:highlight w:val="none"/>
        </w:rPr>
        <w:t>投标人应对照招标文件中</w:t>
      </w:r>
      <w:r>
        <w:rPr>
          <w:rFonts w:hint="eastAsia" w:ascii="宋体" w:hAnsi="宋体" w:eastAsia="宋体" w:cs="宋体"/>
          <w:b/>
          <w:color w:val="000000"/>
          <w:highlight w:val="none"/>
          <w:lang w:eastAsia="zh-CN"/>
        </w:rPr>
        <w:t>“</w:t>
      </w:r>
      <w:r>
        <w:rPr>
          <w:rFonts w:hint="eastAsia" w:ascii="宋体" w:hAnsi="宋体" w:eastAsia="宋体" w:cs="宋体"/>
          <w:b/>
          <w:color w:val="000000"/>
          <w:highlight w:val="none"/>
        </w:rPr>
        <w:t>第三章采购需求</w:t>
      </w:r>
      <w:r>
        <w:rPr>
          <w:rFonts w:hint="eastAsia" w:ascii="宋体" w:hAnsi="宋体" w:eastAsia="宋体" w:cs="宋体"/>
          <w:b/>
          <w:color w:val="000000"/>
          <w:highlight w:val="none"/>
          <w:lang w:eastAsia="zh-CN"/>
        </w:rPr>
        <w:t>”中的“</w:t>
      </w:r>
      <w:r>
        <w:rPr>
          <w:rFonts w:hint="eastAsia" w:ascii="宋体" w:hAnsi="宋体" w:eastAsia="宋体" w:cs="宋体"/>
          <w:b/>
          <w:color w:val="000000"/>
          <w:highlight w:val="none"/>
        </w:rPr>
        <w:t>商务要求</w:t>
      </w:r>
      <w:r>
        <w:rPr>
          <w:rFonts w:hint="eastAsia" w:ascii="宋体" w:hAnsi="宋体" w:eastAsia="宋体" w:cs="宋体"/>
          <w:b/>
          <w:color w:val="000000"/>
          <w:highlight w:val="none"/>
          <w:lang w:eastAsia="zh-CN"/>
        </w:rPr>
        <w:t>”</w:t>
      </w:r>
      <w:r>
        <w:rPr>
          <w:rFonts w:hint="eastAsia" w:ascii="宋体" w:hAnsi="宋体" w:eastAsia="宋体" w:cs="宋体"/>
          <w:b/>
          <w:color w:val="000000"/>
          <w:highlight w:val="none"/>
        </w:rPr>
        <w:t>的内容逐条响应，并在“偏离情况说明”栏注明“正偏离”、“负偏离”或“无偏离”。</w:t>
      </w:r>
      <w:r>
        <w:rPr>
          <w:rFonts w:hint="eastAsia" w:ascii="宋体" w:hAnsi="宋体" w:eastAsia="宋体" w:cs="宋体"/>
          <w:b/>
          <w:color w:val="000000"/>
          <w:highlight w:val="none"/>
          <w:lang w:eastAsia="zh-CN"/>
        </w:rPr>
        <w:t>否则，投标无效。</w:t>
      </w:r>
    </w:p>
    <w:p w14:paraId="107F0460">
      <w:pPr>
        <w:pStyle w:val="39"/>
        <w:rPr>
          <w:color w:val="000000"/>
          <w:highlight w:val="none"/>
        </w:rPr>
      </w:pPr>
    </w:p>
    <w:p w14:paraId="27B2287F">
      <w:pPr>
        <w:pStyle w:val="39"/>
        <w:rPr>
          <w:color w:val="000000"/>
          <w:highlight w:val="none"/>
        </w:rPr>
      </w:pPr>
    </w:p>
    <w:p w14:paraId="5D50D39A">
      <w:pPr>
        <w:rPr>
          <w:color w:val="000000"/>
          <w:highlight w:val="none"/>
        </w:rPr>
      </w:pPr>
    </w:p>
    <w:p w14:paraId="52AE1E08">
      <w:pPr>
        <w:pStyle w:val="195"/>
        <w:rPr>
          <w:color w:val="000000"/>
          <w:highlight w:val="none"/>
        </w:rPr>
      </w:pPr>
    </w:p>
    <w:p w14:paraId="0BF15F9E">
      <w:pPr>
        <w:rPr>
          <w:color w:val="000000"/>
          <w:highlight w:val="none"/>
        </w:rPr>
      </w:pPr>
    </w:p>
    <w:p w14:paraId="14DB81BE">
      <w:pP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val="en-US" w:eastAsia="zh-CN"/>
        </w:rPr>
        <w:t>4</w:t>
      </w:r>
      <w:r>
        <w:rPr>
          <w:rFonts w:hint="eastAsia" w:ascii="宋体" w:hAnsi="宋体" w:eastAsia="宋体" w:cs="宋体"/>
          <w:b/>
          <w:bCs/>
          <w:color w:val="000000"/>
          <w:sz w:val="32"/>
          <w:szCs w:val="32"/>
          <w:highlight w:val="none"/>
        </w:rPr>
        <w:t>.“采购需求”需提供的有效证明文件（按其要求提供）</w:t>
      </w:r>
      <w:r>
        <w:rPr>
          <w:rFonts w:hint="eastAsia" w:ascii="宋体" w:hAnsi="宋体" w:eastAsia="宋体" w:cs="宋体"/>
          <w:b/>
          <w:bCs/>
          <w:color w:val="000000"/>
          <w:sz w:val="32"/>
          <w:szCs w:val="32"/>
          <w:highlight w:val="none"/>
          <w:lang w:eastAsia="zh-CN"/>
        </w:rPr>
        <w:t>；</w:t>
      </w:r>
    </w:p>
    <w:p w14:paraId="0E321366">
      <w:pPr>
        <w:rPr>
          <w:rFonts w:hint="eastAsia" w:ascii="宋体" w:hAnsi="宋体" w:eastAsia="宋体" w:cs="宋体"/>
          <w:b/>
          <w:bCs/>
          <w:color w:val="000000"/>
          <w:sz w:val="32"/>
          <w:szCs w:val="32"/>
          <w:highlight w:val="none"/>
        </w:rPr>
      </w:pPr>
    </w:p>
    <w:p w14:paraId="0D2C24A4">
      <w:pPr>
        <w:rPr>
          <w:rFonts w:hint="eastAsia" w:ascii="宋体" w:hAnsi="宋体" w:eastAsia="宋体" w:cs="宋体"/>
          <w:b/>
          <w:bCs/>
          <w:color w:val="000000"/>
          <w:sz w:val="32"/>
          <w:szCs w:val="32"/>
          <w:highlight w:val="none"/>
        </w:rPr>
      </w:pPr>
    </w:p>
    <w:p w14:paraId="04D44E34">
      <w:pPr>
        <w:pStyle w:val="252"/>
        <w:rPr>
          <w:rFonts w:hint="eastAsia" w:ascii="宋体" w:hAnsi="宋体" w:eastAsia="宋体" w:cs="宋体"/>
          <w:color w:val="000000"/>
          <w:highlight w:val="none"/>
        </w:rPr>
      </w:pPr>
    </w:p>
    <w:p w14:paraId="4ECC18CB">
      <w:pP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val="en-US" w:eastAsia="zh-CN"/>
        </w:rPr>
        <w:t>5</w:t>
      </w: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lang w:eastAsia="zh-CN"/>
        </w:rPr>
        <w:t>服务承诺书（由供应商根据本项目采购需求、特点及供应商自身的处理能力自行编写）</w:t>
      </w:r>
      <w:r>
        <w:rPr>
          <w:rFonts w:hint="eastAsia" w:ascii="宋体" w:hAnsi="宋体" w:eastAsia="宋体" w:cs="宋体"/>
          <w:b/>
          <w:bCs/>
          <w:color w:val="000000"/>
          <w:sz w:val="32"/>
          <w:szCs w:val="32"/>
          <w:highlight w:val="none"/>
        </w:rPr>
        <w:t>（格式见附件）（必须提供）</w:t>
      </w:r>
      <w:r>
        <w:rPr>
          <w:rFonts w:hint="eastAsia" w:ascii="宋体" w:hAnsi="宋体" w:eastAsia="宋体" w:cs="宋体"/>
          <w:b/>
          <w:bCs/>
          <w:color w:val="000000"/>
          <w:sz w:val="32"/>
          <w:szCs w:val="32"/>
          <w:highlight w:val="none"/>
          <w:lang w:eastAsia="zh-CN"/>
        </w:rPr>
        <w:t>；</w:t>
      </w:r>
    </w:p>
    <w:p w14:paraId="74C41D7A">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附件：</w:t>
      </w:r>
    </w:p>
    <w:p w14:paraId="6F6D790F">
      <w:pPr>
        <w:ind w:firstLine="472"/>
        <w:jc w:val="center"/>
        <w:rPr>
          <w:rFonts w:hint="eastAsia" w:ascii="宋体" w:hAnsi="宋体" w:eastAsia="宋体" w:cs="宋体"/>
          <w:b/>
          <w:bCs/>
          <w:color w:val="000000"/>
          <w:sz w:val="32"/>
          <w:szCs w:val="32"/>
          <w:highlight w:val="none"/>
        </w:rPr>
      </w:pPr>
    </w:p>
    <w:p w14:paraId="060C3008">
      <w:pPr>
        <w:pStyle w:val="39"/>
        <w:rPr>
          <w:rFonts w:hint="eastAsia" w:ascii="宋体" w:hAnsi="宋体" w:eastAsia="宋体" w:cs="宋体"/>
          <w:b/>
          <w:bCs/>
          <w:color w:val="000000"/>
          <w:sz w:val="32"/>
          <w:szCs w:val="32"/>
          <w:highlight w:val="none"/>
        </w:rPr>
      </w:pPr>
    </w:p>
    <w:p w14:paraId="7A9AD23F">
      <w:pPr>
        <w:ind w:firstLine="472"/>
        <w:jc w:val="center"/>
        <w:rPr>
          <w:rFonts w:hint="eastAsia" w:ascii="宋体" w:hAnsi="宋体" w:eastAsia="宋体" w:cs="宋体"/>
          <w:b/>
          <w:bCs/>
          <w:color w:val="000000"/>
          <w:sz w:val="32"/>
          <w:highlight w:val="none"/>
        </w:rPr>
      </w:pPr>
      <w:r>
        <w:rPr>
          <w:rFonts w:hint="eastAsia" w:ascii="宋体" w:hAnsi="宋体" w:eastAsia="宋体" w:cs="宋体"/>
          <w:b/>
          <w:bCs/>
          <w:color w:val="000000"/>
          <w:sz w:val="32"/>
          <w:szCs w:val="32"/>
          <w:highlight w:val="none"/>
        </w:rPr>
        <w:t>服务承诺书</w:t>
      </w:r>
      <w:r>
        <w:rPr>
          <w:rFonts w:hint="eastAsia" w:ascii="宋体" w:hAnsi="宋体" w:eastAsia="宋体" w:cs="宋体"/>
          <w:b/>
          <w:bCs/>
          <w:color w:val="000000"/>
          <w:sz w:val="32"/>
          <w:highlight w:val="none"/>
        </w:rPr>
        <w:t>（格式）</w:t>
      </w:r>
    </w:p>
    <w:p w14:paraId="649E773A">
      <w:pPr>
        <w:spacing w:line="400" w:lineRule="exact"/>
        <w:rPr>
          <w:rFonts w:hint="eastAsia" w:ascii="宋体" w:hAnsi="宋体" w:eastAsia="宋体" w:cs="宋体"/>
          <w:color w:val="000000"/>
          <w:sz w:val="32"/>
          <w:szCs w:val="32"/>
          <w:highlight w:val="none"/>
        </w:rPr>
      </w:pPr>
    </w:p>
    <w:p w14:paraId="3EB8C294">
      <w:pPr>
        <w:pStyle w:val="252"/>
        <w:rPr>
          <w:rFonts w:hint="eastAsia" w:ascii="宋体" w:hAnsi="宋体" w:eastAsia="宋体" w:cs="宋体"/>
          <w:color w:val="000000"/>
          <w:highlight w:val="none"/>
        </w:rPr>
      </w:pPr>
    </w:p>
    <w:p w14:paraId="1613E832">
      <w:pPr>
        <w:spacing w:line="400" w:lineRule="exact"/>
        <w:rPr>
          <w:rFonts w:hint="eastAsia" w:ascii="宋体" w:hAnsi="宋体" w:eastAsia="宋体" w:cs="宋体"/>
          <w:color w:val="000000"/>
          <w:sz w:val="32"/>
          <w:szCs w:val="32"/>
          <w:highlight w:val="none"/>
        </w:rPr>
      </w:pPr>
    </w:p>
    <w:p w14:paraId="07842AAC">
      <w:pPr>
        <w:spacing w:line="400" w:lineRule="exact"/>
        <w:rPr>
          <w:rFonts w:hint="eastAsia" w:ascii="宋体" w:hAnsi="宋体" w:eastAsia="宋体" w:cs="宋体"/>
          <w:color w:val="000000"/>
          <w:sz w:val="32"/>
          <w:szCs w:val="32"/>
          <w:highlight w:val="none"/>
        </w:rPr>
      </w:pPr>
    </w:p>
    <w:p w14:paraId="4BFDED30">
      <w:pPr>
        <w:spacing w:line="400" w:lineRule="exact"/>
        <w:rPr>
          <w:rFonts w:hint="eastAsia" w:ascii="宋体" w:hAnsi="宋体" w:eastAsia="宋体" w:cs="宋体"/>
          <w:color w:val="000000"/>
          <w:sz w:val="32"/>
          <w:szCs w:val="32"/>
          <w:highlight w:val="none"/>
        </w:rPr>
      </w:pPr>
    </w:p>
    <w:p w14:paraId="4F5E57B9">
      <w:pPr>
        <w:spacing w:line="400" w:lineRule="exact"/>
        <w:ind w:firstLine="1890"/>
        <w:rPr>
          <w:rFonts w:hint="eastAsia" w:ascii="宋体" w:hAnsi="宋体" w:eastAsia="宋体" w:cs="宋体"/>
          <w:color w:val="000000"/>
          <w:szCs w:val="21"/>
          <w:highlight w:val="none"/>
          <w:u w:val="single"/>
          <w:lang w:eastAsia="zh-CN"/>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p>
    <w:p w14:paraId="01D2187A">
      <w:pPr>
        <w:spacing w:line="400" w:lineRule="exact"/>
        <w:rPr>
          <w:rFonts w:hint="eastAsia" w:ascii="宋体" w:hAnsi="宋体" w:eastAsia="宋体" w:cs="宋体"/>
          <w:color w:val="000000"/>
          <w:szCs w:val="21"/>
          <w:highlight w:val="none"/>
          <w:u w:val="single"/>
        </w:rPr>
      </w:pPr>
    </w:p>
    <w:p w14:paraId="506C0337">
      <w:pPr>
        <w:spacing w:line="340" w:lineRule="exact"/>
        <w:ind w:left="1890" w:firstLine="0"/>
        <w:rPr>
          <w:rFonts w:hint="eastAsia" w:ascii="宋体" w:hAnsi="宋体" w:eastAsia="宋体" w:cs="宋体"/>
          <w:color w:val="000000"/>
          <w:highlight w:val="none"/>
        </w:rPr>
      </w:pPr>
    </w:p>
    <w:p w14:paraId="3C8F5CD0">
      <w:pPr>
        <w:spacing w:line="400" w:lineRule="exact"/>
        <w:ind w:firstLine="1680"/>
        <w:rPr>
          <w:rFonts w:hint="eastAsia" w:ascii="宋体" w:hAnsi="宋体" w:eastAsia="宋体" w:cs="宋体"/>
          <w:color w:val="000000"/>
          <w:highlight w:val="none"/>
          <w:lang w:eastAsia="zh-CN"/>
        </w:rPr>
      </w:pPr>
      <w:r>
        <w:rPr>
          <w:rFonts w:hint="eastAsia" w:ascii="宋体" w:hAnsi="宋体" w:eastAsia="宋体" w:cs="宋体"/>
          <w:color w:val="000000"/>
          <w:highlight w:val="none"/>
        </w:rPr>
        <w:t>日期：</w:t>
      </w:r>
    </w:p>
    <w:p w14:paraId="65BF54BE">
      <w:pPr>
        <w:spacing w:line="400" w:lineRule="exact"/>
        <w:ind w:firstLine="1680"/>
        <w:rPr>
          <w:rFonts w:hint="eastAsia" w:ascii="宋体" w:hAnsi="宋体" w:eastAsia="宋体" w:cs="宋体"/>
          <w:color w:val="000000"/>
          <w:highlight w:val="none"/>
        </w:rPr>
      </w:pPr>
    </w:p>
    <w:p w14:paraId="63D08B12">
      <w:pPr>
        <w:pStyle w:val="39"/>
        <w:rPr>
          <w:rFonts w:hint="eastAsia" w:ascii="宋体" w:hAnsi="宋体" w:eastAsia="宋体" w:cs="宋体"/>
          <w:color w:val="000000"/>
          <w:highlight w:val="none"/>
        </w:rPr>
      </w:pPr>
    </w:p>
    <w:p w14:paraId="02D8733F">
      <w:pPr>
        <w:pStyle w:val="39"/>
        <w:rPr>
          <w:rFonts w:hint="eastAsia" w:ascii="宋体" w:hAnsi="宋体" w:eastAsia="宋体" w:cs="宋体"/>
          <w:color w:val="000000"/>
          <w:highlight w:val="none"/>
        </w:rPr>
      </w:pPr>
    </w:p>
    <w:p w14:paraId="76BC0ECD">
      <w:pPr>
        <w:pStyle w:val="39"/>
        <w:rPr>
          <w:rFonts w:hint="eastAsia"/>
        </w:rPr>
      </w:pPr>
    </w:p>
    <w:p w14:paraId="47D3C391">
      <w:pPr>
        <w:rPr>
          <w:rFonts w:hint="eastAsia"/>
          <w:color w:val="000000"/>
          <w:highlight w:val="none"/>
        </w:rPr>
      </w:pPr>
    </w:p>
    <w:p w14:paraId="0F1725C5">
      <w:pPr>
        <w:rPr>
          <w:rFonts w:hint="eastAsia" w:ascii="宋体" w:hAnsi="宋体" w:eastAsia="宋体" w:cs="宋体"/>
          <w:color w:val="000000"/>
          <w:highlight w:val="none"/>
        </w:rPr>
      </w:pPr>
    </w:p>
    <w:p w14:paraId="3DEB097E">
      <w:pPr>
        <w:numPr>
          <w:ilvl w:val="0"/>
          <w:numId w:val="0"/>
        </w:numPr>
        <w:tabs>
          <w:tab w:val="left" w:pos="1305"/>
        </w:tabs>
        <w:spacing w:line="400" w:lineRule="exact"/>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6</w:t>
      </w: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lang w:eastAsia="zh-CN"/>
        </w:rPr>
        <w:t>针对本项目的服务方案</w:t>
      </w:r>
      <w:r>
        <w:rPr>
          <w:rFonts w:hint="eastAsia" w:ascii="宋体" w:hAnsi="宋体" w:eastAsia="宋体" w:cs="宋体"/>
          <w:b/>
          <w:bCs/>
          <w:color w:val="000000"/>
          <w:sz w:val="32"/>
          <w:szCs w:val="32"/>
          <w:highlight w:val="none"/>
        </w:rPr>
        <w:t>（必须提供）；</w:t>
      </w:r>
    </w:p>
    <w:p w14:paraId="7F1B19A9">
      <w:pPr>
        <w:rPr>
          <w:rFonts w:hint="eastAsia" w:ascii="宋体" w:hAnsi="宋体" w:eastAsia="宋体" w:cs="宋体"/>
          <w:b/>
          <w:bCs/>
          <w:color w:val="000000"/>
          <w:sz w:val="32"/>
          <w:szCs w:val="32"/>
          <w:highlight w:val="none"/>
        </w:rPr>
      </w:pPr>
    </w:p>
    <w:p w14:paraId="209DC0D6">
      <w:pPr>
        <w:pStyle w:val="39"/>
        <w:rPr>
          <w:rFonts w:hint="eastAsia" w:ascii="宋体" w:hAnsi="宋体" w:eastAsia="宋体" w:cs="宋体"/>
          <w:b/>
          <w:bCs/>
          <w:color w:val="000000"/>
          <w:sz w:val="32"/>
          <w:szCs w:val="32"/>
          <w:highlight w:val="none"/>
        </w:rPr>
      </w:pPr>
    </w:p>
    <w:p w14:paraId="07A0E39B">
      <w:pPr>
        <w:rPr>
          <w:rFonts w:hint="eastAsia"/>
        </w:rPr>
      </w:pPr>
    </w:p>
    <w:p w14:paraId="39E252DB">
      <w:pPr>
        <w:pStyle w:val="39"/>
        <w:numPr>
          <w:ilvl w:val="0"/>
          <w:numId w:val="0"/>
        </w:numPr>
        <w:rPr>
          <w:rFonts w:hint="eastAsia" w:ascii="宋体" w:hAnsi="宋体" w:eastAsia="宋体" w:cs="宋体"/>
          <w:b/>
          <w:bCs/>
          <w:color w:val="000000"/>
          <w:sz w:val="32"/>
          <w:szCs w:val="32"/>
          <w:highlight w:val="none"/>
          <w:lang w:val="en-US" w:eastAsia="zh-CN" w:bidi="ar-SA"/>
        </w:rPr>
      </w:pPr>
      <w:r>
        <w:rPr>
          <w:rFonts w:hint="eastAsia" w:ascii="宋体" w:hAnsi="宋体" w:eastAsia="宋体" w:cs="宋体"/>
          <w:b/>
          <w:bCs/>
          <w:color w:val="000000"/>
          <w:sz w:val="32"/>
          <w:szCs w:val="32"/>
          <w:highlight w:val="none"/>
          <w:lang w:val="en-US" w:eastAsia="zh-CN" w:bidi="ar-SA"/>
        </w:rPr>
        <w:t>7.投标人自</w:t>
      </w:r>
      <w:r>
        <w:rPr>
          <w:rFonts w:hint="eastAsia" w:ascii="宋体" w:hAnsi="宋体" w:cs="宋体"/>
          <w:b/>
          <w:bCs/>
          <w:color w:val="000000"/>
          <w:sz w:val="32"/>
          <w:szCs w:val="32"/>
          <w:highlight w:val="none"/>
          <w:lang w:val="en-US" w:eastAsia="zh-CN" w:bidi="ar-SA"/>
        </w:rPr>
        <w:t>2024</w:t>
      </w:r>
      <w:r>
        <w:rPr>
          <w:rFonts w:hint="eastAsia" w:ascii="宋体" w:hAnsi="宋体" w:eastAsia="宋体" w:cs="宋体"/>
          <w:b/>
          <w:bCs/>
          <w:color w:val="000000"/>
          <w:sz w:val="32"/>
          <w:szCs w:val="32"/>
          <w:highlight w:val="none"/>
          <w:lang w:val="en-US" w:eastAsia="zh-CN" w:bidi="ar-SA"/>
        </w:rPr>
        <w:t>年1月1日以来同类业绩的相关证明材料（以中标、成交通知书或签订的采购合同扫描件为准，并能清晰反映所提供的服务类型、种类、金额）（如有，请提供）；</w:t>
      </w:r>
    </w:p>
    <w:p w14:paraId="02959DAC">
      <w:pPr>
        <w:pStyle w:val="252"/>
        <w:rPr>
          <w:rFonts w:hint="eastAsia" w:ascii="宋体" w:hAnsi="宋体" w:eastAsia="宋体" w:cs="宋体"/>
          <w:color w:val="000000"/>
          <w:highlight w:val="none"/>
          <w:lang w:val="en-US" w:eastAsia="zh-CN"/>
        </w:rPr>
      </w:pPr>
    </w:p>
    <w:p w14:paraId="19716972">
      <w:pPr>
        <w:pStyle w:val="252"/>
        <w:rPr>
          <w:rFonts w:hint="eastAsia" w:ascii="宋体" w:hAnsi="宋体" w:eastAsia="宋体" w:cs="宋体"/>
          <w:color w:val="000000"/>
          <w:highlight w:val="none"/>
          <w:lang w:val="en-US" w:eastAsia="zh-CN"/>
        </w:rPr>
      </w:pPr>
    </w:p>
    <w:p w14:paraId="4AC8FCC8">
      <w:pPr>
        <w:pStyle w:val="252"/>
        <w:rPr>
          <w:rFonts w:hint="eastAsia" w:ascii="宋体" w:hAnsi="宋体" w:eastAsia="宋体" w:cs="宋体"/>
          <w:color w:val="000000"/>
          <w:highlight w:val="none"/>
          <w:lang w:val="en-US" w:eastAsia="zh-CN"/>
        </w:rPr>
      </w:pPr>
    </w:p>
    <w:p w14:paraId="1D703BBF">
      <w:pPr>
        <w:pStyle w:val="252"/>
        <w:rPr>
          <w:rFonts w:hint="eastAsia" w:ascii="宋体" w:hAnsi="宋体" w:eastAsia="宋体" w:cs="宋体"/>
          <w:color w:val="000000"/>
          <w:highlight w:val="none"/>
          <w:lang w:val="en-US" w:eastAsia="zh-CN"/>
        </w:rPr>
      </w:pPr>
    </w:p>
    <w:p w14:paraId="743797CB">
      <w:pPr>
        <w:pStyle w:val="252"/>
        <w:rPr>
          <w:rFonts w:hint="eastAsia" w:ascii="宋体" w:hAnsi="宋体" w:eastAsia="宋体" w:cs="宋体"/>
          <w:color w:val="000000"/>
          <w:highlight w:val="none"/>
          <w:lang w:val="en-US" w:eastAsia="zh-CN"/>
        </w:rPr>
      </w:pPr>
    </w:p>
    <w:p w14:paraId="783E7DD8">
      <w:pPr>
        <w:pStyle w:val="252"/>
        <w:rPr>
          <w:rFonts w:hint="eastAsia" w:ascii="宋体" w:hAnsi="宋体" w:eastAsia="宋体" w:cs="宋体"/>
          <w:color w:val="000000"/>
          <w:highlight w:val="none"/>
          <w:lang w:val="en-US" w:eastAsia="zh-CN"/>
        </w:rPr>
      </w:pPr>
    </w:p>
    <w:p w14:paraId="477A4241">
      <w:pPr>
        <w:pStyle w:val="252"/>
        <w:rPr>
          <w:rFonts w:hint="eastAsia" w:ascii="宋体" w:hAnsi="宋体" w:eastAsia="宋体" w:cs="宋体"/>
          <w:color w:val="000000"/>
          <w:highlight w:val="none"/>
          <w:lang w:val="en-US" w:eastAsia="zh-CN"/>
        </w:rPr>
      </w:pPr>
    </w:p>
    <w:p w14:paraId="40A94221">
      <w:pPr>
        <w:pStyle w:val="252"/>
        <w:rPr>
          <w:rFonts w:hint="eastAsia" w:ascii="宋体" w:hAnsi="宋体" w:eastAsia="宋体" w:cs="宋体"/>
          <w:color w:val="000000"/>
          <w:highlight w:val="none"/>
          <w:lang w:val="en-US" w:eastAsia="zh-CN"/>
        </w:rPr>
      </w:pPr>
    </w:p>
    <w:p w14:paraId="031B106A">
      <w:pPr>
        <w:pStyle w:val="252"/>
        <w:rPr>
          <w:rFonts w:hint="eastAsia" w:ascii="宋体" w:hAnsi="宋体" w:eastAsia="宋体" w:cs="宋体"/>
          <w:color w:val="000000"/>
          <w:highlight w:val="none"/>
          <w:lang w:val="en-US" w:eastAsia="zh-CN"/>
        </w:rPr>
      </w:pPr>
    </w:p>
    <w:p w14:paraId="1263AEF5">
      <w:pPr>
        <w:pStyle w:val="252"/>
        <w:rPr>
          <w:rFonts w:hint="eastAsia" w:ascii="宋体" w:hAnsi="宋体" w:eastAsia="宋体" w:cs="宋体"/>
          <w:color w:val="000000"/>
          <w:highlight w:val="none"/>
          <w:lang w:val="en-US" w:eastAsia="zh-CN"/>
        </w:rPr>
      </w:pPr>
    </w:p>
    <w:p w14:paraId="6B4AE0E0">
      <w:pPr>
        <w:numPr>
          <w:ilvl w:val="0"/>
          <w:numId w:val="0"/>
        </w:numPr>
        <w:rPr>
          <w:rFonts w:hint="eastAsia" w:ascii="宋体" w:hAnsi="宋体" w:eastAsia="宋体" w:cs="宋体"/>
          <w:color w:val="000000"/>
          <w:highlight w:val="none"/>
          <w:lang w:eastAsia="zh-CN"/>
        </w:rPr>
      </w:pPr>
      <w:r>
        <w:rPr>
          <w:rFonts w:hint="eastAsia" w:ascii="宋体" w:hAnsi="宋体" w:eastAsia="宋体" w:cs="宋体"/>
          <w:b/>
          <w:bCs/>
          <w:color w:val="000000"/>
          <w:sz w:val="32"/>
          <w:szCs w:val="32"/>
          <w:highlight w:val="none"/>
          <w:lang w:val="en-US" w:eastAsia="zh-CN"/>
        </w:rPr>
        <w:t>8.</w:t>
      </w:r>
      <w:r>
        <w:rPr>
          <w:rFonts w:hint="eastAsia" w:ascii="宋体" w:hAnsi="宋体" w:eastAsia="宋体" w:cs="宋体"/>
          <w:b/>
          <w:bCs/>
          <w:color w:val="000000"/>
          <w:sz w:val="32"/>
          <w:szCs w:val="32"/>
          <w:highlight w:val="none"/>
        </w:rPr>
        <w:t>项目实施人员一览表（如有，请提供）</w:t>
      </w:r>
      <w:r>
        <w:rPr>
          <w:rFonts w:hint="eastAsia" w:ascii="宋体" w:hAnsi="宋体" w:eastAsia="宋体" w:cs="宋体"/>
          <w:b/>
          <w:bCs/>
          <w:color w:val="000000"/>
          <w:sz w:val="32"/>
          <w:szCs w:val="32"/>
          <w:highlight w:val="none"/>
          <w:lang w:eastAsia="zh-CN"/>
        </w:rPr>
        <w:t>；</w:t>
      </w:r>
    </w:p>
    <w:p w14:paraId="61E726B4">
      <w:pPr>
        <w:jc w:val="cente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rPr>
        <w:t>项目实施人员一览表（格式）</w:t>
      </w:r>
    </w:p>
    <w:tbl>
      <w:tblPr>
        <w:tblStyle w:val="30"/>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6003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808DF2E">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姓名</w:t>
            </w:r>
          </w:p>
        </w:tc>
        <w:tc>
          <w:tcPr>
            <w:tcW w:w="99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3C95452">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职务</w:t>
            </w:r>
          </w:p>
        </w:tc>
        <w:tc>
          <w:tcPr>
            <w:tcW w:w="18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9D9B7C1">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专业技术资格</w:t>
            </w:r>
          </w:p>
        </w:tc>
        <w:tc>
          <w:tcPr>
            <w:tcW w:w="155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D851FC3">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证书编号</w:t>
            </w:r>
          </w:p>
        </w:tc>
        <w:tc>
          <w:tcPr>
            <w:tcW w:w="2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1D478C8">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参加工作时间</w:t>
            </w:r>
          </w:p>
        </w:tc>
        <w:tc>
          <w:tcPr>
            <w:tcW w:w="14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106FBA0">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备注</w:t>
            </w:r>
          </w:p>
        </w:tc>
      </w:tr>
      <w:tr w14:paraId="034C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495C25FE">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3D331B1">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46C916CD">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E825352">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64C6ABE1">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096D75E3">
            <w:pPr>
              <w:spacing w:line="400" w:lineRule="exact"/>
              <w:rPr>
                <w:rFonts w:hint="eastAsia" w:ascii="宋体" w:hAnsi="宋体" w:eastAsia="宋体" w:cs="宋体"/>
                <w:color w:val="000000"/>
                <w:szCs w:val="21"/>
                <w:highlight w:val="none"/>
              </w:rPr>
            </w:pPr>
          </w:p>
        </w:tc>
      </w:tr>
      <w:tr w14:paraId="2401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07146F6B">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787F266">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513B3862">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EC599AF">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490A6DED">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1C74DA09">
            <w:pPr>
              <w:spacing w:line="400" w:lineRule="exact"/>
              <w:rPr>
                <w:rFonts w:hint="eastAsia" w:ascii="宋体" w:hAnsi="宋体" w:eastAsia="宋体" w:cs="宋体"/>
                <w:color w:val="000000"/>
                <w:szCs w:val="21"/>
                <w:highlight w:val="none"/>
              </w:rPr>
            </w:pPr>
          </w:p>
        </w:tc>
      </w:tr>
      <w:tr w14:paraId="3562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40D4ABBF">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2BE855">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73CBCF3D">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B92A534">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29CC73B6">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7F87B8E7">
            <w:pPr>
              <w:spacing w:line="400" w:lineRule="exact"/>
              <w:rPr>
                <w:rFonts w:hint="eastAsia" w:ascii="宋体" w:hAnsi="宋体" w:eastAsia="宋体" w:cs="宋体"/>
                <w:color w:val="000000"/>
                <w:szCs w:val="21"/>
                <w:highlight w:val="none"/>
              </w:rPr>
            </w:pPr>
          </w:p>
        </w:tc>
      </w:tr>
    </w:tbl>
    <w:p w14:paraId="2DEDA849">
      <w:pPr>
        <w:spacing w:line="400" w:lineRule="exact"/>
        <w:rPr>
          <w:rFonts w:hint="eastAsia" w:ascii="宋体" w:hAnsi="宋体" w:eastAsia="宋体" w:cs="宋体"/>
          <w:color w:val="000000"/>
          <w:szCs w:val="21"/>
          <w:highlight w:val="none"/>
        </w:rPr>
      </w:pPr>
    </w:p>
    <w:p w14:paraId="0F0E6EA5">
      <w:pPr>
        <w:spacing w:line="400" w:lineRule="exact"/>
        <w:ind w:firstLine="422"/>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注：1.在填写时，如本表格不适合投标单位的实际情况，可根据本表格式自行制表填写。</w:t>
      </w:r>
    </w:p>
    <w:p w14:paraId="2D124008">
      <w:pPr>
        <w:spacing w:line="400" w:lineRule="exact"/>
        <w:ind w:firstLine="3255"/>
        <w:rPr>
          <w:rFonts w:hint="eastAsia" w:ascii="宋体" w:hAnsi="宋体" w:eastAsia="宋体" w:cs="宋体"/>
          <w:color w:val="000000"/>
          <w:highlight w:val="none"/>
        </w:rPr>
      </w:pPr>
    </w:p>
    <w:p w14:paraId="73C5988A">
      <w:pPr>
        <w:spacing w:line="400" w:lineRule="exact"/>
        <w:ind w:firstLine="3255"/>
        <w:rPr>
          <w:rFonts w:hint="eastAsia" w:ascii="宋体" w:hAnsi="宋体" w:eastAsia="宋体" w:cs="宋体"/>
          <w:color w:val="000000"/>
          <w:highlight w:val="none"/>
        </w:rPr>
      </w:pPr>
    </w:p>
    <w:p w14:paraId="1C592EB2">
      <w:pPr>
        <w:spacing w:line="400" w:lineRule="exact"/>
        <w:ind w:firstLine="1890"/>
        <w:rPr>
          <w:rFonts w:hint="eastAsia" w:ascii="宋体" w:hAnsi="宋体" w:eastAsia="宋体" w:cs="宋体"/>
          <w:color w:val="000000"/>
          <w:szCs w:val="21"/>
          <w:highlight w:val="none"/>
          <w:u w:val="single"/>
          <w:lang w:eastAsia="zh-CN"/>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p>
    <w:p w14:paraId="6B1FD6D6">
      <w:pPr>
        <w:spacing w:line="340" w:lineRule="exact"/>
        <w:ind w:firstLine="1680"/>
        <w:rPr>
          <w:rFonts w:hint="eastAsia" w:ascii="宋体" w:hAnsi="宋体" w:eastAsia="宋体" w:cs="宋体"/>
          <w:color w:val="000000"/>
          <w:szCs w:val="21"/>
          <w:highlight w:val="none"/>
          <w:u w:val="single"/>
        </w:rPr>
      </w:pPr>
    </w:p>
    <w:p w14:paraId="7182FAB8">
      <w:pPr>
        <w:spacing w:line="340" w:lineRule="exact"/>
        <w:ind w:firstLine="1890"/>
        <w:rPr>
          <w:rFonts w:hint="eastAsia" w:ascii="宋体" w:hAnsi="宋体" w:eastAsia="宋体" w:cs="宋体"/>
          <w:b/>
          <w:color w:val="000000"/>
          <w:sz w:val="32"/>
          <w:szCs w:val="32"/>
          <w:highlight w:val="none"/>
        </w:rPr>
      </w:pPr>
      <w:r>
        <w:rPr>
          <w:rFonts w:hint="eastAsia" w:ascii="宋体" w:hAnsi="宋体" w:eastAsia="宋体" w:cs="宋体"/>
          <w:color w:val="000000"/>
          <w:highlight w:val="none"/>
        </w:rPr>
        <w:t>日期：</w:t>
      </w:r>
    </w:p>
    <w:p w14:paraId="7E118E63">
      <w:pPr>
        <w:spacing w:line="400" w:lineRule="exact"/>
        <w:ind w:left="840" w:firstLine="181"/>
        <w:rPr>
          <w:rFonts w:hint="eastAsia"/>
          <w:color w:val="000000"/>
          <w:highlight w:val="none"/>
        </w:rPr>
      </w:pPr>
      <w:r>
        <w:rPr>
          <w:rFonts w:hint="eastAsia" w:ascii="宋体" w:hAnsi="宋体" w:eastAsia="宋体" w:cs="宋体"/>
          <w:b/>
          <w:color w:val="000000"/>
          <w:sz w:val="24"/>
          <w:highlight w:val="none"/>
          <w:lang w:val="en-US" w:eastAsia="zh-CN"/>
        </w:rPr>
        <w:t>注：1</w:t>
      </w:r>
      <w:r>
        <w:rPr>
          <w:rFonts w:hint="eastAsia" w:ascii="宋体" w:hAnsi="宋体" w:eastAsia="宋体" w:cs="宋体"/>
          <w:b/>
          <w:color w:val="000000"/>
          <w:sz w:val="24"/>
          <w:highlight w:val="none"/>
        </w:rPr>
        <w:t>.当本表由多页构成时，需逐页加盖投标人公章</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lang w:val="en-US" w:eastAsia="zh-CN"/>
        </w:rPr>
        <w:t>CA签章</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（属自然人的须逐页签字</w:t>
      </w:r>
      <w:r>
        <w:rPr>
          <w:rFonts w:hint="eastAsia" w:ascii="宋体" w:hAnsi="宋体" w:eastAsia="宋体" w:cs="宋体"/>
          <w:b/>
          <w:color w:val="000000"/>
          <w:sz w:val="24"/>
          <w:highlight w:val="none"/>
          <w:lang w:eastAsia="zh-CN"/>
        </w:rPr>
        <w:t>或个人</w:t>
      </w:r>
      <w:r>
        <w:rPr>
          <w:rFonts w:hint="eastAsia" w:ascii="宋体" w:hAnsi="宋体" w:eastAsia="宋体" w:cs="宋体"/>
          <w:b/>
          <w:color w:val="000000"/>
          <w:sz w:val="24"/>
          <w:highlight w:val="none"/>
          <w:lang w:val="en-US" w:eastAsia="zh-CN"/>
        </w:rPr>
        <w:t>CA签章</w:t>
      </w:r>
      <w:r>
        <w:rPr>
          <w:rFonts w:hint="eastAsia" w:ascii="宋体" w:hAnsi="宋体" w:eastAsia="宋体" w:cs="宋体"/>
          <w:b/>
          <w:color w:val="000000"/>
          <w:sz w:val="24"/>
          <w:highlight w:val="none"/>
        </w:rPr>
        <w:t>）。</w:t>
      </w:r>
    </w:p>
    <w:p w14:paraId="49FA30A0">
      <w:pPr>
        <w:pStyle w:val="252"/>
        <w:rPr>
          <w:rFonts w:hint="eastAsia" w:ascii="宋体" w:hAnsi="宋体" w:eastAsia="宋体" w:cs="宋体"/>
          <w:color w:val="000000"/>
          <w:highlight w:val="none"/>
        </w:rPr>
      </w:pPr>
    </w:p>
    <w:p w14:paraId="50297E6B">
      <w:pPr>
        <w:rPr>
          <w:rFonts w:hint="eastAsia" w:ascii="宋体" w:hAnsi="宋体" w:eastAsia="宋体" w:cs="宋体"/>
          <w:b/>
          <w:bCs/>
          <w:color w:val="000000"/>
          <w:sz w:val="32"/>
          <w:szCs w:val="32"/>
          <w:highlight w:val="none"/>
          <w:lang w:val="en-US" w:eastAsia="zh-CN"/>
        </w:rPr>
      </w:pPr>
    </w:p>
    <w:p w14:paraId="40710999">
      <w:pPr>
        <w:rPr>
          <w:rFonts w:hint="eastAsia" w:ascii="宋体" w:hAnsi="宋体" w:eastAsia="宋体" w:cs="宋体"/>
          <w:b/>
          <w:bCs/>
          <w:color w:val="000000"/>
          <w:sz w:val="32"/>
          <w:szCs w:val="32"/>
          <w:highlight w:val="none"/>
          <w:lang w:val="en-US" w:eastAsia="zh-CN"/>
        </w:rPr>
      </w:pPr>
    </w:p>
    <w:p w14:paraId="3920AF6A">
      <w:pPr>
        <w:rPr>
          <w:rFonts w:hint="eastAsia" w:ascii="宋体" w:hAnsi="宋体" w:eastAsia="宋体" w:cs="宋体"/>
          <w:b/>
          <w:bCs/>
          <w:color w:val="000000"/>
          <w:sz w:val="32"/>
          <w:szCs w:val="32"/>
          <w:highlight w:val="none"/>
          <w:lang w:val="en-US" w:eastAsia="zh-CN"/>
        </w:rPr>
      </w:pPr>
    </w:p>
    <w:p w14:paraId="14F30CB7">
      <w:pPr>
        <w:rPr>
          <w:rFonts w:hint="eastAsia" w:ascii="宋体" w:hAnsi="宋体" w:eastAsia="宋体" w:cs="宋体"/>
          <w:b/>
          <w:bCs/>
          <w:color w:val="000000"/>
          <w:sz w:val="32"/>
          <w:szCs w:val="32"/>
          <w:highlight w:val="none"/>
          <w:lang w:val="en-US" w:eastAsia="zh-CN"/>
        </w:rPr>
      </w:pPr>
    </w:p>
    <w:p w14:paraId="744343B2">
      <w:pP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9</w:t>
      </w:r>
      <w:r>
        <w:rPr>
          <w:rFonts w:hint="eastAsia" w:ascii="宋体" w:hAnsi="宋体" w:eastAsia="宋体" w:cs="宋体"/>
          <w:b/>
          <w:bCs/>
          <w:color w:val="000000"/>
          <w:sz w:val="32"/>
          <w:szCs w:val="32"/>
          <w:highlight w:val="none"/>
        </w:rPr>
        <w:t>.投标人相关获奖证书、认证证书等</w:t>
      </w:r>
      <w:r>
        <w:rPr>
          <w:rFonts w:hint="eastAsia" w:ascii="宋体" w:hAnsi="宋体" w:eastAsia="宋体" w:cs="宋体"/>
          <w:b/>
          <w:bCs/>
          <w:color w:val="000000"/>
          <w:sz w:val="32"/>
          <w:szCs w:val="32"/>
          <w:highlight w:val="none"/>
          <w:lang w:eastAsia="zh-CN"/>
        </w:rPr>
        <w:t>扫描件</w:t>
      </w:r>
      <w:r>
        <w:rPr>
          <w:rFonts w:hint="eastAsia" w:ascii="宋体" w:hAnsi="宋体" w:eastAsia="宋体" w:cs="宋体"/>
          <w:b/>
          <w:bCs/>
          <w:color w:val="000000"/>
          <w:sz w:val="32"/>
          <w:szCs w:val="32"/>
          <w:highlight w:val="none"/>
        </w:rPr>
        <w:t>（如有，请提供）</w:t>
      </w:r>
      <w:r>
        <w:rPr>
          <w:rFonts w:hint="eastAsia" w:ascii="宋体" w:hAnsi="宋体" w:eastAsia="宋体" w:cs="宋体"/>
          <w:b/>
          <w:bCs/>
          <w:color w:val="000000"/>
          <w:sz w:val="32"/>
          <w:szCs w:val="32"/>
          <w:highlight w:val="none"/>
          <w:lang w:val="en-US" w:eastAsia="zh-CN"/>
        </w:rPr>
        <w:t>；</w:t>
      </w:r>
    </w:p>
    <w:p w14:paraId="1B4687C2">
      <w:pPr>
        <w:rPr>
          <w:rFonts w:hint="eastAsia" w:ascii="宋体" w:hAnsi="宋体" w:eastAsia="宋体" w:cs="宋体"/>
          <w:b/>
          <w:bCs/>
          <w:color w:val="000000"/>
          <w:sz w:val="32"/>
          <w:szCs w:val="32"/>
          <w:highlight w:val="none"/>
          <w:lang w:val="en-US" w:eastAsia="zh-CN"/>
        </w:rPr>
      </w:pPr>
    </w:p>
    <w:p w14:paraId="5C114663">
      <w:pPr>
        <w:pStyle w:val="39"/>
        <w:rPr>
          <w:rFonts w:hint="eastAsia" w:ascii="宋体" w:hAnsi="宋体" w:eastAsia="宋体" w:cs="宋体"/>
          <w:b/>
          <w:bCs/>
          <w:color w:val="000000"/>
          <w:sz w:val="32"/>
          <w:szCs w:val="32"/>
          <w:highlight w:val="none"/>
          <w:lang w:val="en-US" w:eastAsia="zh-CN"/>
        </w:rPr>
      </w:pPr>
    </w:p>
    <w:p w14:paraId="2F353BAB">
      <w:pPr>
        <w:rPr>
          <w:rFonts w:hint="eastAsia" w:ascii="宋体" w:hAnsi="宋体" w:eastAsia="宋体" w:cs="宋体"/>
          <w:b/>
          <w:bCs/>
          <w:color w:val="000000"/>
          <w:sz w:val="32"/>
          <w:szCs w:val="32"/>
          <w:highlight w:val="none"/>
          <w:lang w:val="en-US" w:eastAsia="zh-CN"/>
        </w:rPr>
      </w:pPr>
    </w:p>
    <w:p w14:paraId="5B5CC431">
      <w:pPr>
        <w:pStyle w:val="39"/>
        <w:rPr>
          <w:rFonts w:hint="eastAsia"/>
          <w:lang w:val="en-US" w:eastAsia="zh-CN"/>
        </w:rPr>
      </w:pPr>
    </w:p>
    <w:p w14:paraId="1741295E">
      <w:pPr>
        <w:rPr>
          <w:rFonts w:hint="eastAsia"/>
          <w:lang w:val="en-US" w:eastAsia="zh-CN"/>
        </w:rPr>
      </w:pPr>
    </w:p>
    <w:p w14:paraId="6BA76468">
      <w:pPr>
        <w:pStyle w:val="39"/>
        <w:rPr>
          <w:rFonts w:hint="eastAsia"/>
          <w:lang w:val="en-US" w:eastAsia="zh-CN"/>
        </w:rPr>
      </w:pPr>
    </w:p>
    <w:p w14:paraId="736D3CA0">
      <w:pPr>
        <w:rPr>
          <w:rFonts w:hint="eastAsia"/>
          <w:lang w:val="en-US" w:eastAsia="zh-CN"/>
        </w:rPr>
      </w:pPr>
    </w:p>
    <w:p w14:paraId="70E7F38B">
      <w:pPr>
        <w:pStyle w:val="39"/>
        <w:rPr>
          <w:rFonts w:hint="eastAsia"/>
          <w:lang w:val="en-US" w:eastAsia="zh-CN"/>
        </w:rPr>
      </w:pPr>
    </w:p>
    <w:p w14:paraId="6B25FF1F">
      <w:pPr>
        <w:rPr>
          <w:rFonts w:hint="eastAsia"/>
          <w:lang w:val="en-US" w:eastAsia="zh-CN"/>
        </w:rPr>
      </w:pPr>
    </w:p>
    <w:p w14:paraId="1EC63C64">
      <w:pPr>
        <w:pStyle w:val="39"/>
        <w:rPr>
          <w:rFonts w:hint="eastAsia"/>
          <w:lang w:val="en-US" w:eastAsia="zh-CN"/>
        </w:rPr>
      </w:pPr>
    </w:p>
    <w:p w14:paraId="1B849DAD">
      <w:pPr>
        <w:rPr>
          <w:rFonts w:hint="eastAsia"/>
          <w:lang w:val="en-US" w:eastAsia="zh-CN"/>
        </w:rPr>
      </w:pPr>
    </w:p>
    <w:p w14:paraId="6AD3644E">
      <w:pPr>
        <w:pStyle w:val="39"/>
        <w:rPr>
          <w:rFonts w:hint="eastAsia"/>
          <w:lang w:val="en-US" w:eastAsia="zh-CN"/>
        </w:rPr>
      </w:pPr>
    </w:p>
    <w:p w14:paraId="741B868A">
      <w:pPr>
        <w:rPr>
          <w:rFonts w:hint="eastAsia"/>
          <w:lang w:val="en-US" w:eastAsia="zh-CN"/>
        </w:rPr>
      </w:pPr>
    </w:p>
    <w:p w14:paraId="12120CDA">
      <w:pPr>
        <w:pStyle w:val="39"/>
        <w:rPr>
          <w:rFonts w:hint="eastAsia"/>
          <w:lang w:val="en-US" w:eastAsia="zh-CN"/>
        </w:rPr>
      </w:pPr>
    </w:p>
    <w:p w14:paraId="6D28C04A">
      <w:pPr>
        <w:rPr>
          <w:rFonts w:hint="eastAsia"/>
          <w:lang w:val="en-US" w:eastAsia="zh-CN"/>
        </w:rPr>
      </w:pPr>
    </w:p>
    <w:p w14:paraId="7DA7083B">
      <w:pPr>
        <w:pStyle w:val="39"/>
        <w:rPr>
          <w:rFonts w:hint="eastAsia"/>
          <w:lang w:val="en-US" w:eastAsia="zh-CN"/>
        </w:rPr>
      </w:pPr>
    </w:p>
    <w:p w14:paraId="050734E9">
      <w:pP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10</w:t>
      </w:r>
      <w:r>
        <w:rPr>
          <w:rFonts w:hint="eastAsia" w:ascii="宋体" w:hAnsi="宋体" w:eastAsia="宋体" w:cs="宋体"/>
          <w:b/>
          <w:bCs/>
          <w:color w:val="000000"/>
          <w:sz w:val="32"/>
          <w:szCs w:val="32"/>
        </w:rPr>
        <w:t>.如所提供</w:t>
      </w:r>
      <w:r>
        <w:rPr>
          <w:rFonts w:hint="eastAsia" w:ascii="宋体" w:hAnsi="宋体" w:eastAsia="宋体" w:cs="宋体"/>
          <w:b/>
          <w:bCs/>
          <w:color w:val="000000"/>
          <w:sz w:val="32"/>
          <w:szCs w:val="32"/>
          <w:lang w:eastAsia="zh-CN"/>
        </w:rPr>
        <w:t>服务</w:t>
      </w:r>
      <w:r>
        <w:rPr>
          <w:rFonts w:hint="eastAsia" w:ascii="宋体" w:hAnsi="宋体" w:eastAsia="宋体" w:cs="宋体"/>
          <w:b/>
          <w:bCs/>
          <w:color w:val="000000"/>
          <w:sz w:val="32"/>
          <w:szCs w:val="32"/>
        </w:rPr>
        <w:t>企业属于小型、微型企业【中小微型企业划分标准按照《国家统计局关于印发</w:t>
      </w:r>
      <w:r>
        <w:rPr>
          <w:rFonts w:hint="eastAsia" w:ascii="宋体" w:hAnsi="宋体" w:eastAsia="宋体" w:cs="宋体"/>
          <w:b/>
          <w:bCs/>
          <w:color w:val="000000"/>
          <w:sz w:val="32"/>
          <w:szCs w:val="32"/>
          <w:lang w:val="en-US" w:eastAsia="zh-CN"/>
        </w:rPr>
        <w:t>&lt;</w:t>
      </w:r>
      <w:r>
        <w:rPr>
          <w:rFonts w:hint="eastAsia" w:ascii="宋体" w:hAnsi="宋体" w:eastAsia="宋体" w:cs="宋体"/>
          <w:b/>
          <w:bCs/>
          <w:color w:val="000000"/>
          <w:sz w:val="32"/>
          <w:szCs w:val="32"/>
        </w:rPr>
        <w:t>统计上大中小微型企业划分办法〔2017〕</w:t>
      </w:r>
      <w:r>
        <w:rPr>
          <w:rFonts w:hint="eastAsia" w:ascii="宋体" w:hAnsi="宋体" w:eastAsia="宋体" w:cs="宋体"/>
          <w:b/>
          <w:bCs/>
          <w:color w:val="000000"/>
          <w:sz w:val="32"/>
          <w:szCs w:val="32"/>
          <w:lang w:val="en-US" w:eastAsia="zh-CN"/>
        </w:rPr>
        <w:t>&gt;</w:t>
      </w:r>
      <w:r>
        <w:rPr>
          <w:rFonts w:hint="eastAsia" w:ascii="宋体" w:hAnsi="宋体" w:eastAsia="宋体" w:cs="宋体"/>
          <w:b/>
          <w:bCs/>
          <w:color w:val="000000"/>
          <w:sz w:val="32"/>
          <w:szCs w:val="32"/>
        </w:rPr>
        <w:t>的通知》（国统字〔2017〕213号）执行，具体划分标准见第四章评标办法中附表《统计上大中小微型企业划分标准》】，以提供的《中小企业声明函》（见附件）为准（如有，请提供）；</w:t>
      </w:r>
    </w:p>
    <w:p w14:paraId="03557CDD">
      <w:pPr>
        <w:pStyle w:val="214"/>
        <w:spacing w:line="440" w:lineRule="exact"/>
        <w:jc w:val="both"/>
        <w:rPr>
          <w:rFonts w:hint="eastAsia" w:hAnsi="宋体" w:eastAsia="宋体" w:cs="宋体"/>
          <w:b/>
          <w:bCs/>
          <w:color w:val="000000"/>
          <w:sz w:val="28"/>
          <w:szCs w:val="28"/>
          <w:lang w:eastAsia="zh-CN"/>
        </w:rPr>
      </w:pPr>
      <w:r>
        <w:rPr>
          <w:rFonts w:hint="eastAsia" w:ascii="宋体" w:hAnsi="宋体" w:eastAsia="宋体" w:cs="宋体"/>
          <w:b/>
          <w:bCs/>
          <w:color w:val="000000"/>
          <w:sz w:val="28"/>
          <w:szCs w:val="28"/>
        </w:rPr>
        <w:t>附件</w:t>
      </w:r>
      <w:r>
        <w:rPr>
          <w:rFonts w:hint="eastAsia" w:hAnsi="宋体" w:eastAsia="宋体" w:cs="宋体"/>
          <w:b/>
          <w:bCs/>
          <w:color w:val="000000"/>
          <w:sz w:val="28"/>
          <w:szCs w:val="28"/>
          <w:lang w:eastAsia="zh-CN"/>
        </w:rPr>
        <w:t>：</w:t>
      </w:r>
    </w:p>
    <w:p w14:paraId="0BB607CE">
      <w:pPr>
        <w:rPr>
          <w:rFonts w:hint="eastAsia" w:hAnsi="宋体" w:eastAsia="宋体" w:cs="宋体"/>
          <w:b/>
          <w:bCs/>
          <w:color w:val="000000"/>
          <w:sz w:val="28"/>
          <w:szCs w:val="28"/>
          <w:lang w:eastAsia="zh-CN"/>
        </w:rPr>
      </w:pPr>
    </w:p>
    <w:p w14:paraId="1E6AC003">
      <w:pPr>
        <w:pStyle w:val="39"/>
        <w:rPr>
          <w:rFonts w:hint="eastAsia"/>
          <w:lang w:eastAsia="zh-CN"/>
        </w:rPr>
      </w:pPr>
    </w:p>
    <w:p w14:paraId="19ACD362">
      <w:pPr>
        <w:pStyle w:val="214"/>
        <w:spacing w:line="44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中小企业声明函</w:t>
      </w:r>
    </w:p>
    <w:p w14:paraId="7ED06BED">
      <w:pPr>
        <w:pStyle w:val="214"/>
        <w:spacing w:line="440" w:lineRule="exact"/>
        <w:ind w:firstLine="504"/>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color w:val="000000"/>
          <w:spacing w:val="6"/>
          <w:sz w:val="24"/>
          <w:szCs w:val="24"/>
          <w:u w:val="single"/>
          <w:lang w:val="en-US" w:eastAsia="zh-CN" w:bidi="ar-SA"/>
        </w:rPr>
        <w:t>单位名称</w:t>
      </w:r>
      <w:r>
        <w:rPr>
          <w:rFonts w:hint="eastAsia" w:ascii="宋体" w:hAnsi="宋体" w:eastAsia="宋体" w:cs="宋体"/>
          <w:color w:val="000000"/>
          <w:spacing w:val="6"/>
          <w:sz w:val="24"/>
          <w:szCs w:val="24"/>
          <w:lang w:val="en-US" w:eastAsia="zh-CN" w:bidi="ar-SA"/>
        </w:rPr>
        <w:t>）的（</w:t>
      </w:r>
      <w:r>
        <w:rPr>
          <w:rFonts w:hint="eastAsia" w:ascii="宋体" w:hAnsi="宋体" w:eastAsia="宋体" w:cs="宋体"/>
          <w:color w:val="000000"/>
          <w:spacing w:val="6"/>
          <w:sz w:val="24"/>
          <w:szCs w:val="24"/>
          <w:u w:val="single"/>
          <w:lang w:val="en-US" w:eastAsia="zh-CN" w:bidi="ar-SA"/>
        </w:rPr>
        <w:t>项目名称</w:t>
      </w:r>
      <w:r>
        <w:rPr>
          <w:rFonts w:hint="eastAsia" w:ascii="宋体" w:hAnsi="宋体" w:eastAsia="宋体" w:cs="宋体"/>
          <w:color w:val="000000"/>
          <w:spacing w:val="6"/>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495CFDBE">
      <w:pPr>
        <w:pStyle w:val="214"/>
        <w:numPr>
          <w:ilvl w:val="0"/>
          <w:numId w:val="0"/>
        </w:numPr>
        <w:spacing w:line="440" w:lineRule="exact"/>
        <w:ind w:firstLine="504"/>
        <w:rPr>
          <w:rFonts w:hint="eastAsia" w:ascii="宋体" w:hAnsi="宋体" w:eastAsia="宋体" w:cs="宋体"/>
          <w:lang w:val="en-US" w:eastAsia="zh-CN"/>
        </w:rPr>
      </w:pPr>
      <w:r>
        <w:rPr>
          <w:rFonts w:hint="eastAsia" w:ascii="宋体" w:hAnsi="宋体" w:eastAsia="宋体" w:cs="宋体"/>
          <w:color w:val="000000"/>
          <w:spacing w:val="6"/>
          <w:sz w:val="24"/>
          <w:szCs w:val="24"/>
          <w:u w:val="none"/>
          <w:lang w:val="en-US" w:eastAsia="zh-CN" w:bidi="ar-SA"/>
        </w:rPr>
        <w:t>1.</w:t>
      </w:r>
      <w:r>
        <w:rPr>
          <w:rFonts w:hint="eastAsia" w:ascii="宋体" w:hAnsi="宋体" w:eastAsia="宋体" w:cs="宋体"/>
          <w:color w:val="000000"/>
          <w:spacing w:val="6"/>
          <w:sz w:val="24"/>
          <w:szCs w:val="24"/>
          <w:u w:val="single"/>
          <w:lang w:val="en-US" w:eastAsia="zh-CN" w:bidi="ar-SA"/>
        </w:rPr>
        <w:t>（标的名称）</w:t>
      </w:r>
      <w:r>
        <w:rPr>
          <w:rFonts w:hint="eastAsia" w:ascii="宋体" w:hAnsi="宋体" w:eastAsia="宋体" w:cs="宋体"/>
          <w:color w:val="000000"/>
          <w:spacing w:val="6"/>
          <w:sz w:val="24"/>
          <w:szCs w:val="24"/>
          <w:lang w:val="en-US" w:eastAsia="zh-CN" w:bidi="ar-SA"/>
        </w:rPr>
        <w:t>，属于</w:t>
      </w:r>
      <w:r>
        <w:rPr>
          <w:rFonts w:hint="eastAsia" w:ascii="宋体" w:hAnsi="宋体" w:eastAsia="宋体" w:cs="宋体"/>
          <w:color w:val="000000"/>
          <w:spacing w:val="6"/>
          <w:sz w:val="24"/>
          <w:szCs w:val="24"/>
          <w:u w:val="single"/>
          <w:lang w:val="en-US" w:eastAsia="zh-CN" w:bidi="ar-SA"/>
        </w:rPr>
        <w:t>（采购文件中明确的所属行业）</w:t>
      </w:r>
      <w:r>
        <w:rPr>
          <w:rFonts w:hint="eastAsia" w:ascii="宋体" w:hAnsi="宋体" w:eastAsia="宋体" w:cs="宋体"/>
          <w:color w:val="000000"/>
          <w:spacing w:val="6"/>
          <w:sz w:val="24"/>
          <w:szCs w:val="24"/>
          <w:lang w:val="en-US" w:eastAsia="zh-CN" w:bidi="ar-SA"/>
        </w:rPr>
        <w:t>；承建（承接）企业为（</w:t>
      </w:r>
      <w:r>
        <w:rPr>
          <w:rFonts w:hint="eastAsia" w:ascii="宋体" w:hAnsi="宋体" w:eastAsia="宋体" w:cs="宋体"/>
          <w:color w:val="000000"/>
          <w:spacing w:val="6"/>
          <w:sz w:val="24"/>
          <w:szCs w:val="24"/>
          <w:u w:val="single"/>
          <w:lang w:val="en-US" w:eastAsia="zh-CN" w:bidi="ar-SA"/>
        </w:rPr>
        <w:t>企业名称</w:t>
      </w:r>
      <w:r>
        <w:rPr>
          <w:rFonts w:hint="eastAsia" w:ascii="宋体" w:hAnsi="宋体" w:eastAsia="宋体" w:cs="宋体"/>
          <w:color w:val="000000"/>
          <w:spacing w:val="6"/>
          <w:sz w:val="24"/>
          <w:szCs w:val="24"/>
          <w:lang w:val="en-US" w:eastAsia="zh-CN" w:bidi="ar-SA"/>
        </w:rPr>
        <w:t>），从业人员人，营业收入为万元，资产总额为万元</w:t>
      </w:r>
      <w:r>
        <w:rPr>
          <w:rStyle w:val="247"/>
          <w:rFonts w:hint="eastAsia" w:ascii="宋体" w:hAnsi="宋体" w:eastAsia="宋体" w:cs="宋体"/>
          <w:color w:val="000000"/>
          <w:spacing w:val="6"/>
          <w:sz w:val="24"/>
          <w:szCs w:val="24"/>
          <w:lang w:val="en-US" w:eastAsia="zh-CN" w:bidi="ar-SA"/>
        </w:rPr>
        <w:footnoteReference w:id="0"/>
      </w:r>
      <w:r>
        <w:rPr>
          <w:rFonts w:hint="eastAsia" w:ascii="宋体" w:hAnsi="宋体" w:eastAsia="宋体" w:cs="宋体"/>
          <w:color w:val="000000"/>
          <w:spacing w:val="6"/>
          <w:sz w:val="24"/>
          <w:szCs w:val="24"/>
          <w:lang w:val="en-US" w:eastAsia="zh-CN" w:bidi="ar-SA"/>
        </w:rPr>
        <w:t>，属于（</w:t>
      </w:r>
      <w:r>
        <w:rPr>
          <w:rFonts w:hint="eastAsia" w:ascii="宋体" w:hAnsi="宋体" w:eastAsia="宋体" w:cs="宋体"/>
          <w:color w:val="000000"/>
          <w:spacing w:val="6"/>
          <w:sz w:val="24"/>
          <w:szCs w:val="24"/>
          <w:u w:val="single"/>
          <w:lang w:val="en-US" w:eastAsia="zh-CN" w:bidi="ar-SA"/>
        </w:rPr>
        <w:t>中型企业、小型企业、微型企业</w:t>
      </w:r>
      <w:r>
        <w:rPr>
          <w:rFonts w:hint="eastAsia" w:ascii="宋体" w:hAnsi="宋体" w:eastAsia="宋体" w:cs="宋体"/>
          <w:color w:val="000000"/>
          <w:spacing w:val="6"/>
          <w:sz w:val="24"/>
          <w:szCs w:val="24"/>
          <w:lang w:val="en-US" w:eastAsia="zh-CN" w:bidi="ar-SA"/>
        </w:rPr>
        <w:t>）</w:t>
      </w:r>
    </w:p>
    <w:p w14:paraId="385D96B3">
      <w:pPr>
        <w:keepNext w:val="0"/>
        <w:keepLines w:val="0"/>
        <w:widowControl/>
        <w:suppressLineNumbers w:val="0"/>
        <w:ind w:firstLine="504"/>
        <w:jc w:val="left"/>
        <w:rPr>
          <w:rFonts w:hint="eastAsia" w:ascii="宋体" w:hAnsi="宋体" w:eastAsia="宋体" w:cs="宋体"/>
          <w:color w:val="000000"/>
          <w:spacing w:val="6"/>
          <w:sz w:val="24"/>
          <w:szCs w:val="24"/>
          <w:u w:val="none"/>
          <w:lang w:val="en-US" w:eastAsia="zh-CN" w:bidi="ar-SA"/>
        </w:rPr>
      </w:pPr>
      <w:r>
        <w:rPr>
          <w:rFonts w:hint="eastAsia" w:ascii="宋体" w:hAnsi="宋体" w:eastAsia="宋体" w:cs="宋体"/>
          <w:color w:val="000000"/>
          <w:spacing w:val="6"/>
          <w:sz w:val="24"/>
          <w:szCs w:val="24"/>
          <w:u w:val="none"/>
          <w:lang w:val="en-US" w:eastAsia="zh-CN" w:bidi="ar-SA"/>
        </w:rPr>
        <w:t>2.</w:t>
      </w:r>
      <w:r>
        <w:rPr>
          <w:rFonts w:hint="eastAsia" w:ascii="宋体" w:hAnsi="宋体" w:eastAsia="宋体" w:cs="宋体"/>
          <w:color w:val="000000"/>
          <w:spacing w:val="6"/>
          <w:sz w:val="24"/>
          <w:szCs w:val="24"/>
          <w:u w:val="single"/>
          <w:lang w:val="en-US" w:eastAsia="zh-CN" w:bidi="ar-SA"/>
        </w:rPr>
        <w:t>（标的名称）</w:t>
      </w:r>
      <w:r>
        <w:rPr>
          <w:rFonts w:hint="eastAsia" w:ascii="宋体" w:hAnsi="宋体" w:eastAsia="宋体" w:cs="宋体"/>
          <w:color w:val="000000"/>
          <w:spacing w:val="6"/>
          <w:sz w:val="24"/>
          <w:szCs w:val="24"/>
          <w:u w:val="none"/>
          <w:lang w:val="en-US" w:eastAsia="zh-CN" w:bidi="ar-SA"/>
        </w:rPr>
        <w:t>，属于</w:t>
      </w:r>
      <w:r>
        <w:rPr>
          <w:rFonts w:hint="eastAsia" w:ascii="宋体" w:hAnsi="宋体" w:eastAsia="宋体" w:cs="宋体"/>
          <w:color w:val="000000"/>
          <w:spacing w:val="6"/>
          <w:sz w:val="24"/>
          <w:szCs w:val="24"/>
          <w:u w:val="single"/>
          <w:lang w:val="en-US" w:eastAsia="zh-CN" w:bidi="ar-SA"/>
        </w:rPr>
        <w:t>（采购文件中明确的所属行业）</w:t>
      </w:r>
      <w:r>
        <w:rPr>
          <w:rFonts w:hint="eastAsia" w:ascii="宋体" w:hAnsi="宋体" w:eastAsia="宋体" w:cs="宋体"/>
          <w:color w:val="000000"/>
          <w:spacing w:val="6"/>
          <w:sz w:val="24"/>
          <w:szCs w:val="24"/>
          <w:u w:val="none"/>
          <w:lang w:val="en-US" w:eastAsia="zh-CN" w:bidi="ar-SA"/>
        </w:rPr>
        <w:t>；承建（承接）企业为（</w:t>
      </w:r>
      <w:r>
        <w:rPr>
          <w:rFonts w:hint="eastAsia" w:ascii="宋体" w:hAnsi="宋体" w:eastAsia="宋体" w:cs="宋体"/>
          <w:color w:val="000000"/>
          <w:spacing w:val="6"/>
          <w:sz w:val="24"/>
          <w:szCs w:val="24"/>
          <w:u w:val="single"/>
          <w:lang w:val="en-US" w:eastAsia="zh-CN" w:bidi="ar-SA"/>
        </w:rPr>
        <w:t>企业名称</w:t>
      </w:r>
      <w:r>
        <w:rPr>
          <w:rFonts w:hint="eastAsia" w:ascii="宋体" w:hAnsi="宋体" w:eastAsia="宋体" w:cs="宋体"/>
          <w:color w:val="000000"/>
          <w:spacing w:val="6"/>
          <w:sz w:val="24"/>
          <w:szCs w:val="24"/>
          <w:u w:val="none"/>
          <w:lang w:val="en-US" w:eastAsia="zh-CN" w:bidi="ar-SA"/>
        </w:rPr>
        <w:t>），从业人员人，营业收入为万元，资产总额为万元，属于（</w:t>
      </w:r>
      <w:r>
        <w:rPr>
          <w:rFonts w:hint="eastAsia" w:ascii="宋体" w:hAnsi="宋体" w:eastAsia="宋体" w:cs="宋体"/>
          <w:color w:val="000000"/>
          <w:spacing w:val="6"/>
          <w:sz w:val="24"/>
          <w:szCs w:val="24"/>
          <w:u w:val="single"/>
          <w:lang w:val="en-US" w:eastAsia="zh-CN" w:bidi="ar-SA"/>
        </w:rPr>
        <w:t>中型企业、小型企业、微型企业</w:t>
      </w:r>
      <w:r>
        <w:rPr>
          <w:rFonts w:hint="eastAsia" w:ascii="宋体" w:hAnsi="宋体" w:eastAsia="宋体" w:cs="宋体"/>
          <w:color w:val="000000"/>
          <w:spacing w:val="6"/>
          <w:sz w:val="24"/>
          <w:szCs w:val="24"/>
          <w:u w:val="none"/>
          <w:lang w:val="en-US" w:eastAsia="zh-CN" w:bidi="ar-SA"/>
        </w:rPr>
        <w:t>）；</w:t>
      </w:r>
    </w:p>
    <w:p w14:paraId="3FC67A62">
      <w:pPr>
        <w:pStyle w:val="202"/>
        <w:ind w:left="0" w:firstLine="0"/>
        <w:rPr>
          <w:rFonts w:hint="eastAsia" w:ascii="宋体" w:hAnsi="宋体" w:eastAsia="宋体" w:cs="宋体"/>
          <w:lang w:val="en-US" w:eastAsia="zh-CN"/>
        </w:rPr>
      </w:pPr>
      <w:r>
        <w:rPr>
          <w:rFonts w:hint="eastAsia" w:ascii="宋体" w:hAnsi="宋体" w:eastAsia="宋体" w:cs="宋体"/>
          <w:lang w:val="en-US" w:eastAsia="zh-CN"/>
        </w:rPr>
        <w:t>……</w:t>
      </w:r>
    </w:p>
    <w:p w14:paraId="47AD94AC">
      <w:pPr>
        <w:keepNext w:val="0"/>
        <w:keepLines w:val="0"/>
        <w:widowControl/>
        <w:suppressLineNumbers w:val="0"/>
        <w:ind w:firstLine="504"/>
        <w:jc w:val="left"/>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以上企业，不属于大企业的分支机构，不存在控股股东为大企业的情形，也不存在与大企业的负责人为同一人的情形。</w:t>
      </w:r>
    </w:p>
    <w:p w14:paraId="6EB2181F">
      <w:pPr>
        <w:keepNext w:val="0"/>
        <w:keepLines w:val="0"/>
        <w:widowControl/>
        <w:suppressLineNumbers w:val="0"/>
        <w:ind w:firstLine="504"/>
        <w:jc w:val="left"/>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本企业对上述声明内容的真实性负责。如有虚假，将依法承担相应责任。</w:t>
      </w:r>
    </w:p>
    <w:p w14:paraId="2F42399B">
      <w:pPr>
        <w:pStyle w:val="208"/>
        <w:ind w:firstLine="5796"/>
        <w:rPr>
          <w:rFonts w:hint="eastAsia" w:ascii="宋体" w:hAnsi="宋体" w:eastAsia="宋体" w:cs="宋体"/>
          <w:color w:val="000000"/>
          <w:spacing w:val="6"/>
          <w:sz w:val="24"/>
          <w:szCs w:val="24"/>
          <w:lang w:val="en-US" w:eastAsia="zh-CN" w:bidi="ar-SA"/>
        </w:rPr>
      </w:pPr>
    </w:p>
    <w:p w14:paraId="6CD32327">
      <w:pPr>
        <w:pStyle w:val="208"/>
        <w:ind w:firstLine="5796"/>
        <w:rPr>
          <w:rFonts w:hint="eastAsia" w:ascii="宋体" w:hAnsi="宋体" w:eastAsia="宋体" w:cs="宋体"/>
          <w:color w:val="000000"/>
          <w:spacing w:val="6"/>
          <w:sz w:val="24"/>
          <w:szCs w:val="24"/>
          <w:lang w:val="en-US" w:eastAsia="zh-CN" w:bidi="ar-SA"/>
        </w:rPr>
      </w:pPr>
    </w:p>
    <w:p w14:paraId="57184C6A">
      <w:pPr>
        <w:pStyle w:val="208"/>
        <w:ind w:firstLine="5796"/>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企业名称（</w:t>
      </w:r>
      <w:r>
        <w:rPr>
          <w:rFonts w:hint="eastAsia" w:ascii="宋体" w:hAnsi="宋体" w:eastAsia="宋体" w:cs="宋体"/>
          <w:sz w:val="24"/>
          <w:szCs w:val="24"/>
          <w:lang w:val="en-US" w:eastAsia="zh-CN"/>
        </w:rPr>
        <w:t>CA签章</w:t>
      </w:r>
      <w:r>
        <w:rPr>
          <w:rFonts w:hint="eastAsia" w:ascii="宋体" w:hAnsi="宋体" w:eastAsia="宋体" w:cs="宋体"/>
          <w:color w:val="000000"/>
          <w:spacing w:val="6"/>
          <w:sz w:val="24"/>
          <w:szCs w:val="24"/>
          <w:lang w:val="en-US" w:eastAsia="zh-CN" w:bidi="ar-SA"/>
        </w:rPr>
        <w:t>）：</w:t>
      </w:r>
    </w:p>
    <w:p w14:paraId="076E1C02">
      <w:pPr>
        <w:keepNext w:val="0"/>
        <w:keepLines w:val="0"/>
        <w:widowControl/>
        <w:suppressLineNumbers w:val="0"/>
        <w:ind w:firstLine="5796"/>
        <w:jc w:val="left"/>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日期：</w:t>
      </w:r>
    </w:p>
    <w:p w14:paraId="1460AAE7">
      <w:pPr>
        <w:pStyle w:val="252"/>
        <w:rPr>
          <w:rFonts w:hint="eastAsia" w:ascii="宋体" w:hAnsi="宋体" w:eastAsia="宋体" w:cs="宋体"/>
          <w:color w:val="000000"/>
          <w:sz w:val="24"/>
          <w:szCs w:val="24"/>
        </w:rPr>
      </w:pPr>
    </w:p>
    <w:p w14:paraId="57665E42">
      <w:pPr>
        <w:pStyle w:val="252"/>
        <w:rPr>
          <w:rFonts w:hint="eastAsia" w:ascii="宋体" w:hAnsi="宋体" w:eastAsia="宋体" w:cs="宋体"/>
          <w:color w:val="000000"/>
          <w:sz w:val="24"/>
          <w:szCs w:val="24"/>
        </w:rPr>
      </w:pPr>
    </w:p>
    <w:p w14:paraId="51EBFCAA">
      <w:pPr>
        <w:pStyle w:val="252"/>
        <w:rPr>
          <w:rFonts w:hint="eastAsia" w:ascii="宋体" w:hAnsi="宋体" w:eastAsia="宋体" w:cs="宋体"/>
          <w:color w:val="000000"/>
          <w:sz w:val="24"/>
          <w:szCs w:val="24"/>
        </w:rPr>
      </w:pPr>
    </w:p>
    <w:p w14:paraId="4F1645C5">
      <w:pPr>
        <w:pStyle w:val="252"/>
        <w:rPr>
          <w:rFonts w:hint="eastAsia" w:ascii="宋体" w:hAnsi="宋体" w:eastAsia="宋体" w:cs="宋体"/>
          <w:color w:val="000000"/>
          <w:sz w:val="24"/>
          <w:szCs w:val="24"/>
        </w:rPr>
      </w:pPr>
    </w:p>
    <w:p w14:paraId="533ED48C">
      <w:pPr>
        <w:numPr>
          <w:ilvl w:val="0"/>
          <w:numId w:val="0"/>
        </w:numPr>
        <w:rPr>
          <w:rFonts w:hint="eastAsia" w:ascii="宋体" w:hAnsi="宋体" w:eastAsia="宋体" w:cs="宋体"/>
          <w:b/>
          <w:bCs/>
          <w:color w:val="000000"/>
          <w:sz w:val="32"/>
          <w:szCs w:val="32"/>
          <w:lang w:val="en-US" w:eastAsia="zh-CN"/>
        </w:rPr>
      </w:pPr>
    </w:p>
    <w:p w14:paraId="0F901023">
      <w:pPr>
        <w:pStyle w:val="39"/>
        <w:rPr>
          <w:rFonts w:hint="eastAsia" w:ascii="宋体" w:hAnsi="宋体" w:eastAsia="宋体" w:cs="宋体"/>
          <w:b/>
          <w:bCs/>
          <w:color w:val="000000"/>
          <w:sz w:val="32"/>
          <w:szCs w:val="32"/>
          <w:lang w:val="en-US" w:eastAsia="zh-CN"/>
        </w:rPr>
      </w:pPr>
    </w:p>
    <w:p w14:paraId="7E6E4830">
      <w:pPr>
        <w:rPr>
          <w:rFonts w:hint="eastAsia" w:ascii="宋体" w:hAnsi="宋体" w:eastAsia="宋体" w:cs="宋体"/>
          <w:b/>
          <w:bCs/>
          <w:color w:val="000000"/>
          <w:sz w:val="32"/>
          <w:szCs w:val="32"/>
          <w:lang w:val="en-US" w:eastAsia="zh-CN"/>
        </w:rPr>
      </w:pPr>
    </w:p>
    <w:p w14:paraId="665FFA55">
      <w:pPr>
        <w:pStyle w:val="39"/>
        <w:rPr>
          <w:rFonts w:hint="eastAsia"/>
          <w:lang w:val="en-US" w:eastAsia="zh-CN"/>
        </w:rPr>
      </w:pPr>
    </w:p>
    <w:p w14:paraId="482D7F8A">
      <w:pPr>
        <w:numPr>
          <w:ilvl w:val="0"/>
          <w:numId w:val="0"/>
        </w:numP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11.</w:t>
      </w:r>
      <w:r>
        <w:rPr>
          <w:rFonts w:hint="eastAsia" w:ascii="宋体" w:hAnsi="宋体" w:eastAsia="宋体" w:cs="宋体"/>
          <w:b/>
          <w:bCs/>
          <w:color w:val="000000"/>
          <w:sz w:val="32"/>
          <w:szCs w:val="32"/>
        </w:rPr>
        <w:t>如提供服务的供应商属于监狱企业的，应当提供由省级以上监狱管理局、戒毒管理局等（含新疆生产建设兵团）出具的属于监狱企业的证明文件（如有，请提供）；</w:t>
      </w:r>
    </w:p>
    <w:p w14:paraId="078DF1D2">
      <w:pPr>
        <w:pStyle w:val="252"/>
        <w:numPr>
          <w:ilvl w:val="0"/>
          <w:numId w:val="0"/>
        </w:numPr>
        <w:rPr>
          <w:rFonts w:hint="eastAsia" w:ascii="宋体" w:hAnsi="宋体" w:eastAsia="宋体" w:cs="宋体"/>
          <w:color w:val="000000"/>
        </w:rPr>
      </w:pPr>
    </w:p>
    <w:p w14:paraId="63894C6B">
      <w:pPr>
        <w:pStyle w:val="252"/>
        <w:numPr>
          <w:ilvl w:val="0"/>
          <w:numId w:val="0"/>
        </w:numPr>
        <w:rPr>
          <w:rFonts w:hint="eastAsia" w:ascii="宋体" w:hAnsi="宋体" w:eastAsia="宋体" w:cs="宋体"/>
          <w:color w:val="000000"/>
        </w:rPr>
      </w:pPr>
    </w:p>
    <w:p w14:paraId="6C271AC4">
      <w:pP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12</w:t>
      </w:r>
      <w:r>
        <w:rPr>
          <w:rFonts w:hint="eastAsia" w:ascii="宋体" w:hAnsi="宋体" w:eastAsia="宋体" w:cs="宋体"/>
          <w:b/>
          <w:bCs/>
          <w:color w:val="000000"/>
          <w:sz w:val="32"/>
          <w:szCs w:val="32"/>
        </w:rPr>
        <w:t>.符合条件的残疾人福利性单位在参加政府采购活动时，应当提供《残疾人福利性单位声明函》（见附件），并对声明的真实性负责；</w:t>
      </w:r>
    </w:p>
    <w:p w14:paraId="5510047A">
      <w:pPr>
        <w:pStyle w:val="39"/>
        <w:rPr>
          <w:rFonts w:hint="eastAsia" w:ascii="宋体" w:hAnsi="宋体" w:eastAsia="宋体" w:cs="宋体"/>
          <w:color w:val="000000"/>
        </w:rPr>
      </w:pPr>
    </w:p>
    <w:p w14:paraId="5009A9D5">
      <w:pPr>
        <w:spacing w:line="588" w:lineRule="exact"/>
        <w:jc w:val="center"/>
        <w:rPr>
          <w:rFonts w:hint="eastAsia" w:ascii="宋体" w:hAnsi="宋体" w:eastAsia="宋体" w:cs="宋体"/>
          <w:b/>
          <w:color w:val="000000"/>
          <w:spacing w:val="6"/>
          <w:sz w:val="30"/>
          <w:szCs w:val="30"/>
        </w:rPr>
      </w:pPr>
      <w:r>
        <w:rPr>
          <w:rFonts w:hint="eastAsia" w:ascii="宋体" w:hAnsi="宋体" w:eastAsia="宋体" w:cs="宋体"/>
          <w:b/>
          <w:color w:val="000000"/>
          <w:spacing w:val="6"/>
          <w:sz w:val="32"/>
          <w:szCs w:val="32"/>
        </w:rPr>
        <w:t>残疾人福利性单位声明函</w:t>
      </w:r>
    </w:p>
    <w:p w14:paraId="1440A865">
      <w:pPr>
        <w:spacing w:line="588" w:lineRule="exact"/>
        <w:ind w:firstLine="624"/>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w:t>
      </w:r>
      <w:r>
        <w:rPr>
          <w:rFonts w:hint="eastAsia" w:ascii="宋体" w:hAnsi="宋体" w:eastAsia="宋体" w:cs="宋体"/>
          <w:color w:val="000000"/>
          <w:spacing w:val="6"/>
          <w:sz w:val="30"/>
          <w:szCs w:val="30"/>
          <w:lang w:eastAsia="zh-CN"/>
        </w:rPr>
        <w:t>提供</w:t>
      </w:r>
      <w:r>
        <w:rPr>
          <w:rFonts w:hint="eastAsia" w:ascii="宋体" w:hAnsi="宋体" w:eastAsia="宋体" w:cs="宋体"/>
          <w:color w:val="000000"/>
          <w:spacing w:val="6"/>
          <w:sz w:val="30"/>
          <w:szCs w:val="30"/>
        </w:rPr>
        <w:t>的货物</w:t>
      </w:r>
      <w:r>
        <w:rPr>
          <w:rFonts w:hint="eastAsia" w:ascii="宋体" w:hAnsi="宋体" w:eastAsia="宋体" w:cs="宋体"/>
          <w:color w:val="000000"/>
          <w:spacing w:val="6"/>
          <w:sz w:val="30"/>
          <w:szCs w:val="30"/>
          <w:lang w:eastAsia="zh-CN"/>
        </w:rPr>
        <w:t>或服务</w:t>
      </w:r>
      <w:r>
        <w:rPr>
          <w:rFonts w:hint="eastAsia" w:ascii="宋体" w:hAnsi="宋体" w:eastAsia="宋体" w:cs="宋体"/>
          <w:color w:val="000000"/>
          <w:spacing w:val="6"/>
          <w:sz w:val="30"/>
          <w:szCs w:val="30"/>
        </w:rPr>
        <w:t>（由本单位承担工程/提供服务），或者提供其他残疾人福利性单位</w:t>
      </w:r>
      <w:r>
        <w:rPr>
          <w:rFonts w:hint="eastAsia" w:ascii="宋体" w:hAnsi="宋体" w:eastAsia="宋体" w:cs="宋体"/>
          <w:color w:val="000000"/>
          <w:spacing w:val="6"/>
          <w:sz w:val="30"/>
          <w:szCs w:val="30"/>
          <w:lang w:eastAsia="zh-CN"/>
        </w:rPr>
        <w:t>提供</w:t>
      </w:r>
      <w:r>
        <w:rPr>
          <w:rFonts w:hint="eastAsia" w:ascii="宋体" w:hAnsi="宋体" w:eastAsia="宋体" w:cs="宋体"/>
          <w:color w:val="000000"/>
          <w:spacing w:val="6"/>
          <w:sz w:val="30"/>
          <w:szCs w:val="30"/>
        </w:rPr>
        <w:t>的货物</w:t>
      </w:r>
      <w:r>
        <w:rPr>
          <w:rFonts w:hint="eastAsia" w:ascii="宋体" w:hAnsi="宋体" w:eastAsia="宋体" w:cs="宋体"/>
          <w:color w:val="000000"/>
          <w:spacing w:val="6"/>
          <w:sz w:val="30"/>
          <w:szCs w:val="30"/>
          <w:lang w:eastAsia="zh-CN"/>
        </w:rPr>
        <w:t>或服务</w:t>
      </w:r>
      <w:r>
        <w:rPr>
          <w:rFonts w:hint="eastAsia" w:ascii="宋体" w:hAnsi="宋体" w:eastAsia="宋体" w:cs="宋体"/>
          <w:color w:val="000000"/>
          <w:spacing w:val="6"/>
          <w:sz w:val="30"/>
          <w:szCs w:val="30"/>
        </w:rPr>
        <w:t>（不包括使用非残疾人福利性单位注册商标的货物）。</w:t>
      </w:r>
    </w:p>
    <w:p w14:paraId="6EDBAD18">
      <w:pPr>
        <w:spacing w:line="588" w:lineRule="exact"/>
        <w:ind w:firstLine="624"/>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本单位对上述声明的真实性负责。如有虚假，将依法承担相应责任。</w:t>
      </w:r>
    </w:p>
    <w:p w14:paraId="156BF5FB">
      <w:pPr>
        <w:spacing w:line="588" w:lineRule="exact"/>
        <w:rPr>
          <w:rFonts w:hint="eastAsia" w:ascii="宋体" w:hAnsi="宋体" w:eastAsia="宋体" w:cs="宋体"/>
          <w:color w:val="000000"/>
          <w:spacing w:val="6"/>
          <w:sz w:val="30"/>
          <w:szCs w:val="30"/>
        </w:rPr>
      </w:pPr>
    </w:p>
    <w:p w14:paraId="16038D7F">
      <w:pPr>
        <w:spacing w:line="588" w:lineRule="exact"/>
        <w:ind w:firstLine="624"/>
        <w:rPr>
          <w:rFonts w:hint="eastAsia" w:ascii="宋体" w:hAnsi="宋体" w:eastAsia="宋体" w:cs="宋体"/>
          <w:color w:val="000000"/>
          <w:spacing w:val="6"/>
          <w:sz w:val="30"/>
          <w:szCs w:val="30"/>
          <w:lang w:eastAsia="zh-CN"/>
        </w:rPr>
      </w:pPr>
    </w:p>
    <w:p w14:paraId="7817E4EE">
      <w:pPr>
        <w:tabs>
          <w:tab w:val="left" w:pos="4860"/>
        </w:tabs>
        <w:spacing w:line="588" w:lineRule="exact"/>
        <w:ind w:right="1560" w:firstLine="624"/>
        <w:jc w:val="center"/>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单位名称</w:t>
      </w:r>
      <w:r>
        <w:rPr>
          <w:rFonts w:hint="eastAsia" w:ascii="宋体" w:hAnsi="宋体" w:eastAsia="宋体" w:cs="宋体"/>
          <w:color w:val="000000"/>
          <w:spacing w:val="6"/>
          <w:sz w:val="30"/>
          <w:szCs w:val="30"/>
          <w:lang w:val="en-US" w:eastAsia="zh-CN"/>
        </w:rPr>
        <w:t>[</w:t>
      </w:r>
      <w:r>
        <w:rPr>
          <w:rFonts w:hint="eastAsia" w:ascii="宋体" w:hAnsi="宋体" w:eastAsia="宋体" w:cs="宋体"/>
          <w:color w:val="000000"/>
          <w:spacing w:val="6"/>
          <w:sz w:val="30"/>
          <w:szCs w:val="30"/>
        </w:rPr>
        <w:t>盖公章</w:t>
      </w:r>
      <w:r>
        <w:rPr>
          <w:rFonts w:hint="eastAsia" w:ascii="宋体" w:hAnsi="宋体" w:eastAsia="宋体" w:cs="宋体"/>
          <w:color w:val="000000"/>
          <w:spacing w:val="6"/>
          <w:sz w:val="30"/>
          <w:szCs w:val="30"/>
          <w:lang w:val="en-US" w:eastAsia="zh-CN"/>
        </w:rPr>
        <w:t>(CA签章)]</w:t>
      </w:r>
      <w:r>
        <w:rPr>
          <w:rFonts w:hint="eastAsia" w:ascii="宋体" w:hAnsi="宋体" w:eastAsia="宋体" w:cs="宋体"/>
          <w:color w:val="000000"/>
          <w:spacing w:val="6"/>
          <w:sz w:val="30"/>
          <w:szCs w:val="30"/>
        </w:rPr>
        <w:t>：</w:t>
      </w:r>
    </w:p>
    <w:p w14:paraId="570072EB">
      <w:pPr>
        <w:tabs>
          <w:tab w:val="left" w:pos="4860"/>
        </w:tabs>
        <w:spacing w:line="588" w:lineRule="exact"/>
        <w:ind w:right="1560" w:firstLine="624"/>
        <w:jc w:val="center"/>
        <w:rPr>
          <w:rFonts w:hint="eastAsia" w:ascii="宋体" w:hAnsi="宋体" w:eastAsia="宋体" w:cs="宋体"/>
          <w:b/>
          <w:bCs/>
          <w:color w:val="000000"/>
          <w:sz w:val="32"/>
          <w:szCs w:val="32"/>
        </w:rPr>
      </w:pPr>
      <w:r>
        <w:rPr>
          <w:rFonts w:hint="eastAsia" w:ascii="宋体" w:hAnsi="宋体" w:eastAsia="宋体" w:cs="宋体"/>
          <w:color w:val="000000"/>
          <w:spacing w:val="6"/>
          <w:sz w:val="30"/>
          <w:szCs w:val="30"/>
        </w:rPr>
        <w:t>日期：</w:t>
      </w:r>
    </w:p>
    <w:p w14:paraId="05565B5C">
      <w:pPr>
        <w:pStyle w:val="252"/>
        <w:rPr>
          <w:rFonts w:hint="eastAsia" w:ascii="宋体" w:hAnsi="宋体" w:eastAsia="宋体" w:cs="宋体"/>
          <w:b/>
          <w:bCs/>
          <w:color w:val="000000"/>
          <w:sz w:val="32"/>
          <w:szCs w:val="32"/>
          <w:highlight w:val="none"/>
          <w:lang w:val="en-US" w:eastAsia="zh-CN"/>
        </w:rPr>
      </w:pPr>
    </w:p>
    <w:p w14:paraId="6BA08F0B">
      <w:pPr>
        <w:pStyle w:val="252"/>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val="en-US" w:eastAsia="zh-CN"/>
        </w:rPr>
        <w:t>13</w:t>
      </w:r>
      <w:r>
        <w:rPr>
          <w:rFonts w:hint="eastAsia" w:ascii="宋体" w:hAnsi="宋体" w:eastAsia="宋体" w:cs="宋体"/>
          <w:b/>
          <w:bCs/>
          <w:color w:val="000000"/>
          <w:sz w:val="32"/>
          <w:szCs w:val="32"/>
          <w:highlight w:val="none"/>
        </w:rPr>
        <w:t>.投标人可结合本项目的评标办法视自身情况自行提交相关证明材料（如有，请提供）</w:t>
      </w:r>
      <w:r>
        <w:rPr>
          <w:rFonts w:hint="eastAsia" w:ascii="宋体" w:hAnsi="宋体" w:eastAsia="宋体" w:cs="宋体"/>
          <w:b/>
          <w:bCs/>
          <w:color w:val="000000"/>
          <w:sz w:val="32"/>
          <w:szCs w:val="32"/>
          <w:highlight w:val="none"/>
          <w:lang w:eastAsia="zh-CN"/>
        </w:rPr>
        <w:t>。</w:t>
      </w:r>
    </w:p>
    <w:p w14:paraId="6143B447">
      <w:pPr>
        <w:pStyle w:val="252"/>
        <w:rPr>
          <w:rFonts w:hint="eastAsia" w:ascii="宋体" w:hAnsi="宋体" w:eastAsia="宋体" w:cs="宋体"/>
          <w:b/>
          <w:bCs/>
          <w:color w:val="000000"/>
          <w:sz w:val="32"/>
          <w:szCs w:val="32"/>
          <w:highlight w:val="none"/>
          <w:lang w:eastAsia="zh-CN"/>
        </w:rPr>
      </w:pPr>
    </w:p>
    <w:sectPr>
      <w:footerReference r:id="rId6" w:type="default"/>
      <w:pgSz w:w="11906" w:h="16838"/>
      <w:pgMar w:top="1440" w:right="1080" w:bottom="1440" w:left="1080" w:header="851" w:footer="992" w:gutter="0"/>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Ђˎ̥">
    <w:altName w:val="Segoe Print"/>
    <w:panose1 w:val="020B060303080402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4002EFF" w:usb1="C200247B" w:usb2="00000009" w:usb3="00000000" w:csb0="200001FF" w:csb1="00000000"/>
  </w:font>
  <w:font w:name="Sim Sun">
    <w:altName w:val="Verdana"/>
    <w:panose1 w:val="0201060003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8F4BB">
    <w:pPr>
      <w:pStyle w:val="219"/>
      <w:pBdr>
        <w:bottom w:val="single" w:color="000000" w:sz="4" w:space="0"/>
      </w:pBdr>
    </w:pPr>
  </w:p>
  <w:p w14:paraId="1946C2AD">
    <w:pPr>
      <w:pStyle w:val="219"/>
    </w:pPr>
    <w:r>
      <w:rPr>
        <w:rFonts w:hint="eastAsia"/>
      </w:rPr>
      <w:t>桂林市政府集中采购中心                                                                              公开招标</w:t>
    </w:r>
  </w:p>
  <w:p w14:paraId="5310D96E">
    <w:pPr>
      <w:pStyle w:val="2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4800">
    <w:pPr>
      <w:pStyle w:val="219"/>
      <w:pBdr>
        <w:bottom w:val="single" w:color="000000" w:sz="4"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8B5CCE">
                          <w:pPr>
                            <w:pStyle w:val="219"/>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wps:txbx>
                    <wps:bodyPr wrap="none" lIns="0" tIns="0" rIns="0" bIns="0" upright="1">
                      <a:spAutoFit/>
                    </wps:bodyPr>
                  </wps:wsp>
                </a:graphicData>
              </a:graphic>
            </wp:anchor>
          </w:drawing>
        </mc:Choice>
        <mc:Fallback>
          <w:pict>
            <v:shape id="_x0000_s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YDDxgEAAKgDAAAOAAAAAAAAAAEAIAAAAB4BAABkcnMvZTJvRG9jLnht&#10;bFBLBQYAAAAABgAGAFkBAABWBQAAAAA=&#10;">
              <v:fill on="f" focussize="0,0"/>
              <v:stroke on="f"/>
              <v:imagedata o:title=""/>
              <o:lock v:ext="edit" aspectratio="f"/>
              <v:textbox inset="0mm,0mm,0mm,0mm" style="mso-fit-shape-to-text:t;">
                <w:txbxContent>
                  <w:p w14:paraId="188B5CCE">
                    <w:pPr>
                      <w:pStyle w:val="219"/>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v:textbox>
            </v:shape>
          </w:pict>
        </mc:Fallback>
      </mc:AlternateContent>
    </w:r>
  </w:p>
  <w:p w14:paraId="10ACE3A8">
    <w:pPr>
      <w:pStyle w:val="219"/>
    </w:pPr>
    <w:r>
      <w:rPr>
        <w:rFonts w:hint="eastAsia"/>
      </w:rPr>
      <w:t>桂林市政府集中采购中心                                                                              公开招标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06CA4EF">
      <w:pPr>
        <w:keepNext w:val="0"/>
        <w:keepLines w:val="0"/>
        <w:widowControl/>
        <w:suppressLineNumbers w:val="0"/>
        <w:jc w:val="left"/>
      </w:pPr>
      <w:r>
        <w:rPr>
          <w:rStyle w:val="247"/>
        </w:rPr>
        <w:footnoteRef/>
      </w:r>
      <w:r>
        <w:rPr>
          <w:rFonts w:hint="eastAsia" w:ascii="宋体" w:hAnsi="宋体" w:eastAsia="宋体" w:cs="宋体"/>
          <w:color w:val="000000"/>
          <w:sz w:val="18"/>
          <w:szCs w:val="18"/>
          <w:lang w:val="en-US" w:eastAsia="zh-CN" w:bidi="ar"/>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877A">
    <w:pPr>
      <w:pStyle w:val="222"/>
      <w:jc w:val="left"/>
      <w:rPr>
        <w:rFonts w:hint="eastAsia" w:eastAsia="宋体"/>
        <w:lang w:val="en-US" w:eastAsia="zh-CN"/>
      </w:rPr>
    </w:pPr>
    <w:r>
      <w:rPr>
        <w:rFonts w:hint="eastAsia" w:ascii="宋体" w:hAnsi="宋体" w:cs="宋体"/>
        <w:color w:val="000000"/>
        <w:highlight w:val="none"/>
        <w:lang w:val="en-US" w:eastAsia="zh-CN"/>
      </w:rPr>
      <w:t xml:space="preserve">荔浦市荔浦中学等114所学校教育城域网建设项目网络服务租用项目                       </w:t>
    </w:r>
    <w:r>
      <w:rPr>
        <w:rFonts w:hint="eastAsia" w:ascii="宋体" w:hAnsi="宋体" w:cs="宋体"/>
        <w:color w:val="000000"/>
        <w:highlight w:val="none"/>
        <w:lang w:eastAsia="zh-CN"/>
      </w:rPr>
      <w:t>GLZC2026-G3-310022-GLSZ</w:t>
    </w:r>
  </w:p>
  <w:p w14:paraId="47826B26">
    <w:pPr>
      <w:pStyle w:val="20"/>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EBBE8"/>
    <w:multiLevelType w:val="multilevel"/>
    <w:tmpl w:val="AE8EBBE8"/>
    <w:lvl w:ilvl="0" w:tentative="0">
      <w:start w:val="15"/>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E6EFFB8B"/>
    <w:multiLevelType w:val="multilevel"/>
    <w:tmpl w:val="E6EFFB8B"/>
    <w:lvl w:ilvl="0" w:tentative="0">
      <w:start w:val="14"/>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1B8973EB"/>
    <w:multiLevelType w:val="multilevel"/>
    <w:tmpl w:val="1B8973E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262694A4"/>
    <w:multiLevelType w:val="multilevel"/>
    <w:tmpl w:val="262694A4"/>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2E3DCA9D"/>
    <w:multiLevelType w:val="multilevel"/>
    <w:tmpl w:val="2E3DCA9D"/>
    <w:lvl w:ilvl="0" w:tentative="0">
      <w:start w:val="1"/>
      <w:numFmt w:val="chineseCounting"/>
      <w:suff w:val="space"/>
      <w:lvlText w:val="第%1条"/>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491EBDFD"/>
    <w:multiLevelType w:val="multilevel"/>
    <w:tmpl w:val="491EBDFD"/>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2"/>
    <w:footnote w:id="3"/>
  </w:footnotePr>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66CD"/>
    <w:rsid w:val="01A52705"/>
    <w:rsid w:val="01CE4E38"/>
    <w:rsid w:val="04745F84"/>
    <w:rsid w:val="067F1777"/>
    <w:rsid w:val="071E2D3E"/>
    <w:rsid w:val="076444C8"/>
    <w:rsid w:val="07D23B28"/>
    <w:rsid w:val="07EA6448"/>
    <w:rsid w:val="097D4BD7"/>
    <w:rsid w:val="0A9A7472"/>
    <w:rsid w:val="0CAF1EE9"/>
    <w:rsid w:val="0D265591"/>
    <w:rsid w:val="0D8B52A2"/>
    <w:rsid w:val="0F032819"/>
    <w:rsid w:val="11AB0269"/>
    <w:rsid w:val="1202500A"/>
    <w:rsid w:val="122D2087"/>
    <w:rsid w:val="169052DA"/>
    <w:rsid w:val="17096457"/>
    <w:rsid w:val="1A5959E3"/>
    <w:rsid w:val="1A8E0D70"/>
    <w:rsid w:val="1D6F0670"/>
    <w:rsid w:val="1E214A6A"/>
    <w:rsid w:val="1F8D23B7"/>
    <w:rsid w:val="201605FE"/>
    <w:rsid w:val="20686980"/>
    <w:rsid w:val="224A0A33"/>
    <w:rsid w:val="22B91715"/>
    <w:rsid w:val="23CE409D"/>
    <w:rsid w:val="248B0E8F"/>
    <w:rsid w:val="257162D7"/>
    <w:rsid w:val="26864004"/>
    <w:rsid w:val="26E01966"/>
    <w:rsid w:val="26FF5A7B"/>
    <w:rsid w:val="27CE17BE"/>
    <w:rsid w:val="2808523B"/>
    <w:rsid w:val="2A583806"/>
    <w:rsid w:val="2A9A007E"/>
    <w:rsid w:val="2BC20CFC"/>
    <w:rsid w:val="2BE96DDF"/>
    <w:rsid w:val="2CB20162"/>
    <w:rsid w:val="2CD81EA7"/>
    <w:rsid w:val="2FB120F1"/>
    <w:rsid w:val="32CC7242"/>
    <w:rsid w:val="33874918"/>
    <w:rsid w:val="338D69D1"/>
    <w:rsid w:val="33E12879"/>
    <w:rsid w:val="34B561E0"/>
    <w:rsid w:val="34D86F7C"/>
    <w:rsid w:val="34F211E2"/>
    <w:rsid w:val="387737AC"/>
    <w:rsid w:val="38D45B95"/>
    <w:rsid w:val="39902D77"/>
    <w:rsid w:val="3A4C3187"/>
    <w:rsid w:val="3B2C4D22"/>
    <w:rsid w:val="3B701023"/>
    <w:rsid w:val="3BC44F5A"/>
    <w:rsid w:val="3C833CE0"/>
    <w:rsid w:val="3CB23005"/>
    <w:rsid w:val="3E8804C1"/>
    <w:rsid w:val="3EC139D3"/>
    <w:rsid w:val="3F760C61"/>
    <w:rsid w:val="407A02DD"/>
    <w:rsid w:val="40B05AAD"/>
    <w:rsid w:val="414F3CB0"/>
    <w:rsid w:val="41A970CC"/>
    <w:rsid w:val="43F646D3"/>
    <w:rsid w:val="43FB1735"/>
    <w:rsid w:val="4476700E"/>
    <w:rsid w:val="4614088C"/>
    <w:rsid w:val="492F468C"/>
    <w:rsid w:val="4C8229F4"/>
    <w:rsid w:val="4D514F7B"/>
    <w:rsid w:val="4E9418D6"/>
    <w:rsid w:val="4F9F38BD"/>
    <w:rsid w:val="50493828"/>
    <w:rsid w:val="50A62A29"/>
    <w:rsid w:val="52DC6BD6"/>
    <w:rsid w:val="54D13CF2"/>
    <w:rsid w:val="56707D61"/>
    <w:rsid w:val="56C97471"/>
    <w:rsid w:val="57AA72A2"/>
    <w:rsid w:val="59A30AAE"/>
    <w:rsid w:val="5C125416"/>
    <w:rsid w:val="5C140AA0"/>
    <w:rsid w:val="5C8826AF"/>
    <w:rsid w:val="5CC91F79"/>
    <w:rsid w:val="5CFF1E3E"/>
    <w:rsid w:val="5DD62B9F"/>
    <w:rsid w:val="5F944AC0"/>
    <w:rsid w:val="61321A22"/>
    <w:rsid w:val="640478E5"/>
    <w:rsid w:val="653C47A6"/>
    <w:rsid w:val="65B03CD6"/>
    <w:rsid w:val="67C743D1"/>
    <w:rsid w:val="68555008"/>
    <w:rsid w:val="68AA1EC4"/>
    <w:rsid w:val="69392234"/>
    <w:rsid w:val="695B7AFE"/>
    <w:rsid w:val="69985318"/>
    <w:rsid w:val="6E57398D"/>
    <w:rsid w:val="6E796616"/>
    <w:rsid w:val="727F5472"/>
    <w:rsid w:val="730B4EF6"/>
    <w:rsid w:val="74454183"/>
    <w:rsid w:val="74BE0D3C"/>
    <w:rsid w:val="751D0C5C"/>
    <w:rsid w:val="7553467E"/>
    <w:rsid w:val="7693567A"/>
    <w:rsid w:val="76BD26F7"/>
    <w:rsid w:val="76FF5D81"/>
    <w:rsid w:val="7A1E34AC"/>
    <w:rsid w:val="7B146AB2"/>
    <w:rsid w:val="7B8B06C8"/>
    <w:rsid w:val="7CB023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5"/>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6"/>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7"/>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8"/>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9"/>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0"/>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1"/>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2"/>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3"/>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Body Text"/>
    <w:basedOn w:val="1"/>
    <w:next w:val="1"/>
    <w:semiHidden/>
    <w:qFormat/>
    <w:uiPriority w:val="0"/>
    <w:rPr>
      <w:rFonts w:ascii="宋体" w:hAnsi="宋体" w:eastAsia="宋体" w:cs="宋体"/>
      <w:sz w:val="31"/>
      <w:szCs w:val="31"/>
    </w:rPr>
  </w:style>
  <w:style w:type="paragraph" w:styleId="15">
    <w:name w:val="toc 5"/>
    <w:basedOn w:val="1"/>
    <w:next w:val="1"/>
    <w:unhideWhenUsed/>
    <w:qFormat/>
    <w:uiPriority w:val="39"/>
    <w:pPr>
      <w:spacing w:after="100"/>
      <w:ind w:left="880"/>
    </w:pPr>
  </w:style>
  <w:style w:type="paragraph" w:styleId="16">
    <w:name w:val="toc 3"/>
    <w:basedOn w:val="1"/>
    <w:next w:val="1"/>
    <w:unhideWhenUsed/>
    <w:qFormat/>
    <w:uiPriority w:val="39"/>
    <w:pPr>
      <w:spacing w:after="100"/>
      <w:ind w:left="440"/>
    </w:pPr>
  </w:style>
  <w:style w:type="paragraph" w:styleId="17">
    <w:name w:val="toc 8"/>
    <w:basedOn w:val="1"/>
    <w:next w:val="1"/>
    <w:unhideWhenUsed/>
    <w:qFormat/>
    <w:uiPriority w:val="39"/>
    <w:pPr>
      <w:spacing w:after="100"/>
      <w:ind w:left="1540"/>
    </w:pPr>
  </w:style>
  <w:style w:type="paragraph" w:styleId="18">
    <w:name w:val="endnote text"/>
    <w:basedOn w:val="1"/>
    <w:link w:val="189"/>
    <w:semiHidden/>
    <w:unhideWhenUsed/>
    <w:qFormat/>
    <w:uiPriority w:val="99"/>
    <w:pPr>
      <w:spacing w:after="0" w:line="240" w:lineRule="auto"/>
    </w:pPr>
    <w:rPr>
      <w:sz w:val="20"/>
      <w:szCs w:val="20"/>
    </w:rPr>
  </w:style>
  <w:style w:type="paragraph" w:styleId="19">
    <w:name w:val="footer"/>
    <w:basedOn w:val="1"/>
    <w:link w:val="187"/>
    <w:unhideWhenUsed/>
    <w:qFormat/>
    <w:uiPriority w:val="99"/>
    <w:pPr>
      <w:tabs>
        <w:tab w:val="center" w:pos="4844"/>
        <w:tab w:val="right" w:pos="9689"/>
      </w:tabs>
      <w:spacing w:after="0" w:line="240" w:lineRule="auto"/>
    </w:pPr>
  </w:style>
  <w:style w:type="paragraph" w:styleId="20">
    <w:name w:val="header"/>
    <w:basedOn w:val="1"/>
    <w:link w:val="186"/>
    <w:unhideWhenUsed/>
    <w:qFormat/>
    <w:uiPriority w:val="99"/>
    <w:pPr>
      <w:tabs>
        <w:tab w:val="center" w:pos="4844"/>
        <w:tab w:val="right" w:pos="9689"/>
      </w:tabs>
      <w:spacing w:after="0" w:line="240" w:lineRule="auto"/>
    </w:pPr>
  </w:style>
  <w:style w:type="paragraph" w:styleId="21">
    <w:name w:val="toc 1"/>
    <w:basedOn w:val="1"/>
    <w:next w:val="1"/>
    <w:unhideWhenUsed/>
    <w:qFormat/>
    <w:uiPriority w:val="39"/>
    <w:pPr>
      <w:spacing w:after="100"/>
    </w:pPr>
  </w:style>
  <w:style w:type="paragraph" w:styleId="22">
    <w:name w:val="toc 4"/>
    <w:basedOn w:val="1"/>
    <w:next w:val="1"/>
    <w:unhideWhenUsed/>
    <w:qFormat/>
    <w:uiPriority w:val="39"/>
    <w:pPr>
      <w:spacing w:after="100"/>
      <w:ind w:left="660"/>
    </w:pPr>
  </w:style>
  <w:style w:type="paragraph" w:styleId="23">
    <w:name w:val="Subtitle"/>
    <w:basedOn w:val="1"/>
    <w:next w:val="1"/>
    <w:link w:val="175"/>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188"/>
    <w:semiHidden/>
    <w:unhideWhenUsed/>
    <w:qFormat/>
    <w:uiPriority w:val="99"/>
    <w:pPr>
      <w:spacing w:after="0" w:line="240" w:lineRule="auto"/>
    </w:pPr>
    <w:rPr>
      <w:sz w:val="20"/>
      <w:szCs w:val="20"/>
    </w:rPr>
  </w:style>
  <w:style w:type="paragraph" w:styleId="25">
    <w:name w:val="toc 6"/>
    <w:basedOn w:val="1"/>
    <w:next w:val="1"/>
    <w:unhideWhenUsed/>
    <w:qFormat/>
    <w:uiPriority w:val="39"/>
    <w:pPr>
      <w:spacing w:after="100"/>
      <w:ind w:left="110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100"/>
      <w:ind w:left="220"/>
    </w:pPr>
  </w:style>
  <w:style w:type="paragraph" w:styleId="28">
    <w:name w:val="toc 9"/>
    <w:basedOn w:val="1"/>
    <w:next w:val="1"/>
    <w:unhideWhenUsed/>
    <w:qFormat/>
    <w:uiPriority w:val="39"/>
    <w:pPr>
      <w:spacing w:after="100"/>
      <w:ind w:left="1760"/>
    </w:pPr>
  </w:style>
  <w:style w:type="paragraph" w:styleId="29">
    <w:name w:val="Title"/>
    <w:basedOn w:val="1"/>
    <w:next w:val="1"/>
    <w:link w:val="174"/>
    <w:qFormat/>
    <w:uiPriority w:val="10"/>
    <w:pPr>
      <w:spacing w:after="80" w:line="240" w:lineRule="auto"/>
      <w:contextualSpacing/>
    </w:pPr>
    <w:rPr>
      <w:rFonts w:ascii="Arial" w:hAnsi="Arial" w:eastAsia="Arial" w:cs="Arial"/>
      <w:spacing w:val="-10"/>
      <w:sz w:val="56"/>
      <w:szCs w:val="56"/>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Strong"/>
    <w:basedOn w:val="32"/>
    <w:qFormat/>
    <w:uiPriority w:val="22"/>
    <w:rPr>
      <w:b/>
      <w:bCs/>
    </w:rPr>
  </w:style>
  <w:style w:type="character" w:styleId="34">
    <w:name w:val="endnote reference"/>
    <w:basedOn w:val="32"/>
    <w:semiHidden/>
    <w:unhideWhenUsed/>
    <w:qFormat/>
    <w:uiPriority w:val="99"/>
    <w:rPr>
      <w:vertAlign w:val="superscript"/>
    </w:rPr>
  </w:style>
  <w:style w:type="character" w:styleId="35">
    <w:name w:val="FollowedHyperlink"/>
    <w:basedOn w:val="32"/>
    <w:semiHidden/>
    <w:unhideWhenUsed/>
    <w:qFormat/>
    <w:uiPriority w:val="99"/>
    <w:rPr>
      <w:color w:val="800080" w:themeColor="followedHyperlink"/>
      <w:u w:val="single"/>
      <w14:textFill>
        <w14:solidFill>
          <w14:schemeClr w14:val="folHlink"/>
        </w14:solidFill>
      </w14:textFill>
    </w:rPr>
  </w:style>
  <w:style w:type="character" w:styleId="36">
    <w:name w:val="Emphasis"/>
    <w:basedOn w:val="32"/>
    <w:qFormat/>
    <w:uiPriority w:val="20"/>
    <w:rPr>
      <w:i/>
      <w:iCs/>
    </w:rPr>
  </w:style>
  <w:style w:type="character" w:styleId="37">
    <w:name w:val="Hyperlink"/>
    <w:basedOn w:val="32"/>
    <w:unhideWhenUsed/>
    <w:qFormat/>
    <w:uiPriority w:val="99"/>
    <w:rPr>
      <w:color w:val="0000FF" w:themeColor="hyperlink"/>
      <w:u w:val="single"/>
      <w14:textFill>
        <w14:solidFill>
          <w14:schemeClr w14:val="hlink"/>
        </w14:solidFill>
      </w14:textFill>
    </w:rPr>
  </w:style>
  <w:style w:type="character" w:styleId="38">
    <w:name w:val="footnote reference"/>
    <w:basedOn w:val="32"/>
    <w:semiHidden/>
    <w:unhideWhenUsed/>
    <w:qFormat/>
    <w:uiPriority w:val="99"/>
    <w:rPr>
      <w:vertAlign w:val="superscript"/>
    </w:rPr>
  </w:style>
  <w:style w:type="paragraph" w:customStyle="1" w:styleId="39">
    <w:name w:val="正文文本1"/>
    <w:basedOn w:val="1"/>
    <w:next w:val="1"/>
    <w:qFormat/>
    <w:uiPriority w:val="0"/>
    <w:pPr>
      <w:spacing w:line="380" w:lineRule="exact"/>
    </w:pPr>
    <w:rPr>
      <w:sz w:val="24"/>
    </w:rPr>
  </w:style>
  <w:style w:type="table" w:customStyle="1" w:styleId="40">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1">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3">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7">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8">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9">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0">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1">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2">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3">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4">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5">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6">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7">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8">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9">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0">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1">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2">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3">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4">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5">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6">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7">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9">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5">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6">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7">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8">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9">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0">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1">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2">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3">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4">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5">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6">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7">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8">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9">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0">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1">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2">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3">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4">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5">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6">
    <w:name w:val="List Table 1 Light - Accent 1"/>
    <w:basedOn w:val="30"/>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7">
    <w:name w:val="List Table 1 Light - Accent 2"/>
    <w:basedOn w:val="30"/>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8">
    <w:name w:val="List Table 1 Light - Accent 3"/>
    <w:basedOn w:val="30"/>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9">
    <w:name w:val="List Table 1 Light - Accent 4"/>
    <w:basedOn w:val="30"/>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0">
    <w:name w:val="List Table 1 Light - Accent 5"/>
    <w:basedOn w:val="3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1">
    <w:name w:val="List Table 1 Light - Accent 6"/>
    <w:basedOn w:val="30"/>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2">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3">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4">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5">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6">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7">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8">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9">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0">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1">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2">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3">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4">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5">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6">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4 - Accent 3"/>
    <w:basedOn w:val="3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4">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5">
    <w:name w:val="List Table 5 Dark - Accent 2"/>
    <w:basedOn w:val="3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6">
    <w:name w:val="List Table 5 Dark - Accent 3"/>
    <w:basedOn w:val="3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7">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8">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9">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0">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1">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2">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3">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6"/>
    <w:basedOn w:val="3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7">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8">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9">
    <w:name w:val="List Table 7 Colorful - Accent 2"/>
    <w:basedOn w:val="30"/>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0">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4">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5">
    <w:name w:val="Lined - Accent 1"/>
    <w:basedOn w:val="30"/>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6">
    <w:name w:val="Lined - Accent 2"/>
    <w:basedOn w:val="30"/>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7">
    <w:name w:val="Lined - Accent 3"/>
    <w:basedOn w:val="30"/>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8">
    <w:name w:val="Lined - Accent 4"/>
    <w:basedOn w:val="30"/>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9">
    <w:name w:val="Lined - Accent 5"/>
    <w:basedOn w:val="3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0">
    <w:name w:val="Lined - Accent 6"/>
    <w:basedOn w:val="30"/>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1">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2">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3">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4">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5">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6">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7">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8">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9">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0">
    <w:name w:val="Bordered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1">
    <w:name w:val="Bordered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2">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3">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4">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5">
    <w:name w:val="Heading 1 Char"/>
    <w:basedOn w:val="32"/>
    <w:link w:val="2"/>
    <w:qFormat/>
    <w:uiPriority w:val="9"/>
    <w:rPr>
      <w:rFonts w:ascii="Arial" w:hAnsi="Arial" w:eastAsia="Arial" w:cs="Arial"/>
      <w:color w:val="376092" w:themeColor="accent1" w:themeShade="BF"/>
      <w:sz w:val="40"/>
      <w:szCs w:val="40"/>
    </w:rPr>
  </w:style>
  <w:style w:type="character" w:customStyle="1" w:styleId="166">
    <w:name w:val="Heading 2 Char"/>
    <w:basedOn w:val="32"/>
    <w:link w:val="3"/>
    <w:qFormat/>
    <w:uiPriority w:val="9"/>
    <w:rPr>
      <w:rFonts w:ascii="Arial" w:hAnsi="Arial" w:eastAsia="Arial" w:cs="Arial"/>
      <w:color w:val="376092" w:themeColor="accent1" w:themeShade="BF"/>
      <w:sz w:val="32"/>
      <w:szCs w:val="32"/>
    </w:rPr>
  </w:style>
  <w:style w:type="character" w:customStyle="1" w:styleId="167">
    <w:name w:val="Heading 3 Char"/>
    <w:basedOn w:val="32"/>
    <w:link w:val="4"/>
    <w:qFormat/>
    <w:uiPriority w:val="9"/>
    <w:rPr>
      <w:rFonts w:ascii="Arial" w:hAnsi="Arial" w:eastAsia="Arial" w:cs="Arial"/>
      <w:color w:val="376092" w:themeColor="accent1" w:themeShade="BF"/>
      <w:sz w:val="28"/>
      <w:szCs w:val="28"/>
    </w:rPr>
  </w:style>
  <w:style w:type="character" w:customStyle="1" w:styleId="168">
    <w:name w:val="Heading 4 Char"/>
    <w:basedOn w:val="32"/>
    <w:link w:val="5"/>
    <w:qFormat/>
    <w:uiPriority w:val="9"/>
    <w:rPr>
      <w:rFonts w:ascii="Arial" w:hAnsi="Arial" w:eastAsia="Arial" w:cs="Arial"/>
      <w:i/>
      <w:iCs/>
      <w:color w:val="376092" w:themeColor="accent1" w:themeShade="BF"/>
    </w:rPr>
  </w:style>
  <w:style w:type="character" w:customStyle="1" w:styleId="169">
    <w:name w:val="Heading 5 Char"/>
    <w:basedOn w:val="32"/>
    <w:link w:val="6"/>
    <w:qFormat/>
    <w:uiPriority w:val="9"/>
    <w:rPr>
      <w:rFonts w:ascii="Arial" w:hAnsi="Arial" w:eastAsia="Arial" w:cs="Arial"/>
      <w:color w:val="376092" w:themeColor="accent1" w:themeShade="BF"/>
    </w:rPr>
  </w:style>
  <w:style w:type="character" w:customStyle="1" w:styleId="170">
    <w:name w:val="Heading 6 Char"/>
    <w:basedOn w:val="32"/>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1">
    <w:name w:val="Heading 7 Char"/>
    <w:basedOn w:val="32"/>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2">
    <w:name w:val="Heading 8 Char"/>
    <w:basedOn w:val="32"/>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Heading 9 Char"/>
    <w:basedOn w:val="32"/>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Title Char"/>
    <w:basedOn w:val="32"/>
    <w:link w:val="29"/>
    <w:qFormat/>
    <w:uiPriority w:val="10"/>
    <w:rPr>
      <w:rFonts w:ascii="Arial" w:hAnsi="Arial" w:eastAsia="Arial" w:cs="Arial"/>
      <w:spacing w:val="-10"/>
      <w:sz w:val="56"/>
      <w:szCs w:val="56"/>
    </w:rPr>
  </w:style>
  <w:style w:type="character" w:customStyle="1" w:styleId="175">
    <w:name w:val="Subtitle Char"/>
    <w:basedOn w:val="32"/>
    <w:link w:val="2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6">
    <w:name w:val="Quote"/>
    <w:basedOn w:val="1"/>
    <w:next w:val="1"/>
    <w:link w:val="17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7">
    <w:name w:val="Quote Char"/>
    <w:basedOn w:val="32"/>
    <w:link w:val="176"/>
    <w:qFormat/>
    <w:uiPriority w:val="29"/>
    <w:rPr>
      <w:i/>
      <w:iCs/>
      <w:color w:val="404040" w:themeColor="text1" w:themeTint="BF"/>
      <w14:textFill>
        <w14:solidFill>
          <w14:schemeClr w14:val="tx1">
            <w14:lumMod w14:val="75000"/>
            <w14:lumOff w14:val="25000"/>
          </w14:schemeClr>
        </w14:solidFill>
      </w14:textFill>
    </w:rPr>
  </w:style>
  <w:style w:type="character" w:customStyle="1" w:styleId="178">
    <w:name w:val="Intense Emphasis"/>
    <w:basedOn w:val="32"/>
    <w:qFormat/>
    <w:uiPriority w:val="21"/>
    <w:rPr>
      <w:i/>
      <w:iCs/>
      <w:color w:val="376092" w:themeColor="accent1" w:themeShade="BF"/>
    </w:rPr>
  </w:style>
  <w:style w:type="paragraph" w:styleId="179">
    <w:name w:val="Intense Quote"/>
    <w:basedOn w:val="1"/>
    <w:next w:val="1"/>
    <w:link w:val="18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0">
    <w:name w:val="Intense Quote Char"/>
    <w:basedOn w:val="32"/>
    <w:link w:val="179"/>
    <w:qFormat/>
    <w:uiPriority w:val="30"/>
    <w:rPr>
      <w:i/>
      <w:iCs/>
      <w:color w:val="376092" w:themeColor="accent1" w:themeShade="BF"/>
    </w:rPr>
  </w:style>
  <w:style w:type="character" w:customStyle="1" w:styleId="181">
    <w:name w:val="Intense Reference"/>
    <w:basedOn w:val="32"/>
    <w:qFormat/>
    <w:uiPriority w:val="32"/>
    <w:rPr>
      <w:b/>
      <w:bCs/>
      <w:smallCaps/>
      <w:color w:val="376092" w:themeColor="accent1" w:themeShade="BF"/>
      <w:spacing w:val="5"/>
    </w:rPr>
  </w:style>
  <w:style w:type="paragraph" w:styleId="182">
    <w:name w:val="No Spacing"/>
    <w:basedOn w:val="1"/>
    <w:qFormat/>
    <w:uiPriority w:val="1"/>
    <w:pPr>
      <w:spacing w:after="0" w:line="240" w:lineRule="auto"/>
    </w:pPr>
  </w:style>
  <w:style w:type="character" w:customStyle="1" w:styleId="183">
    <w:name w:val="Subtle Emphasis"/>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184">
    <w:name w:val="Subtle Reference"/>
    <w:basedOn w:val="3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5">
    <w:name w:val="Book Title"/>
    <w:basedOn w:val="32"/>
    <w:qFormat/>
    <w:uiPriority w:val="33"/>
    <w:rPr>
      <w:b/>
      <w:bCs/>
      <w:i/>
      <w:iCs/>
      <w:spacing w:val="5"/>
    </w:rPr>
  </w:style>
  <w:style w:type="character" w:customStyle="1" w:styleId="186">
    <w:name w:val="Header Char"/>
    <w:basedOn w:val="32"/>
    <w:link w:val="20"/>
    <w:qFormat/>
    <w:uiPriority w:val="99"/>
  </w:style>
  <w:style w:type="character" w:customStyle="1" w:styleId="187">
    <w:name w:val="Footer Char"/>
    <w:basedOn w:val="32"/>
    <w:link w:val="19"/>
    <w:qFormat/>
    <w:uiPriority w:val="99"/>
  </w:style>
  <w:style w:type="character" w:customStyle="1" w:styleId="188">
    <w:name w:val="Footnote Text Char"/>
    <w:basedOn w:val="32"/>
    <w:link w:val="24"/>
    <w:semiHidden/>
    <w:qFormat/>
    <w:uiPriority w:val="99"/>
    <w:rPr>
      <w:sz w:val="20"/>
      <w:szCs w:val="20"/>
    </w:rPr>
  </w:style>
  <w:style w:type="character" w:customStyle="1" w:styleId="189">
    <w:name w:val="Endnote Text Char"/>
    <w:basedOn w:val="32"/>
    <w:link w:val="18"/>
    <w:semiHidden/>
    <w:qFormat/>
    <w:uiPriority w:val="99"/>
    <w:rPr>
      <w:sz w:val="20"/>
      <w:szCs w:val="20"/>
    </w:rPr>
  </w:style>
  <w:style w:type="character" w:styleId="190">
    <w:name w:val="Placeholder Text"/>
    <w:basedOn w:val="32"/>
    <w:semiHidden/>
    <w:qFormat/>
    <w:uiPriority w:val="99"/>
    <w:rPr>
      <w:color w:val="666666"/>
    </w:rPr>
  </w:style>
  <w:style w:type="paragraph" w:customStyle="1" w:styleId="191">
    <w:name w:val="TOC Heading"/>
    <w:unhideWhenUsed/>
    <w:qFormat/>
    <w:uiPriority w:val="39"/>
    <w:rPr>
      <w:rFonts w:hint="default" w:ascii="Times New Roman" w:hAnsi="Times New Roman" w:eastAsia="宋体" w:cs="Times New Roman"/>
    </w:rPr>
  </w:style>
  <w:style w:type="paragraph" w:customStyle="1" w:styleId="192">
    <w:name w:val="标题 11"/>
    <w:basedOn w:val="1"/>
    <w:next w:val="1"/>
    <w:link w:val="250"/>
    <w:qFormat/>
    <w:uiPriority w:val="0"/>
    <w:pPr>
      <w:keepNext/>
      <w:keepLines/>
      <w:spacing w:before="340" w:after="330" w:line="578" w:lineRule="auto"/>
      <w:outlineLvl w:val="0"/>
    </w:pPr>
    <w:rPr>
      <w:rFonts w:ascii="Tahoma" w:hAnsi="Tahoma"/>
      <w:b/>
      <w:bCs/>
      <w:sz w:val="44"/>
      <w:szCs w:val="44"/>
    </w:rPr>
  </w:style>
  <w:style w:type="paragraph" w:customStyle="1" w:styleId="193">
    <w:name w:val="标题 21"/>
    <w:basedOn w:val="1"/>
    <w:next w:val="1"/>
    <w:link w:val="200"/>
    <w:qFormat/>
    <w:uiPriority w:val="0"/>
    <w:pPr>
      <w:keepNext/>
      <w:keepLines/>
      <w:spacing w:before="260" w:after="260" w:line="416" w:lineRule="auto"/>
      <w:outlineLvl w:val="1"/>
    </w:pPr>
    <w:rPr>
      <w:rFonts w:ascii="Cambria" w:hAnsi="Cambria"/>
      <w:b/>
      <w:bCs/>
      <w:sz w:val="32"/>
      <w:szCs w:val="32"/>
    </w:rPr>
  </w:style>
  <w:style w:type="paragraph" w:customStyle="1" w:styleId="194">
    <w:name w:val="标题 31"/>
    <w:basedOn w:val="1"/>
    <w:next w:val="1"/>
    <w:qFormat/>
    <w:uiPriority w:val="0"/>
    <w:pPr>
      <w:keepNext/>
      <w:keepLines/>
      <w:spacing w:before="260" w:after="260" w:line="416" w:lineRule="auto"/>
      <w:outlineLvl w:val="2"/>
    </w:pPr>
    <w:rPr>
      <w:b/>
      <w:bCs/>
      <w:sz w:val="32"/>
      <w:szCs w:val="32"/>
    </w:rPr>
  </w:style>
  <w:style w:type="paragraph" w:customStyle="1" w:styleId="195">
    <w:name w:val="标题 41"/>
    <w:basedOn w:val="1"/>
    <w:next w:val="1"/>
    <w:qFormat/>
    <w:uiPriority w:val="0"/>
    <w:pPr>
      <w:keepNext/>
      <w:spacing w:before="240" w:after="60"/>
      <w:outlineLvl w:val="3"/>
    </w:pPr>
    <w:rPr>
      <w:b/>
      <w:bCs/>
      <w:sz w:val="28"/>
      <w:szCs w:val="28"/>
    </w:rPr>
  </w:style>
  <w:style w:type="paragraph" w:customStyle="1" w:styleId="196">
    <w:name w:val="标题 61"/>
    <w:basedOn w:val="1"/>
    <w:next w:val="1"/>
    <w:link w:val="201"/>
    <w:qFormat/>
    <w:uiPriority w:val="0"/>
    <w:pPr>
      <w:keepNext/>
      <w:keepLines/>
      <w:spacing w:before="240" w:after="64" w:line="320" w:lineRule="auto"/>
      <w:outlineLvl w:val="5"/>
    </w:pPr>
    <w:rPr>
      <w:rFonts w:ascii="Arial" w:hAnsi="Arial" w:eastAsia="黑体"/>
      <w:b/>
      <w:bCs/>
      <w:sz w:val="24"/>
    </w:rPr>
  </w:style>
  <w:style w:type="character" w:customStyle="1" w:styleId="197">
    <w:name w:val="默认段落字体1"/>
    <w:link w:val="1"/>
    <w:unhideWhenUsed/>
    <w:qFormat/>
    <w:uiPriority w:val="1"/>
  </w:style>
  <w:style w:type="table" w:customStyle="1" w:styleId="198">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9">
    <w:name w:val="标题 1 字符"/>
    <w:link w:val="192"/>
    <w:qFormat/>
    <w:uiPriority w:val="0"/>
    <w:rPr>
      <w:rFonts w:ascii="Tahoma" w:hAnsi="Tahoma"/>
      <w:b/>
      <w:bCs/>
      <w:sz w:val="44"/>
      <w:szCs w:val="44"/>
    </w:rPr>
  </w:style>
  <w:style w:type="character" w:customStyle="1" w:styleId="200">
    <w:name w:val="标题 2 字符"/>
    <w:link w:val="193"/>
    <w:semiHidden/>
    <w:qFormat/>
    <w:uiPriority w:val="0"/>
    <w:rPr>
      <w:rFonts w:ascii="Cambria" w:hAnsi="Cambria" w:eastAsia="宋体" w:cs="Times New Roman"/>
      <w:b/>
      <w:bCs/>
      <w:sz w:val="32"/>
      <w:szCs w:val="32"/>
    </w:rPr>
  </w:style>
  <w:style w:type="character" w:customStyle="1" w:styleId="201">
    <w:name w:val="标题 6 字符"/>
    <w:link w:val="196"/>
    <w:qFormat/>
    <w:uiPriority w:val="0"/>
    <w:rPr>
      <w:rFonts w:ascii="Arial" w:hAnsi="Arial" w:eastAsia="黑体"/>
      <w:b/>
      <w:bCs/>
      <w:sz w:val="24"/>
      <w:szCs w:val="24"/>
      <w:lang w:val="en-US" w:eastAsia="zh-CN" w:bidi="ar-SA"/>
    </w:rPr>
  </w:style>
  <w:style w:type="paragraph" w:customStyle="1" w:styleId="202">
    <w:name w:val="索引 81"/>
    <w:basedOn w:val="1"/>
    <w:next w:val="1"/>
    <w:qFormat/>
    <w:uiPriority w:val="0"/>
    <w:pPr>
      <w:ind w:left="2940"/>
    </w:pPr>
  </w:style>
  <w:style w:type="paragraph" w:customStyle="1" w:styleId="203">
    <w:name w:val="列表编号1"/>
    <w:basedOn w:val="1"/>
    <w:qFormat/>
    <w:uiPriority w:val="0"/>
    <w:pPr>
      <w:widowControl/>
      <w:tabs>
        <w:tab w:val="left" w:pos="454"/>
        <w:tab w:val="left" w:pos="720"/>
        <w:tab w:val="left" w:pos="840"/>
      </w:tabs>
      <w:ind w:left="454" w:hanging="284"/>
      <w:jc w:val="left"/>
    </w:pPr>
    <w:rPr>
      <w:sz w:val="24"/>
      <w:szCs w:val="20"/>
    </w:rPr>
  </w:style>
  <w:style w:type="paragraph" w:customStyle="1" w:styleId="204">
    <w:name w:val="正文缩进1"/>
    <w:basedOn w:val="1"/>
    <w:link w:val="205"/>
    <w:qFormat/>
    <w:uiPriority w:val="0"/>
    <w:pPr>
      <w:ind w:firstLine="420"/>
    </w:pPr>
    <w:rPr>
      <w:szCs w:val="20"/>
    </w:rPr>
  </w:style>
  <w:style w:type="character" w:customStyle="1" w:styleId="205">
    <w:name w:val="正文缩进 字符"/>
    <w:link w:val="204"/>
    <w:qFormat/>
    <w:uiPriority w:val="0"/>
    <w:rPr>
      <w:rFonts w:eastAsia="宋体"/>
      <w:sz w:val="21"/>
      <w:lang w:val="en-US" w:eastAsia="zh-CN" w:bidi="ar-SA"/>
    </w:rPr>
  </w:style>
  <w:style w:type="paragraph" w:customStyle="1" w:styleId="206">
    <w:name w:val="文档结构图1"/>
    <w:basedOn w:val="1"/>
    <w:link w:val="207"/>
    <w:qFormat/>
    <w:uiPriority w:val="0"/>
    <w:rPr>
      <w:rFonts w:ascii="宋体" w:hAnsi="Tahoma"/>
      <w:sz w:val="18"/>
      <w:szCs w:val="18"/>
    </w:rPr>
  </w:style>
  <w:style w:type="character" w:customStyle="1" w:styleId="207">
    <w:name w:val="文档结构图 字符"/>
    <w:link w:val="206"/>
    <w:qFormat/>
    <w:uiPriority w:val="0"/>
    <w:rPr>
      <w:rFonts w:ascii="宋体" w:hAnsi="Tahoma"/>
      <w:sz w:val="18"/>
      <w:szCs w:val="18"/>
    </w:rPr>
  </w:style>
  <w:style w:type="paragraph" w:customStyle="1" w:styleId="208">
    <w:name w:val="批注文字1"/>
    <w:basedOn w:val="1"/>
    <w:link w:val="209"/>
    <w:semiHidden/>
    <w:qFormat/>
    <w:uiPriority w:val="0"/>
    <w:pPr>
      <w:jc w:val="left"/>
    </w:pPr>
  </w:style>
  <w:style w:type="character" w:customStyle="1" w:styleId="209">
    <w:name w:val="批注文字 字符"/>
    <w:link w:val="208"/>
    <w:qFormat/>
    <w:uiPriority w:val="0"/>
    <w:rPr>
      <w:rFonts w:eastAsia="宋体"/>
      <w:sz w:val="21"/>
      <w:szCs w:val="24"/>
      <w:lang w:val="en-US" w:eastAsia="zh-CN" w:bidi="ar-SA"/>
    </w:rPr>
  </w:style>
  <w:style w:type="paragraph" w:customStyle="1" w:styleId="210">
    <w:name w:val="正文文本 31"/>
    <w:basedOn w:val="1"/>
    <w:qFormat/>
    <w:uiPriority w:val="0"/>
    <w:pPr>
      <w:spacing w:line="240" w:lineRule="exact"/>
    </w:pPr>
    <w:rPr>
      <w:rFonts w:ascii="宋体" w:hAnsi="宋体"/>
      <w:color w:val="000000"/>
      <w:szCs w:val="21"/>
    </w:rPr>
  </w:style>
  <w:style w:type="paragraph" w:customStyle="1" w:styleId="211">
    <w:name w:val="正文文本缩进1"/>
    <w:basedOn w:val="1"/>
    <w:link w:val="212"/>
    <w:qFormat/>
    <w:uiPriority w:val="0"/>
    <w:pPr>
      <w:spacing w:after="120"/>
      <w:ind w:left="420"/>
    </w:pPr>
    <w:rPr>
      <w:rFonts w:ascii="Tahoma" w:hAnsi="Tahoma"/>
    </w:rPr>
  </w:style>
  <w:style w:type="character" w:customStyle="1" w:styleId="212">
    <w:name w:val="正文文本缩进 字符"/>
    <w:link w:val="211"/>
    <w:qFormat/>
    <w:uiPriority w:val="0"/>
    <w:rPr>
      <w:rFonts w:ascii="Tahoma" w:hAnsi="Tahoma"/>
      <w:sz w:val="21"/>
      <w:szCs w:val="24"/>
    </w:rPr>
  </w:style>
  <w:style w:type="paragraph" w:customStyle="1" w:styleId="213">
    <w:name w:val="目录 31"/>
    <w:basedOn w:val="1"/>
    <w:next w:val="1"/>
    <w:qFormat/>
    <w:uiPriority w:val="39"/>
    <w:pPr>
      <w:ind w:left="840"/>
    </w:pPr>
  </w:style>
  <w:style w:type="paragraph" w:customStyle="1" w:styleId="214">
    <w:name w:val="纯文本1"/>
    <w:basedOn w:val="1"/>
    <w:link w:val="215"/>
    <w:qFormat/>
    <w:uiPriority w:val="0"/>
    <w:rPr>
      <w:rFonts w:ascii="宋体" w:hAnsi="Courier New"/>
      <w:szCs w:val="20"/>
    </w:rPr>
  </w:style>
  <w:style w:type="character" w:customStyle="1" w:styleId="215">
    <w:name w:val="纯文本 字符3"/>
    <w:link w:val="214"/>
    <w:qFormat/>
    <w:uiPriority w:val="0"/>
    <w:rPr>
      <w:rFonts w:ascii="宋体" w:hAnsi="Courier New" w:eastAsia="宋体"/>
      <w:sz w:val="21"/>
      <w:szCs w:val="20"/>
      <w:lang w:val="en-US" w:eastAsia="zh-CN" w:bidi="ar-SA"/>
    </w:rPr>
  </w:style>
  <w:style w:type="paragraph" w:customStyle="1" w:styleId="216">
    <w:name w:val="日期1"/>
    <w:basedOn w:val="1"/>
    <w:next w:val="1"/>
    <w:qFormat/>
    <w:uiPriority w:val="0"/>
    <w:pPr>
      <w:ind w:left="100"/>
    </w:pPr>
  </w:style>
  <w:style w:type="paragraph" w:customStyle="1" w:styleId="217">
    <w:name w:val="正文文本缩进 21"/>
    <w:basedOn w:val="1"/>
    <w:qFormat/>
    <w:uiPriority w:val="0"/>
    <w:pPr>
      <w:ind w:firstLine="630"/>
    </w:pPr>
    <w:rPr>
      <w:sz w:val="32"/>
      <w:szCs w:val="20"/>
    </w:rPr>
  </w:style>
  <w:style w:type="paragraph" w:customStyle="1" w:styleId="218">
    <w:name w:val="批注框文本1"/>
    <w:basedOn w:val="1"/>
    <w:semiHidden/>
    <w:qFormat/>
    <w:uiPriority w:val="0"/>
    <w:rPr>
      <w:sz w:val="18"/>
      <w:szCs w:val="18"/>
    </w:rPr>
  </w:style>
  <w:style w:type="paragraph" w:customStyle="1" w:styleId="219">
    <w:name w:val="页脚1"/>
    <w:basedOn w:val="1"/>
    <w:link w:val="220"/>
    <w:qFormat/>
    <w:uiPriority w:val="99"/>
    <w:pPr>
      <w:tabs>
        <w:tab w:val="center" w:pos="4153"/>
        <w:tab w:val="right" w:pos="8306"/>
      </w:tabs>
      <w:jc w:val="left"/>
    </w:pPr>
    <w:rPr>
      <w:rFonts w:ascii="Tahoma" w:hAnsi="Tahoma"/>
      <w:sz w:val="18"/>
      <w:szCs w:val="18"/>
    </w:rPr>
  </w:style>
  <w:style w:type="character" w:customStyle="1" w:styleId="220">
    <w:name w:val="页脚 字符1"/>
    <w:link w:val="219"/>
    <w:qFormat/>
    <w:uiPriority w:val="99"/>
    <w:rPr>
      <w:rFonts w:ascii="Tahoma" w:hAnsi="Tahoma"/>
      <w:sz w:val="18"/>
      <w:szCs w:val="18"/>
    </w:rPr>
  </w:style>
  <w:style w:type="paragraph" w:customStyle="1" w:styleId="221">
    <w:name w:val="寄信人地址1"/>
    <w:basedOn w:val="1"/>
    <w:qFormat/>
    <w:uiPriority w:val="0"/>
    <w:rPr>
      <w:rFonts w:ascii="Arial" w:hAnsi="Arial"/>
    </w:rPr>
  </w:style>
  <w:style w:type="paragraph" w:customStyle="1" w:styleId="222">
    <w:name w:val="页眉1"/>
    <w:basedOn w:val="1"/>
    <w:link w:val="223"/>
    <w:qFormat/>
    <w:uiPriority w:val="99"/>
    <w:pPr>
      <w:pBdr>
        <w:bottom w:val="single" w:color="000000" w:sz="6" w:space="1"/>
      </w:pBdr>
      <w:tabs>
        <w:tab w:val="center" w:pos="4153"/>
        <w:tab w:val="right" w:pos="8306"/>
      </w:tabs>
      <w:jc w:val="center"/>
    </w:pPr>
    <w:rPr>
      <w:rFonts w:ascii="Tahoma" w:hAnsi="Tahoma"/>
      <w:sz w:val="18"/>
      <w:szCs w:val="18"/>
    </w:rPr>
  </w:style>
  <w:style w:type="character" w:customStyle="1" w:styleId="223">
    <w:name w:val="页眉 字符"/>
    <w:link w:val="222"/>
    <w:qFormat/>
    <w:uiPriority w:val="99"/>
    <w:rPr>
      <w:rFonts w:ascii="Tahoma" w:hAnsi="Tahoma"/>
      <w:sz w:val="18"/>
      <w:szCs w:val="18"/>
    </w:rPr>
  </w:style>
  <w:style w:type="paragraph" w:customStyle="1" w:styleId="224">
    <w:name w:val="目录 11"/>
    <w:basedOn w:val="1"/>
    <w:next w:val="1"/>
    <w:qFormat/>
    <w:uiPriority w:val="39"/>
  </w:style>
  <w:style w:type="paragraph" w:customStyle="1" w:styleId="225">
    <w:name w:val="脚注文本1"/>
    <w:basedOn w:val="1"/>
    <w:qFormat/>
    <w:uiPriority w:val="0"/>
    <w:pPr>
      <w:jc w:val="left"/>
    </w:pPr>
    <w:rPr>
      <w:sz w:val="18"/>
    </w:rPr>
  </w:style>
  <w:style w:type="paragraph" w:customStyle="1" w:styleId="226">
    <w:name w:val="目录 21"/>
    <w:basedOn w:val="1"/>
    <w:next w:val="1"/>
    <w:qFormat/>
    <w:uiPriority w:val="39"/>
    <w:pPr>
      <w:ind w:left="420"/>
    </w:pPr>
  </w:style>
  <w:style w:type="paragraph" w:customStyle="1" w:styleId="227">
    <w:name w:val="目录 91"/>
    <w:basedOn w:val="1"/>
    <w:next w:val="1"/>
    <w:qFormat/>
    <w:uiPriority w:val="39"/>
    <w:pPr>
      <w:ind w:left="1680"/>
      <w:jc w:val="left"/>
    </w:pPr>
    <w:rPr>
      <w:sz w:val="18"/>
      <w:szCs w:val="18"/>
    </w:rPr>
  </w:style>
  <w:style w:type="paragraph" w:customStyle="1" w:styleId="228">
    <w:name w:val="正文文本 21"/>
    <w:basedOn w:val="1"/>
    <w:qFormat/>
    <w:uiPriority w:val="0"/>
    <w:pPr>
      <w:spacing w:after="120" w:afterAutospacing="0" w:line="480" w:lineRule="auto"/>
    </w:pPr>
  </w:style>
  <w:style w:type="paragraph" w:customStyle="1" w:styleId="229">
    <w:name w:val="列表 41"/>
    <w:basedOn w:val="1"/>
    <w:unhideWhenUsed/>
    <w:qFormat/>
    <w:uiPriority w:val="99"/>
    <w:pPr>
      <w:ind w:left="100" w:hanging="200"/>
      <w:contextualSpacing/>
    </w:pPr>
  </w:style>
  <w:style w:type="paragraph" w:customStyle="1" w:styleId="230">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31">
    <w:name w:val="标题1"/>
    <w:basedOn w:val="1"/>
    <w:next w:val="1"/>
    <w:qFormat/>
    <w:uiPriority w:val="10"/>
    <w:pPr>
      <w:spacing w:before="240" w:after="60"/>
      <w:jc w:val="center"/>
      <w:outlineLvl w:val="0"/>
    </w:pPr>
    <w:rPr>
      <w:rFonts w:ascii="等线 Light" w:hAnsi="等线 Light"/>
      <w:b/>
      <w:bCs/>
      <w:sz w:val="32"/>
      <w:szCs w:val="32"/>
    </w:rPr>
  </w:style>
  <w:style w:type="paragraph" w:customStyle="1" w:styleId="232">
    <w:name w:val="批注主题1"/>
    <w:basedOn w:val="208"/>
    <w:next w:val="208"/>
    <w:semiHidden/>
    <w:qFormat/>
    <w:uiPriority w:val="0"/>
    <w:rPr>
      <w:b/>
      <w:bCs/>
    </w:rPr>
  </w:style>
  <w:style w:type="paragraph" w:customStyle="1" w:styleId="233">
    <w:name w:val="正文首行缩进 21"/>
    <w:basedOn w:val="211"/>
    <w:unhideWhenUsed/>
    <w:qFormat/>
    <w:uiPriority w:val="0"/>
    <w:pPr>
      <w:ind w:firstLine="420"/>
    </w:pPr>
  </w:style>
  <w:style w:type="table" w:customStyle="1" w:styleId="234">
    <w:name w:val="网格型1"/>
    <w:basedOn w:val="198"/>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35">
    <w:name w:val="要点1"/>
    <w:link w:val="1"/>
    <w:qFormat/>
    <w:uiPriority w:val="0"/>
    <w:rPr>
      <w:rFonts w:ascii="Tahoma" w:hAnsi="Tahoma"/>
      <w:b/>
      <w:bCs/>
      <w:sz w:val="24"/>
      <w:szCs w:val="20"/>
    </w:rPr>
  </w:style>
  <w:style w:type="character" w:customStyle="1" w:styleId="236">
    <w:name w:val="页码1"/>
    <w:basedOn w:val="197"/>
    <w:link w:val="1"/>
    <w:qFormat/>
    <w:uiPriority w:val="0"/>
  </w:style>
  <w:style w:type="character" w:customStyle="1" w:styleId="237">
    <w:name w:val="已访问的超链接1"/>
    <w:link w:val="1"/>
    <w:unhideWhenUsed/>
    <w:qFormat/>
    <w:uiPriority w:val="99"/>
    <w:rPr>
      <w:color w:val="954F72"/>
      <w:u w:val="single"/>
    </w:rPr>
  </w:style>
  <w:style w:type="character" w:customStyle="1" w:styleId="238">
    <w:name w:val="强调1"/>
    <w:link w:val="1"/>
    <w:qFormat/>
    <w:uiPriority w:val="0"/>
  </w:style>
  <w:style w:type="character" w:customStyle="1" w:styleId="239">
    <w:name w:val="HTML 定义1"/>
    <w:link w:val="1"/>
    <w:qFormat/>
    <w:uiPriority w:val="0"/>
  </w:style>
  <w:style w:type="character" w:customStyle="1" w:styleId="240">
    <w:name w:val="HTML 打字机1"/>
    <w:link w:val="1"/>
    <w:qFormat/>
    <w:uiPriority w:val="0"/>
    <w:rPr>
      <w:rFonts w:ascii="monospace" w:hAnsi="monospace" w:eastAsia="monospace" w:cs="monospace"/>
      <w:sz w:val="20"/>
    </w:rPr>
  </w:style>
  <w:style w:type="character" w:customStyle="1" w:styleId="241">
    <w:name w:val="HTML 缩写1"/>
    <w:basedOn w:val="197"/>
    <w:link w:val="1"/>
    <w:qFormat/>
    <w:uiPriority w:val="0"/>
  </w:style>
  <w:style w:type="character" w:customStyle="1" w:styleId="242">
    <w:name w:val="HTML 变量1"/>
    <w:link w:val="1"/>
    <w:qFormat/>
    <w:uiPriority w:val="0"/>
    <w:rPr>
      <w:rFonts w:ascii="Tahoma" w:hAnsi="Tahoma"/>
      <w:sz w:val="24"/>
      <w:szCs w:val="20"/>
    </w:rPr>
  </w:style>
  <w:style w:type="character" w:customStyle="1" w:styleId="243">
    <w:name w:val="超链接1"/>
    <w:link w:val="1"/>
    <w:qFormat/>
    <w:uiPriority w:val="99"/>
    <w:rPr>
      <w:rFonts w:ascii="Tahoma" w:hAnsi="Tahoma"/>
      <w:color w:val="0000FF"/>
      <w:sz w:val="24"/>
      <w:szCs w:val="20"/>
      <w:u w:val="single"/>
    </w:rPr>
  </w:style>
  <w:style w:type="character" w:customStyle="1" w:styleId="244">
    <w:name w:val="HTML 代码1"/>
    <w:link w:val="1"/>
    <w:qFormat/>
    <w:uiPriority w:val="0"/>
    <w:rPr>
      <w:rFonts w:ascii="monospace" w:hAnsi="monospace" w:eastAsia="monospace" w:cs="monospace"/>
      <w:sz w:val="20"/>
    </w:rPr>
  </w:style>
  <w:style w:type="character" w:customStyle="1" w:styleId="245">
    <w:name w:val="批注引用1"/>
    <w:basedOn w:val="197"/>
    <w:link w:val="1"/>
    <w:semiHidden/>
    <w:qFormat/>
    <w:uiPriority w:val="0"/>
    <w:rPr>
      <w:rFonts w:ascii="Tahoma" w:hAnsi="Tahoma"/>
      <w:sz w:val="21"/>
      <w:szCs w:val="21"/>
    </w:rPr>
  </w:style>
  <w:style w:type="character" w:customStyle="1" w:styleId="246">
    <w:name w:val="HTML 引文1"/>
    <w:link w:val="1"/>
    <w:qFormat/>
    <w:uiPriority w:val="0"/>
  </w:style>
  <w:style w:type="character" w:customStyle="1" w:styleId="247">
    <w:name w:val="脚注引用1"/>
    <w:basedOn w:val="197"/>
    <w:link w:val="1"/>
    <w:qFormat/>
    <w:uiPriority w:val="0"/>
    <w:rPr>
      <w:vertAlign w:val="superscript"/>
    </w:rPr>
  </w:style>
  <w:style w:type="character" w:customStyle="1" w:styleId="248">
    <w:name w:val="HTML 键盘1"/>
    <w:link w:val="1"/>
    <w:qFormat/>
    <w:uiPriority w:val="0"/>
    <w:rPr>
      <w:rFonts w:ascii="monospace" w:hAnsi="monospace" w:eastAsia="monospace" w:cs="monospace"/>
      <w:sz w:val="20"/>
    </w:rPr>
  </w:style>
  <w:style w:type="character" w:customStyle="1" w:styleId="249">
    <w:name w:val="HTML 样本1"/>
    <w:link w:val="1"/>
    <w:qFormat/>
    <w:uiPriority w:val="0"/>
    <w:rPr>
      <w:rFonts w:ascii="monospace" w:hAnsi="monospace" w:eastAsia="monospace" w:cs="monospace"/>
    </w:rPr>
  </w:style>
  <w:style w:type="character" w:customStyle="1" w:styleId="250">
    <w:name w:val="标题 1 Char"/>
    <w:link w:val="192"/>
    <w:qFormat/>
    <w:uiPriority w:val="0"/>
    <w:rPr>
      <w:rFonts w:ascii="Times New Roman" w:hAnsi="Times New Roman" w:eastAsia="宋体"/>
      <w:b/>
      <w:sz w:val="32"/>
    </w:rPr>
  </w:style>
  <w:style w:type="paragraph" w:customStyle="1" w:styleId="251">
    <w:name w:val="首行缩进"/>
    <w:basedOn w:val="1"/>
    <w:qFormat/>
    <w:uiPriority w:val="0"/>
    <w:pPr>
      <w:ind w:firstLine="480"/>
    </w:pPr>
  </w:style>
  <w:style w:type="paragraph" w:customStyle="1" w:styleId="252">
    <w:name w:val="Default"/>
    <w:qFormat/>
    <w:uiPriority w:val="0"/>
    <w:pPr>
      <w:widowControl w:val="0"/>
    </w:pPr>
    <w:rPr>
      <w:rFonts w:hint="default" w:ascii="黑体" w:hAnsi="Times New Roman" w:eastAsia="黑体" w:cs="黑体"/>
      <w:color w:val="000000"/>
      <w:sz w:val="24"/>
      <w:szCs w:val="24"/>
      <w:lang w:val="en-US" w:eastAsia="zh-CN" w:bidi="ar-SA"/>
    </w:rPr>
  </w:style>
  <w:style w:type="character" w:customStyle="1" w:styleId="253">
    <w:name w:val="普通文字 Char Char5"/>
    <w:link w:val="1"/>
    <w:qFormat/>
    <w:uiPriority w:val="0"/>
    <w:rPr>
      <w:rFonts w:ascii="宋体" w:hAnsi="Courier New" w:eastAsia="宋体"/>
      <w:szCs w:val="21"/>
      <w:lang w:bidi="ar-SA"/>
    </w:rPr>
  </w:style>
  <w:style w:type="character" w:customStyle="1" w:styleId="254">
    <w:name w:val="displayarti"/>
    <w:link w:val="1"/>
    <w:qFormat/>
    <w:uiPriority w:val="0"/>
    <w:rPr>
      <w:color w:val="FFFFFF"/>
      <w:shd w:val="clear" w:color="auto" w:fill="A00000"/>
    </w:rPr>
  </w:style>
  <w:style w:type="character" w:customStyle="1" w:styleId="255">
    <w:name w:val="纯文本 字符1"/>
    <w:link w:val="1"/>
    <w:qFormat/>
    <w:uiPriority w:val="0"/>
    <w:rPr>
      <w:rFonts w:ascii="Ђˎ̥" w:hAnsi="Verdana" w:eastAsia="Ђˎ̥" w:cs="Verdana"/>
      <w:szCs w:val="21"/>
    </w:rPr>
  </w:style>
  <w:style w:type="character" w:customStyle="1" w:styleId="256">
    <w:name w:val="页脚 字符"/>
    <w:link w:val="1"/>
    <w:qFormat/>
    <w:uiPriority w:val="99"/>
  </w:style>
  <w:style w:type="character" w:customStyle="1" w:styleId="257">
    <w:name w:val="未处理的提及1"/>
    <w:link w:val="1"/>
    <w:unhideWhenUsed/>
    <w:qFormat/>
    <w:uiPriority w:val="99"/>
    <w:rPr>
      <w:rFonts w:ascii="Tahoma" w:hAnsi="Tahoma"/>
      <w:color w:val="808080"/>
      <w:sz w:val="24"/>
      <w:szCs w:val="20"/>
      <w:shd w:val="clear" w:color="auto" w:fill="E6E6E6"/>
    </w:rPr>
  </w:style>
  <w:style w:type="character" w:customStyle="1" w:styleId="258">
    <w:name w:val="列表段落 字符"/>
    <w:link w:val="259"/>
    <w:qFormat/>
    <w:uiPriority w:val="0"/>
    <w:rPr>
      <w:sz w:val="21"/>
      <w:szCs w:val="24"/>
    </w:rPr>
  </w:style>
  <w:style w:type="paragraph" w:customStyle="1" w:styleId="259">
    <w:name w:val="列表段落"/>
    <w:basedOn w:val="1"/>
    <w:link w:val="258"/>
    <w:qFormat/>
    <w:uiPriority w:val="0"/>
    <w:pPr>
      <w:ind w:firstLine="420"/>
    </w:pPr>
  </w:style>
  <w:style w:type="character" w:customStyle="1" w:styleId="260">
    <w:name w:val="纯文本 字符"/>
    <w:link w:val="1"/>
    <w:qFormat/>
    <w:uiPriority w:val="0"/>
    <w:rPr>
      <w:rFonts w:ascii="宋体" w:hAnsi="Courier New" w:eastAsia="宋体" w:cs="Courier New"/>
      <w:szCs w:val="21"/>
    </w:rPr>
  </w:style>
  <w:style w:type="character" w:customStyle="1" w:styleId="261">
    <w:name w:val="Char Char10"/>
    <w:link w:val="1"/>
    <w:qFormat/>
    <w:uiPriority w:val="0"/>
    <w:rPr>
      <w:rFonts w:ascii="宋体" w:hAnsi="宋体" w:eastAsia="宋体"/>
      <w:sz w:val="21"/>
      <w:szCs w:val="24"/>
      <w:lang w:val="en-US" w:eastAsia="zh-CN" w:bidi="ar-SA"/>
    </w:rPr>
  </w:style>
  <w:style w:type="character" w:customStyle="1" w:styleId="262">
    <w:name w:val="gjfg"/>
    <w:basedOn w:val="197"/>
    <w:link w:val="1"/>
    <w:qFormat/>
    <w:uiPriority w:val="0"/>
  </w:style>
  <w:style w:type="character" w:customStyle="1" w:styleId="263">
    <w:name w:val="font121"/>
    <w:link w:val="1"/>
    <w:qFormat/>
    <w:uiPriority w:val="0"/>
    <w:rPr>
      <w:rFonts w:hint="eastAsia" w:ascii="宋体" w:hAnsi="宋体" w:eastAsia="宋体" w:cs="宋体"/>
      <w:b/>
      <w:color w:val="000000"/>
      <w:sz w:val="22"/>
      <w:szCs w:val="22"/>
      <w:u w:val="none"/>
    </w:rPr>
  </w:style>
  <w:style w:type="character" w:customStyle="1" w:styleId="264">
    <w:name w:val="qxdate"/>
    <w:link w:val="1"/>
    <w:qFormat/>
    <w:uiPriority w:val="0"/>
    <w:rPr>
      <w:color w:val="333333"/>
      <w:sz w:val="18"/>
      <w:szCs w:val="18"/>
    </w:rPr>
  </w:style>
  <w:style w:type="character" w:customStyle="1" w:styleId="265">
    <w:name w:val="font31"/>
    <w:link w:val="1"/>
    <w:qFormat/>
    <w:uiPriority w:val="0"/>
    <w:rPr>
      <w:rFonts w:hint="eastAsia" w:ascii="宋体" w:hAnsi="宋体" w:eastAsia="宋体" w:cs="宋体"/>
      <w:color w:val="000000"/>
      <w:sz w:val="24"/>
      <w:szCs w:val="24"/>
      <w:u w:val="none"/>
    </w:rPr>
  </w:style>
  <w:style w:type="character" w:customStyle="1" w:styleId="266">
    <w:name w:val="Char Char1"/>
    <w:link w:val="1"/>
    <w:qFormat/>
    <w:uiPriority w:val="0"/>
    <w:rPr>
      <w:rFonts w:eastAsia="宋体"/>
      <w:sz w:val="21"/>
      <w:szCs w:val="24"/>
      <w:lang w:val="en-US" w:eastAsia="zh-CN" w:bidi="ar-SA"/>
    </w:rPr>
  </w:style>
  <w:style w:type="character" w:customStyle="1" w:styleId="267">
    <w:name w:val="font41"/>
    <w:link w:val="1"/>
    <w:qFormat/>
    <w:uiPriority w:val="0"/>
    <w:rPr>
      <w:rFonts w:hint="eastAsia" w:ascii="宋体" w:hAnsi="宋体" w:eastAsia="宋体" w:cs="宋体"/>
      <w:color w:val="000000"/>
      <w:sz w:val="22"/>
      <w:szCs w:val="22"/>
      <w:u w:val="none"/>
    </w:rPr>
  </w:style>
  <w:style w:type="character" w:customStyle="1" w:styleId="268">
    <w:name w:val="纯文本 Char"/>
    <w:link w:val="1"/>
    <w:qFormat/>
    <w:uiPriority w:val="0"/>
    <w:rPr>
      <w:rFonts w:ascii="宋体" w:hAnsi="Courier New" w:eastAsia="宋体"/>
    </w:rPr>
  </w:style>
  <w:style w:type="character" w:customStyle="1" w:styleId="269">
    <w:name w:val="标题 Char"/>
    <w:link w:val="1"/>
    <w:qFormat/>
    <w:uiPriority w:val="10"/>
    <w:rPr>
      <w:rFonts w:ascii="Calibri Light" w:hAnsi="Calibri Light" w:cs="Times New Roman"/>
      <w:b/>
      <w:bCs/>
      <w:sz w:val="32"/>
      <w:szCs w:val="32"/>
    </w:rPr>
  </w:style>
  <w:style w:type="character" w:customStyle="1" w:styleId="270">
    <w:name w:val="cfdate"/>
    <w:link w:val="1"/>
    <w:qFormat/>
    <w:uiPriority w:val="0"/>
    <w:rPr>
      <w:color w:val="333333"/>
      <w:sz w:val="18"/>
      <w:szCs w:val="18"/>
    </w:rPr>
  </w:style>
  <w:style w:type="character" w:customStyle="1" w:styleId="271">
    <w:name w:val="正文缩进 Char1"/>
    <w:link w:val="1"/>
    <w:qFormat/>
    <w:uiPriority w:val="0"/>
    <w:rPr>
      <w:rFonts w:eastAsia="宋体"/>
      <w:sz w:val="21"/>
      <w:lang w:val="en-US" w:eastAsia="zh-CN" w:bidi="ar-SA"/>
    </w:rPr>
  </w:style>
  <w:style w:type="character" w:customStyle="1" w:styleId="272">
    <w:name w:val="无"/>
    <w:link w:val="1"/>
    <w:qFormat/>
    <w:uiPriority w:val="0"/>
  </w:style>
  <w:style w:type="character" w:customStyle="1" w:styleId="273">
    <w:name w:val="font01"/>
    <w:link w:val="1"/>
    <w:qFormat/>
    <w:uiPriority w:val="0"/>
    <w:rPr>
      <w:rFonts w:hint="eastAsia" w:ascii="宋体" w:hAnsi="宋体" w:eastAsia="宋体" w:cs="宋体"/>
      <w:color w:val="000000"/>
      <w:sz w:val="22"/>
      <w:szCs w:val="22"/>
      <w:u w:val="none"/>
    </w:rPr>
  </w:style>
  <w:style w:type="character" w:customStyle="1" w:styleId="274">
    <w:name w:val="main12"/>
    <w:link w:val="1"/>
    <w:qFormat/>
    <w:uiPriority w:val="0"/>
    <w:rPr>
      <w:rFonts w:ascii="Arial" w:hAnsi="Arial" w:cs="Arial"/>
      <w:color w:val="000000"/>
      <w:sz w:val="18"/>
      <w:szCs w:val="18"/>
    </w:rPr>
  </w:style>
  <w:style w:type="character" w:customStyle="1" w:styleId="275">
    <w:name w:val="font61"/>
    <w:link w:val="1"/>
    <w:qFormat/>
    <w:uiPriority w:val="0"/>
    <w:rPr>
      <w:rFonts w:hint="eastAsia" w:ascii="宋体" w:hAnsi="宋体" w:eastAsia="宋体" w:cs="宋体"/>
      <w:color w:val="000000"/>
      <w:sz w:val="21"/>
      <w:szCs w:val="21"/>
      <w:u w:val="none"/>
    </w:rPr>
  </w:style>
  <w:style w:type="character" w:customStyle="1" w:styleId="276">
    <w:name w:val="redfilenumber"/>
    <w:link w:val="1"/>
    <w:qFormat/>
    <w:uiPriority w:val="0"/>
    <w:rPr>
      <w:color w:val="BA2636"/>
      <w:sz w:val="18"/>
      <w:szCs w:val="18"/>
    </w:rPr>
  </w:style>
  <w:style w:type="character" w:customStyle="1" w:styleId="277">
    <w:name w:val="纯文本 字符2"/>
    <w:link w:val="1"/>
    <w:qFormat/>
    <w:uiPriority w:val="0"/>
    <w:rPr>
      <w:rFonts w:ascii="宋体" w:hAnsi="Courier New" w:eastAsia="宋体"/>
      <w:sz w:val="21"/>
      <w:lang w:val="en-US" w:eastAsia="zh-CN" w:bidi="ar-SA"/>
    </w:rPr>
  </w:style>
  <w:style w:type="character" w:customStyle="1" w:styleId="278">
    <w:name w:val="font71"/>
    <w:link w:val="1"/>
    <w:qFormat/>
    <w:uiPriority w:val="0"/>
    <w:rPr>
      <w:rFonts w:ascii="Times New Roman" w:hAnsi="Times New Roman" w:cs="Times New Roman"/>
      <w:color w:val="000000"/>
      <w:sz w:val="24"/>
      <w:szCs w:val="24"/>
      <w:u w:val="none"/>
    </w:rPr>
  </w:style>
  <w:style w:type="character" w:customStyle="1" w:styleId="279">
    <w:name w:val="font21"/>
    <w:link w:val="1"/>
    <w:qFormat/>
    <w:uiPriority w:val="0"/>
    <w:rPr>
      <w:rFonts w:hint="eastAsia" w:ascii="宋体" w:hAnsi="宋体" w:eastAsia="宋体" w:cs="宋体"/>
      <w:color w:val="000000"/>
      <w:sz w:val="22"/>
      <w:szCs w:val="22"/>
      <w:u w:val="none"/>
    </w:rPr>
  </w:style>
  <w:style w:type="character" w:customStyle="1" w:styleId="280">
    <w:name w:val="font122"/>
    <w:link w:val="1"/>
    <w:qFormat/>
    <w:uiPriority w:val="0"/>
    <w:rPr>
      <w:rFonts w:hint="eastAsia" w:ascii="宋体" w:hAnsi="宋体" w:eastAsia="宋体" w:cs="宋体"/>
      <w:color w:val="FF0000"/>
      <w:sz w:val="20"/>
      <w:szCs w:val="20"/>
      <w:u w:val="none"/>
    </w:rPr>
  </w:style>
  <w:style w:type="character" w:customStyle="1" w:styleId="281">
    <w:name w:val="正文文本缩进 Char"/>
    <w:link w:val="1"/>
    <w:qFormat/>
    <w:uiPriority w:val="0"/>
    <w:rPr>
      <w:rFonts w:ascii="Times New Roman" w:hAnsi="Times New Roman" w:eastAsia="宋体" w:cs="Times New Roman"/>
      <w:sz w:val="21"/>
      <w:szCs w:val="24"/>
    </w:rPr>
  </w:style>
  <w:style w:type="character" w:customStyle="1" w:styleId="282">
    <w:name w:val="列出段落 Char"/>
    <w:link w:val="1"/>
    <w:qFormat/>
    <w:uiPriority w:val="34"/>
    <w:rPr>
      <w:rFonts w:ascii="Times New Roman" w:hAnsi="Times New Roman" w:eastAsia="宋体" w:cs="Times New Roman"/>
      <w:sz w:val="24"/>
      <w:szCs w:val="20"/>
    </w:rPr>
  </w:style>
  <w:style w:type="character" w:customStyle="1" w:styleId="283">
    <w:name w:val="redfilefwwh"/>
    <w:link w:val="1"/>
    <w:qFormat/>
    <w:uiPriority w:val="0"/>
    <w:rPr>
      <w:color w:val="BA2636"/>
      <w:sz w:val="18"/>
      <w:szCs w:val="18"/>
    </w:rPr>
  </w:style>
  <w:style w:type="character" w:customStyle="1" w:styleId="284">
    <w:name w:val="font131"/>
    <w:link w:val="1"/>
    <w:qFormat/>
    <w:uiPriority w:val="0"/>
    <w:rPr>
      <w:rFonts w:hint="eastAsia" w:ascii="宋体" w:hAnsi="宋体" w:eastAsia="宋体" w:cs="宋体"/>
      <w:b/>
      <w:bCs/>
      <w:color w:val="FF0000"/>
      <w:sz w:val="18"/>
      <w:szCs w:val="18"/>
      <w:u w:val="none"/>
    </w:rPr>
  </w:style>
  <w:style w:type="character" w:customStyle="1" w:styleId="285">
    <w:name w:val="fontstyle01"/>
    <w:link w:val="1"/>
    <w:qFormat/>
    <w:uiPriority w:val="0"/>
    <w:rPr>
      <w:rFonts w:hint="eastAsia" w:ascii="宋体" w:hAnsi="宋体" w:eastAsia="宋体"/>
      <w:color w:val="000000"/>
      <w:sz w:val="22"/>
      <w:szCs w:val="22"/>
    </w:rPr>
  </w:style>
  <w:style w:type="character" w:customStyle="1" w:styleId="286">
    <w:name w:val="apple-converted-space"/>
    <w:basedOn w:val="197"/>
    <w:link w:val="1"/>
    <w:qFormat/>
    <w:uiPriority w:val="0"/>
  </w:style>
  <w:style w:type="paragraph" w:customStyle="1" w:styleId="287">
    <w:name w:val="1"/>
    <w:basedOn w:val="1"/>
    <w:next w:val="214"/>
    <w:qFormat/>
    <w:uiPriority w:val="0"/>
    <w:rPr>
      <w:rFonts w:ascii="宋体" w:hAnsi="Courier New"/>
      <w:szCs w:val="20"/>
    </w:rPr>
  </w:style>
  <w:style w:type="paragraph" w:customStyle="1" w:styleId="288">
    <w:name w:val="正文_0_0"/>
    <w:qFormat/>
    <w:uiPriority w:val="0"/>
    <w:pPr>
      <w:widowControl w:val="0"/>
      <w:spacing w:line="360" w:lineRule="auto"/>
      <w:ind w:firstLine="480"/>
      <w:jc w:val="both"/>
    </w:pPr>
    <w:rPr>
      <w:rFonts w:hint="default" w:ascii="宋体" w:hAnsi="宋体" w:eastAsia="宋体" w:cs="Times New Roman"/>
      <w:color w:val="000000"/>
      <w:sz w:val="24"/>
      <w:szCs w:val="24"/>
      <w:lang w:val="en-US" w:eastAsia="zh-CN" w:bidi="ar-SA"/>
    </w:rPr>
  </w:style>
  <w:style w:type="paragraph" w:customStyle="1" w:styleId="289">
    <w:name w:val="Body text|1"/>
    <w:basedOn w:val="1"/>
    <w:qFormat/>
    <w:uiPriority w:val="0"/>
    <w:pPr>
      <w:spacing w:line="350" w:lineRule="auto"/>
      <w:ind w:firstLine="400"/>
      <w:jc w:val="left"/>
    </w:pPr>
    <w:rPr>
      <w:rFonts w:ascii="宋体" w:hAnsi="宋体" w:cs="宋体"/>
      <w:sz w:val="30"/>
      <w:szCs w:val="30"/>
    </w:rPr>
  </w:style>
  <w:style w:type="paragraph" w:customStyle="1" w:styleId="290">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291">
    <w:name w:val="xl85"/>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292">
    <w:name w:val="p0"/>
    <w:basedOn w:val="1"/>
    <w:qFormat/>
    <w:uiPriority w:val="0"/>
    <w:pPr>
      <w:widowControl/>
    </w:pPr>
    <w:rPr>
      <w:szCs w:val="20"/>
    </w:rPr>
  </w:style>
  <w:style w:type="paragraph" w:customStyle="1" w:styleId="293">
    <w:name w:val="修订"/>
    <w:unhideWhenUsed/>
    <w:qFormat/>
    <w:uiPriority w:val="99"/>
    <w:rPr>
      <w:rFonts w:hint="default" w:ascii="Times New Roman" w:hAnsi="Times New Roman" w:eastAsia="宋体" w:cs="Times New Roman"/>
      <w:sz w:val="21"/>
      <w:szCs w:val="24"/>
      <w:lang w:val="en-US" w:eastAsia="zh-CN" w:bidi="ar-SA"/>
    </w:rPr>
  </w:style>
  <w:style w:type="paragraph" w:customStyle="1" w:styleId="294">
    <w:name w:val="Char Char8"/>
    <w:basedOn w:val="1"/>
    <w:qFormat/>
    <w:uiPriority w:val="0"/>
    <w:rPr>
      <w:rFonts w:ascii="Tahoma" w:hAnsi="Tahoma" w:eastAsia="Times New Roman"/>
      <w:sz w:val="24"/>
      <w:szCs w:val="20"/>
    </w:rPr>
  </w:style>
  <w:style w:type="paragraph" w:customStyle="1" w:styleId="295">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296">
    <w:name w:val="Table Paragraph"/>
    <w:basedOn w:val="1"/>
    <w:qFormat/>
    <w:uiPriority w:val="1"/>
  </w:style>
  <w:style w:type="paragraph" w:customStyle="1" w:styleId="297">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298">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299">
    <w:name w:val="正文格式"/>
    <w:basedOn w:val="1"/>
    <w:qFormat/>
    <w:uiPriority w:val="0"/>
    <w:pPr>
      <w:widowControl/>
      <w:spacing w:line="400" w:lineRule="atLeast"/>
      <w:ind w:firstLine="482"/>
    </w:pPr>
    <w:rPr>
      <w:sz w:val="24"/>
    </w:rPr>
  </w:style>
  <w:style w:type="paragraph" w:customStyle="1" w:styleId="300">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1">
    <w:name w:val="_Style 36"/>
    <w:basedOn w:val="1"/>
    <w:qFormat/>
    <w:uiPriority w:val="0"/>
    <w:rPr>
      <w:rFonts w:ascii="Tahoma" w:hAnsi="Tahoma"/>
      <w:sz w:val="24"/>
      <w:szCs w:val="20"/>
    </w:rPr>
  </w:style>
  <w:style w:type="paragraph" w:customStyle="1" w:styleId="302">
    <w:name w:val="xl8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03">
    <w:name w:val="xl78"/>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4">
    <w:name w:val="xl72"/>
    <w:basedOn w:val="1"/>
    <w:qFormat/>
    <w:uiPriority w:val="0"/>
    <w:pPr>
      <w:widowControl/>
      <w:shd w:val="clear" w:color="000000" w:fill="FFFFFF"/>
      <w:spacing w:before="100" w:beforeAutospacing="1" w:after="100" w:afterAutospacing="1"/>
      <w:jc w:val="left"/>
    </w:pPr>
    <w:rPr>
      <w:rFonts w:ascii="宋体" w:hAnsi="宋体" w:cs="宋体"/>
      <w:sz w:val="24"/>
    </w:rPr>
  </w:style>
  <w:style w:type="paragraph" w:customStyle="1" w:styleId="305">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0"/>
      <w:szCs w:val="20"/>
    </w:rPr>
  </w:style>
  <w:style w:type="paragraph" w:customStyle="1" w:styleId="306">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07">
    <w:name w:val="CM14"/>
    <w:basedOn w:val="252"/>
    <w:next w:val="252"/>
    <w:qFormat/>
    <w:uiPriority w:val="0"/>
    <w:pPr>
      <w:spacing w:line="468" w:lineRule="atLeast"/>
    </w:pPr>
    <w:rPr>
      <w:rFonts w:ascii="Sim Sun" w:eastAsia="Sim Sun" w:cs="Times New Roman"/>
      <w:color w:val="000000"/>
    </w:rPr>
  </w:style>
  <w:style w:type="paragraph" w:customStyle="1" w:styleId="308">
    <w:name w:val="p17"/>
    <w:basedOn w:val="1"/>
    <w:qFormat/>
    <w:uiPriority w:val="0"/>
    <w:pPr>
      <w:widowControl/>
    </w:pPr>
    <w:rPr>
      <w:rFonts w:ascii="宋体" w:hAnsi="宋体" w:cs="宋体"/>
      <w:szCs w:val="21"/>
    </w:rPr>
  </w:style>
  <w:style w:type="paragraph" w:customStyle="1" w:styleId="309">
    <w:name w:val="xl89"/>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10">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11">
    <w:name w:val="样式1"/>
    <w:basedOn w:val="1"/>
    <w:qFormat/>
    <w:uiPriority w:val="0"/>
    <w:pPr>
      <w:widowControl/>
      <w:jc w:val="left"/>
    </w:pPr>
    <w:rPr>
      <w:rFonts w:ascii="宋体" w:hAnsi="宋体"/>
      <w:szCs w:val="21"/>
    </w:rPr>
  </w:style>
  <w:style w:type="paragraph" w:customStyle="1" w:styleId="312">
    <w:name w:val="font6"/>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13">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14">
    <w:name w:val="Heading21"/>
    <w:basedOn w:val="1"/>
    <w:next w:val="1"/>
    <w:qFormat/>
    <w:uiPriority w:val="0"/>
    <w:pPr>
      <w:keepNext/>
      <w:keepLines/>
      <w:spacing w:before="260" w:after="260" w:line="416" w:lineRule="auto"/>
    </w:pPr>
    <w:rPr>
      <w:rFonts w:ascii="Arial" w:hAnsi="Arial" w:eastAsia="黑体" w:cs="Times New Roman"/>
      <w:b/>
      <w:bCs/>
      <w:sz w:val="32"/>
      <w:szCs w:val="32"/>
    </w:rPr>
  </w:style>
  <w:style w:type="paragraph" w:customStyle="1" w:styleId="315">
    <w:name w:val="Body text|3"/>
    <w:basedOn w:val="1"/>
    <w:qFormat/>
    <w:uiPriority w:val="0"/>
    <w:pPr>
      <w:spacing w:after="460"/>
      <w:jc w:val="center"/>
    </w:pPr>
    <w:rPr>
      <w:rFonts w:ascii="宋体" w:hAnsi="宋体" w:cs="宋体"/>
      <w:sz w:val="34"/>
      <w:szCs w:val="34"/>
    </w:rPr>
  </w:style>
  <w:style w:type="paragraph" w:customStyle="1" w:styleId="316">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17">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18">
    <w:name w:val="正文_0"/>
    <w:qFormat/>
    <w:uiPriority w:val="0"/>
    <w:pPr>
      <w:widowControl w:val="0"/>
      <w:tabs>
        <w:tab w:val="left" w:pos="480"/>
      </w:tabs>
      <w:spacing w:line="360" w:lineRule="auto"/>
      <w:jc w:val="both"/>
    </w:pPr>
    <w:rPr>
      <w:rFonts w:hint="default" w:ascii="Times New Roman" w:hAnsi="Times New Roman" w:eastAsia="宋体" w:cs="Times New Roman"/>
      <w:sz w:val="24"/>
      <w:szCs w:val="22"/>
      <w:lang w:val="en-US" w:eastAsia="zh-CN" w:bidi="ar-SA"/>
    </w:rPr>
  </w:style>
  <w:style w:type="paragraph" w:customStyle="1" w:styleId="319">
    <w:name w:val="Char Char2 Char Char"/>
    <w:basedOn w:val="1"/>
    <w:qFormat/>
    <w:uiPriority w:val="0"/>
    <w:rPr>
      <w:rFonts w:ascii="Tahoma" w:hAnsi="Tahoma"/>
      <w:sz w:val="24"/>
      <w:szCs w:val="20"/>
    </w:rPr>
  </w:style>
  <w:style w:type="paragraph" w:customStyle="1" w:styleId="320">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4"/>
    </w:rPr>
  </w:style>
  <w:style w:type="paragraph" w:customStyle="1" w:styleId="321">
    <w:name w:val="正文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22">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23">
    <w:name w:val="xl8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24">
    <w:name w:val="列表段落1"/>
    <w:basedOn w:val="1"/>
    <w:qFormat/>
    <w:uiPriority w:val="0"/>
    <w:pPr>
      <w:ind w:firstLine="420"/>
    </w:pPr>
  </w:style>
  <w:style w:type="paragraph" w:customStyle="1" w:styleId="325">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26">
    <w:name w:val="段"/>
    <w:next w:val="1"/>
    <w:qFormat/>
    <w:uiPriority w:val="99"/>
    <w:pPr>
      <w:ind w:firstLine="200"/>
      <w:jc w:val="both"/>
    </w:pPr>
    <w:rPr>
      <w:rFonts w:hint="default" w:ascii="宋体" w:hAnsi="宋体" w:eastAsia="宋体" w:cs="Times New Roman"/>
      <w:sz w:val="21"/>
      <w:szCs w:val="21"/>
      <w:lang w:val="en-US" w:eastAsia="zh-CN" w:bidi="ar-SA"/>
    </w:rPr>
  </w:style>
  <w:style w:type="paragraph" w:customStyle="1" w:styleId="327">
    <w:name w:val="TOC 标题1"/>
    <w:basedOn w:val="192"/>
    <w:next w:val="1"/>
    <w:qFormat/>
    <w:uiPriority w:val="39"/>
    <w:pPr>
      <w:widowControl/>
      <w:spacing w:before="240" w:after="0" w:line="259" w:lineRule="auto"/>
      <w:jc w:val="left"/>
      <w:outlineLvl w:val="9"/>
    </w:pPr>
    <w:rPr>
      <w:rFonts w:ascii="等线 Light" w:hAnsi="等线 Light" w:eastAsia="等线 Light"/>
      <w:b w:val="0"/>
      <w:bCs w:val="0"/>
      <w:color w:val="2F5496"/>
      <w:sz w:val="32"/>
      <w:szCs w:val="32"/>
    </w:rPr>
  </w:style>
  <w:style w:type="paragraph" w:customStyle="1" w:styleId="32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29">
    <w:name w:val="msonormal"/>
    <w:basedOn w:val="1"/>
    <w:qFormat/>
    <w:uiPriority w:val="0"/>
    <w:pPr>
      <w:widowControl/>
      <w:spacing w:before="100" w:beforeAutospacing="1" w:after="100" w:afterAutospacing="1"/>
      <w:jc w:val="left"/>
    </w:pPr>
    <w:rPr>
      <w:rFonts w:ascii="宋体" w:hAnsi="宋体" w:cs="宋体"/>
      <w:sz w:val="24"/>
    </w:rPr>
  </w:style>
  <w:style w:type="paragraph" w:customStyle="1" w:styleId="330">
    <w:name w:val="xl84"/>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31">
    <w:name w:val="正文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32">
    <w:name w:val="列出段落1"/>
    <w:basedOn w:val="1"/>
    <w:qFormat/>
    <w:uiPriority w:val="0"/>
    <w:pPr>
      <w:ind w:firstLine="420"/>
    </w:pPr>
    <w:rPr>
      <w:rFonts w:ascii="仿宋_GB2312" w:eastAsia="仿宋_GB2312"/>
      <w:sz w:val="32"/>
    </w:rPr>
  </w:style>
  <w:style w:type="paragraph" w:customStyle="1" w:styleId="333">
    <w:name w:val="普通(网站)1"/>
    <w:basedOn w:val="1"/>
    <w:qFormat/>
    <w:uiPriority w:val="0"/>
    <w:pPr>
      <w:jc w:val="left"/>
    </w:pPr>
    <w:rPr>
      <w:sz w:val="24"/>
    </w:rPr>
  </w:style>
  <w:style w:type="paragraph" w:styleId="334">
    <w:name w:val="List Paragraph"/>
    <w:basedOn w:val="1"/>
    <w:qFormat/>
    <w:uiPriority w:val="99"/>
    <w:pPr>
      <w:ind w:firstLine="420"/>
    </w:pPr>
  </w:style>
  <w:style w:type="paragraph" w:customStyle="1" w:styleId="335">
    <w:name w:val="_Style 1"/>
    <w:qFormat/>
    <w:uiPriority w:val="1"/>
    <w:pPr>
      <w:widowControl w:val="0"/>
      <w:jc w:val="both"/>
    </w:pPr>
    <w:rPr>
      <w:rFonts w:hint="default" w:ascii="Times New Roman" w:hAnsi="Times New Roman" w:eastAsia="宋体" w:cs="Times New Roman"/>
      <w:sz w:val="21"/>
      <w:szCs w:val="24"/>
      <w:lang w:val="en-US" w:eastAsia="zh-CN" w:bidi="ar-SA"/>
    </w:rPr>
  </w:style>
  <w:style w:type="paragraph" w:customStyle="1" w:styleId="336">
    <w:name w:val="xl88"/>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37">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38">
    <w:name w:val="CM15"/>
    <w:basedOn w:val="252"/>
    <w:next w:val="252"/>
    <w:qFormat/>
    <w:uiPriority w:val="0"/>
    <w:pPr>
      <w:spacing w:line="468" w:lineRule="atLeast"/>
    </w:pPr>
    <w:rPr>
      <w:rFonts w:ascii="Sim Sun" w:eastAsia="Sim Sun" w:cs="Times New Roman"/>
      <w:color w:val="000000"/>
    </w:rPr>
  </w:style>
  <w:style w:type="paragraph" w:customStyle="1" w:styleId="339">
    <w:name w:val="p15"/>
    <w:basedOn w:val="1"/>
    <w:qFormat/>
    <w:uiPriority w:val="0"/>
    <w:pPr>
      <w:widowControl/>
    </w:pPr>
    <w:rPr>
      <w:rFonts w:ascii="宋体" w:hAnsi="宋体" w:cs="宋体"/>
      <w:szCs w:val="21"/>
    </w:rPr>
  </w:style>
  <w:style w:type="character" w:customStyle="1" w:styleId="340">
    <w:name w:val="NormalCharacter1"/>
    <w:link w:val="1"/>
    <w:semiHidden/>
    <w:qFormat/>
    <w:uiPriority w:val="0"/>
  </w:style>
  <w:style w:type="paragraph" w:customStyle="1" w:styleId="341">
    <w:name w:val="PlainText1"/>
    <w:basedOn w:val="1"/>
    <w:qFormat/>
    <w:uiPriority w:val="0"/>
    <w:pPr>
      <w:widowControl/>
    </w:pPr>
    <w:rPr>
      <w:rFonts w:ascii="宋体" w:hAnsi="Courier New" w:eastAsia="Times New Roman" w:cs="Times New Roman"/>
      <w:b/>
      <w:szCs w:val="20"/>
    </w:rPr>
  </w:style>
  <w:style w:type="paragraph" w:customStyle="1" w:styleId="342">
    <w:name w:val="表格文字"/>
    <w:basedOn w:val="1"/>
    <w:qFormat/>
    <w:uiPriority w:val="0"/>
    <w:pPr>
      <w:jc w:val="left"/>
    </w:pPr>
    <w:rPr>
      <w:bCs/>
      <w:spacing w:val="10"/>
    </w:rPr>
  </w:style>
  <w:style w:type="paragraph" w:customStyle="1" w:styleId="343">
    <w:name w:val="Table Text"/>
    <w:basedOn w:val="1"/>
    <w:semiHidden/>
    <w:qFormat/>
    <w:uiPriority w:val="0"/>
    <w:rPr>
      <w:rFonts w:ascii="宋体" w:hAnsi="宋体" w:eastAsia="宋体" w:cs="宋体"/>
      <w:sz w:val="24"/>
      <w:szCs w:val="24"/>
    </w:rPr>
  </w:style>
  <w:style w:type="table" w:customStyle="1" w:styleId="344">
    <w:name w:val="Table Normal"/>
    <w:semiHidden/>
    <w:unhideWhenUsed/>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QB</Company>
  <Pages>72</Pages>
  <Words>31847</Words>
  <Characters>35413</Characters>
  <TotalTime>95</TotalTime>
  <ScaleCrop>false</ScaleCrop>
  <LinksUpToDate>false</LinksUpToDate>
  <CharactersWithSpaces>35497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2020-10-09T07:10:00Z</dcterms:created>
  <dc:creator>微软</dc:creator>
  <cp:lastModifiedBy>ArcobalenoのD</cp:lastModifiedBy>
  <dcterms:modified xsi:type="dcterms:W3CDTF">2026-07-01T09:49:20Z</dcterms:modified>
  <dc:title>医疗设</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eyJoZGlkIjoiZTU2ZmEzZGQ1ZDk4YWIwMjkyZjBlYjkzYTY0YzViNTgiLCJ1c2VySWQiOiI4OTA2MzAyIn0=</vt:lpwstr>
  </property>
  <property fmtid="{D5CDD505-2E9C-101B-9397-08002B2CF9AE}" pid="3" name="KSOProductBuildVer">
    <vt:lpwstr>2052-12.1.0.26895</vt:lpwstr>
  </property>
  <property fmtid="{D5CDD505-2E9C-101B-9397-08002B2CF9AE}" pid="4" name="ICV">
    <vt:lpwstr>131D4828D6FA4D6994E5477B7B209A2D_13</vt:lpwstr>
  </property>
</Properties>
</file>